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F781" w14:textId="418A3355" w:rsidR="003A2EDF" w:rsidRDefault="003109F1" w:rsidP="00CD184A">
      <w:pPr>
        <w:jc w:val="both"/>
      </w:pPr>
    </w:p>
    <w:p w14:paraId="4826416E" w14:textId="16FA1084" w:rsidR="002B556F" w:rsidRPr="008479D0" w:rsidRDefault="00D922A4" w:rsidP="00081FBB">
      <w:pPr>
        <w:spacing w:line="360" w:lineRule="auto"/>
        <w:jc w:val="center"/>
        <w:rPr>
          <w:rFonts w:eastAsia="Calibri" w:cs="Times New Roman"/>
        </w:rPr>
      </w:pPr>
      <w:r w:rsidRPr="008479D0">
        <w:rPr>
          <w:rFonts w:eastAsia="Calibri" w:cs="Times New Roman"/>
        </w:rPr>
        <w:t>RECONSTRUCTING STATE OBLIGATIONS TO PROTECT AND FULFIL SOCIO-ECONOMIC RIGHTS IN AN ERA OF MARKETIZATION</w:t>
      </w:r>
    </w:p>
    <w:p w14:paraId="7EA9072D" w14:textId="77777777" w:rsidR="002B556F" w:rsidRPr="00682F83" w:rsidRDefault="002B556F" w:rsidP="00F2056D">
      <w:pPr>
        <w:spacing w:line="360" w:lineRule="auto"/>
        <w:contextualSpacing/>
        <w:jc w:val="center"/>
        <w:rPr>
          <w:rFonts w:eastAsia="SimSun" w:cs="Times New Roman"/>
          <w:b/>
          <w:bCs/>
          <w:lang w:eastAsia="zh-CN"/>
        </w:rPr>
      </w:pPr>
      <w:r w:rsidRPr="00682F83">
        <w:rPr>
          <w:rFonts w:eastAsia="SimSun" w:cs="Times New Roman"/>
          <w:b/>
          <w:bCs/>
          <w:lang w:eastAsia="zh-CN"/>
        </w:rPr>
        <w:t>Abstract</w:t>
      </w:r>
    </w:p>
    <w:p w14:paraId="358550F8" w14:textId="77777777" w:rsidR="002B556F" w:rsidRPr="008479D0" w:rsidRDefault="002B556F" w:rsidP="00F2056D">
      <w:pPr>
        <w:spacing w:line="360" w:lineRule="auto"/>
        <w:contextualSpacing/>
        <w:jc w:val="center"/>
        <w:rPr>
          <w:rFonts w:eastAsia="SimSun" w:cs="Times New Roman"/>
          <w:lang w:eastAsia="zh-CN"/>
        </w:rPr>
      </w:pPr>
    </w:p>
    <w:p w14:paraId="56800B3D" w14:textId="3E349698" w:rsidR="002B556F" w:rsidRPr="008479D0" w:rsidRDefault="002B556F" w:rsidP="00F2056D">
      <w:pPr>
        <w:spacing w:line="360" w:lineRule="auto"/>
        <w:contextualSpacing/>
        <w:jc w:val="center"/>
        <w:rPr>
          <w:rFonts w:eastAsia="SimSun" w:cs="Times New Roman"/>
          <w:lang w:val="en-GB" w:eastAsia="zh-CN"/>
        </w:rPr>
      </w:pPr>
      <w:r w:rsidRPr="008479D0">
        <w:rPr>
          <w:rFonts w:eastAsia="SimSun" w:cs="Times New Roman"/>
          <w:lang w:eastAsia="zh-CN"/>
        </w:rPr>
        <w:t xml:space="preserve">States increasingly outsource the provision of </w:t>
      </w:r>
      <w:r w:rsidR="001E7F99">
        <w:rPr>
          <w:rFonts w:eastAsia="SimSun" w:cs="Times New Roman"/>
          <w:lang w:eastAsia="zh-CN"/>
        </w:rPr>
        <w:t>resources</w:t>
      </w:r>
      <w:r w:rsidRPr="008479D0">
        <w:rPr>
          <w:rFonts w:eastAsia="SimSun" w:cs="Times New Roman"/>
          <w:lang w:eastAsia="zh-CN"/>
        </w:rPr>
        <w:t xml:space="preserve"> essential for socio-economic rights </w:t>
      </w:r>
      <w:r w:rsidR="001E7F99">
        <w:rPr>
          <w:rFonts w:eastAsia="SimSun" w:cs="Times New Roman"/>
          <w:lang w:eastAsia="zh-CN"/>
        </w:rPr>
        <w:t xml:space="preserve">realization </w:t>
      </w:r>
      <w:r w:rsidRPr="008479D0">
        <w:rPr>
          <w:rFonts w:eastAsia="SimSun" w:cs="Times New Roman"/>
          <w:lang w:eastAsia="zh-CN"/>
        </w:rPr>
        <w:t xml:space="preserve">to market actors. </w:t>
      </w:r>
      <w:r w:rsidRPr="008479D0">
        <w:rPr>
          <w:rFonts w:eastAsia="SimSun" w:cs="Times New Roman"/>
          <w:lang w:val="en-GB" w:eastAsia="zh-CN"/>
        </w:rPr>
        <w:t xml:space="preserve">This generates uncertainties regarding the substantive content of state obligations toward these rights. </w:t>
      </w:r>
      <w:r w:rsidRPr="008479D0">
        <w:rPr>
          <w:rFonts w:eastAsia="SimSun" w:cs="Times New Roman"/>
          <w:lang w:eastAsia="zh-CN"/>
        </w:rPr>
        <w:t>What does it mean to protect a right from ‘in</w:t>
      </w:r>
      <w:r w:rsidR="007273F4">
        <w:rPr>
          <w:rFonts w:eastAsia="SimSun" w:cs="Times New Roman"/>
          <w:lang w:eastAsia="zh-CN"/>
        </w:rPr>
        <w:t>fringements</w:t>
      </w:r>
      <w:r w:rsidRPr="008479D0">
        <w:rPr>
          <w:rFonts w:eastAsia="SimSun" w:cs="Times New Roman"/>
          <w:lang w:eastAsia="zh-CN"/>
        </w:rPr>
        <w:t xml:space="preserve">’ by third parties when </w:t>
      </w:r>
      <w:r w:rsidR="007273F4">
        <w:rPr>
          <w:rFonts w:eastAsia="SimSun" w:cs="Times New Roman"/>
          <w:lang w:eastAsia="zh-CN"/>
        </w:rPr>
        <w:t>businesses</w:t>
      </w:r>
      <w:r w:rsidRPr="008479D0">
        <w:rPr>
          <w:rFonts w:eastAsia="SimSun" w:cs="Times New Roman"/>
          <w:lang w:eastAsia="zh-CN"/>
        </w:rPr>
        <w:t xml:space="preserve"> supply the content of the right? Are states obligated to regulate rights-relevant markets so that the actors therein operate to fulfil human rights? The Committee </w:t>
      </w:r>
      <w:r w:rsidRPr="008479D0">
        <w:rPr>
          <w:rFonts w:eastAsia="SimSun" w:cs="Times New Roman"/>
          <w:lang w:val="en-GB" w:eastAsia="zh-CN"/>
        </w:rPr>
        <w:t xml:space="preserve">on Economic, Social and Cultural Rights has not directly addressed these questions, but recent General Comments develop some ambitious regulatory obligations in relation to marketized rights. </w:t>
      </w:r>
      <w:r w:rsidRPr="008479D0">
        <w:rPr>
          <w:rFonts w:eastAsia="SimSun" w:cs="Times New Roman"/>
          <w:lang w:eastAsia="zh-CN"/>
        </w:rPr>
        <w:t xml:space="preserve">However, their methodology is questionable, often collapsing the distinction between the ‘protect’ and ‘fulfil’ limbs. This paper reconstructs the limbs according to their historical and theoretical origins to provide distinct content to each. It delineates and defines state duties to protect </w:t>
      </w:r>
      <w:r w:rsidRPr="008479D0">
        <w:rPr>
          <w:rFonts w:eastAsia="SimSun" w:cs="Times New Roman"/>
          <w:lang w:val="en-GB" w:eastAsia="zh-CN"/>
        </w:rPr>
        <w:t xml:space="preserve">from profiteering and state duties to fulfil human rights through market regulation. </w:t>
      </w:r>
      <w:r w:rsidRPr="008479D0">
        <w:rPr>
          <w:rFonts w:eastAsia="SimSun" w:cs="Times New Roman"/>
          <w:lang w:eastAsia="zh-CN"/>
        </w:rPr>
        <w:t>It concludes by arguing that this reconstruction may present a challenge to central aspects of globalized capitalism based on the human rights harm inherent therein.</w:t>
      </w:r>
    </w:p>
    <w:p w14:paraId="093C1880" w14:textId="77777777" w:rsidR="002B556F" w:rsidRPr="008479D0" w:rsidRDefault="002B556F" w:rsidP="00F2056D">
      <w:pPr>
        <w:spacing w:line="360" w:lineRule="auto"/>
        <w:jc w:val="center"/>
        <w:rPr>
          <w:rFonts w:eastAsia="Calibri" w:cs="Times New Roman"/>
        </w:rPr>
      </w:pPr>
    </w:p>
    <w:p w14:paraId="6184AB35" w14:textId="66D8745D" w:rsidR="002B556F" w:rsidRPr="008479D0" w:rsidRDefault="002B556F" w:rsidP="00F2056D">
      <w:pPr>
        <w:spacing w:line="360" w:lineRule="auto"/>
        <w:jc w:val="center"/>
        <w:rPr>
          <w:rFonts w:eastAsia="Calibri" w:cs="Times New Roman"/>
        </w:rPr>
      </w:pPr>
      <w:r w:rsidRPr="00682F83">
        <w:rPr>
          <w:rFonts w:eastAsia="Calibri" w:cs="Times New Roman"/>
          <w:b/>
          <w:bCs/>
        </w:rPr>
        <w:t>Keywords:</w:t>
      </w:r>
      <w:r w:rsidRPr="008479D0">
        <w:rPr>
          <w:rFonts w:eastAsia="Calibri" w:cs="Times New Roman"/>
        </w:rPr>
        <w:t xml:space="preserve"> </w:t>
      </w:r>
      <w:r w:rsidR="0019177C">
        <w:rPr>
          <w:rFonts w:eastAsia="Calibri" w:cs="Times New Roman"/>
        </w:rPr>
        <w:t xml:space="preserve">Business and Human Rights, </w:t>
      </w:r>
      <w:r w:rsidR="001E74CB" w:rsidRPr="008479D0">
        <w:rPr>
          <w:rFonts w:eastAsia="Calibri" w:cs="Times New Roman"/>
        </w:rPr>
        <w:t>Globalization</w:t>
      </w:r>
      <w:r w:rsidR="001E74CB">
        <w:rPr>
          <w:rFonts w:eastAsia="Calibri" w:cs="Times New Roman"/>
        </w:rPr>
        <w:t xml:space="preserve">, </w:t>
      </w:r>
      <w:r w:rsidRPr="008479D0">
        <w:rPr>
          <w:rFonts w:eastAsia="Calibri" w:cs="Times New Roman"/>
        </w:rPr>
        <w:t xml:space="preserve">International Covenant on Economic, Social and Cultural Rights, </w:t>
      </w:r>
      <w:r w:rsidR="00F2056D" w:rsidRPr="008479D0">
        <w:rPr>
          <w:rFonts w:eastAsia="Calibri" w:cs="Times New Roman"/>
        </w:rPr>
        <w:t xml:space="preserve">International Human Rights Law, </w:t>
      </w:r>
      <w:r w:rsidR="0019177C" w:rsidRPr="008479D0">
        <w:rPr>
          <w:rFonts w:eastAsia="Calibri" w:cs="Times New Roman"/>
        </w:rPr>
        <w:t>Marketization</w:t>
      </w:r>
      <w:r w:rsidR="001E74CB">
        <w:rPr>
          <w:rFonts w:eastAsia="Calibri" w:cs="Times New Roman"/>
        </w:rPr>
        <w:t>, Neoliberalism</w:t>
      </w:r>
    </w:p>
    <w:p w14:paraId="7D2AD02D" w14:textId="0D7F9553" w:rsidR="00933181" w:rsidRDefault="00933181" w:rsidP="00CD184A">
      <w:pPr>
        <w:jc w:val="both"/>
      </w:pPr>
    </w:p>
    <w:p w14:paraId="72905928" w14:textId="77777777" w:rsidR="009E16EB" w:rsidRDefault="009E16EB" w:rsidP="00CD184A">
      <w:pPr>
        <w:jc w:val="both"/>
      </w:pPr>
    </w:p>
    <w:p w14:paraId="61F76345" w14:textId="47596AB3" w:rsidR="00933181" w:rsidRDefault="00933181" w:rsidP="00CD184A">
      <w:pPr>
        <w:jc w:val="both"/>
      </w:pPr>
    </w:p>
    <w:p w14:paraId="4C5F3ED3" w14:textId="3DB656AD" w:rsidR="007527CB" w:rsidRDefault="007527CB" w:rsidP="00CD184A">
      <w:pPr>
        <w:jc w:val="both"/>
      </w:pPr>
    </w:p>
    <w:p w14:paraId="17281121" w14:textId="77777777" w:rsidR="00A1724C" w:rsidRDefault="00A1724C" w:rsidP="00CD184A">
      <w:pPr>
        <w:jc w:val="both"/>
      </w:pPr>
    </w:p>
    <w:p w14:paraId="5023E00C" w14:textId="0B570F45" w:rsidR="00933181" w:rsidRDefault="00933181" w:rsidP="00CD184A">
      <w:pPr>
        <w:jc w:val="both"/>
      </w:pPr>
    </w:p>
    <w:p w14:paraId="2779C5E7" w14:textId="6272D155" w:rsidR="00933181" w:rsidRDefault="00933181" w:rsidP="00CD184A">
      <w:pPr>
        <w:jc w:val="both"/>
      </w:pPr>
    </w:p>
    <w:p w14:paraId="69D58703" w14:textId="77777777" w:rsidR="00F2056D" w:rsidRDefault="00F2056D" w:rsidP="00CD184A">
      <w:pPr>
        <w:jc w:val="both"/>
      </w:pPr>
    </w:p>
    <w:p w14:paraId="27BA1DBC" w14:textId="2A13882B" w:rsidR="003E57A9" w:rsidRDefault="003E57A9" w:rsidP="00CD184A">
      <w:pPr>
        <w:jc w:val="both"/>
      </w:pPr>
    </w:p>
    <w:p w14:paraId="710BE186" w14:textId="051A10EE" w:rsidR="009E16EB" w:rsidRPr="009E16EB" w:rsidRDefault="003E57A9" w:rsidP="009E16EB">
      <w:pPr>
        <w:pStyle w:val="ListParagraph"/>
        <w:numPr>
          <w:ilvl w:val="0"/>
          <w:numId w:val="6"/>
        </w:numPr>
        <w:jc w:val="both"/>
      </w:pPr>
      <w:r>
        <w:t>Introduction</w:t>
      </w:r>
      <w:r w:rsidR="00D47EBC">
        <w:t xml:space="preserve"> </w:t>
      </w:r>
    </w:p>
    <w:p w14:paraId="4168131A" w14:textId="1DC598E8" w:rsidR="0098314C" w:rsidRDefault="00181540" w:rsidP="009E16EB">
      <w:pPr>
        <w:spacing w:line="360" w:lineRule="auto"/>
        <w:jc w:val="both"/>
        <w:rPr>
          <w:rFonts w:eastAsia="Calibri" w:cs="Times New Roman"/>
        </w:rPr>
      </w:pPr>
      <w:r w:rsidRPr="004D608C">
        <w:rPr>
          <w:rFonts w:eastAsia="Calibri" w:cs="Times New Roman"/>
          <w:i/>
          <w:iCs/>
        </w:rPr>
        <w:t>Marketization has transformed</w:t>
      </w:r>
      <w:r w:rsidR="00803502" w:rsidRPr="004D608C">
        <w:rPr>
          <w:rFonts w:eastAsia="Calibri" w:cs="Times New Roman"/>
          <w:i/>
          <w:iCs/>
        </w:rPr>
        <w:t xml:space="preserve"> the provision of essential</w:t>
      </w:r>
      <w:r w:rsidR="00A31EE4" w:rsidRPr="004D608C">
        <w:rPr>
          <w:rFonts w:eastAsia="Calibri" w:cs="Times New Roman"/>
          <w:i/>
          <w:iCs/>
        </w:rPr>
        <w:t xml:space="preserve"> socio-economic rights</w:t>
      </w:r>
      <w:r w:rsidR="00803502" w:rsidRPr="004D608C">
        <w:rPr>
          <w:rFonts w:eastAsia="Calibri" w:cs="Times New Roman"/>
          <w:i/>
          <w:iCs/>
        </w:rPr>
        <w:t xml:space="preserve"> resources</w:t>
      </w:r>
      <w:r w:rsidR="009E16EB" w:rsidRPr="004D608C">
        <w:rPr>
          <w:rFonts w:eastAsia="Calibri" w:cs="Times New Roman"/>
          <w:i/>
          <w:iCs/>
        </w:rPr>
        <w:t xml:space="preserve"> </w:t>
      </w:r>
      <w:r w:rsidR="00803502" w:rsidRPr="004D608C">
        <w:rPr>
          <w:rFonts w:eastAsia="Calibri" w:cs="Times New Roman"/>
          <w:i/>
          <w:iCs/>
        </w:rPr>
        <w:t>and</w:t>
      </w:r>
      <w:r w:rsidR="009E16EB" w:rsidRPr="004D608C">
        <w:rPr>
          <w:rFonts w:eastAsia="Calibri" w:cs="Times New Roman"/>
          <w:i/>
          <w:iCs/>
        </w:rPr>
        <w:t xml:space="preserve"> theories of legal obligation have been slow to </w:t>
      </w:r>
      <w:r w:rsidR="00803502" w:rsidRPr="004D608C">
        <w:rPr>
          <w:rFonts w:eastAsia="Calibri" w:cs="Times New Roman"/>
          <w:i/>
          <w:iCs/>
        </w:rPr>
        <w:t>react</w:t>
      </w:r>
      <w:r w:rsidR="009E16EB" w:rsidRPr="004D608C">
        <w:rPr>
          <w:rFonts w:eastAsia="Calibri" w:cs="Times New Roman"/>
          <w:i/>
          <w:iCs/>
        </w:rPr>
        <w:t>.</w:t>
      </w:r>
      <w:r w:rsidR="009E16EB" w:rsidRPr="004D608C">
        <w:rPr>
          <w:rFonts w:eastAsia="Calibri" w:cs="Times New Roman"/>
          <w:i/>
          <w:iCs/>
          <w:vertAlign w:val="superscript"/>
        </w:rPr>
        <w:footnoteReference w:id="1"/>
      </w:r>
      <w:r w:rsidR="009E16EB" w:rsidRPr="001C7C42">
        <w:rPr>
          <w:rFonts w:eastAsia="Calibri" w:cs="Times New Roman"/>
        </w:rPr>
        <w:t xml:space="preserve"> This paper analyses </w:t>
      </w:r>
      <w:r w:rsidR="000F467F">
        <w:rPr>
          <w:rFonts w:eastAsia="Calibri" w:cs="Times New Roman"/>
        </w:rPr>
        <w:t xml:space="preserve">state </w:t>
      </w:r>
      <w:r w:rsidR="009E16EB" w:rsidRPr="001C7C42">
        <w:rPr>
          <w:rFonts w:eastAsia="Calibri" w:cs="Times New Roman"/>
        </w:rPr>
        <w:t>obligations under the International Covenant on Economic, Social and Cultural Rights (ICESCR) where states have ceded the supply of essential goods and services to the market,</w:t>
      </w:r>
      <w:r w:rsidR="000D4E38">
        <w:rPr>
          <w:rFonts w:eastAsia="Calibri" w:cs="Times New Roman"/>
        </w:rPr>
        <w:t xml:space="preserve"> termed herein ‘marketization’,</w:t>
      </w:r>
      <w:r w:rsidR="009E16EB" w:rsidRPr="001C7C42">
        <w:rPr>
          <w:rFonts w:eastAsia="Calibri" w:cs="Times New Roman"/>
        </w:rPr>
        <w:t xml:space="preserve"> with privatized services, housing, food, workers’ rights, and sometimes healthcare</w:t>
      </w:r>
      <w:r w:rsidR="000F467F">
        <w:rPr>
          <w:rFonts w:eastAsia="Calibri" w:cs="Times New Roman"/>
        </w:rPr>
        <w:t>,</w:t>
      </w:r>
      <w:r w:rsidR="009E16EB" w:rsidRPr="001C7C42">
        <w:rPr>
          <w:rFonts w:eastAsia="Calibri" w:cs="Times New Roman"/>
        </w:rPr>
        <w:t xml:space="preserve"> major examples.</w:t>
      </w:r>
      <w:bookmarkStart w:id="0" w:name="_Ref51429533"/>
      <w:r w:rsidR="009E16EB" w:rsidRPr="001C7C42">
        <w:rPr>
          <w:rFonts w:eastAsia="Calibri" w:cs="Times New Roman"/>
          <w:vertAlign w:val="superscript"/>
        </w:rPr>
        <w:footnoteReference w:id="2"/>
      </w:r>
      <w:bookmarkEnd w:id="0"/>
      <w:r w:rsidR="009E16EB" w:rsidRPr="001C7C42">
        <w:rPr>
          <w:rFonts w:eastAsia="Calibri" w:cs="Times New Roman"/>
        </w:rPr>
        <w:t xml:space="preserve"> </w:t>
      </w:r>
      <w:r w:rsidR="0098314C">
        <w:rPr>
          <w:rFonts w:eastAsia="Calibri" w:cs="Times New Roman"/>
        </w:rPr>
        <w:t>Reliance on markets</w:t>
      </w:r>
      <w:r w:rsidR="00E80202">
        <w:rPr>
          <w:rFonts w:eastAsia="Calibri" w:cs="Times New Roman"/>
        </w:rPr>
        <w:t xml:space="preserve"> and businesses</w:t>
      </w:r>
      <w:r w:rsidR="0098314C">
        <w:rPr>
          <w:rFonts w:eastAsia="Calibri" w:cs="Times New Roman"/>
        </w:rPr>
        <w:t xml:space="preserve"> to provide essential human rights resources </w:t>
      </w:r>
      <w:r w:rsidR="00E80202">
        <w:rPr>
          <w:rFonts w:eastAsia="Calibri" w:cs="Times New Roman"/>
        </w:rPr>
        <w:t xml:space="preserve">has transformed </w:t>
      </w:r>
      <w:r w:rsidR="00D270FB">
        <w:rPr>
          <w:rFonts w:eastAsia="Calibri" w:cs="Times New Roman"/>
        </w:rPr>
        <w:t xml:space="preserve">how </w:t>
      </w:r>
      <w:r w:rsidR="002A04CE">
        <w:rPr>
          <w:rFonts w:eastAsia="Calibri" w:cs="Times New Roman"/>
        </w:rPr>
        <w:t>socio-economic rights are realized and introduced new risks.</w:t>
      </w:r>
      <w:r w:rsidR="00B73D5A">
        <w:rPr>
          <w:rFonts w:eastAsia="Calibri" w:cs="Times New Roman"/>
        </w:rPr>
        <w:t xml:space="preserve"> T</w:t>
      </w:r>
      <w:r w:rsidR="002A04CE">
        <w:rPr>
          <w:rFonts w:eastAsia="Calibri" w:cs="Times New Roman"/>
        </w:rPr>
        <w:t>he</w:t>
      </w:r>
      <w:r w:rsidR="00B73D5A">
        <w:rPr>
          <w:rFonts w:eastAsia="Calibri" w:cs="Times New Roman"/>
        </w:rPr>
        <w:t xml:space="preserve"> implications of this for state obligations have not been </w:t>
      </w:r>
      <w:r w:rsidR="004D608C">
        <w:rPr>
          <w:rFonts w:eastAsia="Calibri" w:cs="Times New Roman"/>
        </w:rPr>
        <w:t xml:space="preserve">fully considered. </w:t>
      </w:r>
    </w:p>
    <w:p w14:paraId="6EF4541D" w14:textId="527148D1" w:rsidR="00A45054" w:rsidRDefault="004D608C" w:rsidP="009E16EB">
      <w:pPr>
        <w:spacing w:line="360" w:lineRule="auto"/>
        <w:jc w:val="both"/>
        <w:rPr>
          <w:rFonts w:eastAsia="Calibri" w:cs="Times New Roman"/>
        </w:rPr>
      </w:pPr>
      <w:r>
        <w:rPr>
          <w:rFonts w:eastAsia="Calibri" w:cs="Times New Roman"/>
        </w:rPr>
        <w:t>States hold obligations to respect, protect, and fulfil human rights</w:t>
      </w:r>
      <w:r w:rsidR="00D441CC">
        <w:rPr>
          <w:rFonts w:eastAsia="Calibri" w:cs="Times New Roman"/>
        </w:rPr>
        <w:t xml:space="preserve">. </w:t>
      </w:r>
      <w:r w:rsidR="00837F19">
        <w:rPr>
          <w:rFonts w:eastAsia="Calibri" w:cs="Times New Roman"/>
        </w:rPr>
        <w:t>The obligation to protect entails preventing ‘infringements’ by third parties. The oblig</w:t>
      </w:r>
      <w:r w:rsidR="00AC7BFE">
        <w:rPr>
          <w:rFonts w:eastAsia="Calibri" w:cs="Times New Roman"/>
        </w:rPr>
        <w:t xml:space="preserve">ation to fulfil entails working to realize universal access to Covenant rights. </w:t>
      </w:r>
      <w:r w:rsidR="0071010A">
        <w:rPr>
          <w:rFonts w:eastAsia="Calibri" w:cs="Times New Roman"/>
        </w:rPr>
        <w:t xml:space="preserve">The interpretation of these obligations must be reconsidered </w:t>
      </w:r>
      <w:r w:rsidR="00E50353">
        <w:rPr>
          <w:rFonts w:eastAsia="Calibri" w:cs="Times New Roman"/>
        </w:rPr>
        <w:t xml:space="preserve">where states </w:t>
      </w:r>
      <w:r w:rsidR="00EF0F4E">
        <w:rPr>
          <w:rFonts w:eastAsia="Calibri" w:cs="Times New Roman"/>
        </w:rPr>
        <w:t>rely on market-based provision</w:t>
      </w:r>
      <w:r w:rsidR="00E50353">
        <w:rPr>
          <w:rFonts w:eastAsia="Calibri" w:cs="Times New Roman"/>
        </w:rPr>
        <w:t xml:space="preserve">. What does it mean to </w:t>
      </w:r>
      <w:r w:rsidR="00E50353" w:rsidRPr="001C7C42">
        <w:rPr>
          <w:rFonts w:eastAsia="Calibri" w:cs="Times New Roman"/>
        </w:rPr>
        <w:t>protect human rights from ‘infringements’</w:t>
      </w:r>
      <w:bookmarkStart w:id="1" w:name="_Ref51170030"/>
      <w:r w:rsidR="00E50353" w:rsidRPr="001C7C42">
        <w:rPr>
          <w:rFonts w:eastAsia="Calibri" w:cs="Times New Roman"/>
          <w:vertAlign w:val="superscript"/>
        </w:rPr>
        <w:footnoteReference w:id="3"/>
      </w:r>
      <w:bookmarkEnd w:id="1"/>
      <w:r w:rsidR="00E50353" w:rsidRPr="001C7C42">
        <w:rPr>
          <w:rFonts w:eastAsia="Calibri" w:cs="Times New Roman"/>
        </w:rPr>
        <w:t xml:space="preserve"> by business where businesses control the supply of the relevant materials?</w:t>
      </w:r>
      <w:r w:rsidR="007329D6">
        <w:rPr>
          <w:rFonts w:eastAsia="Calibri" w:cs="Times New Roman"/>
        </w:rPr>
        <w:t xml:space="preserve"> </w:t>
      </w:r>
      <w:r w:rsidR="00202030">
        <w:rPr>
          <w:rFonts w:eastAsia="Calibri" w:cs="Times New Roman"/>
        </w:rPr>
        <w:t>T</w:t>
      </w:r>
      <w:r w:rsidR="00202030" w:rsidRPr="001C7C42">
        <w:rPr>
          <w:rFonts w:eastAsia="Calibri" w:cs="Times New Roman"/>
        </w:rPr>
        <w:t xml:space="preserve">o what extent do state obligations to fulfil human rights necessitate regulation of these </w:t>
      </w:r>
      <w:r w:rsidR="00202030">
        <w:rPr>
          <w:rFonts w:eastAsia="Calibri" w:cs="Times New Roman"/>
        </w:rPr>
        <w:t>markets</w:t>
      </w:r>
      <w:r w:rsidR="00202030" w:rsidRPr="001C7C42">
        <w:rPr>
          <w:rFonts w:eastAsia="Calibri" w:cs="Times New Roman"/>
        </w:rPr>
        <w:t xml:space="preserve">?  </w:t>
      </w:r>
      <w:r w:rsidR="00CF6A04">
        <w:rPr>
          <w:rFonts w:eastAsia="Calibri" w:cs="Times New Roman"/>
        </w:rPr>
        <w:t xml:space="preserve">Currently, </w:t>
      </w:r>
      <w:r w:rsidR="00B5665A">
        <w:rPr>
          <w:rFonts w:eastAsia="Calibri" w:cs="Times New Roman"/>
        </w:rPr>
        <w:t>some rights-relevant markets are constructed without significant human rights input</w:t>
      </w:r>
      <w:r w:rsidR="007204FE">
        <w:rPr>
          <w:rFonts w:eastAsia="Calibri" w:cs="Times New Roman"/>
        </w:rPr>
        <w:t>, for example, h</w:t>
      </w:r>
      <w:r w:rsidR="00A7714B">
        <w:rPr>
          <w:rFonts w:eastAsia="Calibri" w:cs="Times New Roman"/>
        </w:rPr>
        <w:t xml:space="preserve">ousing markets </w:t>
      </w:r>
      <w:r w:rsidR="007204FE">
        <w:rPr>
          <w:rFonts w:eastAsia="Calibri" w:cs="Times New Roman"/>
        </w:rPr>
        <w:t>frequently fail to realize the right to affordable housing.</w:t>
      </w:r>
      <w:r w:rsidR="007204FE">
        <w:rPr>
          <w:rStyle w:val="FootnoteReference"/>
          <w:rFonts w:eastAsia="Calibri" w:cs="Times New Roman"/>
        </w:rPr>
        <w:footnoteReference w:id="4"/>
      </w:r>
      <w:r w:rsidR="003F3AA5">
        <w:rPr>
          <w:rFonts w:eastAsia="Calibri" w:cs="Times New Roman"/>
        </w:rPr>
        <w:t xml:space="preserve"> This paper theorizes how the ‘protect’ and ‘fulfil’ limbs of state obligations should be applied in such contexts. </w:t>
      </w:r>
    </w:p>
    <w:p w14:paraId="4C46B3F6" w14:textId="77777777" w:rsidR="00E50353" w:rsidRDefault="00E50353" w:rsidP="009E16EB">
      <w:pPr>
        <w:spacing w:line="360" w:lineRule="auto"/>
        <w:jc w:val="both"/>
        <w:rPr>
          <w:rFonts w:eastAsia="Calibri" w:cs="Times New Roman"/>
        </w:rPr>
      </w:pPr>
    </w:p>
    <w:p w14:paraId="54934DF7" w14:textId="77777777" w:rsidR="00996F37" w:rsidRDefault="00996F37" w:rsidP="009E16EB">
      <w:pPr>
        <w:spacing w:line="360" w:lineRule="auto"/>
        <w:jc w:val="both"/>
        <w:rPr>
          <w:rFonts w:eastAsia="Calibri" w:cs="Times New Roman"/>
        </w:rPr>
      </w:pPr>
    </w:p>
    <w:p w14:paraId="220557EF" w14:textId="493E1EDE" w:rsidR="00AD5258" w:rsidRPr="00AD5258" w:rsidRDefault="00210461" w:rsidP="00AD5258">
      <w:pPr>
        <w:spacing w:line="360" w:lineRule="auto"/>
        <w:jc w:val="both"/>
        <w:rPr>
          <w:rFonts w:eastAsia="Calibri" w:cs="Times New Roman"/>
        </w:rPr>
      </w:pPr>
      <w:r>
        <w:rPr>
          <w:rFonts w:eastAsia="Calibri" w:cs="Times New Roman"/>
        </w:rPr>
        <w:lastRenderedPageBreak/>
        <w:t xml:space="preserve">The analysis starts from the CESCR’s approach to </w:t>
      </w:r>
      <w:r w:rsidR="00EB6797">
        <w:rPr>
          <w:rFonts w:eastAsia="Calibri" w:cs="Times New Roman"/>
        </w:rPr>
        <w:t>marketization</w:t>
      </w:r>
      <w:r w:rsidR="00885E82">
        <w:rPr>
          <w:rFonts w:eastAsia="Calibri" w:cs="Times New Roman"/>
        </w:rPr>
        <w:t>.</w:t>
      </w:r>
      <w:r w:rsidR="00EB6797">
        <w:rPr>
          <w:rFonts w:eastAsia="Calibri" w:cs="Times New Roman"/>
        </w:rPr>
        <w:t xml:space="preserve"> It notes that the CESCR in GC24 blurs </w:t>
      </w:r>
      <w:r w:rsidR="00AD5258">
        <w:rPr>
          <w:rFonts w:eastAsia="Calibri" w:cs="Times New Roman"/>
        </w:rPr>
        <w:t xml:space="preserve">obligations to </w:t>
      </w:r>
      <w:r w:rsidR="00EB6797">
        <w:rPr>
          <w:rFonts w:eastAsia="Calibri" w:cs="Times New Roman"/>
        </w:rPr>
        <w:t xml:space="preserve">protect and </w:t>
      </w:r>
      <w:r w:rsidR="00AD5258">
        <w:rPr>
          <w:rFonts w:eastAsia="Calibri" w:cs="Times New Roman"/>
        </w:rPr>
        <w:t xml:space="preserve">to </w:t>
      </w:r>
      <w:r w:rsidR="00EB6797">
        <w:rPr>
          <w:rFonts w:eastAsia="Calibri" w:cs="Times New Roman"/>
        </w:rPr>
        <w:t>fulfil</w:t>
      </w:r>
      <w:r w:rsidR="00AD5258">
        <w:rPr>
          <w:rFonts w:eastAsia="Calibri" w:cs="Times New Roman"/>
        </w:rPr>
        <w:t xml:space="preserve">. </w:t>
      </w:r>
      <w:r w:rsidR="00AD5258" w:rsidRPr="00AD5258">
        <w:rPr>
          <w:rFonts w:eastAsia="Calibri" w:cs="Times New Roman"/>
        </w:rPr>
        <w:t xml:space="preserve">This paper builds distinct content for each limb, derived from what are argued to be the two main risks under marketization, based on an </w:t>
      </w:r>
      <w:r w:rsidR="00AD5258" w:rsidRPr="00AD5258">
        <w:rPr>
          <w:rFonts w:eastAsia="Calibri" w:cs="Times New Roman"/>
          <w:i/>
          <w:iCs/>
        </w:rPr>
        <w:t>act/outcome distinction</w:t>
      </w:r>
      <w:r w:rsidR="00AD5258" w:rsidRPr="00AD5258">
        <w:rPr>
          <w:rFonts w:eastAsia="Calibri" w:cs="Times New Roman"/>
        </w:rPr>
        <w:t xml:space="preserve">. It is argued that </w:t>
      </w:r>
      <w:r w:rsidR="009D1FD6">
        <w:rPr>
          <w:rFonts w:eastAsia="Calibri" w:cs="Times New Roman"/>
        </w:rPr>
        <w:t xml:space="preserve">the obligation to </w:t>
      </w:r>
      <w:r w:rsidR="00AD5258" w:rsidRPr="00AD5258">
        <w:rPr>
          <w:rFonts w:eastAsia="Calibri" w:cs="Times New Roman"/>
        </w:rPr>
        <w:t xml:space="preserve">protect should focus on regulating specific harmful </w:t>
      </w:r>
      <w:r w:rsidR="00AD5258" w:rsidRPr="00AD5258">
        <w:rPr>
          <w:rFonts w:eastAsia="Calibri" w:cs="Times New Roman"/>
          <w:i/>
          <w:iCs/>
        </w:rPr>
        <w:t>acts</w:t>
      </w:r>
      <w:r w:rsidR="00AD5258" w:rsidRPr="00AD5258">
        <w:rPr>
          <w:rFonts w:eastAsia="Calibri" w:cs="Times New Roman"/>
        </w:rPr>
        <w:t xml:space="preserve"> by businesses,</w:t>
      </w:r>
      <w:r w:rsidR="00AD5258" w:rsidRPr="00AD5258">
        <w:rPr>
          <w:rFonts w:eastAsia="Calibri" w:cs="Times New Roman"/>
          <w:vertAlign w:val="superscript"/>
        </w:rPr>
        <w:footnoteReference w:id="5"/>
      </w:r>
      <w:r w:rsidR="00AD5258" w:rsidRPr="00AD5258">
        <w:rPr>
          <w:rFonts w:eastAsia="Calibri" w:cs="Times New Roman"/>
        </w:rPr>
        <w:t xml:space="preserve">  and </w:t>
      </w:r>
      <w:r w:rsidR="009D1FD6">
        <w:rPr>
          <w:rFonts w:eastAsia="Calibri" w:cs="Times New Roman"/>
        </w:rPr>
        <w:t xml:space="preserve">the obligation to </w:t>
      </w:r>
      <w:r w:rsidR="00AD5258" w:rsidRPr="00AD5258">
        <w:rPr>
          <w:rFonts w:eastAsia="Calibri" w:cs="Times New Roman"/>
        </w:rPr>
        <w:t xml:space="preserve">fulfil on </w:t>
      </w:r>
      <w:r w:rsidR="0039674B">
        <w:rPr>
          <w:rFonts w:eastAsia="Calibri" w:cs="Times New Roman"/>
        </w:rPr>
        <w:t>market regulation to improve quantitative outcomes</w:t>
      </w:r>
      <w:r w:rsidR="00AD5258" w:rsidRPr="00AD5258">
        <w:rPr>
          <w:rFonts w:eastAsia="Calibri" w:cs="Times New Roman"/>
        </w:rPr>
        <w:t>.</w:t>
      </w:r>
      <w:r w:rsidR="00AD5258" w:rsidRPr="00AD5258">
        <w:rPr>
          <w:rFonts w:eastAsia="Calibri" w:cs="Times New Roman"/>
          <w:vertAlign w:val="superscript"/>
        </w:rPr>
        <w:footnoteReference w:id="6"/>
      </w:r>
      <w:r w:rsidR="00AD5258" w:rsidRPr="00AD5258">
        <w:rPr>
          <w:rFonts w:eastAsia="Calibri" w:cs="Times New Roman"/>
        </w:rPr>
        <w:t xml:space="preserve"> </w:t>
      </w:r>
      <w:r w:rsidR="00905558">
        <w:rPr>
          <w:rFonts w:eastAsia="Calibri" w:cs="Times New Roman"/>
        </w:rPr>
        <w:t xml:space="preserve">This addresses the two major forms of risk </w:t>
      </w:r>
      <w:r w:rsidR="000D4E38">
        <w:rPr>
          <w:rFonts w:eastAsia="Calibri" w:cs="Times New Roman"/>
        </w:rPr>
        <w:t xml:space="preserve">under marketization. Businesses can ‘infringe’ rights through </w:t>
      </w:r>
      <w:r w:rsidR="00254A79">
        <w:rPr>
          <w:rFonts w:eastAsia="Calibri" w:cs="Times New Roman"/>
        </w:rPr>
        <w:t xml:space="preserve">acts </w:t>
      </w:r>
      <w:r w:rsidR="009953A0">
        <w:rPr>
          <w:rFonts w:eastAsia="Calibri" w:cs="Times New Roman"/>
        </w:rPr>
        <w:t xml:space="preserve">that </w:t>
      </w:r>
      <w:r w:rsidR="004D5516">
        <w:rPr>
          <w:rFonts w:eastAsia="Calibri" w:cs="Times New Roman"/>
        </w:rPr>
        <w:t xml:space="preserve">reduce access to rights, and markets can as a whole work </w:t>
      </w:r>
      <w:r w:rsidR="009657A7">
        <w:rPr>
          <w:rFonts w:eastAsia="Calibri" w:cs="Times New Roman"/>
        </w:rPr>
        <w:t xml:space="preserve">against fulfilment of rights. </w:t>
      </w:r>
      <w:r w:rsidR="000E580A">
        <w:rPr>
          <w:rFonts w:eastAsia="Calibri" w:cs="Times New Roman"/>
        </w:rPr>
        <w:t>This leads to a reconceptualization of the obligations as state duties</w:t>
      </w:r>
      <w:r w:rsidR="000E580A">
        <w:rPr>
          <w:rFonts w:eastAsia="Calibri" w:cs="Times New Roman"/>
          <w:lang w:val="en-GB"/>
        </w:rPr>
        <w:t xml:space="preserve"> ‘</w:t>
      </w:r>
      <w:r w:rsidR="000E580A" w:rsidRPr="000E580A">
        <w:rPr>
          <w:rFonts w:eastAsia="Calibri" w:cs="Times New Roman"/>
          <w:lang w:val="en-GB"/>
        </w:rPr>
        <w:t>to protect from profiteering</w:t>
      </w:r>
      <w:r w:rsidR="000E580A">
        <w:rPr>
          <w:rFonts w:eastAsia="Calibri" w:cs="Times New Roman"/>
          <w:lang w:val="en-GB"/>
        </w:rPr>
        <w:t xml:space="preserve"> acts</w:t>
      </w:r>
      <w:r w:rsidR="000E580A" w:rsidRPr="000E580A">
        <w:rPr>
          <w:rFonts w:eastAsia="Calibri" w:cs="Times New Roman"/>
          <w:lang w:val="en-GB"/>
        </w:rPr>
        <w:t xml:space="preserve">’ and </w:t>
      </w:r>
      <w:r w:rsidR="000E580A">
        <w:rPr>
          <w:rFonts w:eastAsia="Calibri" w:cs="Times New Roman"/>
          <w:lang w:val="en-GB"/>
        </w:rPr>
        <w:t>‘</w:t>
      </w:r>
      <w:r w:rsidR="000E580A" w:rsidRPr="000E580A">
        <w:rPr>
          <w:rFonts w:eastAsia="Calibri" w:cs="Times New Roman"/>
          <w:lang w:val="en-GB"/>
        </w:rPr>
        <w:t>to fulfil through market regulation’.</w:t>
      </w:r>
      <w:r w:rsidR="00F1468C">
        <w:rPr>
          <w:rFonts w:eastAsia="Calibri" w:cs="Times New Roman"/>
        </w:rPr>
        <w:t xml:space="preserve"> </w:t>
      </w:r>
      <w:r w:rsidR="00AD5258" w:rsidRPr="00AD5258">
        <w:rPr>
          <w:rFonts w:eastAsia="Calibri" w:cs="Times New Roman"/>
        </w:rPr>
        <w:t>This would mark a significant shift to the CESCR’s approach, which currently pays minimal attention to what business acts constitute ‘infringements’ of Covenant rights,</w:t>
      </w:r>
      <w:r w:rsidR="00AD5258" w:rsidRPr="00AD5258">
        <w:rPr>
          <w:rFonts w:eastAsia="Calibri" w:cs="Times New Roman"/>
          <w:vertAlign w:val="superscript"/>
        </w:rPr>
        <w:footnoteReference w:id="7"/>
      </w:r>
      <w:r w:rsidR="00AD5258" w:rsidRPr="00AD5258">
        <w:rPr>
          <w:rFonts w:eastAsia="Calibri" w:cs="Times New Roman"/>
        </w:rPr>
        <w:t xml:space="preserve"> and, in General Comment 24, included outcome-based policies primarily under ‘protect’,</w:t>
      </w:r>
      <w:r w:rsidR="00AD5258" w:rsidRPr="00AD5258">
        <w:rPr>
          <w:rFonts w:eastAsia="Calibri" w:cs="Times New Roman"/>
          <w:vertAlign w:val="superscript"/>
        </w:rPr>
        <w:footnoteReference w:id="8"/>
      </w:r>
      <w:r w:rsidR="00AD5258" w:rsidRPr="00AD5258">
        <w:rPr>
          <w:rFonts w:eastAsia="Calibri" w:cs="Times New Roman"/>
        </w:rPr>
        <w:t xml:space="preserve"> in so doing failing to fully address the risks and requirements of marketization. </w:t>
      </w:r>
    </w:p>
    <w:p w14:paraId="00FE0924" w14:textId="2C853AAE" w:rsidR="00996F37" w:rsidRDefault="00F1468C" w:rsidP="009E16EB">
      <w:pPr>
        <w:spacing w:line="360" w:lineRule="auto"/>
        <w:jc w:val="both"/>
        <w:rPr>
          <w:rFonts w:eastAsia="Calibri" w:cs="Times New Roman"/>
        </w:rPr>
      </w:pPr>
      <w:r>
        <w:rPr>
          <w:rFonts w:eastAsia="Calibri" w:cs="Times New Roman"/>
        </w:rPr>
        <w:t>Proceeds…</w:t>
      </w:r>
    </w:p>
    <w:p w14:paraId="0E28F311" w14:textId="7C89CF02" w:rsidR="00B57469" w:rsidRDefault="00B57469" w:rsidP="009E16EB">
      <w:pPr>
        <w:spacing w:line="360" w:lineRule="auto"/>
        <w:jc w:val="both"/>
        <w:rPr>
          <w:rFonts w:eastAsia="Calibri" w:cs="Times New Roman"/>
        </w:rPr>
      </w:pPr>
      <w:r>
        <w:rPr>
          <w:rFonts w:eastAsia="Calibri" w:cs="Times New Roman"/>
        </w:rPr>
        <w:t>…</w:t>
      </w:r>
    </w:p>
    <w:p w14:paraId="3AC949EA" w14:textId="0C72AD36" w:rsidR="00671F03" w:rsidRPr="00220D39" w:rsidRDefault="009E16EB" w:rsidP="009E16EB">
      <w:pPr>
        <w:spacing w:line="360" w:lineRule="auto"/>
        <w:jc w:val="both"/>
        <w:rPr>
          <w:rFonts w:eastAsia="Calibri" w:cs="Times New Roman"/>
        </w:rPr>
      </w:pPr>
      <w:r w:rsidRPr="001C7C42">
        <w:rPr>
          <w:rFonts w:eastAsia="Calibri" w:cs="Times New Roman"/>
        </w:rPr>
        <w:t>The Committee on Economic, Social and Cultural Rights (CESCR) has not elaborated clear answers to these questions. This facilitates a gap between state practice and the principles of the ICESCR within which legally permitted business acts cause ongoing harm to access to rights.</w:t>
      </w:r>
      <w:bookmarkStart w:id="2" w:name="_Ref27129641"/>
      <w:r w:rsidRPr="001C7C42">
        <w:rPr>
          <w:rFonts w:eastAsia="Calibri" w:cs="Times New Roman"/>
          <w:vertAlign w:val="superscript"/>
        </w:rPr>
        <w:footnoteReference w:id="9"/>
      </w:r>
      <w:bookmarkEnd w:id="2"/>
      <w:r w:rsidRPr="001C7C42">
        <w:rPr>
          <w:rFonts w:eastAsia="Calibri" w:cs="Times New Roman"/>
        </w:rPr>
        <w:t xml:space="preserve"> CESCR analysis of state obligations with regard to business actors is hampered particularly by a blurring of the ‘protect’ and ‘fulfil’ limbs, with content overlapping between the two.</w:t>
      </w:r>
      <w:bookmarkStart w:id="4" w:name="_Ref27051343"/>
      <w:r w:rsidRPr="001C7C42">
        <w:rPr>
          <w:rFonts w:eastAsia="Calibri" w:cs="Times New Roman"/>
          <w:vertAlign w:val="superscript"/>
        </w:rPr>
        <w:footnoteReference w:id="10"/>
      </w:r>
      <w:bookmarkEnd w:id="4"/>
      <w:r w:rsidRPr="001C7C42">
        <w:rPr>
          <w:rFonts w:eastAsia="Calibri" w:cs="Times New Roman"/>
        </w:rPr>
        <w:t xml:space="preserve"> Th</w:t>
      </w:r>
      <w:r w:rsidR="00521B10">
        <w:rPr>
          <w:rFonts w:eastAsia="Calibri" w:cs="Times New Roman"/>
        </w:rPr>
        <w:t>is paper builds distinct content for each limb</w:t>
      </w:r>
      <w:r w:rsidR="00A73489">
        <w:rPr>
          <w:rFonts w:eastAsia="Calibri" w:cs="Times New Roman"/>
        </w:rPr>
        <w:t>,</w:t>
      </w:r>
      <w:r w:rsidR="00521B10">
        <w:rPr>
          <w:rFonts w:eastAsia="Calibri" w:cs="Times New Roman"/>
        </w:rPr>
        <w:t xml:space="preserve"> </w:t>
      </w:r>
      <w:r w:rsidR="00366461">
        <w:rPr>
          <w:rFonts w:eastAsia="Calibri" w:cs="Times New Roman"/>
        </w:rPr>
        <w:t>derived from</w:t>
      </w:r>
      <w:r w:rsidR="00521B10">
        <w:rPr>
          <w:rFonts w:eastAsia="Calibri" w:cs="Times New Roman"/>
        </w:rPr>
        <w:t xml:space="preserve"> what are argued to be the two main risks under marketization</w:t>
      </w:r>
      <w:r w:rsidR="00671F03">
        <w:rPr>
          <w:rFonts w:eastAsia="Calibri" w:cs="Times New Roman"/>
        </w:rPr>
        <w:t>, based on an</w:t>
      </w:r>
      <w:r w:rsidR="00671F03" w:rsidRPr="001C7C42">
        <w:rPr>
          <w:rFonts w:eastAsia="Calibri" w:cs="Times New Roman"/>
        </w:rPr>
        <w:t xml:space="preserve"> </w:t>
      </w:r>
      <w:r w:rsidR="00671F03" w:rsidRPr="001C7C42">
        <w:rPr>
          <w:rFonts w:eastAsia="Calibri" w:cs="Times New Roman"/>
          <w:i/>
          <w:iCs/>
        </w:rPr>
        <w:t>act/outcome distinction</w:t>
      </w:r>
      <w:r w:rsidR="00F701A8">
        <w:rPr>
          <w:rFonts w:eastAsia="Calibri" w:cs="Times New Roman"/>
        </w:rPr>
        <w:t>. It is argued that ‘protect’ should focus on</w:t>
      </w:r>
      <w:r w:rsidR="00D87022">
        <w:rPr>
          <w:rFonts w:eastAsia="Calibri" w:cs="Times New Roman"/>
        </w:rPr>
        <w:t xml:space="preserve"> </w:t>
      </w:r>
      <w:r w:rsidR="0054636F">
        <w:rPr>
          <w:rFonts w:eastAsia="Calibri" w:cs="Times New Roman"/>
        </w:rPr>
        <w:t xml:space="preserve">regulating </w:t>
      </w:r>
      <w:r w:rsidR="00D87022">
        <w:rPr>
          <w:rFonts w:eastAsia="Calibri" w:cs="Times New Roman"/>
        </w:rPr>
        <w:t>specific harmful acts by businesses,</w:t>
      </w:r>
      <w:r w:rsidR="00235683" w:rsidRPr="001C7C42">
        <w:rPr>
          <w:rFonts w:eastAsia="Calibri" w:cs="Times New Roman"/>
          <w:vertAlign w:val="superscript"/>
        </w:rPr>
        <w:footnoteReference w:id="11"/>
      </w:r>
      <w:r w:rsidR="00235683" w:rsidRPr="001C7C42">
        <w:rPr>
          <w:rFonts w:eastAsia="Calibri" w:cs="Times New Roman"/>
        </w:rPr>
        <w:t xml:space="preserve"> </w:t>
      </w:r>
      <w:r w:rsidR="00D87022">
        <w:rPr>
          <w:rFonts w:eastAsia="Calibri" w:cs="Times New Roman"/>
        </w:rPr>
        <w:t xml:space="preserve"> and </w:t>
      </w:r>
      <w:r w:rsidR="00F701A8">
        <w:rPr>
          <w:rFonts w:eastAsia="Calibri" w:cs="Times New Roman"/>
        </w:rPr>
        <w:t xml:space="preserve">‘fulfil’ on </w:t>
      </w:r>
      <w:r w:rsidR="00A21050">
        <w:rPr>
          <w:rFonts w:eastAsia="Calibri" w:cs="Times New Roman"/>
        </w:rPr>
        <w:lastRenderedPageBreak/>
        <w:t xml:space="preserve">addressing </w:t>
      </w:r>
      <w:r w:rsidR="00D87022">
        <w:rPr>
          <w:rFonts w:eastAsia="Calibri" w:cs="Times New Roman"/>
        </w:rPr>
        <w:t xml:space="preserve">quantitative non-fulfilment of </w:t>
      </w:r>
      <w:r w:rsidR="00A73489">
        <w:rPr>
          <w:rFonts w:eastAsia="Calibri" w:cs="Times New Roman"/>
        </w:rPr>
        <w:t>marketized</w:t>
      </w:r>
      <w:r w:rsidR="0016225F">
        <w:rPr>
          <w:rFonts w:eastAsia="Calibri" w:cs="Times New Roman"/>
        </w:rPr>
        <w:t xml:space="preserve"> rights </w:t>
      </w:r>
      <w:r w:rsidR="00A21050">
        <w:rPr>
          <w:rFonts w:eastAsia="Calibri" w:cs="Times New Roman"/>
        </w:rPr>
        <w:t>through</w:t>
      </w:r>
      <w:r w:rsidR="0016225F">
        <w:rPr>
          <w:rFonts w:eastAsia="Calibri" w:cs="Times New Roman"/>
        </w:rPr>
        <w:t xml:space="preserve"> outcome-</w:t>
      </w:r>
      <w:r w:rsidR="00235683">
        <w:rPr>
          <w:rFonts w:eastAsia="Calibri" w:cs="Times New Roman"/>
        </w:rPr>
        <w:t>oriented policies based on rights-holder needs</w:t>
      </w:r>
      <w:r w:rsidR="0016225F">
        <w:rPr>
          <w:rFonts w:eastAsia="Calibri" w:cs="Times New Roman"/>
        </w:rPr>
        <w:t>.</w:t>
      </w:r>
      <w:r w:rsidR="00F701A8" w:rsidRPr="001C7C42">
        <w:rPr>
          <w:rFonts w:eastAsia="Calibri" w:cs="Times New Roman"/>
          <w:vertAlign w:val="superscript"/>
        </w:rPr>
        <w:footnoteReference w:id="12"/>
      </w:r>
      <w:r w:rsidR="0016225F">
        <w:rPr>
          <w:rFonts w:eastAsia="Calibri" w:cs="Times New Roman"/>
        </w:rPr>
        <w:t xml:space="preserve"> </w:t>
      </w:r>
    </w:p>
    <w:p w14:paraId="073341CB" w14:textId="2E599C16" w:rsidR="009E16EB" w:rsidRPr="00A6747B" w:rsidRDefault="009E16EB" w:rsidP="009E16EB">
      <w:pPr>
        <w:spacing w:line="360" w:lineRule="auto"/>
        <w:jc w:val="both"/>
        <w:rPr>
          <w:rFonts w:eastAsia="Calibri" w:cs="Times New Roman"/>
          <w:lang w:val="en-GB"/>
        </w:rPr>
      </w:pPr>
      <w:r w:rsidRPr="00A6747B">
        <w:rPr>
          <w:rFonts w:eastAsia="Calibri" w:cs="Times New Roman"/>
          <w:lang w:val="en-GB"/>
        </w:rPr>
        <w:t>The article is limited to direct forms of private provision of essential</w:t>
      </w:r>
      <w:r w:rsidR="004E368B">
        <w:rPr>
          <w:rFonts w:eastAsia="Calibri" w:cs="Times New Roman"/>
          <w:lang w:val="en-GB"/>
        </w:rPr>
        <w:t xml:space="preserve"> resources</w:t>
      </w:r>
      <w:r w:rsidRPr="00A6747B">
        <w:rPr>
          <w:rFonts w:eastAsia="Calibri" w:cs="Times New Roman"/>
          <w:lang w:val="en-GB"/>
        </w:rPr>
        <w:t>. It does not cover other business-related issues, such as tax avoidance and tax rates.</w:t>
      </w:r>
      <w:r w:rsidRPr="00A6747B">
        <w:rPr>
          <w:rFonts w:eastAsia="Calibri" w:cs="Times New Roman"/>
          <w:vertAlign w:val="superscript"/>
          <w:lang w:val="en-GB"/>
        </w:rPr>
        <w:footnoteReference w:id="13"/>
      </w:r>
      <w:r w:rsidRPr="00A6747B">
        <w:rPr>
          <w:rFonts w:eastAsia="Calibri" w:cs="Times New Roman"/>
          <w:lang w:val="en-GB"/>
        </w:rPr>
        <w:t xml:space="preserve"> To retain precision it also does not address extraterritorial obligations, thereby not covering global food markets, for example.</w:t>
      </w:r>
      <w:r w:rsidRPr="00A6747B">
        <w:rPr>
          <w:rFonts w:eastAsia="Calibri" w:cs="Times New Roman"/>
          <w:vertAlign w:val="superscript"/>
          <w:lang w:val="en-GB"/>
        </w:rPr>
        <w:footnoteReference w:id="14"/>
      </w:r>
      <w:r w:rsidRPr="00A6747B">
        <w:rPr>
          <w:rFonts w:eastAsia="Calibri" w:cs="Times New Roman"/>
          <w:lang w:val="en-GB"/>
        </w:rPr>
        <w:t xml:space="preserve"> The analysis is relevant to these topics, but further research would be needed to map </w:t>
      </w:r>
      <w:r w:rsidR="00705945">
        <w:rPr>
          <w:rFonts w:eastAsia="Calibri" w:cs="Times New Roman"/>
          <w:lang w:val="en-GB"/>
        </w:rPr>
        <w:t>such</w:t>
      </w:r>
      <w:r w:rsidRPr="00A6747B">
        <w:rPr>
          <w:rFonts w:eastAsia="Calibri" w:cs="Times New Roman"/>
          <w:lang w:val="en-GB"/>
        </w:rPr>
        <w:t xml:space="preserve"> obligations.</w:t>
      </w:r>
      <w:r w:rsidRPr="00A6747B">
        <w:rPr>
          <w:rFonts w:eastAsia="Calibri" w:cs="Times New Roman"/>
          <w:vertAlign w:val="superscript"/>
          <w:lang w:val="en-GB"/>
        </w:rPr>
        <w:footnoteReference w:id="15"/>
      </w:r>
      <w:r w:rsidRPr="00A6747B">
        <w:rPr>
          <w:rFonts w:eastAsia="Calibri" w:cs="Times New Roman"/>
          <w:lang w:val="en-GB"/>
        </w:rPr>
        <w:t xml:space="preserve"> The article focuses on the ICESCR and so does not discuss civil and political rights, though similar arguments may apply </w:t>
      </w:r>
      <w:r w:rsidR="004E368B">
        <w:rPr>
          <w:rFonts w:eastAsia="Calibri" w:cs="Times New Roman"/>
          <w:lang w:val="en-GB"/>
        </w:rPr>
        <w:t>in</w:t>
      </w:r>
      <w:r w:rsidRPr="00A6747B">
        <w:rPr>
          <w:rFonts w:eastAsia="Calibri" w:cs="Times New Roman"/>
          <w:lang w:val="en-GB"/>
        </w:rPr>
        <w:t xml:space="preserve"> situations such as private prisons.</w:t>
      </w:r>
      <w:r w:rsidRPr="00A6747B">
        <w:rPr>
          <w:rFonts w:eastAsia="Calibri" w:cs="Times New Roman"/>
          <w:vertAlign w:val="superscript"/>
          <w:lang w:val="en-GB"/>
        </w:rPr>
        <w:footnoteReference w:id="16"/>
      </w:r>
      <w:r w:rsidRPr="00A6747B">
        <w:rPr>
          <w:rFonts w:eastAsia="Calibri" w:cs="Times New Roman"/>
          <w:lang w:val="en-GB"/>
        </w:rPr>
        <w:t xml:space="preserve"> Finally, the focus is on state obligations, leaving direct business responsibilities aside.</w:t>
      </w:r>
      <w:bookmarkStart w:id="5" w:name="_Ref51171155"/>
      <w:r w:rsidRPr="00A6747B">
        <w:rPr>
          <w:rFonts w:eastAsia="Calibri" w:cs="Times New Roman"/>
          <w:vertAlign w:val="superscript"/>
          <w:lang w:val="en-GB"/>
        </w:rPr>
        <w:footnoteReference w:id="17"/>
      </w:r>
      <w:bookmarkEnd w:id="5"/>
    </w:p>
    <w:p w14:paraId="546FB780" w14:textId="13266F7F" w:rsidR="009E16EB" w:rsidRPr="00A6747B" w:rsidRDefault="009E16EB" w:rsidP="009E16EB">
      <w:pPr>
        <w:spacing w:line="360" w:lineRule="auto"/>
        <w:jc w:val="both"/>
        <w:rPr>
          <w:rFonts w:eastAsia="Calibri" w:cs="Times New Roman"/>
        </w:rPr>
      </w:pPr>
      <w:r w:rsidRPr="00A6747B">
        <w:rPr>
          <w:rFonts w:eastAsia="Calibri" w:cs="Times New Roman"/>
        </w:rPr>
        <w:t xml:space="preserve">The paper proceeds in </w:t>
      </w:r>
      <w:r w:rsidR="00A61CC8">
        <w:rPr>
          <w:rFonts w:eastAsia="Calibri" w:cs="Times New Roman"/>
        </w:rPr>
        <w:t>section</w:t>
      </w:r>
      <w:r w:rsidRPr="00A6747B">
        <w:rPr>
          <w:rFonts w:eastAsia="Calibri" w:cs="Times New Roman"/>
        </w:rPr>
        <w:t xml:space="preserve"> two with a discussion of the causes of, forms of, and </w:t>
      </w:r>
      <w:r w:rsidR="00950ED5">
        <w:rPr>
          <w:rFonts w:eastAsia="Calibri" w:cs="Times New Roman"/>
        </w:rPr>
        <w:t>risks</w:t>
      </w:r>
      <w:r w:rsidRPr="00A6747B">
        <w:rPr>
          <w:rFonts w:eastAsia="Calibri" w:cs="Times New Roman"/>
        </w:rPr>
        <w:t xml:space="preserve"> inherent in, marketization. Section three introduces the CESCR’s current approach to marketized rights through General Comments and Concluding Observations. Section four analyses the obligation to protect and to fulfil, respectively, under marketization. Section five then reconstructs the relevant obligations according to the preceding analysis. Section six discusses the implications for global capitalism, and section seven concludes. </w:t>
      </w:r>
    </w:p>
    <w:p w14:paraId="08AA0537" w14:textId="52C7EC26" w:rsidR="00954773" w:rsidRDefault="00954773" w:rsidP="00CD184A">
      <w:pPr>
        <w:pStyle w:val="ListParagraph"/>
        <w:numPr>
          <w:ilvl w:val="0"/>
          <w:numId w:val="6"/>
        </w:numPr>
        <w:jc w:val="both"/>
      </w:pPr>
      <w:r>
        <w:t>The Marketization of Socio-Economic Rights</w:t>
      </w:r>
    </w:p>
    <w:p w14:paraId="5D39DC4D" w14:textId="77777777" w:rsidR="00927492" w:rsidRDefault="00927492" w:rsidP="00CD184A">
      <w:pPr>
        <w:pStyle w:val="ListParagraph"/>
        <w:jc w:val="both"/>
      </w:pPr>
    </w:p>
    <w:p w14:paraId="15EB6354" w14:textId="363A0C10" w:rsidR="00E30747" w:rsidRPr="00811FB2" w:rsidRDefault="00E30747" w:rsidP="00CD184A">
      <w:pPr>
        <w:spacing w:line="360" w:lineRule="auto"/>
        <w:jc w:val="both"/>
        <w:rPr>
          <w:rFonts w:eastAsia="Calibri" w:cs="Times New Roman"/>
        </w:rPr>
      </w:pPr>
      <w:r w:rsidRPr="00811FB2">
        <w:rPr>
          <w:rFonts w:eastAsia="Calibri" w:cs="Times New Roman"/>
        </w:rPr>
        <w:t xml:space="preserve">This section </w:t>
      </w:r>
      <w:r w:rsidR="004C1F06">
        <w:rPr>
          <w:rFonts w:eastAsia="Calibri" w:cs="Times New Roman"/>
        </w:rPr>
        <w:t>discusses</w:t>
      </w:r>
      <w:r w:rsidRPr="00811FB2">
        <w:rPr>
          <w:rFonts w:eastAsia="Calibri" w:cs="Times New Roman"/>
        </w:rPr>
        <w:t xml:space="preserve"> contemporary marketization and clarifies why marketization presents both practical and jurisprudential problems for human rights. The marketization of socio-economic rights is a result of the regulatory state model of governance, in which the state </w:t>
      </w:r>
      <w:r w:rsidR="003A4D2F">
        <w:rPr>
          <w:rFonts w:eastAsia="Calibri" w:cs="Times New Roman"/>
        </w:rPr>
        <w:t>constructs and regulates</w:t>
      </w:r>
      <w:r w:rsidR="00B53CBA">
        <w:rPr>
          <w:rFonts w:eastAsia="Calibri" w:cs="Times New Roman"/>
        </w:rPr>
        <w:t xml:space="preserve"> markets to </w:t>
      </w:r>
      <w:r w:rsidR="003A4D2F">
        <w:rPr>
          <w:rFonts w:eastAsia="Calibri" w:cs="Times New Roman"/>
        </w:rPr>
        <w:t>ensure social provision,</w:t>
      </w:r>
      <w:r w:rsidR="00B53CBA">
        <w:rPr>
          <w:rFonts w:eastAsia="Calibri" w:cs="Times New Roman"/>
        </w:rPr>
        <w:t xml:space="preserve"> rather than providing</w:t>
      </w:r>
      <w:r w:rsidRPr="00811FB2">
        <w:rPr>
          <w:rFonts w:eastAsia="Calibri" w:cs="Times New Roman"/>
        </w:rPr>
        <w:t xml:space="preserve"> </w:t>
      </w:r>
      <w:r w:rsidR="00B53CBA">
        <w:rPr>
          <w:rFonts w:eastAsia="Calibri" w:cs="Times New Roman"/>
        </w:rPr>
        <w:t>directly</w:t>
      </w:r>
      <w:r w:rsidRPr="00811FB2">
        <w:rPr>
          <w:rFonts w:eastAsia="Calibri" w:cs="Times New Roman"/>
        </w:rPr>
        <w:t>.</w:t>
      </w:r>
      <w:r w:rsidRPr="00811FB2">
        <w:rPr>
          <w:rFonts w:eastAsia="Calibri" w:cs="Times New Roman"/>
          <w:vertAlign w:val="superscript"/>
        </w:rPr>
        <w:footnoteReference w:id="18"/>
      </w:r>
      <w:r w:rsidRPr="00811FB2">
        <w:rPr>
          <w:rFonts w:eastAsia="Calibri" w:cs="Times New Roman"/>
        </w:rPr>
        <w:t xml:space="preserve"> </w:t>
      </w:r>
    </w:p>
    <w:p w14:paraId="024E4EA2" w14:textId="0439DE2B" w:rsidR="00E30747" w:rsidRDefault="00E30747" w:rsidP="00CD184A">
      <w:pPr>
        <w:spacing w:line="360" w:lineRule="auto"/>
        <w:contextualSpacing/>
        <w:jc w:val="both"/>
        <w:rPr>
          <w:rFonts w:eastAsia="Calibri" w:cs="Times New Roman"/>
        </w:rPr>
      </w:pPr>
      <w:r w:rsidRPr="00811FB2">
        <w:rPr>
          <w:rFonts w:eastAsia="Calibri" w:cs="Times New Roman"/>
          <w:lang w:val="en-GB"/>
        </w:rPr>
        <w:t xml:space="preserve">Three delineable forms of marketization exist that directly impact rights provision. First, commodification, referring for the purposes herein to </w:t>
      </w:r>
      <w:r w:rsidR="003A4D2F">
        <w:rPr>
          <w:rFonts w:eastAsia="Calibri" w:cs="Times New Roman"/>
          <w:lang w:val="en-GB"/>
        </w:rPr>
        <w:t>essential goods</w:t>
      </w:r>
      <w:r w:rsidRPr="00811FB2">
        <w:rPr>
          <w:rFonts w:eastAsia="Calibri" w:cs="Times New Roman"/>
          <w:lang w:val="en-GB"/>
        </w:rPr>
        <w:t xml:space="preserve"> being traded as </w:t>
      </w:r>
      <w:r w:rsidRPr="00811FB2">
        <w:rPr>
          <w:rFonts w:eastAsia="Calibri" w:cs="Times New Roman"/>
          <w:lang w:val="en-GB"/>
        </w:rPr>
        <w:lastRenderedPageBreak/>
        <w:t>commodities on open markets.</w:t>
      </w:r>
      <w:r w:rsidRPr="00811FB2">
        <w:rPr>
          <w:rFonts w:eastAsia="Calibri" w:cs="Times New Roman"/>
          <w:vertAlign w:val="superscript"/>
          <w:lang w:val="en-GB"/>
        </w:rPr>
        <w:footnoteReference w:id="19"/>
      </w:r>
      <w:r w:rsidRPr="00811FB2">
        <w:rPr>
          <w:rFonts w:eastAsia="Calibri" w:cs="Times New Roman"/>
          <w:lang w:val="en-GB"/>
        </w:rPr>
        <w:t xml:space="preserve"> This is particularly relevant for housing and food. These rights are supplied by multiple private actors through ostensibly free markets in most states. The rights to work and to just work – to buy and sell labour - while not true commodities, are equally in the thrall of markets.</w:t>
      </w:r>
      <w:r w:rsidRPr="00811FB2">
        <w:rPr>
          <w:rFonts w:eastAsia="Calibri" w:cs="Times New Roman"/>
          <w:vertAlign w:val="superscript"/>
          <w:lang w:val="en-GB"/>
        </w:rPr>
        <w:footnoteReference w:id="20"/>
      </w:r>
      <w:r w:rsidRPr="00811FB2">
        <w:rPr>
          <w:rFonts w:eastAsia="Calibri" w:cs="Times New Roman"/>
          <w:lang w:val="en-GB"/>
        </w:rPr>
        <w:t xml:space="preserve"> Second, privatization, defined as ‘</w:t>
      </w:r>
      <w:r w:rsidRPr="00811FB2">
        <w:rPr>
          <w:rFonts w:eastAsia="Calibri" w:cs="Times New Roman"/>
        </w:rPr>
        <w:t>a shift towards provision by nongovernmental or nonstate actors of certain classes of goods and services… which individuals have been accustomed to relying exclusively or mainly on state offices and agencies’</w:t>
      </w:r>
      <w:r w:rsidRPr="00811FB2">
        <w:rPr>
          <w:rFonts w:eastAsia="Calibri" w:cs="Times New Roman"/>
          <w:lang w:val="en-GB"/>
        </w:rPr>
        <w:t>.</w:t>
      </w:r>
      <w:bookmarkStart w:id="6" w:name="_Ref27128569"/>
      <w:r w:rsidRPr="00811FB2">
        <w:rPr>
          <w:rFonts w:eastAsia="Calibri" w:cs="Times New Roman"/>
          <w:vertAlign w:val="superscript"/>
          <w:lang w:val="en-GB"/>
        </w:rPr>
        <w:footnoteReference w:id="21"/>
      </w:r>
      <w:bookmarkEnd w:id="6"/>
      <w:r w:rsidRPr="00811FB2">
        <w:rPr>
          <w:rFonts w:eastAsia="Calibri" w:cs="Times New Roman"/>
          <w:lang w:val="en-GB"/>
        </w:rPr>
        <w:t xml:space="preserve"> Typically, the state sells an infrastructure or service to a private company, which will then run it for profit.</w:t>
      </w:r>
      <w:r w:rsidRPr="00811FB2">
        <w:rPr>
          <w:rFonts w:eastAsia="Calibri" w:cs="Times New Roman"/>
          <w:vertAlign w:val="superscript"/>
          <w:lang w:val="en-GB"/>
        </w:rPr>
        <w:footnoteReference w:id="22"/>
      </w:r>
      <w:r w:rsidRPr="00811FB2">
        <w:rPr>
          <w:rFonts w:eastAsia="Calibri" w:cs="Times New Roman"/>
          <w:lang w:val="en-GB"/>
        </w:rPr>
        <w:t xml:space="preserve"> Third is the more recent and over-arching trend of ‘financialization’, where an increasing range of goods, services, and intangibles are traded as assets on global markets.</w:t>
      </w:r>
      <w:r w:rsidRPr="00811FB2">
        <w:rPr>
          <w:rFonts w:eastAsia="Calibri" w:cs="Times New Roman"/>
          <w:vertAlign w:val="superscript"/>
          <w:lang w:val="en-GB"/>
        </w:rPr>
        <w:footnoteReference w:id="23"/>
      </w:r>
      <w:r w:rsidRPr="00811FB2">
        <w:rPr>
          <w:rFonts w:eastAsia="Calibri" w:cs="Times New Roman"/>
          <w:lang w:val="en-GB"/>
        </w:rPr>
        <w:t xml:space="preserve"> Housing, for example, is no longer simply a tradable commodity between two individuals, but is a financial product sold </w:t>
      </w:r>
      <w:proofErr w:type="spellStart"/>
      <w:r w:rsidRPr="00811FB2">
        <w:rPr>
          <w:rFonts w:eastAsia="Calibri" w:cs="Times New Roman"/>
          <w:i/>
          <w:iCs/>
          <w:lang w:val="en-GB"/>
        </w:rPr>
        <w:t>en</w:t>
      </w:r>
      <w:proofErr w:type="spellEnd"/>
      <w:r w:rsidRPr="00811FB2">
        <w:rPr>
          <w:rFonts w:eastAsia="Calibri" w:cs="Times New Roman"/>
          <w:i/>
          <w:iCs/>
          <w:lang w:val="en-GB"/>
        </w:rPr>
        <w:t xml:space="preserve"> masse</w:t>
      </w:r>
      <w:r w:rsidRPr="00811FB2">
        <w:rPr>
          <w:rFonts w:eastAsia="Calibri" w:cs="Times New Roman"/>
          <w:lang w:val="en-GB"/>
        </w:rPr>
        <w:t xml:space="preserve"> on asset markets,</w:t>
      </w:r>
      <w:r w:rsidRPr="00811FB2">
        <w:rPr>
          <w:rFonts w:eastAsia="Calibri" w:cs="Times New Roman"/>
          <w:vertAlign w:val="superscript"/>
          <w:lang w:val="en-GB"/>
        </w:rPr>
        <w:footnoteReference w:id="24"/>
      </w:r>
      <w:r w:rsidRPr="00811FB2">
        <w:rPr>
          <w:rFonts w:eastAsia="Calibri" w:cs="Times New Roman"/>
          <w:lang w:val="en-GB"/>
        </w:rPr>
        <w:t xml:space="preserve"> and food commodity derivatives do likewise.</w:t>
      </w:r>
      <w:r w:rsidRPr="00811FB2">
        <w:rPr>
          <w:rFonts w:eastAsia="Calibri" w:cs="Times New Roman"/>
          <w:vertAlign w:val="superscript"/>
          <w:lang w:val="en-GB"/>
        </w:rPr>
        <w:footnoteReference w:id="25"/>
      </w:r>
      <w:r w:rsidRPr="00811FB2">
        <w:rPr>
          <w:rFonts w:eastAsia="Calibri" w:cs="Times New Roman"/>
          <w:lang w:val="en-GB"/>
        </w:rPr>
        <w:t xml:space="preserve"> </w:t>
      </w:r>
      <w:r w:rsidRPr="00811FB2">
        <w:rPr>
          <w:rFonts w:eastAsia="Calibri" w:cs="Times New Roman"/>
        </w:rPr>
        <w:t>A fourth form of marketization that is not covered here is the imposition of a market rationality into a wider range of services, such as higher education.</w:t>
      </w:r>
      <w:r w:rsidRPr="00811FB2">
        <w:rPr>
          <w:rFonts w:eastAsia="Calibri" w:cs="Times New Roman"/>
          <w:vertAlign w:val="superscript"/>
        </w:rPr>
        <w:footnoteReference w:id="26"/>
      </w:r>
      <w:r>
        <w:rPr>
          <w:rFonts w:eastAsia="Calibri" w:cs="Times New Roman"/>
        </w:rPr>
        <w:t xml:space="preserve"> </w:t>
      </w:r>
    </w:p>
    <w:p w14:paraId="3B0CC04F" w14:textId="6969927D" w:rsidR="000815FA" w:rsidRDefault="000815FA" w:rsidP="00CD184A">
      <w:pPr>
        <w:spacing w:line="360" w:lineRule="auto"/>
        <w:contextualSpacing/>
        <w:jc w:val="both"/>
        <w:rPr>
          <w:rFonts w:eastAsia="Calibri" w:cs="Times New Roman"/>
        </w:rPr>
      </w:pPr>
    </w:p>
    <w:p w14:paraId="1225A4A6" w14:textId="430FEBC9" w:rsidR="00D402B1" w:rsidRDefault="00D402B1" w:rsidP="00CD184A">
      <w:pPr>
        <w:spacing w:line="360" w:lineRule="auto"/>
        <w:contextualSpacing/>
        <w:jc w:val="both"/>
        <w:rPr>
          <w:rFonts w:eastAsia="Calibri" w:cs="Times New Roman"/>
        </w:rPr>
      </w:pPr>
      <w:r>
        <w:rPr>
          <w:rFonts w:eastAsia="Calibri" w:cs="Times New Roman"/>
        </w:rPr>
        <w:t>Where human rights resources</w:t>
      </w:r>
      <w:r w:rsidR="00012695">
        <w:rPr>
          <w:rFonts w:eastAsia="Calibri" w:cs="Times New Roman"/>
        </w:rPr>
        <w:t xml:space="preserve"> are to be realized through markets, actors in these markets have significant abilities to affect, and to infringe, rights</w:t>
      </w:r>
      <w:r w:rsidR="00A37999">
        <w:rPr>
          <w:rFonts w:eastAsia="Calibri" w:cs="Times New Roman"/>
        </w:rPr>
        <w:t xml:space="preserve">, including through </w:t>
      </w:r>
      <w:r w:rsidR="005D15B1">
        <w:rPr>
          <w:rFonts w:eastAsia="Calibri" w:cs="Times New Roman"/>
        </w:rPr>
        <w:t>boardroom decisions… The question is to what extent, and how, IHRL can address this</w:t>
      </w:r>
      <w:r w:rsidR="000A50A9">
        <w:rPr>
          <w:rFonts w:eastAsia="Calibri" w:cs="Times New Roman"/>
        </w:rPr>
        <w:t>?</w:t>
      </w:r>
    </w:p>
    <w:p w14:paraId="112B4A69" w14:textId="77777777" w:rsidR="00E30747" w:rsidRDefault="00E30747" w:rsidP="00CD184A">
      <w:pPr>
        <w:spacing w:line="360" w:lineRule="auto"/>
        <w:contextualSpacing/>
        <w:jc w:val="both"/>
        <w:rPr>
          <w:rFonts w:eastAsia="Calibri" w:cs="Times New Roman"/>
        </w:rPr>
      </w:pPr>
    </w:p>
    <w:p w14:paraId="44D26268" w14:textId="17ABA23A" w:rsidR="00E30747" w:rsidRDefault="00E30747" w:rsidP="00CD184A">
      <w:pPr>
        <w:spacing w:line="360" w:lineRule="auto"/>
        <w:contextualSpacing/>
        <w:jc w:val="both"/>
        <w:rPr>
          <w:rFonts w:eastAsia="Calibri" w:cs="Times New Roman"/>
        </w:rPr>
      </w:pPr>
      <w:r>
        <w:rPr>
          <w:rFonts w:eastAsia="Calibri" w:cs="Times New Roman"/>
        </w:rPr>
        <w:t xml:space="preserve">Whether the resources necessary for the enjoyment of human rights are commodified, privatized, or financialized, two major risks to access to rights are evident, which can be defined along </w:t>
      </w:r>
      <w:r w:rsidR="003C3440">
        <w:rPr>
          <w:rFonts w:eastAsia="Calibri" w:cs="Times New Roman"/>
        </w:rPr>
        <w:t>the</w:t>
      </w:r>
      <w:r>
        <w:rPr>
          <w:rFonts w:eastAsia="Calibri" w:cs="Times New Roman"/>
        </w:rPr>
        <w:t xml:space="preserve"> act/outcome distinction. First,</w:t>
      </w:r>
      <w:r w:rsidRPr="00811FB2">
        <w:rPr>
          <w:rFonts w:eastAsia="Calibri" w:cs="Times New Roman"/>
        </w:rPr>
        <w:t xml:space="preserve"> as direct business involvement increases, businesses increasingly attempt to work around rules and exploit legal gaps to increase profits. The state that seeks to protect against harm caused by business actors must constantly investigate and react to these new tactics. This we could term the ‘micro’ problem</w:t>
      </w:r>
      <w:r>
        <w:rPr>
          <w:rFonts w:eastAsia="Calibri" w:cs="Times New Roman"/>
        </w:rPr>
        <w:t xml:space="preserve">, wherein specific tactics by individual actors must be examined. The possible examples are numerous: developers hoarding </w:t>
      </w:r>
      <w:r>
        <w:rPr>
          <w:rFonts w:eastAsia="Calibri" w:cs="Times New Roman"/>
        </w:rPr>
        <w:lastRenderedPageBreak/>
        <w:t xml:space="preserve">land to increase the value of their current properties, </w:t>
      </w:r>
      <w:r w:rsidR="00F26494">
        <w:rPr>
          <w:rFonts w:eastAsia="Calibri" w:cs="Times New Roman"/>
        </w:rPr>
        <w:t>practices to avoid</w:t>
      </w:r>
      <w:r>
        <w:rPr>
          <w:rFonts w:eastAsia="Calibri" w:cs="Times New Roman"/>
        </w:rPr>
        <w:t xml:space="preserve"> paying full minimum wage or recognizing insurance claims, </w:t>
      </w:r>
      <w:r w:rsidR="00367702">
        <w:rPr>
          <w:rFonts w:eastAsia="Calibri" w:cs="Times New Roman"/>
        </w:rPr>
        <w:t xml:space="preserve">or </w:t>
      </w:r>
      <w:r>
        <w:rPr>
          <w:rFonts w:eastAsia="Calibri" w:cs="Times New Roman"/>
        </w:rPr>
        <w:t xml:space="preserve">regularly photographing remote workers in potential breach of privacy. </w:t>
      </w:r>
      <w:r w:rsidR="0049028B">
        <w:rPr>
          <w:rFonts w:eastAsia="Calibri" w:cs="Times New Roman"/>
        </w:rPr>
        <w:t xml:space="preserve">These tactics have a powerful effect on rights realization </w:t>
      </w:r>
      <w:r w:rsidR="00EC530A">
        <w:rPr>
          <w:rFonts w:eastAsia="Calibri" w:cs="Times New Roman"/>
        </w:rPr>
        <w:t>under marketization. T</w:t>
      </w:r>
      <w:r>
        <w:rPr>
          <w:rFonts w:eastAsia="Calibri" w:cs="Times New Roman"/>
        </w:rPr>
        <w:t xml:space="preserve">he extent to which ‘protect’ can and should address these tactics is explored below. </w:t>
      </w:r>
    </w:p>
    <w:p w14:paraId="56160C77" w14:textId="77777777" w:rsidR="00E30747" w:rsidRPr="00811FB2" w:rsidRDefault="00E30747" w:rsidP="00CD184A">
      <w:pPr>
        <w:spacing w:line="360" w:lineRule="auto"/>
        <w:contextualSpacing/>
        <w:jc w:val="both"/>
        <w:rPr>
          <w:rFonts w:eastAsia="Calibri" w:cs="Times New Roman"/>
        </w:rPr>
      </w:pPr>
    </w:p>
    <w:p w14:paraId="26E92585" w14:textId="5A4ACE23" w:rsidR="00E30747" w:rsidRDefault="00E30747" w:rsidP="00CD184A">
      <w:pPr>
        <w:spacing w:line="360" w:lineRule="auto"/>
        <w:contextualSpacing/>
        <w:jc w:val="both"/>
        <w:rPr>
          <w:rFonts w:eastAsia="Calibri" w:cs="Times New Roman"/>
        </w:rPr>
      </w:pPr>
      <w:r w:rsidRPr="00815D92">
        <w:rPr>
          <w:rFonts w:eastAsia="Calibri" w:cs="Times New Roman"/>
        </w:rPr>
        <w:t xml:space="preserve">The second problem is more macro-level and grounded in quantitative outcomes across the population. Here there </w:t>
      </w:r>
      <w:proofErr w:type="gramStart"/>
      <w:r w:rsidRPr="00815D92">
        <w:rPr>
          <w:rFonts w:eastAsia="Calibri" w:cs="Times New Roman"/>
        </w:rPr>
        <w:t>is may be</w:t>
      </w:r>
      <w:proofErr w:type="gramEnd"/>
      <w:r w:rsidRPr="00815D92">
        <w:rPr>
          <w:rFonts w:eastAsia="Calibri" w:cs="Times New Roman"/>
        </w:rPr>
        <w:t xml:space="preserve"> no single cause but rather the data shows an ongoing retrogression in access, often cost-based</w:t>
      </w:r>
      <w:r>
        <w:rPr>
          <w:rFonts w:eastAsia="Calibri" w:cs="Times New Roman"/>
        </w:rPr>
        <w:t>, even in wealthy states.</w:t>
      </w:r>
      <w:r w:rsidRPr="00815D92">
        <w:rPr>
          <w:rFonts w:eastAsia="Calibri" w:cs="Times New Roman"/>
        </w:rPr>
        <w:t xml:space="preserve"> </w:t>
      </w:r>
      <w:r w:rsidRPr="00811FB2">
        <w:rPr>
          <w:rFonts w:eastAsia="Calibri" w:cs="Times New Roman"/>
          <w:lang w:val="en-GB"/>
        </w:rPr>
        <w:t>A European report summarizes that ‘there has been significant growth in a wide range of non-standard forms of employment relationship with the result that significant numbers of Europe’s workers are now excluded from welfare benefits and/or employment protections’.</w:t>
      </w:r>
      <w:r w:rsidRPr="00811FB2">
        <w:rPr>
          <w:rFonts w:eastAsia="Calibri" w:cs="Times New Roman"/>
          <w:vertAlign w:val="superscript"/>
          <w:lang w:val="en-GB"/>
        </w:rPr>
        <w:footnoteReference w:id="27"/>
      </w:r>
      <w:r w:rsidRPr="00811FB2">
        <w:rPr>
          <w:rFonts w:eastAsia="Calibri" w:cs="Times New Roman"/>
          <w:lang w:val="en-GB"/>
        </w:rPr>
        <w:t xml:space="preserve"> The rate of in-work poverty in the UK rose by 35 per cent in the last 25 years.</w:t>
      </w:r>
      <w:r w:rsidRPr="00811FB2">
        <w:rPr>
          <w:rFonts w:eastAsia="Calibri" w:cs="Times New Roman"/>
          <w:vertAlign w:val="superscript"/>
          <w:lang w:val="en-GB"/>
        </w:rPr>
        <w:footnoteReference w:id="28"/>
      </w:r>
      <w:r w:rsidRPr="00811FB2">
        <w:rPr>
          <w:rFonts w:eastAsia="Calibri" w:cs="Times New Roman"/>
          <w:lang w:val="en-GB"/>
        </w:rPr>
        <w:t xml:space="preserve"> Housing fares particularly badly: </w:t>
      </w:r>
      <w:r w:rsidRPr="00811FB2">
        <w:rPr>
          <w:rFonts w:eastAsia="Calibri" w:cs="Times New Roman"/>
        </w:rPr>
        <w:t>In Ireland, homelessness trebled from July 2014 to August 2019.</w:t>
      </w:r>
      <w:r w:rsidRPr="00811FB2">
        <w:rPr>
          <w:rFonts w:eastAsia="Calibri" w:cs="Times New Roman"/>
          <w:vertAlign w:val="superscript"/>
        </w:rPr>
        <w:footnoteReference w:id="29"/>
      </w:r>
      <w:r w:rsidRPr="00811FB2">
        <w:rPr>
          <w:rFonts w:eastAsia="Calibri" w:cs="Times New Roman"/>
        </w:rPr>
        <w:t xml:space="preserve"> In the UK rough sleeping more than doubled from 2010-2015.</w:t>
      </w:r>
      <w:r w:rsidRPr="00811FB2">
        <w:rPr>
          <w:rFonts w:eastAsia="Calibri" w:cs="Times New Roman"/>
          <w:vertAlign w:val="superscript"/>
        </w:rPr>
        <w:footnoteReference w:id="30"/>
      </w:r>
      <w:r w:rsidRPr="00811FB2">
        <w:rPr>
          <w:rFonts w:eastAsia="Calibri" w:cs="Times New Roman"/>
        </w:rPr>
        <w:t xml:space="preserve"> Housing-related poverty and debt is equally stark: in Europe in 2017, 26.3 per cent of renters were ‘overburdened’, spending more than 40 per cent of their income on housing costs,</w:t>
      </w:r>
      <w:r w:rsidRPr="00811FB2">
        <w:rPr>
          <w:rFonts w:eastAsia="Calibri" w:cs="Times New Roman"/>
          <w:vertAlign w:val="superscript"/>
        </w:rPr>
        <w:footnoteReference w:id="31"/>
      </w:r>
      <w:r w:rsidRPr="00811FB2">
        <w:rPr>
          <w:rFonts w:eastAsia="Calibri" w:cs="Times New Roman"/>
        </w:rPr>
        <w:t xml:space="preserve"> and ‘there was over €541 billion of distressed real estate debt in Europe in 2015’.</w:t>
      </w:r>
      <w:bookmarkStart w:id="7" w:name="_Ref21680994"/>
      <w:r w:rsidRPr="00811FB2">
        <w:rPr>
          <w:rFonts w:eastAsia="Calibri" w:cs="Times New Roman"/>
          <w:vertAlign w:val="superscript"/>
          <w:lang w:val="en-GB"/>
        </w:rPr>
        <w:footnoteReference w:id="32"/>
      </w:r>
      <w:bookmarkEnd w:id="7"/>
      <w:r w:rsidRPr="00811FB2">
        <w:rPr>
          <w:rFonts w:eastAsia="Calibri" w:cs="Times New Roman"/>
        </w:rPr>
        <w:t xml:space="preserve"> </w:t>
      </w:r>
      <w:r w:rsidRPr="00815D92">
        <w:rPr>
          <w:rFonts w:eastAsia="Calibri" w:cs="Times New Roman"/>
        </w:rPr>
        <w:t xml:space="preserve">While these will in part be caused by specific business tactics, it is unlikely that addressing these alone can address the problem. </w:t>
      </w:r>
      <w:r w:rsidR="003D47DE">
        <w:rPr>
          <w:rFonts w:eastAsia="Calibri" w:cs="Times New Roman"/>
        </w:rPr>
        <w:t>Rather, it is grounded</w:t>
      </w:r>
      <w:r w:rsidR="00D57723">
        <w:rPr>
          <w:rFonts w:eastAsia="Calibri" w:cs="Times New Roman"/>
        </w:rPr>
        <w:t xml:space="preserve"> in a quantitative lack of fulfilment of rights</w:t>
      </w:r>
      <w:r w:rsidR="00C60D99">
        <w:rPr>
          <w:rFonts w:eastAsia="Calibri" w:cs="Times New Roman"/>
        </w:rPr>
        <w:t>-</w:t>
      </w:r>
      <w:r w:rsidR="00D57723">
        <w:rPr>
          <w:rFonts w:eastAsia="Calibri" w:cs="Times New Roman"/>
        </w:rPr>
        <w:t>holders needs that requires addressing directly</w:t>
      </w:r>
      <w:r>
        <w:rPr>
          <w:rFonts w:eastAsia="Calibri" w:cs="Times New Roman"/>
        </w:rPr>
        <w:t>. This</w:t>
      </w:r>
      <w:r w:rsidRPr="00815D92">
        <w:rPr>
          <w:rFonts w:eastAsia="Calibri" w:cs="Times New Roman"/>
        </w:rPr>
        <w:t xml:space="preserve"> may require</w:t>
      </w:r>
      <w:r>
        <w:rPr>
          <w:rFonts w:eastAsia="Calibri" w:cs="Times New Roman"/>
        </w:rPr>
        <w:t xml:space="preserve"> </w:t>
      </w:r>
      <w:r w:rsidR="00EB2670">
        <w:rPr>
          <w:rFonts w:eastAsia="Calibri" w:cs="Times New Roman"/>
        </w:rPr>
        <w:t>market-wide</w:t>
      </w:r>
      <w:r>
        <w:rPr>
          <w:rFonts w:eastAsia="Calibri" w:cs="Times New Roman"/>
        </w:rPr>
        <w:t xml:space="preserve"> policies such as</w:t>
      </w:r>
      <w:r w:rsidRPr="00815D92">
        <w:rPr>
          <w:rFonts w:eastAsia="Calibri" w:cs="Times New Roman"/>
        </w:rPr>
        <w:t xml:space="preserve"> instituting rent control, limits on precarious work, or higher minimum wages. </w:t>
      </w:r>
    </w:p>
    <w:p w14:paraId="5951358F" w14:textId="77777777" w:rsidR="00E30747" w:rsidRPr="00815D92" w:rsidRDefault="00E30747" w:rsidP="00CD184A">
      <w:pPr>
        <w:spacing w:line="360" w:lineRule="auto"/>
        <w:contextualSpacing/>
        <w:jc w:val="both"/>
        <w:rPr>
          <w:rFonts w:eastAsia="Calibri" w:cs="Times New Roman"/>
        </w:rPr>
      </w:pPr>
    </w:p>
    <w:p w14:paraId="37D2CC9A" w14:textId="77777777" w:rsidR="00B77D7A" w:rsidRDefault="00E30747" w:rsidP="00CD184A">
      <w:pPr>
        <w:spacing w:line="360" w:lineRule="auto"/>
        <w:contextualSpacing/>
        <w:jc w:val="both"/>
        <w:rPr>
          <w:rFonts w:eastAsia="Calibri" w:cs="Times New Roman"/>
        </w:rPr>
      </w:pPr>
      <w:r w:rsidRPr="00815D92">
        <w:rPr>
          <w:rFonts w:eastAsia="Calibri" w:cs="Times New Roman"/>
        </w:rPr>
        <w:lastRenderedPageBreak/>
        <w:t xml:space="preserve">These are therefore two </w:t>
      </w:r>
      <w:r w:rsidR="0015513B">
        <w:rPr>
          <w:rFonts w:eastAsia="Calibri" w:cs="Times New Roman"/>
        </w:rPr>
        <w:t>distinct</w:t>
      </w:r>
      <w:r w:rsidRPr="00815D92">
        <w:rPr>
          <w:rFonts w:eastAsia="Calibri" w:cs="Times New Roman"/>
        </w:rPr>
        <w:t xml:space="preserve"> problem</w:t>
      </w:r>
      <w:r w:rsidR="009F63D5">
        <w:rPr>
          <w:rFonts w:eastAsia="Calibri" w:cs="Times New Roman"/>
        </w:rPr>
        <w:t xml:space="preserve"> requiring di</w:t>
      </w:r>
      <w:r w:rsidR="0015513B">
        <w:rPr>
          <w:rFonts w:eastAsia="Calibri" w:cs="Times New Roman"/>
        </w:rPr>
        <w:t>stinct</w:t>
      </w:r>
      <w:r w:rsidR="009F63D5">
        <w:rPr>
          <w:rFonts w:eastAsia="Calibri" w:cs="Times New Roman"/>
        </w:rPr>
        <w:t xml:space="preserve"> approaches </w:t>
      </w:r>
      <w:r>
        <w:rPr>
          <w:rFonts w:eastAsia="Calibri" w:cs="Times New Roman"/>
        </w:rPr>
        <w:t xml:space="preserve">which can be defined according to </w:t>
      </w:r>
      <w:r w:rsidR="00252A04">
        <w:rPr>
          <w:rFonts w:eastAsia="Calibri" w:cs="Times New Roman"/>
        </w:rPr>
        <w:t>the</w:t>
      </w:r>
      <w:r>
        <w:rPr>
          <w:rFonts w:eastAsia="Calibri" w:cs="Times New Roman"/>
        </w:rPr>
        <w:t xml:space="preserve"> act/outcome distinction</w:t>
      </w:r>
      <w:r w:rsidRPr="00815D92">
        <w:rPr>
          <w:rFonts w:eastAsia="Calibri" w:cs="Times New Roman"/>
        </w:rPr>
        <w:t xml:space="preserve">. One requires investigating business practices, seeking out what is harmful and adopting changes to address these practices. The other requires </w:t>
      </w:r>
      <w:r w:rsidR="00252A04">
        <w:rPr>
          <w:rFonts w:eastAsia="Calibri" w:cs="Times New Roman"/>
        </w:rPr>
        <w:t>macro</w:t>
      </w:r>
      <w:r w:rsidRPr="00815D92">
        <w:rPr>
          <w:rFonts w:eastAsia="Calibri" w:cs="Times New Roman"/>
        </w:rPr>
        <w:t xml:space="preserve">-scale intervention to address a market-wide problem. </w:t>
      </w:r>
    </w:p>
    <w:p w14:paraId="7533B94F" w14:textId="77777777" w:rsidR="00B77D7A" w:rsidRDefault="00B77D7A" w:rsidP="00CD184A">
      <w:pPr>
        <w:spacing w:line="360" w:lineRule="auto"/>
        <w:contextualSpacing/>
        <w:jc w:val="both"/>
        <w:rPr>
          <w:rFonts w:eastAsia="Calibri" w:cs="Times New Roman"/>
        </w:rPr>
      </w:pPr>
    </w:p>
    <w:p w14:paraId="6183B104" w14:textId="77777777" w:rsidR="00F3263F" w:rsidRDefault="00E30747" w:rsidP="00CD184A">
      <w:pPr>
        <w:spacing w:line="360" w:lineRule="auto"/>
        <w:contextualSpacing/>
        <w:jc w:val="both"/>
        <w:rPr>
          <w:rFonts w:eastAsia="Calibri" w:cs="Times New Roman"/>
          <w:lang w:val="en-GB"/>
        </w:rPr>
      </w:pPr>
      <w:r w:rsidRPr="006B5FB8">
        <w:rPr>
          <w:rFonts w:eastAsia="Calibri" w:cs="Times New Roman"/>
        </w:rPr>
        <w:t>The issue for socio-economic rights jurisprudence</w:t>
      </w:r>
      <w:r w:rsidR="00AB365E">
        <w:rPr>
          <w:rFonts w:eastAsia="Calibri" w:cs="Times New Roman"/>
        </w:rPr>
        <w:t xml:space="preserve"> is</w:t>
      </w:r>
      <w:r w:rsidRPr="006B5FB8">
        <w:rPr>
          <w:rFonts w:eastAsia="Calibri" w:cs="Times New Roman"/>
        </w:rPr>
        <w:t xml:space="preserve"> that the nature of rights provision, and rights authority, has shifted. </w:t>
      </w:r>
      <w:r w:rsidRPr="006B5FB8">
        <w:rPr>
          <w:rFonts w:eastAsia="Calibri" w:cs="Times New Roman"/>
          <w:lang w:val="en-GB"/>
        </w:rPr>
        <w:t>Corporations, imagined under the ‘respect, protect, fulfil’ delineation as being third parties with the potential capacity to violate rights, are now parties intimately involved in the provision of rights.</w:t>
      </w:r>
      <w:r w:rsidRPr="006B5FB8">
        <w:rPr>
          <w:rFonts w:eastAsia="Calibri" w:cs="Times New Roman"/>
          <w:vertAlign w:val="superscript"/>
          <w:lang w:val="en-GB"/>
        </w:rPr>
        <w:footnoteReference w:id="33"/>
      </w:r>
      <w:r w:rsidRPr="006B5FB8">
        <w:rPr>
          <w:rFonts w:eastAsia="Calibri" w:cs="Times New Roman"/>
          <w:lang w:val="en-GB"/>
        </w:rPr>
        <w:t xml:space="preserve"> With provision comprehensively outsourced, whether to individual firms as in privatization, or to multiple firms through commodification, every business act may retrogress or realize the correlated human right. It makes minimal sense when two companies control over three-quarters of the world’s grain supply to address their obligations toward the right to food only in terms of legal breaches, when through boardroom production choices they could cause a serious famine without breaching any domestic law.</w:t>
      </w:r>
      <w:r w:rsidRPr="006B5FB8">
        <w:rPr>
          <w:rFonts w:eastAsia="Calibri" w:cs="Times New Roman"/>
          <w:vertAlign w:val="superscript"/>
          <w:lang w:val="en-GB"/>
        </w:rPr>
        <w:footnoteReference w:id="34"/>
      </w:r>
      <w:r w:rsidRPr="006B5FB8">
        <w:rPr>
          <w:rFonts w:eastAsia="Calibri" w:cs="Times New Roman"/>
          <w:lang w:val="en-GB"/>
        </w:rPr>
        <w:t xml:space="preserve"> Th</w:t>
      </w:r>
      <w:r w:rsidR="00B471FA">
        <w:rPr>
          <w:rFonts w:eastAsia="Calibri" w:cs="Times New Roman"/>
          <w:lang w:val="en-GB"/>
        </w:rPr>
        <w:t>e</w:t>
      </w:r>
      <w:r w:rsidRPr="006B5FB8">
        <w:rPr>
          <w:rFonts w:eastAsia="Calibri" w:cs="Times New Roman"/>
          <w:lang w:val="en-GB"/>
        </w:rPr>
        <w:t xml:space="preserve"> new reality of embedded marketization may entail the expanding, or shifting, of state obligations.</w:t>
      </w:r>
      <w:r w:rsidRPr="006B5FB8">
        <w:rPr>
          <w:rFonts w:eastAsia="Calibri" w:cs="Times New Roman"/>
          <w:vertAlign w:val="superscript"/>
          <w:lang w:val="en-GB"/>
        </w:rPr>
        <w:footnoteReference w:id="35"/>
      </w:r>
      <w:r w:rsidRPr="006B5FB8">
        <w:rPr>
          <w:rFonts w:eastAsia="Calibri" w:cs="Times New Roman"/>
          <w:lang w:val="en-GB"/>
        </w:rPr>
        <w:t xml:space="preserve"> </w:t>
      </w:r>
      <w:r w:rsidR="00B471FA">
        <w:rPr>
          <w:rFonts w:eastAsia="Calibri" w:cs="Times New Roman"/>
          <w:lang w:val="en-GB"/>
        </w:rPr>
        <w:t xml:space="preserve">The next section discusses </w:t>
      </w:r>
      <w:r w:rsidR="006C32DA">
        <w:rPr>
          <w:rFonts w:eastAsia="Calibri" w:cs="Times New Roman"/>
          <w:lang w:val="en-GB"/>
        </w:rPr>
        <w:t>the CESCR’s current approach to marketization</w:t>
      </w:r>
      <w:r w:rsidRPr="006B5FB8">
        <w:rPr>
          <w:rFonts w:eastAsia="Calibri" w:cs="Times New Roman"/>
          <w:lang w:val="en-GB"/>
        </w:rPr>
        <w:t>.</w:t>
      </w:r>
    </w:p>
    <w:p w14:paraId="4A5BA9AC" w14:textId="77777777" w:rsidR="00F3263F" w:rsidRDefault="00F3263F" w:rsidP="00CD184A">
      <w:pPr>
        <w:spacing w:line="360" w:lineRule="auto"/>
        <w:contextualSpacing/>
        <w:jc w:val="both"/>
        <w:rPr>
          <w:rFonts w:eastAsia="Calibri" w:cs="Times New Roman"/>
          <w:lang w:val="en-GB"/>
        </w:rPr>
      </w:pPr>
    </w:p>
    <w:p w14:paraId="58E8CF76" w14:textId="77777777" w:rsidR="00F3263F" w:rsidRDefault="00F3263F" w:rsidP="00CD184A">
      <w:pPr>
        <w:spacing w:line="360" w:lineRule="auto"/>
        <w:contextualSpacing/>
        <w:jc w:val="both"/>
        <w:rPr>
          <w:rFonts w:eastAsia="Calibri" w:cs="Times New Roman"/>
          <w:lang w:val="en-GB"/>
        </w:rPr>
      </w:pPr>
    </w:p>
    <w:p w14:paraId="218AB387" w14:textId="39890746" w:rsidR="00E30747" w:rsidRPr="00B471FA" w:rsidRDefault="00E30747" w:rsidP="00CD184A">
      <w:pPr>
        <w:spacing w:line="360" w:lineRule="auto"/>
        <w:contextualSpacing/>
        <w:jc w:val="both"/>
        <w:rPr>
          <w:rFonts w:eastAsia="Calibri" w:cs="Times New Roman"/>
        </w:rPr>
      </w:pPr>
      <w:r w:rsidRPr="006B5FB8">
        <w:rPr>
          <w:rFonts w:eastAsia="Calibri" w:cs="Times New Roman"/>
          <w:lang w:val="en-GB"/>
        </w:rPr>
        <w:t xml:space="preserve"> </w:t>
      </w:r>
    </w:p>
    <w:p w14:paraId="5ABB4458" w14:textId="77777777" w:rsidR="00927492" w:rsidRDefault="00927492" w:rsidP="00CD184A">
      <w:pPr>
        <w:jc w:val="both"/>
      </w:pPr>
    </w:p>
    <w:p w14:paraId="10889C4A" w14:textId="4189079A" w:rsidR="004A4495" w:rsidRDefault="004A4495" w:rsidP="00CD184A">
      <w:pPr>
        <w:pStyle w:val="ListParagraph"/>
        <w:numPr>
          <w:ilvl w:val="0"/>
          <w:numId w:val="6"/>
        </w:numPr>
        <w:jc w:val="both"/>
      </w:pPr>
      <w:r>
        <w:t>The Collapsing Distinction Between Protect and Fulfil Under Marketization</w:t>
      </w:r>
    </w:p>
    <w:p w14:paraId="40F565E7" w14:textId="69C6E646" w:rsidR="00927492" w:rsidRDefault="00927492" w:rsidP="00CD184A">
      <w:pPr>
        <w:jc w:val="both"/>
      </w:pPr>
    </w:p>
    <w:p w14:paraId="1BEFF395" w14:textId="40E0590B" w:rsidR="00187B33" w:rsidRPr="00B92426" w:rsidRDefault="00187B33" w:rsidP="00CD184A">
      <w:pPr>
        <w:spacing w:line="360" w:lineRule="auto"/>
        <w:jc w:val="both"/>
        <w:rPr>
          <w:rFonts w:eastAsia="Calibri" w:cs="Times New Roman"/>
          <w:lang w:val="en-GB"/>
        </w:rPr>
      </w:pPr>
      <w:r w:rsidRPr="00B92426">
        <w:rPr>
          <w:rFonts w:eastAsia="Calibri" w:cs="Times New Roman"/>
          <w:lang w:val="en-GB"/>
        </w:rPr>
        <w:t>General Comment 24</w:t>
      </w:r>
      <w:bookmarkStart w:id="8" w:name="_Ref21678116"/>
      <w:r w:rsidRPr="00B92426">
        <w:rPr>
          <w:rFonts w:eastAsia="Calibri" w:cs="Times New Roman"/>
          <w:lang w:val="en-GB"/>
        </w:rPr>
        <w:t xml:space="preserve"> focused on business activities,</w:t>
      </w:r>
      <w:r w:rsidRPr="00B92426">
        <w:rPr>
          <w:rFonts w:eastAsia="Calibri" w:cs="Times New Roman"/>
          <w:iCs/>
          <w:vertAlign w:val="superscript"/>
          <w:lang w:val="en-GB"/>
        </w:rPr>
        <w:footnoteReference w:id="36"/>
      </w:r>
      <w:bookmarkEnd w:id="8"/>
      <w:r w:rsidRPr="00B92426">
        <w:rPr>
          <w:rFonts w:eastAsia="Calibri" w:cs="Times New Roman"/>
          <w:lang w:val="en-GB"/>
        </w:rPr>
        <w:t xml:space="preserve"> confirming that states retain their obligations to progressively realize the right at all times, regardless of private provision.</w:t>
      </w:r>
      <w:r w:rsidRPr="00B92426">
        <w:rPr>
          <w:rFonts w:eastAsia="Calibri" w:cs="Times New Roman"/>
          <w:vertAlign w:val="superscript"/>
          <w:lang w:val="en-GB"/>
        </w:rPr>
        <w:footnoteReference w:id="37"/>
      </w:r>
      <w:r w:rsidRPr="00B92426">
        <w:rPr>
          <w:rFonts w:eastAsia="Calibri" w:cs="Times New Roman"/>
          <w:lang w:val="en-GB"/>
        </w:rPr>
        <w:t xml:space="preserve"> General Comment 24 is admirably ambitious, clarifying not just that </w:t>
      </w:r>
      <w:r>
        <w:rPr>
          <w:rFonts w:eastAsia="Calibri" w:cs="Times New Roman"/>
          <w:lang w:val="en-GB"/>
        </w:rPr>
        <w:t>S</w:t>
      </w:r>
      <w:r w:rsidRPr="00B92426">
        <w:rPr>
          <w:rFonts w:eastAsia="Calibri" w:cs="Times New Roman"/>
          <w:lang w:val="en-GB"/>
        </w:rPr>
        <w:t>tate parties must regulate business actors so as to realize human rights,</w:t>
      </w:r>
      <w:r>
        <w:rPr>
          <w:rStyle w:val="FootnoteReference"/>
          <w:rFonts w:eastAsia="Calibri" w:cs="Times New Roman"/>
          <w:lang w:val="en-GB"/>
        </w:rPr>
        <w:footnoteReference w:id="38"/>
      </w:r>
      <w:r w:rsidRPr="00B92426">
        <w:rPr>
          <w:rFonts w:eastAsia="Calibri" w:cs="Times New Roman"/>
          <w:lang w:val="en-GB"/>
        </w:rPr>
        <w:t xml:space="preserve"> but also obligations in regard </w:t>
      </w:r>
      <w:r>
        <w:rPr>
          <w:rFonts w:eastAsia="Calibri" w:cs="Times New Roman"/>
          <w:lang w:val="en-GB"/>
        </w:rPr>
        <w:t>to overseeing subsidiaries and business partners,</w:t>
      </w:r>
      <w:r>
        <w:rPr>
          <w:rStyle w:val="FootnoteReference"/>
          <w:rFonts w:eastAsia="Calibri" w:cs="Times New Roman"/>
          <w:lang w:val="en-GB"/>
        </w:rPr>
        <w:footnoteReference w:id="39"/>
      </w:r>
      <w:r>
        <w:rPr>
          <w:rFonts w:eastAsia="Calibri" w:cs="Times New Roman"/>
          <w:lang w:val="en-GB"/>
        </w:rPr>
        <w:t xml:space="preserve"> and regarding </w:t>
      </w:r>
      <w:r w:rsidRPr="00B92426">
        <w:rPr>
          <w:rFonts w:eastAsia="Calibri" w:cs="Times New Roman"/>
          <w:lang w:val="en-GB"/>
        </w:rPr>
        <w:t>taxation</w:t>
      </w:r>
      <w:r>
        <w:rPr>
          <w:rFonts w:eastAsia="Calibri" w:cs="Times New Roman"/>
          <w:lang w:val="en-GB"/>
        </w:rPr>
        <w:t xml:space="preserve"> rates</w:t>
      </w:r>
      <w:r w:rsidRPr="00B92426">
        <w:rPr>
          <w:rFonts w:eastAsia="Calibri" w:cs="Times New Roman"/>
          <w:lang w:val="en-GB"/>
        </w:rPr>
        <w:t>,</w:t>
      </w:r>
      <w:r w:rsidRPr="00B92426">
        <w:rPr>
          <w:rFonts w:eastAsia="Calibri" w:cs="Times New Roman"/>
          <w:vertAlign w:val="superscript"/>
        </w:rPr>
        <w:footnoteReference w:id="40"/>
      </w:r>
      <w:r>
        <w:rPr>
          <w:rFonts w:eastAsia="Calibri" w:cs="Times New Roman"/>
          <w:lang w:val="en-GB"/>
        </w:rPr>
        <w:t xml:space="preserve"> and tax avoidance</w:t>
      </w:r>
      <w:r>
        <w:rPr>
          <w:rFonts w:eastAsia="Calibri" w:cs="Times New Roman"/>
        </w:rPr>
        <w:t>.</w:t>
      </w:r>
      <w:r w:rsidRPr="00B92426">
        <w:rPr>
          <w:rFonts w:eastAsia="Calibri" w:cs="Times New Roman"/>
          <w:vertAlign w:val="superscript"/>
        </w:rPr>
        <w:footnoteReference w:id="41"/>
      </w:r>
      <w:r w:rsidRPr="00B92426">
        <w:rPr>
          <w:rFonts w:eastAsia="Calibri" w:cs="Times New Roman"/>
          <w:lang w:val="en-GB"/>
        </w:rPr>
        <w:t xml:space="preserve"> </w:t>
      </w:r>
      <w:r w:rsidRPr="00B92426">
        <w:rPr>
          <w:rFonts w:eastAsia="Calibri" w:cs="Times New Roman"/>
          <w:lang w:val="en-GB"/>
        </w:rPr>
        <w:lastRenderedPageBreak/>
        <w:t xml:space="preserve">However, General Comment 24 tends to collapse the distinction between protect and fulfil in relation to </w:t>
      </w:r>
      <w:r w:rsidR="00AB365E">
        <w:rPr>
          <w:rFonts w:eastAsia="Calibri" w:cs="Times New Roman"/>
          <w:lang w:val="en-GB"/>
        </w:rPr>
        <w:t>marketization</w:t>
      </w:r>
      <w:r w:rsidRPr="00B92426">
        <w:rPr>
          <w:rFonts w:eastAsia="Calibri" w:cs="Times New Roman"/>
          <w:lang w:val="en-GB"/>
        </w:rPr>
        <w:t xml:space="preserve"> </w:t>
      </w:r>
      <w:r w:rsidR="00327A1F" w:rsidRPr="00B92426">
        <w:rPr>
          <w:rFonts w:eastAsia="Calibri" w:cs="Times New Roman"/>
          <w:lang w:val="en-GB"/>
        </w:rPr>
        <w:t>by placing similar obligations under both limbs</w:t>
      </w:r>
      <w:r w:rsidR="00112B90">
        <w:rPr>
          <w:rFonts w:eastAsia="Calibri" w:cs="Times New Roman"/>
          <w:lang w:val="en-GB"/>
        </w:rPr>
        <w:t xml:space="preserve"> and by using ‘protect’ for</w:t>
      </w:r>
      <w:r w:rsidR="008F7678">
        <w:rPr>
          <w:rFonts w:eastAsia="Calibri" w:cs="Times New Roman"/>
          <w:lang w:val="en-GB"/>
        </w:rPr>
        <w:t xml:space="preserve"> policies relevant to fulfilment</w:t>
      </w:r>
      <w:r w:rsidR="00112B90">
        <w:rPr>
          <w:rFonts w:eastAsia="Calibri" w:cs="Times New Roman"/>
          <w:lang w:val="en-GB"/>
        </w:rPr>
        <w:t>.</w:t>
      </w:r>
      <w:r w:rsidRPr="00B92426">
        <w:rPr>
          <w:rFonts w:eastAsia="Calibri" w:cs="Times New Roman"/>
          <w:vertAlign w:val="superscript"/>
          <w:lang w:val="en-GB"/>
        </w:rPr>
        <w:footnoteReference w:id="42"/>
      </w:r>
      <w:r w:rsidR="00112B90">
        <w:rPr>
          <w:rFonts w:eastAsia="Calibri" w:cs="Times New Roman"/>
          <w:lang w:val="en-GB"/>
        </w:rPr>
        <w:t xml:space="preserve"> </w:t>
      </w:r>
      <w:r w:rsidRPr="00B92426">
        <w:rPr>
          <w:rFonts w:eastAsia="Calibri" w:cs="Times New Roman"/>
          <w:lang w:val="en-GB"/>
        </w:rPr>
        <w:t xml:space="preserve">For example, under ‘protect’ it states that </w:t>
      </w:r>
      <w:r w:rsidRPr="00B92426">
        <w:rPr>
          <w:rFonts w:eastAsia="Calibri" w:cs="Times New Roman"/>
        </w:rPr>
        <w:t>‘private health-care providers should be prohibited from denying access to affordable and adequate services, treatments or information’.</w:t>
      </w:r>
      <w:r w:rsidRPr="00B92426">
        <w:rPr>
          <w:rFonts w:eastAsia="Calibri" w:cs="Times New Roman"/>
          <w:vertAlign w:val="superscript"/>
        </w:rPr>
        <w:footnoteReference w:id="43"/>
      </w:r>
      <w:r w:rsidRPr="00B92426">
        <w:rPr>
          <w:rFonts w:eastAsia="Calibri" w:cs="Times New Roman"/>
        </w:rPr>
        <w:t xml:space="preserve"> Under fulfil: ‘States parties should ensure that intellectual property rights do not lead to denial or restriction of everyone’s access to essential medicines necessary for the enjoyment of the right to health.’</w:t>
      </w:r>
      <w:r w:rsidRPr="00B92426">
        <w:rPr>
          <w:rFonts w:eastAsia="Calibri" w:cs="Times New Roman"/>
          <w:vertAlign w:val="superscript"/>
        </w:rPr>
        <w:footnoteReference w:id="44"/>
      </w:r>
      <w:r w:rsidRPr="00B92426">
        <w:rPr>
          <w:rFonts w:eastAsia="Calibri" w:cs="Times New Roman"/>
          <w:lang w:val="en-GB"/>
        </w:rPr>
        <w:t xml:space="preserve"> It includes minimum wage, rent control, and eliminating precarious work</w:t>
      </w:r>
      <w:r>
        <w:rPr>
          <w:rFonts w:eastAsia="Calibri" w:cs="Times New Roman"/>
          <w:lang w:val="en-GB"/>
        </w:rPr>
        <w:t xml:space="preserve"> only under ‘protect’,</w:t>
      </w:r>
      <w:r>
        <w:rPr>
          <w:rStyle w:val="FootnoteReference"/>
          <w:rFonts w:eastAsia="Calibri" w:cs="Times New Roman"/>
          <w:lang w:val="en-GB"/>
        </w:rPr>
        <w:footnoteReference w:id="45"/>
      </w:r>
      <w:r>
        <w:rPr>
          <w:rFonts w:eastAsia="Calibri" w:cs="Times New Roman"/>
          <w:lang w:val="en-GB"/>
        </w:rPr>
        <w:t xml:space="preserve"> while previous General Comments, examples of which are cited </w:t>
      </w:r>
      <w:r w:rsidR="00765710">
        <w:rPr>
          <w:rFonts w:eastAsia="Calibri" w:cs="Times New Roman"/>
          <w:lang w:val="en-GB"/>
        </w:rPr>
        <w:t>below</w:t>
      </w:r>
      <w:r>
        <w:rPr>
          <w:rFonts w:eastAsia="Calibri" w:cs="Times New Roman"/>
          <w:lang w:val="en-GB"/>
        </w:rPr>
        <w:t>,</w:t>
      </w:r>
      <w:bookmarkStart w:id="9" w:name="_Ref51171980"/>
      <w:r>
        <w:rPr>
          <w:rStyle w:val="FootnoteReference"/>
          <w:rFonts w:eastAsia="Calibri" w:cs="Times New Roman"/>
          <w:lang w:val="en-GB"/>
        </w:rPr>
        <w:footnoteReference w:id="46"/>
      </w:r>
      <w:bookmarkEnd w:id="9"/>
      <w:r>
        <w:rPr>
          <w:rFonts w:eastAsia="Calibri" w:cs="Times New Roman"/>
          <w:lang w:val="en-GB"/>
        </w:rPr>
        <w:t xml:space="preserve"> include such issues under fulfil, or sometimes both protect and fulfil.</w:t>
      </w:r>
    </w:p>
    <w:p w14:paraId="5F605A97" w14:textId="06F1DA01" w:rsidR="00187B33" w:rsidRDefault="00187B33" w:rsidP="00CD184A">
      <w:pPr>
        <w:spacing w:line="360" w:lineRule="auto"/>
        <w:jc w:val="both"/>
        <w:rPr>
          <w:rFonts w:eastAsia="Calibri" w:cs="Times New Roman"/>
          <w:lang w:val="en-GB"/>
        </w:rPr>
      </w:pPr>
      <w:r w:rsidRPr="00B92426">
        <w:rPr>
          <w:rFonts w:eastAsia="Calibri" w:cs="Times New Roman"/>
          <w:lang w:val="en-GB"/>
        </w:rPr>
        <w:t xml:space="preserve">This approach can be rationalized on the basis that many policies targeting marketized rights will both protect from business harm and fulfil the right. This is a reality when discussing the </w:t>
      </w:r>
      <w:r>
        <w:rPr>
          <w:rFonts w:eastAsia="Calibri" w:cs="Times New Roman"/>
          <w:lang w:val="en-GB"/>
        </w:rPr>
        <w:t xml:space="preserve">private </w:t>
      </w:r>
      <w:r w:rsidRPr="00B92426">
        <w:rPr>
          <w:rFonts w:eastAsia="Calibri" w:cs="Times New Roman"/>
          <w:lang w:val="en-GB"/>
        </w:rPr>
        <w:t xml:space="preserve">provision of essential resources: any policy </w:t>
      </w:r>
      <w:r w:rsidR="00F709C3">
        <w:rPr>
          <w:rFonts w:eastAsia="Calibri" w:cs="Times New Roman"/>
          <w:lang w:val="en-GB"/>
        </w:rPr>
        <w:t>that, for example, mandates lower cost private health</w:t>
      </w:r>
      <w:r w:rsidR="00D63E91">
        <w:rPr>
          <w:rFonts w:eastAsia="Calibri" w:cs="Times New Roman"/>
          <w:lang w:val="en-GB"/>
        </w:rPr>
        <w:t xml:space="preserve">care both protects from </w:t>
      </w:r>
      <w:r w:rsidR="0014329D">
        <w:rPr>
          <w:rFonts w:eastAsia="Calibri" w:cs="Times New Roman"/>
          <w:lang w:val="en-GB"/>
        </w:rPr>
        <w:t xml:space="preserve">third party </w:t>
      </w:r>
      <w:r w:rsidR="00BA30C8">
        <w:rPr>
          <w:rFonts w:eastAsia="Calibri" w:cs="Times New Roman"/>
          <w:lang w:val="en-GB"/>
        </w:rPr>
        <w:t>harm</w:t>
      </w:r>
      <w:r w:rsidRPr="00B92426">
        <w:rPr>
          <w:rFonts w:eastAsia="Calibri" w:cs="Times New Roman"/>
          <w:lang w:val="en-GB"/>
        </w:rPr>
        <w:t xml:space="preserve"> and </w:t>
      </w:r>
      <w:r w:rsidR="00E66432">
        <w:rPr>
          <w:rFonts w:eastAsia="Calibri" w:cs="Times New Roman"/>
          <w:lang w:val="en-GB"/>
        </w:rPr>
        <w:t>moves to fulfil</w:t>
      </w:r>
      <w:r w:rsidR="00E92778">
        <w:rPr>
          <w:rFonts w:eastAsia="Calibri" w:cs="Times New Roman"/>
          <w:lang w:val="en-GB"/>
        </w:rPr>
        <w:t xml:space="preserve"> the </w:t>
      </w:r>
      <w:r w:rsidR="00E66432">
        <w:rPr>
          <w:rFonts w:eastAsia="Calibri" w:cs="Times New Roman"/>
          <w:lang w:val="en-GB"/>
        </w:rPr>
        <w:t xml:space="preserve">criteria of </w:t>
      </w:r>
      <w:r w:rsidR="00D63E91">
        <w:rPr>
          <w:rFonts w:eastAsia="Calibri" w:cs="Times New Roman"/>
          <w:lang w:val="en-GB"/>
        </w:rPr>
        <w:t xml:space="preserve">universal </w:t>
      </w:r>
      <w:r w:rsidR="00E92778">
        <w:rPr>
          <w:rFonts w:eastAsia="Calibri" w:cs="Times New Roman"/>
          <w:lang w:val="en-GB"/>
        </w:rPr>
        <w:t>affordability</w:t>
      </w:r>
      <w:r w:rsidRPr="00B92426">
        <w:rPr>
          <w:rFonts w:eastAsia="Calibri" w:cs="Times New Roman"/>
          <w:lang w:val="en-GB"/>
        </w:rPr>
        <w:t xml:space="preserve">. Nonetheless, it creates risks that a return to the core principles of each limb may avoid. These include </w:t>
      </w:r>
      <w:r>
        <w:rPr>
          <w:rFonts w:eastAsia="Calibri" w:cs="Times New Roman"/>
          <w:lang w:val="en-GB"/>
        </w:rPr>
        <w:t xml:space="preserve">potentially </w:t>
      </w:r>
      <w:r w:rsidRPr="00B92426">
        <w:rPr>
          <w:rFonts w:eastAsia="Calibri" w:cs="Times New Roman"/>
          <w:lang w:val="en-GB"/>
        </w:rPr>
        <w:t>building a minimalistic version of ‘fulfil’, as implied by the intellectual property example above, and obfuscating the importance of using ‘protect’ to cast a human rights lens on specific infringements</w:t>
      </w:r>
      <w:r w:rsidR="001D74E7">
        <w:rPr>
          <w:rFonts w:eastAsia="Calibri" w:cs="Times New Roman"/>
          <w:lang w:val="en-GB"/>
        </w:rPr>
        <w:t xml:space="preserve"> by businesses</w:t>
      </w:r>
      <w:r>
        <w:rPr>
          <w:rFonts w:eastAsia="Calibri" w:cs="Times New Roman"/>
          <w:lang w:val="en-GB"/>
        </w:rPr>
        <w:t xml:space="preserve">. </w:t>
      </w:r>
    </w:p>
    <w:p w14:paraId="20BE0962" w14:textId="63DA75B0" w:rsidR="002D7190" w:rsidRPr="00F3263F" w:rsidRDefault="00187B33" w:rsidP="00CD184A">
      <w:pPr>
        <w:spacing w:line="360" w:lineRule="auto"/>
        <w:jc w:val="both"/>
        <w:rPr>
          <w:rFonts w:eastAsia="Calibri" w:cs="Times New Roman"/>
          <w:i/>
          <w:iCs/>
        </w:rPr>
      </w:pPr>
      <w:r w:rsidRPr="00F3263F">
        <w:rPr>
          <w:rFonts w:eastAsia="Calibri" w:cs="Times New Roman"/>
          <w:i/>
          <w:iCs/>
          <w:lang w:val="en-GB"/>
        </w:rPr>
        <w:t xml:space="preserve">This lack of grounding is particularly overt in Concluding Observations. </w:t>
      </w:r>
      <w:r w:rsidR="00BA30C8" w:rsidRPr="00F3263F">
        <w:rPr>
          <w:rFonts w:eastAsia="Calibri" w:cs="Times New Roman"/>
          <w:i/>
          <w:iCs/>
          <w:lang w:val="en-GB"/>
        </w:rPr>
        <w:t xml:space="preserve">For brevity, the paper includes just two </w:t>
      </w:r>
      <w:r w:rsidR="00992C88" w:rsidRPr="00F3263F">
        <w:rPr>
          <w:rFonts w:eastAsia="Calibri" w:cs="Times New Roman"/>
          <w:i/>
          <w:iCs/>
          <w:lang w:val="en-GB"/>
        </w:rPr>
        <w:t>recent examples at the time of writing.</w:t>
      </w:r>
      <w:r w:rsidR="00992C88" w:rsidRPr="00F3263F">
        <w:rPr>
          <w:rStyle w:val="FootnoteReference"/>
          <w:rFonts w:eastAsia="Calibri" w:cs="Times New Roman"/>
          <w:i/>
          <w:iCs/>
          <w:lang w:val="en-GB"/>
        </w:rPr>
        <w:footnoteReference w:id="47"/>
      </w:r>
      <w:r w:rsidR="00992C88" w:rsidRPr="00F3263F">
        <w:rPr>
          <w:rFonts w:eastAsia="Calibri" w:cs="Times New Roman"/>
          <w:i/>
          <w:iCs/>
          <w:lang w:val="en-GB"/>
        </w:rPr>
        <w:t xml:space="preserve"> </w:t>
      </w:r>
      <w:r w:rsidRPr="00F3263F">
        <w:rPr>
          <w:rFonts w:eastAsia="Calibri" w:cs="Times New Roman"/>
          <w:i/>
          <w:iCs/>
          <w:lang w:val="en-GB"/>
        </w:rPr>
        <w:t>Observations on Belgium in 2020 noted the lack of decent quality affordable housing and recommended ‘</w:t>
      </w:r>
      <w:r w:rsidRPr="00F3263F">
        <w:rPr>
          <w:rFonts w:eastAsia="Calibri" w:cs="Times New Roman"/>
          <w:i/>
          <w:iCs/>
        </w:rPr>
        <w:t>expanding the supply of social housing, addressing the problem of unoccupied private and public buildings and regulating rents on the private rental market.’</w:t>
      </w:r>
      <w:r w:rsidRPr="00F3263F">
        <w:rPr>
          <w:rStyle w:val="FootnoteReference"/>
          <w:rFonts w:eastAsia="Calibri" w:cs="Times New Roman"/>
          <w:i/>
          <w:iCs/>
        </w:rPr>
        <w:footnoteReference w:id="48"/>
      </w:r>
      <w:r w:rsidRPr="00F3263F">
        <w:rPr>
          <w:rFonts w:eastAsia="Calibri" w:cs="Times New Roman"/>
          <w:i/>
          <w:iCs/>
        </w:rPr>
        <w:t xml:space="preserve"> On Norway in 2020 similar concerns were noted including ‘(a) The chronic shortage of social housing in many municipalities… (c) </w:t>
      </w:r>
      <w:r w:rsidRPr="00F3263F">
        <w:rPr>
          <w:rFonts w:eastAsia="Calibri" w:cs="Times New Roman"/>
          <w:i/>
          <w:iCs/>
        </w:rPr>
        <w:lastRenderedPageBreak/>
        <w:t>Expensive private rental housing, which is often of poor quality.’</w:t>
      </w:r>
      <w:r w:rsidRPr="00F3263F">
        <w:rPr>
          <w:rStyle w:val="FootnoteReference"/>
          <w:rFonts w:eastAsia="Calibri" w:cs="Times New Roman"/>
          <w:i/>
          <w:iCs/>
        </w:rPr>
        <w:footnoteReference w:id="49"/>
      </w:r>
      <w:r w:rsidRPr="00F3263F">
        <w:rPr>
          <w:rFonts w:eastAsia="Calibri" w:cs="Times New Roman"/>
          <w:i/>
          <w:iCs/>
        </w:rPr>
        <w:t xml:space="preserve"> Recommendations included ‘</w:t>
      </w:r>
      <w:proofErr w:type="spellStart"/>
      <w:r w:rsidRPr="00F3263F">
        <w:rPr>
          <w:rFonts w:eastAsia="Calibri" w:cs="Times New Roman"/>
          <w:i/>
          <w:iCs/>
        </w:rPr>
        <w:t>increas</w:t>
      </w:r>
      <w:proofErr w:type="spellEnd"/>
      <w:r w:rsidRPr="00F3263F">
        <w:rPr>
          <w:rFonts w:eastAsia="Calibri" w:cs="Times New Roman"/>
          <w:i/>
          <w:iCs/>
        </w:rPr>
        <w:t>[</w:t>
      </w:r>
      <w:proofErr w:type="spellStart"/>
      <w:r w:rsidRPr="00F3263F">
        <w:rPr>
          <w:rFonts w:eastAsia="Calibri" w:cs="Times New Roman"/>
          <w:i/>
          <w:iCs/>
        </w:rPr>
        <w:t>ing</w:t>
      </w:r>
      <w:proofErr w:type="spellEnd"/>
      <w:r w:rsidRPr="00F3263F">
        <w:rPr>
          <w:rFonts w:eastAsia="Calibri" w:cs="Times New Roman"/>
          <w:i/>
          <w:iCs/>
        </w:rPr>
        <w:t xml:space="preserve">] the provision of… social housing [and] </w:t>
      </w:r>
      <w:proofErr w:type="spellStart"/>
      <w:r w:rsidRPr="00F3263F">
        <w:rPr>
          <w:rFonts w:eastAsia="Calibri" w:cs="Times New Roman"/>
          <w:i/>
          <w:iCs/>
        </w:rPr>
        <w:t>regulat</w:t>
      </w:r>
      <w:proofErr w:type="spellEnd"/>
      <w:r w:rsidRPr="00F3263F">
        <w:rPr>
          <w:rFonts w:eastAsia="Calibri" w:cs="Times New Roman"/>
          <w:i/>
          <w:iCs/>
        </w:rPr>
        <w:t>[</w:t>
      </w:r>
      <w:proofErr w:type="spellStart"/>
      <w:r w:rsidRPr="00F3263F">
        <w:rPr>
          <w:rFonts w:eastAsia="Calibri" w:cs="Times New Roman"/>
          <w:i/>
          <w:iCs/>
        </w:rPr>
        <w:t>ing</w:t>
      </w:r>
      <w:proofErr w:type="spellEnd"/>
      <w:r w:rsidRPr="00F3263F">
        <w:rPr>
          <w:rFonts w:eastAsia="Calibri" w:cs="Times New Roman"/>
          <w:i/>
          <w:iCs/>
        </w:rPr>
        <w:t>] the private rental housing market, including by controlling rent increases.’</w:t>
      </w:r>
      <w:r w:rsidRPr="00F3263F">
        <w:rPr>
          <w:rStyle w:val="FootnoteReference"/>
          <w:rFonts w:eastAsia="Calibri" w:cs="Times New Roman"/>
          <w:i/>
          <w:iCs/>
        </w:rPr>
        <w:footnoteReference w:id="50"/>
      </w:r>
      <w:r w:rsidRPr="00F3263F">
        <w:rPr>
          <w:rFonts w:eastAsia="Calibri" w:cs="Times New Roman"/>
          <w:i/>
          <w:iCs/>
        </w:rPr>
        <w:t xml:space="preserve"> Two points are worth noting. First, despite critique of the private housing market, no specific business issues are mentioned. There is no lens on whether business practices within the housing market are causing problems, beyond high market rates. Second, </w:t>
      </w:r>
      <w:r w:rsidR="00CF09B6" w:rsidRPr="00F3263F">
        <w:rPr>
          <w:rFonts w:eastAsia="Calibri" w:cs="Times New Roman"/>
          <w:i/>
          <w:iCs/>
        </w:rPr>
        <w:t>a broad</w:t>
      </w:r>
      <w:r w:rsidR="00514CC4" w:rsidRPr="00F3263F">
        <w:rPr>
          <w:rFonts w:eastAsia="Calibri" w:cs="Times New Roman"/>
          <w:i/>
          <w:iCs/>
        </w:rPr>
        <w:t xml:space="preserve"> list of positive </w:t>
      </w:r>
      <w:r w:rsidR="0034637B" w:rsidRPr="00F3263F">
        <w:rPr>
          <w:rFonts w:eastAsia="Calibri" w:cs="Times New Roman"/>
          <w:i/>
          <w:iCs/>
        </w:rPr>
        <w:t>recommendations</w:t>
      </w:r>
      <w:r w:rsidR="00514CC4" w:rsidRPr="00F3263F">
        <w:rPr>
          <w:rFonts w:eastAsia="Calibri" w:cs="Times New Roman"/>
          <w:i/>
          <w:iCs/>
        </w:rPr>
        <w:t xml:space="preserve"> </w:t>
      </w:r>
      <w:r w:rsidR="0034637B" w:rsidRPr="00F3263F">
        <w:rPr>
          <w:rFonts w:eastAsia="Calibri" w:cs="Times New Roman"/>
          <w:i/>
          <w:iCs/>
        </w:rPr>
        <w:t>is</w:t>
      </w:r>
      <w:r w:rsidR="00CF09B6" w:rsidRPr="00F3263F">
        <w:rPr>
          <w:rFonts w:eastAsia="Calibri" w:cs="Times New Roman"/>
          <w:i/>
          <w:iCs/>
        </w:rPr>
        <w:t xml:space="preserve"> included that are not firmly grounded in obligations, or </w:t>
      </w:r>
      <w:r w:rsidR="0034637B" w:rsidRPr="00F3263F">
        <w:rPr>
          <w:rFonts w:eastAsia="Calibri" w:cs="Times New Roman"/>
          <w:i/>
          <w:iCs/>
        </w:rPr>
        <w:t>any clear practical or legal rationale</w:t>
      </w:r>
      <w:r w:rsidR="00CE4E99" w:rsidRPr="00F3263F">
        <w:rPr>
          <w:rFonts w:eastAsia="Calibri" w:cs="Times New Roman"/>
          <w:i/>
          <w:iCs/>
        </w:rPr>
        <w:t xml:space="preserve">. Recommendations such as rent control are frequently invoked yet have made minimal inroads as a human rights obligation. Better defining the </w:t>
      </w:r>
      <w:r w:rsidR="00C73C09" w:rsidRPr="00F3263F">
        <w:rPr>
          <w:rFonts w:eastAsia="Calibri" w:cs="Times New Roman"/>
          <w:i/>
          <w:iCs/>
        </w:rPr>
        <w:t xml:space="preserve">legal </w:t>
      </w:r>
      <w:r w:rsidR="00CE4E99" w:rsidRPr="00F3263F">
        <w:rPr>
          <w:rFonts w:eastAsia="Calibri" w:cs="Times New Roman"/>
          <w:i/>
          <w:iCs/>
        </w:rPr>
        <w:t xml:space="preserve">rationale of rent control, explored below, would </w:t>
      </w:r>
      <w:r w:rsidR="00C73C09" w:rsidRPr="00F3263F">
        <w:rPr>
          <w:rFonts w:eastAsia="Calibri" w:cs="Times New Roman"/>
          <w:i/>
          <w:iCs/>
        </w:rPr>
        <w:t>assist in</w:t>
      </w:r>
      <w:r w:rsidR="001D43E9" w:rsidRPr="00F3263F">
        <w:rPr>
          <w:rFonts w:eastAsia="Calibri" w:cs="Times New Roman"/>
          <w:i/>
          <w:iCs/>
        </w:rPr>
        <w:t xml:space="preserve"> </w:t>
      </w:r>
      <w:r w:rsidR="00D70A12" w:rsidRPr="00F3263F">
        <w:rPr>
          <w:rFonts w:eastAsia="Calibri" w:cs="Times New Roman"/>
          <w:i/>
          <w:iCs/>
        </w:rPr>
        <w:t>concretizing and promoting the obligation.</w:t>
      </w:r>
    </w:p>
    <w:p w14:paraId="26404DF5" w14:textId="5DFC056D" w:rsidR="00FD4EDB" w:rsidRDefault="00FD4EDB" w:rsidP="00CD184A">
      <w:pPr>
        <w:spacing w:line="360" w:lineRule="auto"/>
        <w:jc w:val="both"/>
        <w:rPr>
          <w:rFonts w:eastAsia="Calibri" w:cs="Times New Roman"/>
          <w:lang w:val="en-GB"/>
        </w:rPr>
      </w:pPr>
      <w:r w:rsidRPr="00FD4EDB">
        <w:rPr>
          <w:rFonts w:eastAsia="Calibri" w:cs="Times New Roman"/>
          <w:lang w:val="en-GB"/>
        </w:rPr>
        <w:t xml:space="preserve">In the following section, the paper lays out a theoretical grounding for a delineation of protect and fulfil that allows for distinct content under each </w:t>
      </w:r>
      <w:proofErr w:type="gramStart"/>
      <w:r w:rsidRPr="00FD4EDB">
        <w:rPr>
          <w:rFonts w:eastAsia="Calibri" w:cs="Times New Roman"/>
          <w:lang w:val="en-GB"/>
        </w:rPr>
        <w:t>limb, and</w:t>
      </w:r>
      <w:proofErr w:type="gramEnd"/>
      <w:r w:rsidRPr="00FD4EDB">
        <w:rPr>
          <w:rFonts w:eastAsia="Calibri" w:cs="Times New Roman"/>
          <w:lang w:val="en-GB"/>
        </w:rPr>
        <w:t xml:space="preserve"> encourages focus on the two major problems under marketization cited above through the act/outcome distinction, those of harmful business practices and a lack of quantitative fulfilment. </w:t>
      </w:r>
    </w:p>
    <w:p w14:paraId="28691378" w14:textId="621CB982" w:rsidR="00FE08E2" w:rsidRDefault="00FE08E2" w:rsidP="00CD184A">
      <w:pPr>
        <w:spacing w:line="360" w:lineRule="auto"/>
        <w:jc w:val="both"/>
        <w:rPr>
          <w:rFonts w:eastAsia="Calibri" w:cs="Times New Roman"/>
          <w:lang w:val="en-GB"/>
        </w:rPr>
      </w:pPr>
    </w:p>
    <w:p w14:paraId="0305A50B" w14:textId="5C038F6A" w:rsidR="00FE08E2" w:rsidRPr="00FD4EDB" w:rsidRDefault="00FE08E2" w:rsidP="00CD184A">
      <w:pPr>
        <w:spacing w:line="360" w:lineRule="auto"/>
        <w:jc w:val="both"/>
        <w:rPr>
          <w:rFonts w:eastAsia="Calibri" w:cs="Times New Roman"/>
          <w:lang w:val="en-GB"/>
        </w:rPr>
      </w:pPr>
      <w:r>
        <w:rPr>
          <w:rFonts w:eastAsia="Calibri" w:cs="Times New Roman"/>
          <w:lang w:val="en-GB"/>
        </w:rPr>
        <w:t xml:space="preserve">[keep, merge </w:t>
      </w:r>
      <w:r w:rsidR="00F3263F">
        <w:rPr>
          <w:rFonts w:eastAsia="Calibri" w:cs="Times New Roman"/>
          <w:lang w:val="en-GB"/>
        </w:rPr>
        <w:t xml:space="preserve">s1, 2, </w:t>
      </w:r>
      <w:proofErr w:type="gramStart"/>
      <w:r w:rsidR="00F3263F">
        <w:rPr>
          <w:rFonts w:eastAsia="Calibri" w:cs="Times New Roman"/>
          <w:lang w:val="en-GB"/>
        </w:rPr>
        <w:t xml:space="preserve">3, </w:t>
      </w:r>
      <w:r>
        <w:rPr>
          <w:rFonts w:eastAsia="Calibri" w:cs="Times New Roman"/>
          <w:lang w:val="en-GB"/>
        </w:rPr>
        <w:t xml:space="preserve"> make</w:t>
      </w:r>
      <w:proofErr w:type="gramEnd"/>
      <w:r>
        <w:rPr>
          <w:rFonts w:eastAsia="Calibri" w:cs="Times New Roman"/>
          <w:lang w:val="en-GB"/>
        </w:rPr>
        <w:t xml:space="preserve"> s2 </w:t>
      </w:r>
      <w:r w:rsidR="00711075">
        <w:rPr>
          <w:rFonts w:eastAsia="Calibri" w:cs="Times New Roman"/>
          <w:lang w:val="en-GB"/>
        </w:rPr>
        <w:t>‘my argument?’]</w:t>
      </w:r>
    </w:p>
    <w:p w14:paraId="447AE45B" w14:textId="77777777" w:rsidR="00FD4EDB" w:rsidRPr="00B92426" w:rsidRDefault="00FD4EDB" w:rsidP="00CD184A">
      <w:pPr>
        <w:spacing w:line="360" w:lineRule="auto"/>
        <w:jc w:val="both"/>
        <w:rPr>
          <w:rFonts w:eastAsia="Calibri" w:cs="Times New Roman"/>
        </w:rPr>
      </w:pPr>
    </w:p>
    <w:p w14:paraId="206AE446" w14:textId="01E8B700" w:rsidR="00927492" w:rsidRDefault="00196FEF" w:rsidP="00CD184A">
      <w:pPr>
        <w:pStyle w:val="ListParagraph"/>
        <w:numPr>
          <w:ilvl w:val="0"/>
          <w:numId w:val="6"/>
        </w:numPr>
        <w:jc w:val="both"/>
      </w:pPr>
      <w:r>
        <w:t>Constructing Theories of Protect and Fulfil Under Marketization</w:t>
      </w:r>
    </w:p>
    <w:p w14:paraId="76B57405" w14:textId="722F646C" w:rsidR="00CF7231" w:rsidRDefault="00CF7231" w:rsidP="00CD184A">
      <w:pPr>
        <w:pStyle w:val="ListParagraph"/>
        <w:numPr>
          <w:ilvl w:val="1"/>
          <w:numId w:val="6"/>
        </w:numPr>
        <w:jc w:val="both"/>
      </w:pPr>
      <w:r>
        <w:t>The Duty to Protect</w:t>
      </w:r>
    </w:p>
    <w:p w14:paraId="1F2C8816" w14:textId="0FA1AC47" w:rsidR="00927492" w:rsidRDefault="00927492" w:rsidP="00CD184A">
      <w:pPr>
        <w:jc w:val="both"/>
      </w:pPr>
    </w:p>
    <w:p w14:paraId="485AE04E" w14:textId="39589D86" w:rsidR="00F3263F" w:rsidRDefault="00F3263F" w:rsidP="00CD184A">
      <w:pPr>
        <w:jc w:val="both"/>
      </w:pPr>
      <w:r>
        <w:t>cut many words from here, keep it simple….</w:t>
      </w:r>
    </w:p>
    <w:p w14:paraId="179FF1D4" w14:textId="77777777" w:rsidR="00F3263F" w:rsidRDefault="00F3263F" w:rsidP="00CD184A">
      <w:pPr>
        <w:jc w:val="both"/>
      </w:pPr>
    </w:p>
    <w:p w14:paraId="0A734E29" w14:textId="77777777" w:rsidR="00B209B2" w:rsidRPr="0077519A" w:rsidRDefault="00B209B2" w:rsidP="00CD184A">
      <w:pPr>
        <w:spacing w:line="360" w:lineRule="auto"/>
        <w:jc w:val="both"/>
      </w:pPr>
      <w:r w:rsidRPr="0077519A">
        <w:t>The tripartite typology ‘respect, protect, fulfil’ was formulated in 1980 by Henry Shue, in terms of obligations ‘to avoid depriving’, ‘to protect from deprivation’ and ‘to aid the deprived’.</w:t>
      </w:r>
      <w:bookmarkStart w:id="10" w:name="_Ref22025455"/>
      <w:r w:rsidRPr="0077519A">
        <w:rPr>
          <w:vertAlign w:val="superscript"/>
        </w:rPr>
        <w:footnoteReference w:id="51"/>
      </w:r>
      <w:bookmarkEnd w:id="10"/>
      <w:r w:rsidRPr="0077519A">
        <w:t xml:space="preserve"> Protection included both ‘enforcing rules’ and ‘designing institutions that avoid the creation of strong incentive</w:t>
      </w:r>
      <w:r>
        <w:t>s</w:t>
      </w:r>
      <w:r w:rsidRPr="0077519A">
        <w:t xml:space="preserve"> to violate duty’.</w:t>
      </w:r>
      <w:r w:rsidRPr="0077519A">
        <w:rPr>
          <w:vertAlign w:val="superscript"/>
        </w:rPr>
        <w:footnoteReference w:id="52"/>
      </w:r>
      <w:r w:rsidRPr="0077519A">
        <w:t xml:space="preserve"> </w:t>
      </w:r>
      <w:proofErr w:type="spellStart"/>
      <w:r w:rsidRPr="0077519A">
        <w:t>Ashbj</w:t>
      </w:r>
      <w:r w:rsidRPr="0077519A">
        <w:rPr>
          <w:b/>
          <w:bCs/>
        </w:rPr>
        <w:t>ø</w:t>
      </w:r>
      <w:r w:rsidRPr="0077519A">
        <w:t>rn</w:t>
      </w:r>
      <w:proofErr w:type="spellEnd"/>
      <w:r w:rsidRPr="0077519A">
        <w:t xml:space="preserve"> Eide formulated the legal terms in 1987 as ‘[t]he </w:t>
      </w:r>
      <w:r w:rsidRPr="0077519A">
        <w:lastRenderedPageBreak/>
        <w:t>obligation to respect, the obligation to protect, and the obligation to fulfil human rights.’</w:t>
      </w:r>
      <w:bookmarkStart w:id="11" w:name="_Ref27468763"/>
      <w:r w:rsidRPr="0077519A">
        <w:rPr>
          <w:vertAlign w:val="superscript"/>
        </w:rPr>
        <w:footnoteReference w:id="53"/>
      </w:r>
      <w:bookmarkEnd w:id="11"/>
      <w:r w:rsidRPr="0077519A">
        <w:t xml:space="preserve"> Eide’s original formulation of ‘protect’ stated that:</w:t>
      </w:r>
    </w:p>
    <w:p w14:paraId="048A32F2" w14:textId="77777777" w:rsidR="00B209B2" w:rsidRPr="0077519A" w:rsidRDefault="00B209B2" w:rsidP="00CD184A">
      <w:pPr>
        <w:spacing w:line="360" w:lineRule="auto"/>
        <w:jc w:val="both"/>
        <w:rPr>
          <w:sz w:val="20"/>
        </w:rPr>
      </w:pPr>
      <w:r w:rsidRPr="0077519A">
        <w:rPr>
          <w:sz w:val="20"/>
        </w:rPr>
        <w:t>The obligation to protect requires from the State and its agents the measures necessary to prevent other individuals or groups from violating the integrity, freedom of action, or other human rights of the individual - including the prevention of infringement of the enjoyment of his material resources.</w:t>
      </w:r>
      <w:r w:rsidRPr="0077519A">
        <w:rPr>
          <w:sz w:val="20"/>
          <w:vertAlign w:val="superscript"/>
        </w:rPr>
        <w:footnoteReference w:id="54"/>
      </w:r>
    </w:p>
    <w:p w14:paraId="2413B91D" w14:textId="77777777" w:rsidR="00B13607" w:rsidRDefault="00A2059C" w:rsidP="00CD184A">
      <w:pPr>
        <w:spacing w:line="360" w:lineRule="auto"/>
        <w:contextualSpacing/>
        <w:jc w:val="both"/>
        <w:rPr>
          <w:rFonts w:eastAsia="Calibri" w:cs="Times New Roman"/>
        </w:rPr>
      </w:pPr>
      <w:r>
        <w:rPr>
          <w:szCs w:val="28"/>
        </w:rPr>
        <w:t>‘P</w:t>
      </w:r>
      <w:r w:rsidR="00DD3D6C">
        <w:rPr>
          <w:szCs w:val="28"/>
        </w:rPr>
        <w:t xml:space="preserve">rotect’ is a positive obligation to proactively prevent harm by third parties </w:t>
      </w:r>
      <w:r>
        <w:rPr>
          <w:szCs w:val="28"/>
        </w:rPr>
        <w:t xml:space="preserve">of a </w:t>
      </w:r>
      <w:r w:rsidR="00B209B2">
        <w:rPr>
          <w:szCs w:val="28"/>
        </w:rPr>
        <w:t>similar scope</w:t>
      </w:r>
      <w:r>
        <w:rPr>
          <w:szCs w:val="28"/>
        </w:rPr>
        <w:t xml:space="preserve"> to the state obligation to ‘respect’</w:t>
      </w:r>
      <w:r w:rsidR="00B209B2">
        <w:rPr>
          <w:szCs w:val="28"/>
        </w:rPr>
        <w:t>.</w:t>
      </w:r>
      <w:r w:rsidRPr="00A2059C">
        <w:rPr>
          <w:vertAlign w:val="superscript"/>
        </w:rPr>
        <w:t xml:space="preserve"> </w:t>
      </w:r>
      <w:r w:rsidRPr="0077519A">
        <w:rPr>
          <w:vertAlign w:val="superscript"/>
        </w:rPr>
        <w:footnoteReference w:id="55"/>
      </w:r>
      <w:r w:rsidR="00B209B2">
        <w:rPr>
          <w:szCs w:val="28"/>
        </w:rPr>
        <w:t xml:space="preserve"> </w:t>
      </w:r>
      <w:r w:rsidR="00B209B2" w:rsidRPr="0077519A">
        <w:t>The duty to protect is commonly summarized as a duty to protect against ‘in</w:t>
      </w:r>
      <w:r w:rsidR="008E16AC">
        <w:t>fringements</w:t>
      </w:r>
      <w:r w:rsidR="00B209B2" w:rsidRPr="0077519A">
        <w:t>’, ‘violations’, or ‘abuse’ by third parties.</w:t>
      </w:r>
      <w:r w:rsidR="00B209B2" w:rsidRPr="0077519A">
        <w:rPr>
          <w:vertAlign w:val="superscript"/>
        </w:rPr>
        <w:footnoteReference w:id="56"/>
      </w:r>
      <w:r w:rsidR="00B209B2" w:rsidRPr="0077519A">
        <w:t xml:space="preserve"> </w:t>
      </w:r>
      <w:r w:rsidR="00B209B2" w:rsidRPr="0077519A">
        <w:rPr>
          <w:rFonts w:eastAsia="Calibri" w:cs="Times New Roman"/>
        </w:rPr>
        <w:t>The Maastricht Guidelines</w:t>
      </w:r>
      <w:r w:rsidR="00B209B2" w:rsidRPr="00EF63A5">
        <w:t xml:space="preserve"> </w:t>
      </w:r>
      <w:r w:rsidR="00B209B2" w:rsidRPr="00896B5F">
        <w:t>on Violations of Economic, Social and Cultural Rights</w:t>
      </w:r>
      <w:r w:rsidR="00B209B2">
        <w:t xml:space="preserve"> (Maastricht Guidelines)</w:t>
      </w:r>
      <w:r w:rsidR="00B209B2" w:rsidRPr="0077519A">
        <w:rPr>
          <w:rFonts w:eastAsia="Calibri" w:cs="Times New Roman"/>
        </w:rPr>
        <w:t>, published in 1997, state that ‘[t]he obligation to protect requires States to prevent violations of such rights by third parties.’</w:t>
      </w:r>
      <w:bookmarkStart w:id="12" w:name="_Ref27130967"/>
      <w:r w:rsidR="00B209B2">
        <w:rPr>
          <w:rStyle w:val="FootnoteReference"/>
          <w:rFonts w:eastAsia="Calibri" w:cs="Times New Roman"/>
        </w:rPr>
        <w:footnoteReference w:id="57"/>
      </w:r>
      <w:bookmarkEnd w:id="12"/>
      <w:r w:rsidR="00B209B2" w:rsidRPr="0077519A">
        <w:rPr>
          <w:rFonts w:eastAsia="Calibri" w:cs="Times New Roman"/>
        </w:rPr>
        <w:t xml:space="preserve"> </w:t>
      </w:r>
    </w:p>
    <w:p w14:paraId="657FB4C3" w14:textId="77777777" w:rsidR="00B209B2" w:rsidRDefault="00B209B2" w:rsidP="00CD184A">
      <w:pPr>
        <w:spacing w:line="360" w:lineRule="auto"/>
        <w:contextualSpacing/>
        <w:jc w:val="both"/>
        <w:rPr>
          <w:rFonts w:eastAsia="Calibri" w:cs="Times New Roman"/>
        </w:rPr>
      </w:pPr>
    </w:p>
    <w:p w14:paraId="6F46983F" w14:textId="28EA48A0" w:rsidR="00B209B2" w:rsidRDefault="00B209B2" w:rsidP="00CD184A">
      <w:pPr>
        <w:spacing w:line="360" w:lineRule="auto"/>
        <w:contextualSpacing/>
        <w:jc w:val="both"/>
        <w:rPr>
          <w:rFonts w:eastAsia="Calibri" w:cs="Times New Roman"/>
        </w:rPr>
      </w:pPr>
      <w:r>
        <w:rPr>
          <w:rFonts w:eastAsia="Calibri" w:cs="Times New Roman"/>
        </w:rPr>
        <w:t xml:space="preserve">Three concerns must be raised </w:t>
      </w:r>
      <w:r w:rsidR="000F65D3">
        <w:rPr>
          <w:rFonts w:eastAsia="Calibri" w:cs="Times New Roman"/>
        </w:rPr>
        <w:t>regarding this definition considering the preceding analysis</w:t>
      </w:r>
      <w:r>
        <w:rPr>
          <w:rFonts w:eastAsia="Calibri" w:cs="Times New Roman"/>
        </w:rPr>
        <w:t xml:space="preserve">. First, what distinguishes ‘protect’ and ‘fulfil’ under marketization? Second, how should </w:t>
      </w:r>
      <w:r w:rsidR="007319BE">
        <w:rPr>
          <w:rFonts w:eastAsia="Calibri" w:cs="Times New Roman"/>
        </w:rPr>
        <w:t>‘</w:t>
      </w:r>
      <w:r>
        <w:rPr>
          <w:rFonts w:eastAsia="Calibri" w:cs="Times New Roman"/>
        </w:rPr>
        <w:t>business activities</w:t>
      </w:r>
      <w:r w:rsidR="007319BE">
        <w:rPr>
          <w:rFonts w:eastAsia="Calibri" w:cs="Times New Roman"/>
        </w:rPr>
        <w:t>’</w:t>
      </w:r>
      <w:r>
        <w:rPr>
          <w:rFonts w:eastAsia="Calibri" w:cs="Times New Roman"/>
        </w:rPr>
        <w:t xml:space="preserve"> be defined and limited? Third, </w:t>
      </w:r>
      <w:r w:rsidR="00684A14">
        <w:rPr>
          <w:rFonts w:eastAsia="Calibri" w:cs="Times New Roman"/>
        </w:rPr>
        <w:t>what is the scope of ‘infringements’</w:t>
      </w:r>
      <w:r>
        <w:rPr>
          <w:rFonts w:eastAsia="Calibri" w:cs="Times New Roman"/>
        </w:rPr>
        <w:t xml:space="preserve"> by third parties – does </w:t>
      </w:r>
      <w:r w:rsidR="00543A1F">
        <w:rPr>
          <w:rFonts w:eastAsia="Calibri" w:cs="Times New Roman"/>
        </w:rPr>
        <w:t xml:space="preserve">this </w:t>
      </w:r>
      <w:r>
        <w:rPr>
          <w:rFonts w:eastAsia="Calibri" w:cs="Times New Roman"/>
        </w:rPr>
        <w:t xml:space="preserve">cover all potentially harmful or risk-inducing acts by business, or are some acts too indirect to be covered within human rights analysis? </w:t>
      </w:r>
      <w:r w:rsidR="00684A14">
        <w:rPr>
          <w:rFonts w:eastAsia="Calibri" w:cs="Times New Roman"/>
        </w:rPr>
        <w:t>The following sections address each question in turn.</w:t>
      </w:r>
    </w:p>
    <w:p w14:paraId="3EF0E7E2" w14:textId="578D0A46" w:rsidR="005103E0" w:rsidRDefault="005103E0" w:rsidP="00CD184A">
      <w:pPr>
        <w:spacing w:line="360" w:lineRule="auto"/>
        <w:contextualSpacing/>
        <w:jc w:val="both"/>
        <w:rPr>
          <w:rFonts w:eastAsia="Calibri" w:cs="Times New Roman"/>
        </w:rPr>
      </w:pPr>
      <w:r>
        <w:rPr>
          <w:rFonts w:eastAsia="Calibri" w:cs="Times New Roman"/>
        </w:rPr>
        <w:t>….</w:t>
      </w:r>
    </w:p>
    <w:p w14:paraId="58D010F2" w14:textId="4126F4DF" w:rsidR="005103E0" w:rsidRDefault="005103E0" w:rsidP="00CD184A">
      <w:pPr>
        <w:spacing w:line="360" w:lineRule="auto"/>
        <w:contextualSpacing/>
        <w:jc w:val="both"/>
        <w:rPr>
          <w:rFonts w:eastAsia="Calibri" w:cs="Times New Roman"/>
        </w:rPr>
      </w:pPr>
    </w:p>
    <w:p w14:paraId="0E8CEA81" w14:textId="082CB2ED" w:rsidR="005103E0" w:rsidRDefault="003D674D" w:rsidP="00CD184A">
      <w:pPr>
        <w:spacing w:line="360" w:lineRule="auto"/>
        <w:contextualSpacing/>
        <w:jc w:val="both"/>
        <w:rPr>
          <w:rFonts w:eastAsia="Calibri" w:cs="Times New Roman"/>
        </w:rPr>
      </w:pPr>
      <w:r>
        <w:rPr>
          <w:rFonts w:eastAsia="Calibri" w:cs="Times New Roman"/>
        </w:rPr>
        <w:t xml:space="preserve">Protect on three </w:t>
      </w:r>
      <w:r w:rsidR="00812C3D">
        <w:rPr>
          <w:rFonts w:eastAsia="Calibri" w:cs="Times New Roman"/>
        </w:rPr>
        <w:t>criteria: it is a duty to prevent harm</w:t>
      </w:r>
      <w:r w:rsidR="007E66D0">
        <w:rPr>
          <w:rFonts w:eastAsia="Calibri" w:cs="Times New Roman"/>
        </w:rPr>
        <w:t>ful actions rather than to promote realization</w:t>
      </w:r>
      <w:r w:rsidR="00812C3D">
        <w:rPr>
          <w:rFonts w:eastAsia="Calibri" w:cs="Times New Roman"/>
        </w:rPr>
        <w:t>, it covers all ‘business activities’</w:t>
      </w:r>
      <w:r w:rsidR="00A368C6">
        <w:rPr>
          <w:rFonts w:eastAsia="Calibri" w:cs="Times New Roman"/>
        </w:rPr>
        <w:t>, ‘infringements’ broad too…</w:t>
      </w:r>
      <w:r w:rsidR="007E66D0">
        <w:rPr>
          <w:rFonts w:eastAsia="Calibri" w:cs="Times New Roman"/>
        </w:rPr>
        <w:t xml:space="preserve"> How apply to markets? </w:t>
      </w:r>
    </w:p>
    <w:p w14:paraId="67823D37" w14:textId="77777777" w:rsidR="00B209B2" w:rsidRDefault="00B209B2" w:rsidP="00CD184A">
      <w:pPr>
        <w:jc w:val="both"/>
      </w:pPr>
    </w:p>
    <w:p w14:paraId="73F15C79" w14:textId="3C5A6CDE" w:rsidR="00CF7231" w:rsidRDefault="00CF7231" w:rsidP="00CD184A">
      <w:pPr>
        <w:pStyle w:val="ListParagraph"/>
        <w:numPr>
          <w:ilvl w:val="2"/>
          <w:numId w:val="6"/>
        </w:numPr>
        <w:jc w:val="both"/>
      </w:pPr>
      <w:r>
        <w:t>Wh</w:t>
      </w:r>
      <w:r w:rsidR="00CF6B93">
        <w:t xml:space="preserve">at Distinguishes </w:t>
      </w:r>
      <w:r w:rsidR="00F56424">
        <w:t>Protect and Fulfil</w:t>
      </w:r>
      <w:r w:rsidR="00684A14">
        <w:t xml:space="preserve"> Obligations</w:t>
      </w:r>
      <w:r w:rsidR="00F56424">
        <w:t>?</w:t>
      </w:r>
    </w:p>
    <w:p w14:paraId="760726FA" w14:textId="57C13152" w:rsidR="00927492" w:rsidRDefault="00927492" w:rsidP="00CD184A">
      <w:pPr>
        <w:jc w:val="both"/>
      </w:pPr>
    </w:p>
    <w:p w14:paraId="2BF93B91" w14:textId="77777777" w:rsidR="00B64481" w:rsidRPr="00B3230B" w:rsidRDefault="00B64481" w:rsidP="00CD184A">
      <w:pPr>
        <w:spacing w:line="360" w:lineRule="auto"/>
        <w:contextualSpacing/>
        <w:jc w:val="both"/>
        <w:rPr>
          <w:rFonts w:eastAsia="Calibri" w:cs="Times New Roman"/>
        </w:rPr>
      </w:pPr>
      <w:r w:rsidRPr="00B3230B">
        <w:rPr>
          <w:rFonts w:eastAsia="Calibri" w:cs="Times New Roman"/>
        </w:rPr>
        <w:t xml:space="preserve">This section looks at the </w:t>
      </w:r>
      <w:r>
        <w:rPr>
          <w:rFonts w:eastAsia="Calibri" w:cs="Times New Roman"/>
        </w:rPr>
        <w:t>distinction between protect and fulfil</w:t>
      </w:r>
      <w:r w:rsidRPr="00B3230B">
        <w:rPr>
          <w:rFonts w:eastAsia="Calibri" w:cs="Times New Roman"/>
        </w:rPr>
        <w:t>. It argues 1) that under marketization there is significant overlap between protect and fulfil, with many state regulations performing both functions; but 2) that many of the examples of ‘protect’ policies used in General Comment 24 are better constructed under ‘fulfil’.</w:t>
      </w:r>
    </w:p>
    <w:p w14:paraId="136F01F2" w14:textId="77777777" w:rsidR="00B64481" w:rsidRPr="00B3230B" w:rsidRDefault="00B64481" w:rsidP="00CD184A">
      <w:pPr>
        <w:spacing w:line="360" w:lineRule="auto"/>
        <w:contextualSpacing/>
        <w:jc w:val="both"/>
        <w:rPr>
          <w:rFonts w:eastAsia="Calibri" w:cs="Times New Roman"/>
        </w:rPr>
      </w:pPr>
    </w:p>
    <w:p w14:paraId="24AA5358" w14:textId="16102853" w:rsidR="00B64481" w:rsidRPr="00B3230B" w:rsidRDefault="00E85184" w:rsidP="00CD184A">
      <w:pPr>
        <w:spacing w:line="360" w:lineRule="auto"/>
        <w:contextualSpacing/>
        <w:jc w:val="both"/>
        <w:rPr>
          <w:rFonts w:eastAsia="Calibri" w:cs="Times New Roman"/>
        </w:rPr>
      </w:pPr>
      <w:r>
        <w:rPr>
          <w:rFonts w:eastAsia="Calibri" w:cs="Times New Roman"/>
        </w:rPr>
        <w:t>‘Protect’ obligates</w:t>
      </w:r>
      <w:r w:rsidR="00B64481" w:rsidRPr="00B3230B">
        <w:rPr>
          <w:rFonts w:eastAsia="Calibri" w:cs="Times New Roman"/>
        </w:rPr>
        <w:t xml:space="preserve"> the prevention of</w:t>
      </w:r>
      <w:r w:rsidR="00B64481">
        <w:rPr>
          <w:rFonts w:eastAsia="Calibri" w:cs="Times New Roman"/>
        </w:rPr>
        <w:t xml:space="preserve"> harm</w:t>
      </w:r>
      <w:r w:rsidR="008C26C2">
        <w:rPr>
          <w:rFonts w:eastAsia="Calibri" w:cs="Times New Roman"/>
        </w:rPr>
        <w:t xml:space="preserve"> by third parties</w:t>
      </w:r>
      <w:r w:rsidR="00B64481" w:rsidRPr="00B3230B">
        <w:rPr>
          <w:rFonts w:eastAsia="Calibri" w:cs="Times New Roman"/>
        </w:rPr>
        <w:t>. General Comment 12 on the right to food states that: ‘[t]he obligation to protect requires measures by the State to ensure that enterprises or individuals do not deprive individuals of their access to adequate food.’</w:t>
      </w:r>
      <w:bookmarkStart w:id="13" w:name="_Ref21693684"/>
      <w:r w:rsidR="00B64481" w:rsidRPr="00B3230B">
        <w:rPr>
          <w:rFonts w:eastAsia="Calibri" w:cs="Times New Roman"/>
          <w:vertAlign w:val="superscript"/>
        </w:rPr>
        <w:footnoteReference w:id="58"/>
      </w:r>
      <w:bookmarkEnd w:id="13"/>
      <w:r w:rsidR="00B64481" w:rsidRPr="00B3230B">
        <w:rPr>
          <w:rFonts w:eastAsia="Calibri" w:cs="Times New Roman"/>
        </w:rPr>
        <w:t xml:space="preserve"> General Comment 22 on the right to sexual and reproductive health offers that ‘states must prohibit and prevent private actors from imposing practical or procedural barriers to health services’.</w:t>
      </w:r>
      <w:bookmarkStart w:id="14" w:name="_Ref27136838"/>
      <w:r w:rsidR="00B64481" w:rsidRPr="00B3230B">
        <w:rPr>
          <w:rFonts w:eastAsia="Calibri" w:cs="Times New Roman"/>
          <w:vertAlign w:val="superscript"/>
        </w:rPr>
        <w:footnoteReference w:id="59"/>
      </w:r>
      <w:bookmarkEnd w:id="14"/>
      <w:r w:rsidR="00B64481" w:rsidRPr="00B3230B">
        <w:rPr>
          <w:rFonts w:eastAsia="Calibri" w:cs="Times New Roman"/>
        </w:rPr>
        <w:t xml:space="preserve"> As noted, General Comment 24 defines the obligation to protect as to ‘prevent effectively infringements of [Covenant rights] in the context of business activities’.</w:t>
      </w:r>
      <w:r w:rsidR="00B64481" w:rsidRPr="00B3230B">
        <w:rPr>
          <w:rFonts w:eastAsia="Calibri" w:cs="Times New Roman"/>
          <w:vertAlign w:val="superscript"/>
        </w:rPr>
        <w:footnoteReference w:id="60"/>
      </w:r>
      <w:r w:rsidR="00B64481" w:rsidRPr="00B3230B">
        <w:rPr>
          <w:rFonts w:eastAsia="Calibri" w:cs="Times New Roman"/>
        </w:rPr>
        <w:t xml:space="preserve"> Measures should be taken to ‘ensure effective protection against Covenant rights violations linked to business activities’.</w:t>
      </w:r>
      <w:r w:rsidR="00B64481" w:rsidRPr="00B3230B">
        <w:rPr>
          <w:rFonts w:eastAsia="Calibri" w:cs="Times New Roman"/>
          <w:vertAlign w:val="superscript"/>
        </w:rPr>
        <w:footnoteReference w:id="61"/>
      </w:r>
      <w:r w:rsidR="00B64481" w:rsidRPr="00B3230B">
        <w:rPr>
          <w:rFonts w:eastAsia="Calibri" w:cs="Times New Roman"/>
        </w:rPr>
        <w:t xml:space="preserve"> The framing ‘in the context of’ and ‘linked to’ suggests a deliberately broad scope.</w:t>
      </w:r>
      <w:r w:rsidR="00B64481" w:rsidRPr="00B3230B">
        <w:rPr>
          <w:rFonts w:eastAsia="Calibri" w:cs="Times New Roman"/>
          <w:vertAlign w:val="superscript"/>
        </w:rPr>
        <w:footnoteReference w:id="62"/>
      </w:r>
      <w:r w:rsidR="00B64481" w:rsidRPr="00B3230B">
        <w:rPr>
          <w:rFonts w:eastAsia="Calibri" w:cs="Times New Roman"/>
        </w:rPr>
        <w:t xml:space="preserve"> This broad scope can be understood to encompass two distinct forms of oversight. The first is the </w:t>
      </w:r>
      <w:r w:rsidR="006D4E17">
        <w:rPr>
          <w:rFonts w:eastAsia="Calibri" w:cs="Times New Roman"/>
        </w:rPr>
        <w:t>obligation to</w:t>
      </w:r>
      <w:r w:rsidR="00B64481" w:rsidRPr="00B3230B">
        <w:rPr>
          <w:rFonts w:eastAsia="Calibri" w:cs="Times New Roman"/>
        </w:rPr>
        <w:t xml:space="preserve"> sanction and remedy ‘</w:t>
      </w:r>
      <w:r w:rsidR="00FC2B74" w:rsidRPr="00FC2B74">
        <w:rPr>
          <w:rFonts w:eastAsia="Calibri" w:cs="Times New Roman"/>
        </w:rPr>
        <w:t xml:space="preserve">where business activities result in abuses of Covenant </w:t>
      </w:r>
      <w:proofErr w:type="gramStart"/>
      <w:r w:rsidR="00FC2B74" w:rsidRPr="00FC2B74">
        <w:rPr>
          <w:rFonts w:eastAsia="Calibri" w:cs="Times New Roman"/>
        </w:rPr>
        <w:t>rights</w:t>
      </w:r>
      <w:r w:rsidR="00FC2B74">
        <w:rPr>
          <w:rFonts w:eastAsia="Calibri" w:cs="Times New Roman"/>
        </w:rPr>
        <w:t>’</w:t>
      </w:r>
      <w:proofErr w:type="gramEnd"/>
      <w:r w:rsidR="00B64481" w:rsidRPr="00B3230B">
        <w:rPr>
          <w:rFonts w:eastAsia="Calibri" w:cs="Times New Roman"/>
        </w:rPr>
        <w:t>.</w:t>
      </w:r>
      <w:r w:rsidR="00B64481">
        <w:rPr>
          <w:rStyle w:val="FootnoteReference"/>
          <w:rFonts w:eastAsia="Calibri" w:cs="Times New Roman"/>
        </w:rPr>
        <w:footnoteReference w:id="63"/>
      </w:r>
      <w:r w:rsidR="00B64481" w:rsidRPr="00B3230B">
        <w:rPr>
          <w:rFonts w:eastAsia="Calibri" w:cs="Times New Roman"/>
        </w:rPr>
        <w:t xml:space="preserve"> The second is the need to regulate markets</w:t>
      </w:r>
      <w:r w:rsidR="00B64481">
        <w:rPr>
          <w:rFonts w:eastAsia="Calibri" w:cs="Times New Roman"/>
        </w:rPr>
        <w:t xml:space="preserve"> and market actors</w:t>
      </w:r>
      <w:r w:rsidR="00B64481" w:rsidRPr="00B3230B">
        <w:rPr>
          <w:rFonts w:eastAsia="Calibri" w:cs="Times New Roman"/>
        </w:rPr>
        <w:t>, such as: ‘</w:t>
      </w:r>
      <w:bookmarkStart w:id="15" w:name="_Hlk17948960"/>
      <w:proofErr w:type="spellStart"/>
      <w:r w:rsidR="00B64481" w:rsidRPr="00B3230B">
        <w:rPr>
          <w:rFonts w:eastAsia="Calibri" w:cs="Times New Roman"/>
        </w:rPr>
        <w:t>regulat</w:t>
      </w:r>
      <w:proofErr w:type="spellEnd"/>
      <w:r w:rsidR="00B64481" w:rsidRPr="00B3230B">
        <w:rPr>
          <w:rFonts w:eastAsia="Calibri" w:cs="Times New Roman"/>
        </w:rPr>
        <w:t>[</w:t>
      </w:r>
      <w:proofErr w:type="spellStart"/>
      <w:r w:rsidR="00B64481" w:rsidRPr="00B3230B">
        <w:rPr>
          <w:rFonts w:eastAsia="Calibri" w:cs="Times New Roman"/>
        </w:rPr>
        <w:t>ing</w:t>
      </w:r>
      <w:proofErr w:type="spellEnd"/>
      <w:r w:rsidR="00B64481" w:rsidRPr="00B3230B">
        <w:rPr>
          <w:rFonts w:eastAsia="Calibri" w:cs="Times New Roman"/>
        </w:rPr>
        <w:t>] the real estate market and the financial actors operating on that market so as to ensure access to affordable and adequate housing for all.</w:t>
      </w:r>
      <w:bookmarkEnd w:id="15"/>
      <w:r w:rsidR="00B64481" w:rsidRPr="00B3230B">
        <w:rPr>
          <w:rFonts w:eastAsia="Calibri" w:cs="Times New Roman"/>
        </w:rPr>
        <w:t>’</w:t>
      </w:r>
      <w:r w:rsidR="00B64481" w:rsidRPr="00B3230B">
        <w:rPr>
          <w:rFonts w:eastAsia="Calibri" w:cs="Times New Roman"/>
          <w:vertAlign w:val="superscript"/>
        </w:rPr>
        <w:footnoteReference w:id="64"/>
      </w:r>
      <w:r w:rsidR="00B64481" w:rsidRPr="00B3230B">
        <w:rPr>
          <w:rFonts w:eastAsia="Calibri" w:cs="Times New Roman"/>
        </w:rPr>
        <w:t xml:space="preserve"> </w:t>
      </w:r>
      <w:r w:rsidR="00B64481">
        <w:rPr>
          <w:rFonts w:eastAsia="Calibri" w:cs="Times New Roman"/>
        </w:rPr>
        <w:t>General Comment 24</w:t>
      </w:r>
      <w:r w:rsidR="00B64481" w:rsidRPr="00B3230B">
        <w:rPr>
          <w:rFonts w:eastAsia="Calibri" w:cs="Times New Roman"/>
        </w:rPr>
        <w:t xml:space="preserve"> also includes three policies that directly address profit and exploitation: </w:t>
      </w:r>
    </w:p>
    <w:p w14:paraId="354C13D0" w14:textId="77777777" w:rsidR="00B64481" w:rsidRPr="00B3230B" w:rsidRDefault="00B64481" w:rsidP="00CD184A">
      <w:pPr>
        <w:spacing w:line="360" w:lineRule="auto"/>
        <w:contextualSpacing/>
        <w:jc w:val="both"/>
        <w:rPr>
          <w:rFonts w:eastAsia="Calibri" w:cs="Times New Roman"/>
        </w:rPr>
      </w:pPr>
    </w:p>
    <w:p w14:paraId="42A0D8EC" w14:textId="77777777" w:rsidR="00B64481" w:rsidRPr="00B3230B" w:rsidRDefault="00B64481" w:rsidP="00CD184A">
      <w:pPr>
        <w:spacing w:line="360" w:lineRule="auto"/>
        <w:jc w:val="both"/>
        <w:rPr>
          <w:rFonts w:eastAsia="Calibri" w:cs="Times New Roman"/>
          <w:sz w:val="20"/>
          <w:szCs w:val="18"/>
        </w:rPr>
      </w:pPr>
      <w:bookmarkStart w:id="16" w:name="_Hlk17948986"/>
      <w:r w:rsidRPr="00B3230B">
        <w:rPr>
          <w:rFonts w:eastAsia="Calibri" w:cs="Times New Roman"/>
          <w:sz w:val="20"/>
          <w:szCs w:val="18"/>
        </w:rPr>
        <w:t>exercising rent control in the private housing market as required for the protection of everyone’s right to adequate housing</w:t>
      </w:r>
      <w:bookmarkEnd w:id="16"/>
      <w:r w:rsidRPr="00B3230B">
        <w:rPr>
          <w:rFonts w:eastAsia="Calibri" w:cs="Times New Roman"/>
          <w:sz w:val="20"/>
          <w:szCs w:val="18"/>
        </w:rPr>
        <w:t>; establishing a minimum wage consistent with a living wage and a fair remuneration… and gradually eliminating informal or “non-standard” (</w:t>
      </w:r>
      <w:proofErr w:type="gramStart"/>
      <w:r w:rsidRPr="00B3230B">
        <w:rPr>
          <w:rFonts w:eastAsia="Calibri" w:cs="Times New Roman"/>
          <w:sz w:val="20"/>
          <w:szCs w:val="18"/>
        </w:rPr>
        <w:t>i.e.</w:t>
      </w:r>
      <w:proofErr w:type="gramEnd"/>
      <w:r w:rsidRPr="00B3230B">
        <w:rPr>
          <w:rFonts w:eastAsia="Calibri" w:cs="Times New Roman"/>
          <w:sz w:val="20"/>
          <w:szCs w:val="18"/>
        </w:rPr>
        <w:t xml:space="preserve"> precarious) forms of employment.</w:t>
      </w:r>
      <w:r w:rsidRPr="00B3230B">
        <w:rPr>
          <w:rFonts w:eastAsia="Calibri" w:cs="Times New Roman"/>
          <w:sz w:val="20"/>
          <w:szCs w:val="18"/>
          <w:vertAlign w:val="superscript"/>
        </w:rPr>
        <w:footnoteReference w:id="65"/>
      </w:r>
    </w:p>
    <w:p w14:paraId="590BA92C" w14:textId="0DCFB9D5" w:rsidR="00B64481" w:rsidRDefault="00B64481" w:rsidP="00CD184A">
      <w:pPr>
        <w:spacing w:line="360" w:lineRule="auto"/>
        <w:contextualSpacing/>
        <w:jc w:val="both"/>
        <w:rPr>
          <w:rFonts w:eastAsia="Calibri" w:cs="Times New Roman"/>
        </w:rPr>
      </w:pPr>
      <w:r w:rsidRPr="00B3230B">
        <w:rPr>
          <w:rFonts w:eastAsia="Calibri" w:cs="Times New Roman"/>
        </w:rPr>
        <w:lastRenderedPageBreak/>
        <w:t xml:space="preserve">While some forms of regulation neatly fit </w:t>
      </w:r>
      <w:r w:rsidR="008D6208">
        <w:rPr>
          <w:rFonts w:eastAsia="Calibri" w:cs="Times New Roman"/>
        </w:rPr>
        <w:t>a harm prevention</w:t>
      </w:r>
      <w:r w:rsidR="00F450CC">
        <w:rPr>
          <w:rFonts w:eastAsia="Calibri" w:cs="Times New Roman"/>
        </w:rPr>
        <w:t>-</w:t>
      </w:r>
      <w:r w:rsidR="008D6208">
        <w:rPr>
          <w:rFonts w:eastAsia="Calibri" w:cs="Times New Roman"/>
        </w:rPr>
        <w:t xml:space="preserve">oriented </w:t>
      </w:r>
      <w:r w:rsidRPr="00B3230B">
        <w:rPr>
          <w:rFonts w:eastAsia="Calibri" w:cs="Times New Roman"/>
        </w:rPr>
        <w:t>‘protect’, such as limits on tobacco advertising,</w:t>
      </w:r>
      <w:r w:rsidRPr="00B3230B">
        <w:rPr>
          <w:rFonts w:eastAsia="Calibri" w:cs="Times New Roman"/>
          <w:vertAlign w:val="superscript"/>
        </w:rPr>
        <w:footnoteReference w:id="66"/>
      </w:r>
      <w:r w:rsidRPr="00B3230B">
        <w:rPr>
          <w:rFonts w:eastAsia="Calibri" w:cs="Times New Roman"/>
        </w:rPr>
        <w:t xml:space="preserve"> the examples </w:t>
      </w:r>
      <w:r>
        <w:rPr>
          <w:rFonts w:eastAsia="Calibri" w:cs="Times New Roman"/>
        </w:rPr>
        <w:t>above</w:t>
      </w:r>
      <w:r w:rsidRPr="00B3230B">
        <w:rPr>
          <w:rFonts w:eastAsia="Calibri" w:cs="Times New Roman"/>
        </w:rPr>
        <w:t xml:space="preserve"> </w:t>
      </w:r>
      <w:r>
        <w:rPr>
          <w:rFonts w:eastAsia="Calibri" w:cs="Times New Roman"/>
        </w:rPr>
        <w:t xml:space="preserve">appear to </w:t>
      </w:r>
      <w:r w:rsidRPr="00B3230B">
        <w:rPr>
          <w:rFonts w:eastAsia="Calibri" w:cs="Times New Roman"/>
        </w:rPr>
        <w:t xml:space="preserve">encroach on the obligation to fulfil. At least, that housing market regulation must ‘ensure access to affordable and adequate housing for all’ and </w:t>
      </w:r>
      <w:r w:rsidR="008C26C2">
        <w:rPr>
          <w:rFonts w:eastAsia="Calibri" w:cs="Times New Roman"/>
        </w:rPr>
        <w:t xml:space="preserve">establishing </w:t>
      </w:r>
      <w:r w:rsidRPr="00B3230B">
        <w:rPr>
          <w:rFonts w:eastAsia="Calibri" w:cs="Times New Roman"/>
        </w:rPr>
        <w:t>a living wage are obligations to fulfil. The CESCR’s logic appears to be that high rental prices</w:t>
      </w:r>
      <w:r>
        <w:rPr>
          <w:rFonts w:eastAsia="Calibri" w:cs="Times New Roman"/>
        </w:rPr>
        <w:t xml:space="preserve"> and low wages</w:t>
      </w:r>
      <w:r w:rsidRPr="00B3230B">
        <w:rPr>
          <w:rFonts w:eastAsia="Calibri" w:cs="Times New Roman"/>
        </w:rPr>
        <w:t xml:space="preserve"> (can) constitute </w:t>
      </w:r>
      <w:r>
        <w:rPr>
          <w:rFonts w:eastAsia="Calibri" w:cs="Times New Roman"/>
        </w:rPr>
        <w:t>an infringement of the relevant rights, thus invoking the duty to protect</w:t>
      </w:r>
      <w:r w:rsidRPr="00B3230B">
        <w:rPr>
          <w:rFonts w:eastAsia="Calibri" w:cs="Times New Roman"/>
        </w:rPr>
        <w:t xml:space="preserve">. </w:t>
      </w:r>
    </w:p>
    <w:p w14:paraId="1BA2C41A" w14:textId="77777777" w:rsidR="00C02321" w:rsidRPr="00B3230B" w:rsidRDefault="00C02321" w:rsidP="00CD184A">
      <w:pPr>
        <w:spacing w:line="360" w:lineRule="auto"/>
        <w:contextualSpacing/>
        <w:jc w:val="both"/>
        <w:rPr>
          <w:rFonts w:eastAsia="Calibri" w:cs="Times New Roman"/>
        </w:rPr>
      </w:pPr>
    </w:p>
    <w:p w14:paraId="0CDB8824" w14:textId="2EC17586" w:rsidR="006039F3" w:rsidRDefault="00B64481" w:rsidP="00CD184A">
      <w:pPr>
        <w:spacing w:line="360" w:lineRule="auto"/>
        <w:contextualSpacing/>
        <w:jc w:val="both"/>
        <w:rPr>
          <w:rFonts w:eastAsia="Calibri" w:cs="Times New Roman"/>
        </w:rPr>
      </w:pPr>
      <w:r w:rsidRPr="00B3230B">
        <w:rPr>
          <w:rFonts w:eastAsia="Calibri" w:cs="Times New Roman"/>
        </w:rPr>
        <w:t xml:space="preserve">This is true but does a disservice to the holistic rationale of the respect, protect, fulfil delineation. </w:t>
      </w:r>
      <w:r>
        <w:rPr>
          <w:rFonts w:eastAsia="Calibri" w:cs="Times New Roman"/>
        </w:rPr>
        <w:t xml:space="preserve">A national minimum wage consistent with a living wage simultaneously protects and fulfils the quantitative element of the right to fair remuneration. While General Comment 24 includes minimum wage only under protect, </w:t>
      </w:r>
      <w:r w:rsidRPr="00B91065">
        <w:rPr>
          <w:rFonts w:eastAsia="Calibri" w:cs="Times New Roman"/>
        </w:rPr>
        <w:t>General Comment 23, on the right to just and favourable conditions of work,</w:t>
      </w:r>
      <w:r w:rsidRPr="00B91065">
        <w:rPr>
          <w:rFonts w:eastAsia="Calibri" w:cs="Times New Roman"/>
          <w:lang w:val="en-GB"/>
        </w:rPr>
        <w:t xml:space="preserve"> </w:t>
      </w:r>
      <w:r w:rsidRPr="00B91065">
        <w:rPr>
          <w:rFonts w:eastAsia="Calibri" w:cs="Times New Roman"/>
        </w:rPr>
        <w:t xml:space="preserve">places minimum wage in both the protect and fulfil limbs. </w:t>
      </w:r>
      <w:r w:rsidRPr="00B91065">
        <w:rPr>
          <w:rFonts w:eastAsia="Calibri" w:cs="Times New Roman"/>
          <w:lang w:val="en-GB"/>
        </w:rPr>
        <w:t>‘</w:t>
      </w:r>
      <w:r w:rsidRPr="00B91065">
        <w:rPr>
          <w:rFonts w:eastAsia="Calibri" w:cs="Times New Roman"/>
        </w:rPr>
        <w:t>The obligation to protect requires that… legislation on minimum wage and minimum standards for working conditions, are adequate and effectively enforced.</w:t>
      </w:r>
      <w:r w:rsidRPr="00B91065">
        <w:rPr>
          <w:rFonts w:eastAsia="Calibri" w:cs="Times New Roman"/>
          <w:vertAlign w:val="superscript"/>
          <w:lang w:val="en-GB"/>
        </w:rPr>
        <w:footnoteReference w:id="67"/>
      </w:r>
      <w:r w:rsidRPr="00B91065">
        <w:rPr>
          <w:rFonts w:eastAsia="Calibri" w:cs="Times New Roman"/>
        </w:rPr>
        <w:t xml:space="preserve"> The General Comment also recalls the obligation to ‘facilitate’ as part of ‘fulfil’. This includes that ‘States parties should adopt positive measures to assist workers [including] a non-derogable minimum wage…’.</w:t>
      </w:r>
      <w:r w:rsidRPr="00B91065">
        <w:rPr>
          <w:rFonts w:eastAsia="Calibri" w:cs="Times New Roman"/>
          <w:vertAlign w:val="superscript"/>
        </w:rPr>
        <w:footnoteReference w:id="68"/>
      </w:r>
      <w:r w:rsidRPr="00B91065">
        <w:rPr>
          <w:rFonts w:eastAsia="Calibri" w:cs="Times New Roman"/>
        </w:rPr>
        <w:t xml:space="preserve"> </w:t>
      </w:r>
    </w:p>
    <w:p w14:paraId="4EC6707E" w14:textId="2DD6714F" w:rsidR="006039F3" w:rsidRDefault="006039F3" w:rsidP="00CD184A">
      <w:pPr>
        <w:spacing w:line="360" w:lineRule="auto"/>
        <w:contextualSpacing/>
        <w:jc w:val="both"/>
        <w:rPr>
          <w:rFonts w:eastAsia="Calibri" w:cs="Times New Roman"/>
        </w:rPr>
      </w:pPr>
    </w:p>
    <w:p w14:paraId="26141C57" w14:textId="551829B4" w:rsidR="005A6237" w:rsidRDefault="006039F3" w:rsidP="00CD184A">
      <w:pPr>
        <w:spacing w:line="360" w:lineRule="auto"/>
        <w:contextualSpacing/>
        <w:jc w:val="both"/>
        <w:rPr>
          <w:rFonts w:eastAsia="Calibri" w:cs="Times New Roman"/>
        </w:rPr>
      </w:pPr>
      <w:r>
        <w:rPr>
          <w:rFonts w:eastAsia="Calibri" w:cs="Times New Roman"/>
        </w:rPr>
        <w:t>This approach hints at a key distinction</w:t>
      </w:r>
      <w:r w:rsidR="000A4A2D">
        <w:rPr>
          <w:rFonts w:eastAsia="Calibri" w:cs="Times New Roman"/>
        </w:rPr>
        <w:t>, althou</w:t>
      </w:r>
      <w:r w:rsidR="00BB7993">
        <w:rPr>
          <w:rFonts w:eastAsia="Calibri" w:cs="Times New Roman"/>
        </w:rPr>
        <w:t>gh lacks clarity</w:t>
      </w:r>
      <w:r w:rsidR="004D4133">
        <w:rPr>
          <w:rFonts w:eastAsia="Calibri" w:cs="Times New Roman"/>
        </w:rPr>
        <w:t xml:space="preserve">. The obligation to protect requires that minimum wage laws </w:t>
      </w:r>
      <w:r w:rsidR="004B6607">
        <w:rPr>
          <w:rFonts w:eastAsia="Calibri" w:cs="Times New Roman"/>
        </w:rPr>
        <w:t>be</w:t>
      </w:r>
      <w:r w:rsidR="004D4133">
        <w:rPr>
          <w:rFonts w:eastAsia="Calibri" w:cs="Times New Roman"/>
        </w:rPr>
        <w:t xml:space="preserve"> ‘effectively enforced’</w:t>
      </w:r>
      <w:r w:rsidR="0002794D">
        <w:rPr>
          <w:rFonts w:eastAsia="Calibri" w:cs="Times New Roman"/>
        </w:rPr>
        <w:t>.</w:t>
      </w:r>
      <w:r w:rsidR="004B6607">
        <w:rPr>
          <w:rFonts w:eastAsia="Calibri" w:cs="Times New Roman"/>
        </w:rPr>
        <w:t xml:space="preserve"> </w:t>
      </w:r>
      <w:r w:rsidR="00BB7993">
        <w:rPr>
          <w:rFonts w:eastAsia="Calibri" w:cs="Times New Roman"/>
        </w:rPr>
        <w:t xml:space="preserve">The obligation to fulfil </w:t>
      </w:r>
      <w:r w:rsidR="00FA28BB">
        <w:rPr>
          <w:rFonts w:eastAsia="Calibri" w:cs="Times New Roman"/>
        </w:rPr>
        <w:t xml:space="preserve">covers ‘positive measures to assist workers’ such as minimum wage laws. </w:t>
      </w:r>
      <w:r w:rsidR="005B2D34">
        <w:rPr>
          <w:rFonts w:eastAsia="Calibri" w:cs="Times New Roman"/>
        </w:rPr>
        <w:t xml:space="preserve">To provide distinct content within each limb and keep </w:t>
      </w:r>
      <w:r w:rsidR="001775D6">
        <w:rPr>
          <w:rFonts w:eastAsia="Calibri" w:cs="Times New Roman"/>
        </w:rPr>
        <w:t>each limb within their historic remit, this paper suggest</w:t>
      </w:r>
      <w:r w:rsidR="006A6DF3">
        <w:rPr>
          <w:rFonts w:eastAsia="Calibri" w:cs="Times New Roman"/>
        </w:rPr>
        <w:t>s</w:t>
      </w:r>
      <w:r w:rsidR="001775D6">
        <w:rPr>
          <w:rFonts w:eastAsia="Calibri" w:cs="Times New Roman"/>
        </w:rPr>
        <w:t xml:space="preserve"> that </w:t>
      </w:r>
      <w:r w:rsidR="006A6DF3">
        <w:rPr>
          <w:rFonts w:eastAsia="Calibri" w:cs="Times New Roman"/>
        </w:rPr>
        <w:t>t</w:t>
      </w:r>
      <w:r w:rsidR="00FA28BB" w:rsidRPr="00FA28BB">
        <w:rPr>
          <w:rFonts w:eastAsia="Calibri" w:cs="Times New Roman"/>
        </w:rPr>
        <w:t>he role of ‘protect’, based on preventing ‘infringements’, regard</w:t>
      </w:r>
      <w:r w:rsidR="006A6DF3">
        <w:rPr>
          <w:rFonts w:eastAsia="Calibri" w:cs="Times New Roman"/>
        </w:rPr>
        <w:t>ing</w:t>
      </w:r>
      <w:r w:rsidR="00FA28BB" w:rsidRPr="00FA28BB">
        <w:rPr>
          <w:rFonts w:eastAsia="Calibri" w:cs="Times New Roman"/>
        </w:rPr>
        <w:t xml:space="preserve"> minimum wage </w:t>
      </w:r>
      <w:r w:rsidR="00E20B5E">
        <w:rPr>
          <w:rFonts w:eastAsia="Calibri" w:cs="Times New Roman"/>
        </w:rPr>
        <w:t>should cover</w:t>
      </w:r>
      <w:r w:rsidR="00FA28BB" w:rsidRPr="00FA28BB">
        <w:rPr>
          <w:rFonts w:eastAsia="Calibri" w:cs="Times New Roman"/>
        </w:rPr>
        <w:t xml:space="preserve"> the framework of supportive laws and remedies for breach of minimum wage rules. </w:t>
      </w:r>
      <w:r w:rsidR="0005196F">
        <w:rPr>
          <w:rFonts w:eastAsia="Calibri" w:cs="Times New Roman"/>
        </w:rPr>
        <w:t xml:space="preserve">This is an obligation to </w:t>
      </w:r>
      <w:r w:rsidR="007C36F2">
        <w:rPr>
          <w:rFonts w:eastAsia="Calibri" w:cs="Times New Roman"/>
        </w:rPr>
        <w:t>effectively prevent any breaches of minimum wage rules</w:t>
      </w:r>
      <w:r w:rsidR="009A57AA">
        <w:rPr>
          <w:rFonts w:eastAsia="Calibri" w:cs="Times New Roman"/>
        </w:rPr>
        <w:t xml:space="preserve"> by employers.</w:t>
      </w:r>
      <w:r w:rsidR="005818EE">
        <w:rPr>
          <w:rFonts w:eastAsia="Calibri" w:cs="Times New Roman"/>
        </w:rPr>
        <w:t xml:space="preserve"> This aligns well with</w:t>
      </w:r>
      <w:r w:rsidR="00B9057C">
        <w:rPr>
          <w:rFonts w:eastAsia="Calibri" w:cs="Times New Roman"/>
        </w:rPr>
        <w:t xml:space="preserve"> the key historic rationale of the obligation as</w:t>
      </w:r>
      <w:r w:rsidR="005818EE">
        <w:rPr>
          <w:rFonts w:eastAsia="Calibri" w:cs="Times New Roman"/>
        </w:rPr>
        <w:t xml:space="preserve"> </w:t>
      </w:r>
      <w:r w:rsidR="00B9057C">
        <w:rPr>
          <w:rFonts w:eastAsia="Calibri" w:cs="Times New Roman"/>
        </w:rPr>
        <w:t>‘preventing infringements’ by third parties.</w:t>
      </w:r>
      <w:r w:rsidR="009A57AA">
        <w:rPr>
          <w:rFonts w:eastAsia="Calibri" w:cs="Times New Roman"/>
        </w:rPr>
        <w:t xml:space="preserve"> </w:t>
      </w:r>
      <w:r w:rsidR="00E400AD">
        <w:rPr>
          <w:rFonts w:eastAsia="Calibri" w:cs="Times New Roman"/>
        </w:rPr>
        <w:t>The obligation to fulfil should then be reserved for more focused attention on the quantitative value of the minimum wage</w:t>
      </w:r>
      <w:r w:rsidR="00842F03">
        <w:rPr>
          <w:rFonts w:eastAsia="Calibri" w:cs="Times New Roman"/>
        </w:rPr>
        <w:t>.</w:t>
      </w:r>
      <w:r w:rsidR="00E400AD">
        <w:rPr>
          <w:rFonts w:eastAsia="Calibri" w:cs="Times New Roman"/>
        </w:rPr>
        <w:t xml:space="preserve"> </w:t>
      </w:r>
      <w:r w:rsidR="005F364A">
        <w:rPr>
          <w:rFonts w:eastAsia="Calibri" w:cs="Times New Roman"/>
        </w:rPr>
        <w:t xml:space="preserve">This creates separate spaces to discuss the two key aspects of a minimum wage, </w:t>
      </w:r>
      <w:r w:rsidR="00761480">
        <w:rPr>
          <w:rFonts w:eastAsia="Calibri" w:cs="Times New Roman"/>
        </w:rPr>
        <w:t xml:space="preserve">its enforcement and </w:t>
      </w:r>
      <w:r w:rsidR="005F364A">
        <w:rPr>
          <w:rFonts w:eastAsia="Calibri" w:cs="Times New Roman"/>
        </w:rPr>
        <w:t>its value</w:t>
      </w:r>
      <w:r w:rsidR="00EF5911">
        <w:rPr>
          <w:rFonts w:eastAsia="Calibri" w:cs="Times New Roman"/>
        </w:rPr>
        <w:t xml:space="preserve">, following the act/outcome distinction. </w:t>
      </w:r>
      <w:r w:rsidR="00CE3D6D">
        <w:rPr>
          <w:rFonts w:eastAsia="Calibri" w:cs="Times New Roman"/>
        </w:rPr>
        <w:t>‘Protect’</w:t>
      </w:r>
      <w:r w:rsidR="003652F4">
        <w:rPr>
          <w:rFonts w:eastAsia="Calibri" w:cs="Times New Roman"/>
        </w:rPr>
        <w:t xml:space="preserve"> requires monitoring the </w:t>
      </w:r>
      <w:r w:rsidR="0078095B">
        <w:rPr>
          <w:rFonts w:eastAsia="Calibri" w:cs="Times New Roman"/>
        </w:rPr>
        <w:t>full range of possi</w:t>
      </w:r>
      <w:r w:rsidR="00CE3D6D">
        <w:rPr>
          <w:rFonts w:eastAsia="Calibri" w:cs="Times New Roman"/>
        </w:rPr>
        <w:t>ble wage breaches</w:t>
      </w:r>
      <w:r w:rsidR="006C6A5C">
        <w:rPr>
          <w:rFonts w:eastAsia="Calibri" w:cs="Times New Roman"/>
        </w:rPr>
        <w:t xml:space="preserve">, the scope of which have mushroomed with growing </w:t>
      </w:r>
      <w:r w:rsidR="00564818">
        <w:rPr>
          <w:rFonts w:eastAsia="Calibri" w:cs="Times New Roman"/>
        </w:rPr>
        <w:t xml:space="preserve">outsourcing, </w:t>
      </w:r>
      <w:r w:rsidR="006C6A5C">
        <w:rPr>
          <w:rFonts w:eastAsia="Calibri" w:cs="Times New Roman"/>
        </w:rPr>
        <w:t xml:space="preserve">insecure work, </w:t>
      </w:r>
      <w:r w:rsidR="003E4608">
        <w:rPr>
          <w:rFonts w:eastAsia="Calibri" w:cs="Times New Roman"/>
        </w:rPr>
        <w:t>subcontracting</w:t>
      </w:r>
      <w:r w:rsidR="00FB14AB">
        <w:rPr>
          <w:rFonts w:eastAsia="Calibri" w:cs="Times New Roman"/>
        </w:rPr>
        <w:t>, and off-</w:t>
      </w:r>
      <w:r w:rsidR="00FB14AB">
        <w:rPr>
          <w:rFonts w:eastAsia="Calibri" w:cs="Times New Roman"/>
        </w:rPr>
        <w:lastRenderedPageBreak/>
        <w:t>site work</w:t>
      </w:r>
      <w:r w:rsidR="00761480">
        <w:rPr>
          <w:rFonts w:eastAsia="Calibri" w:cs="Times New Roman"/>
        </w:rPr>
        <w:t>,</w:t>
      </w:r>
      <w:r w:rsidR="005156C0">
        <w:rPr>
          <w:rStyle w:val="FootnoteReference"/>
          <w:rFonts w:eastAsia="Calibri" w:cs="Times New Roman"/>
        </w:rPr>
        <w:footnoteReference w:id="69"/>
      </w:r>
      <w:r w:rsidR="00761480">
        <w:rPr>
          <w:rFonts w:eastAsia="Calibri" w:cs="Times New Roman"/>
        </w:rPr>
        <w:t xml:space="preserve"> and requires detailed regulatory oversight.</w:t>
      </w:r>
      <w:r w:rsidR="00564818">
        <w:rPr>
          <w:rFonts w:eastAsia="Calibri" w:cs="Times New Roman"/>
        </w:rPr>
        <w:t xml:space="preserve"> </w:t>
      </w:r>
      <w:r w:rsidR="003E4608">
        <w:rPr>
          <w:rFonts w:eastAsia="Calibri" w:cs="Times New Roman"/>
        </w:rPr>
        <w:t xml:space="preserve">‘Fulfil’ </w:t>
      </w:r>
      <w:r w:rsidR="00CE1AFF">
        <w:rPr>
          <w:rFonts w:eastAsia="Calibri" w:cs="Times New Roman"/>
        </w:rPr>
        <w:t>can then be reserved for concrete obligations regarding the exact quantitative requirements in each jurisdiction</w:t>
      </w:r>
      <w:r w:rsidR="005156C0">
        <w:rPr>
          <w:rFonts w:eastAsia="Calibri" w:cs="Times New Roman"/>
        </w:rPr>
        <w:t>, including regional variations</w:t>
      </w:r>
      <w:r w:rsidR="00CE1AFF">
        <w:rPr>
          <w:rFonts w:eastAsia="Calibri" w:cs="Times New Roman"/>
        </w:rPr>
        <w:t>.</w:t>
      </w:r>
      <w:r w:rsidR="00674152">
        <w:rPr>
          <w:rFonts w:eastAsia="Calibri" w:cs="Times New Roman"/>
        </w:rPr>
        <w:t xml:space="preserve"> </w:t>
      </w:r>
    </w:p>
    <w:p w14:paraId="43DCB7A8" w14:textId="408E2814" w:rsidR="001D00EA" w:rsidRDefault="001D00EA" w:rsidP="00CD184A">
      <w:pPr>
        <w:spacing w:line="360" w:lineRule="auto"/>
        <w:contextualSpacing/>
        <w:jc w:val="both"/>
        <w:rPr>
          <w:rFonts w:eastAsia="Calibri" w:cs="Times New Roman"/>
        </w:rPr>
      </w:pPr>
    </w:p>
    <w:p w14:paraId="0096D3FD" w14:textId="1640C2B5" w:rsidR="00B209B2" w:rsidRPr="007958DF" w:rsidRDefault="001D00EA" w:rsidP="007958DF">
      <w:pPr>
        <w:spacing w:line="360" w:lineRule="auto"/>
        <w:contextualSpacing/>
        <w:jc w:val="both"/>
        <w:rPr>
          <w:rFonts w:eastAsia="Calibri" w:cs="Times New Roman"/>
        </w:rPr>
      </w:pPr>
      <w:r>
        <w:rPr>
          <w:rFonts w:eastAsia="Calibri" w:cs="Times New Roman"/>
        </w:rPr>
        <w:t xml:space="preserve">This is not to say that an inadequate </w:t>
      </w:r>
      <w:r w:rsidR="007A49F6">
        <w:rPr>
          <w:rFonts w:eastAsia="Calibri" w:cs="Times New Roman"/>
        </w:rPr>
        <w:t>minimum wage is not also a failure to protect, as noted, it</w:t>
      </w:r>
      <w:r w:rsidR="00B42988">
        <w:rPr>
          <w:rFonts w:eastAsia="Calibri" w:cs="Times New Roman"/>
        </w:rPr>
        <w:t xml:space="preserve">s quantitative value is relevant to both limbs. </w:t>
      </w:r>
      <w:r w:rsidR="00F873C6">
        <w:rPr>
          <w:rFonts w:eastAsia="Calibri" w:cs="Times New Roman"/>
        </w:rPr>
        <w:t xml:space="preserve">A business can breach its responsibility to respect under the UNGPs by </w:t>
      </w:r>
      <w:r w:rsidR="002832AE">
        <w:rPr>
          <w:rFonts w:eastAsia="Calibri" w:cs="Times New Roman"/>
        </w:rPr>
        <w:t>paying national minimum wage where the value is set below basic needs.</w:t>
      </w:r>
      <w:r w:rsidR="005A6237">
        <w:rPr>
          <w:rStyle w:val="FootnoteReference"/>
          <w:rFonts w:eastAsia="Calibri" w:cs="Times New Roman"/>
        </w:rPr>
        <w:footnoteReference w:id="70"/>
      </w:r>
      <w:r w:rsidR="002832AE">
        <w:rPr>
          <w:rFonts w:eastAsia="Calibri" w:cs="Times New Roman"/>
        </w:rPr>
        <w:t xml:space="preserve"> </w:t>
      </w:r>
      <w:r w:rsidR="00F02C73">
        <w:rPr>
          <w:rFonts w:eastAsia="Calibri" w:cs="Times New Roman"/>
        </w:rPr>
        <w:t xml:space="preserve">It is not doctrinally incorrect to include the value under ‘protect’, and if the CESCR </w:t>
      </w:r>
      <w:r w:rsidR="00325CD9">
        <w:rPr>
          <w:rFonts w:eastAsia="Calibri" w:cs="Times New Roman"/>
        </w:rPr>
        <w:t>believes that a particular context warrants this</w:t>
      </w:r>
      <w:r w:rsidR="00D537BC">
        <w:rPr>
          <w:rFonts w:eastAsia="Calibri" w:cs="Times New Roman"/>
        </w:rPr>
        <w:t>,</w:t>
      </w:r>
      <w:r w:rsidR="00325CD9">
        <w:rPr>
          <w:rFonts w:eastAsia="Calibri" w:cs="Times New Roman"/>
        </w:rPr>
        <w:t xml:space="preserve"> the option remains. Nonetheless, as a general principle</w:t>
      </w:r>
      <w:r w:rsidR="00B525C0">
        <w:rPr>
          <w:rFonts w:eastAsia="Calibri" w:cs="Times New Roman"/>
        </w:rPr>
        <w:t>, the delineation above provides unique content to each limb as per their historic scope</w:t>
      </w:r>
      <w:r w:rsidR="006B3800">
        <w:rPr>
          <w:rFonts w:eastAsia="Calibri" w:cs="Times New Roman"/>
        </w:rPr>
        <w:t>, keeping ‘protect’ focused on enf</w:t>
      </w:r>
      <w:r w:rsidR="00700B0B">
        <w:rPr>
          <w:rFonts w:eastAsia="Calibri" w:cs="Times New Roman"/>
        </w:rPr>
        <w:t xml:space="preserve">orcing rules adequately, and ‘fulfil’ focused on ensuring outcomes. </w:t>
      </w:r>
      <w:r w:rsidR="00AE625E">
        <w:rPr>
          <w:rFonts w:eastAsia="Calibri" w:cs="Times New Roman"/>
        </w:rPr>
        <w:t>As noted, one benefit of this approach is to provide more focused attention on those ‘business act</w:t>
      </w:r>
      <w:r w:rsidR="00EA450E">
        <w:rPr>
          <w:rFonts w:eastAsia="Calibri" w:cs="Times New Roman"/>
        </w:rPr>
        <w:t>ivities</w:t>
      </w:r>
      <w:r w:rsidR="00AE625E">
        <w:rPr>
          <w:rFonts w:eastAsia="Calibri" w:cs="Times New Roman"/>
        </w:rPr>
        <w:t xml:space="preserve">’ which infringe </w:t>
      </w:r>
      <w:r w:rsidR="00884403">
        <w:rPr>
          <w:rFonts w:eastAsia="Calibri" w:cs="Times New Roman"/>
        </w:rPr>
        <w:t>rights</w:t>
      </w:r>
      <w:r w:rsidR="00EA450E">
        <w:rPr>
          <w:rFonts w:eastAsia="Calibri" w:cs="Times New Roman"/>
        </w:rPr>
        <w:t xml:space="preserve">. </w:t>
      </w:r>
      <w:r w:rsidR="00B64481">
        <w:rPr>
          <w:rFonts w:eastAsia="Calibri" w:cs="Times New Roman"/>
        </w:rPr>
        <w:t>This is the topic</w:t>
      </w:r>
      <w:r w:rsidR="00851601">
        <w:rPr>
          <w:rFonts w:eastAsia="Calibri" w:cs="Times New Roman"/>
        </w:rPr>
        <w:t xml:space="preserve"> is further elaborated in </w:t>
      </w:r>
      <w:r w:rsidR="00B64481">
        <w:rPr>
          <w:rFonts w:eastAsia="Calibri" w:cs="Times New Roman"/>
        </w:rPr>
        <w:t xml:space="preserve">the next section. </w:t>
      </w:r>
    </w:p>
    <w:p w14:paraId="734F2220" w14:textId="1CDEB5AD" w:rsidR="00F56424" w:rsidRDefault="00F56424" w:rsidP="00CD184A">
      <w:pPr>
        <w:pStyle w:val="ListParagraph"/>
        <w:numPr>
          <w:ilvl w:val="2"/>
          <w:numId w:val="6"/>
        </w:numPr>
        <w:jc w:val="both"/>
      </w:pPr>
      <w:r>
        <w:t>What Constitutes ‘Business Activities’?</w:t>
      </w:r>
    </w:p>
    <w:p w14:paraId="5513C230" w14:textId="77777777" w:rsidR="00927492" w:rsidRDefault="00927492" w:rsidP="00CD184A">
      <w:pPr>
        <w:pStyle w:val="ListParagraph"/>
        <w:jc w:val="both"/>
      </w:pPr>
    </w:p>
    <w:p w14:paraId="743FB1B2" w14:textId="185275E0" w:rsidR="00002712" w:rsidRDefault="00F8314D" w:rsidP="00CD184A">
      <w:pPr>
        <w:spacing w:line="360" w:lineRule="auto"/>
        <w:contextualSpacing/>
        <w:jc w:val="both"/>
        <w:rPr>
          <w:rFonts w:eastAsia="Calibri" w:cs="Times New Roman"/>
        </w:rPr>
      </w:pPr>
      <w:r>
        <w:rPr>
          <w:rFonts w:eastAsia="Calibri" w:cs="Times New Roman"/>
        </w:rPr>
        <w:t xml:space="preserve">General Comment 24 phrases the obligation to ‘protect’ as to prevent infringements ‘in the context of business </w:t>
      </w:r>
      <w:proofErr w:type="gramStart"/>
      <w:r>
        <w:rPr>
          <w:rFonts w:eastAsia="Calibri" w:cs="Times New Roman"/>
        </w:rPr>
        <w:t>activities’</w:t>
      </w:r>
      <w:proofErr w:type="gramEnd"/>
      <w:r>
        <w:rPr>
          <w:rFonts w:eastAsia="Calibri" w:cs="Times New Roman"/>
        </w:rPr>
        <w:t xml:space="preserve">. This is deliberately broad, sensibly, </w:t>
      </w:r>
      <w:r w:rsidR="008F0D94">
        <w:rPr>
          <w:rFonts w:eastAsia="Calibri" w:cs="Times New Roman"/>
        </w:rPr>
        <w:t>to</w:t>
      </w:r>
      <w:r>
        <w:rPr>
          <w:rFonts w:eastAsia="Calibri" w:cs="Times New Roman"/>
        </w:rPr>
        <w:t xml:space="preserve"> be non-exclusionary, but in analysing the scope it is worth discussing priorities and focal points. This section uses the example of two practices that affect access to housing, </w:t>
      </w:r>
      <w:r w:rsidR="004D41CA">
        <w:rPr>
          <w:rFonts w:eastAsia="Calibri" w:cs="Times New Roman"/>
        </w:rPr>
        <w:t>land hoarding</w:t>
      </w:r>
      <w:r w:rsidR="00002841">
        <w:rPr>
          <w:rFonts w:eastAsia="Calibri" w:cs="Times New Roman"/>
        </w:rPr>
        <w:t xml:space="preserve"> </w:t>
      </w:r>
      <w:r>
        <w:rPr>
          <w:rFonts w:eastAsia="Calibri" w:cs="Times New Roman"/>
        </w:rPr>
        <w:t xml:space="preserve">and </w:t>
      </w:r>
      <w:r w:rsidR="004D41CA">
        <w:rPr>
          <w:rFonts w:eastAsia="Calibri" w:cs="Times New Roman"/>
        </w:rPr>
        <w:t>rent control</w:t>
      </w:r>
      <w:r w:rsidR="000166C8">
        <w:rPr>
          <w:rFonts w:eastAsia="Calibri" w:cs="Times New Roman"/>
        </w:rPr>
        <w:t>,</w:t>
      </w:r>
      <w:r w:rsidR="00607E6C">
        <w:rPr>
          <w:rFonts w:eastAsia="Calibri" w:cs="Times New Roman"/>
        </w:rPr>
        <w:t xml:space="preserve"> </w:t>
      </w:r>
      <w:r>
        <w:rPr>
          <w:rFonts w:eastAsia="Calibri" w:cs="Times New Roman"/>
        </w:rPr>
        <w:t xml:space="preserve">to show that 1) the former practice </w:t>
      </w:r>
      <w:r w:rsidR="00A665A4">
        <w:rPr>
          <w:rFonts w:eastAsia="Calibri" w:cs="Times New Roman"/>
        </w:rPr>
        <w:t xml:space="preserve">is definitively a harmful business practice </w:t>
      </w:r>
      <w:r w:rsidR="00AD62AE">
        <w:rPr>
          <w:rFonts w:eastAsia="Calibri" w:cs="Times New Roman"/>
        </w:rPr>
        <w:t xml:space="preserve">that </w:t>
      </w:r>
      <w:r>
        <w:rPr>
          <w:rFonts w:eastAsia="Calibri" w:cs="Times New Roman"/>
        </w:rPr>
        <w:t xml:space="preserve">requires human rights critique and can only fall under ‘protect’, and 2) that the latter practice </w:t>
      </w:r>
      <w:r w:rsidR="00700B0B">
        <w:rPr>
          <w:rFonts w:eastAsia="Calibri" w:cs="Times New Roman"/>
        </w:rPr>
        <w:t xml:space="preserve">is </w:t>
      </w:r>
      <w:r>
        <w:rPr>
          <w:rFonts w:eastAsia="Calibri" w:cs="Times New Roman"/>
        </w:rPr>
        <w:t>better suited to ‘fulfil’. This delineates the pillars and builds distinct content into each.</w:t>
      </w:r>
      <w:r w:rsidR="000166C8">
        <w:rPr>
          <w:rFonts w:eastAsia="Calibri" w:cs="Times New Roman"/>
        </w:rPr>
        <w:t xml:space="preserve"> </w:t>
      </w:r>
    </w:p>
    <w:p w14:paraId="6D259A82" w14:textId="56A570BA" w:rsidR="00C40ABA" w:rsidRDefault="00C40ABA" w:rsidP="00CD184A">
      <w:pPr>
        <w:spacing w:line="360" w:lineRule="auto"/>
        <w:contextualSpacing/>
        <w:jc w:val="both"/>
        <w:rPr>
          <w:rFonts w:eastAsia="Calibri" w:cs="Times New Roman"/>
        </w:rPr>
      </w:pPr>
    </w:p>
    <w:p w14:paraId="23E26105" w14:textId="7AC9CEFC" w:rsidR="00C40ABA" w:rsidRDefault="000A0546" w:rsidP="00CD184A">
      <w:pPr>
        <w:spacing w:line="360" w:lineRule="auto"/>
        <w:contextualSpacing/>
        <w:jc w:val="both"/>
        <w:rPr>
          <w:rFonts w:eastAsia="Calibri" w:cs="Times New Roman"/>
        </w:rPr>
      </w:pPr>
      <w:r>
        <w:rPr>
          <w:rFonts w:eastAsia="Calibri" w:cs="Times New Roman"/>
        </w:rPr>
        <w:t xml:space="preserve">Land hoarding is a </w:t>
      </w:r>
      <w:r w:rsidR="00640FA4">
        <w:rPr>
          <w:rFonts w:eastAsia="Calibri" w:cs="Times New Roman"/>
        </w:rPr>
        <w:t>common</w:t>
      </w:r>
      <w:r>
        <w:rPr>
          <w:rFonts w:eastAsia="Calibri" w:cs="Times New Roman"/>
        </w:rPr>
        <w:t xml:space="preserve"> business practice designed to increase the value of current developments by not developing other areas of land under the developer’s ownership.</w:t>
      </w:r>
      <w:r w:rsidRPr="001B4571">
        <w:rPr>
          <w:rFonts w:eastAsia="Calibri" w:cs="Times New Roman"/>
          <w:vertAlign w:val="superscript"/>
        </w:rPr>
        <w:footnoteReference w:id="71"/>
      </w:r>
      <w:r w:rsidRPr="001B4571">
        <w:rPr>
          <w:rFonts w:eastAsia="Calibri" w:cs="Times New Roman"/>
        </w:rPr>
        <w:t xml:space="preserve"> </w:t>
      </w:r>
      <w:r w:rsidR="00C40ABA">
        <w:rPr>
          <w:rFonts w:eastAsia="Calibri" w:cs="Times New Roman"/>
        </w:rPr>
        <w:t xml:space="preserve">‘Protect’ covers infringements related to business activities, but </w:t>
      </w:r>
      <w:r w:rsidR="00056FAA">
        <w:rPr>
          <w:rFonts w:eastAsia="Calibri" w:cs="Times New Roman"/>
        </w:rPr>
        <w:t xml:space="preserve">land hoarding </w:t>
      </w:r>
      <w:r w:rsidR="00640FA4">
        <w:rPr>
          <w:rFonts w:eastAsia="Calibri" w:cs="Times New Roman"/>
        </w:rPr>
        <w:t>is n</w:t>
      </w:r>
      <w:r w:rsidR="00056FAA">
        <w:rPr>
          <w:rFonts w:eastAsia="Calibri" w:cs="Times New Roman"/>
        </w:rPr>
        <w:t>ever mentioned in Concluding Observations,</w:t>
      </w:r>
      <w:r w:rsidR="00E553D9">
        <w:rPr>
          <w:rFonts w:eastAsia="Calibri" w:cs="Times New Roman"/>
        </w:rPr>
        <w:t xml:space="preserve"> nor in relevant General Comments</w:t>
      </w:r>
      <w:r w:rsidR="006450FB">
        <w:rPr>
          <w:rFonts w:eastAsia="Calibri" w:cs="Times New Roman"/>
        </w:rPr>
        <w:t>,</w:t>
      </w:r>
      <w:r w:rsidR="006450FB">
        <w:rPr>
          <w:rStyle w:val="FootnoteReference"/>
          <w:rFonts w:eastAsia="Calibri" w:cs="Times New Roman"/>
        </w:rPr>
        <w:footnoteReference w:id="72"/>
      </w:r>
      <w:r w:rsidR="00E553D9">
        <w:rPr>
          <w:rFonts w:eastAsia="Calibri" w:cs="Times New Roman"/>
        </w:rPr>
        <w:t xml:space="preserve"> </w:t>
      </w:r>
      <w:r w:rsidR="00056FAA">
        <w:rPr>
          <w:rFonts w:eastAsia="Calibri" w:cs="Times New Roman"/>
        </w:rPr>
        <w:t xml:space="preserve">despite </w:t>
      </w:r>
      <w:r w:rsidR="00267E69">
        <w:rPr>
          <w:rFonts w:eastAsia="Calibri" w:cs="Times New Roman"/>
        </w:rPr>
        <w:t xml:space="preserve">being </w:t>
      </w:r>
      <w:r w:rsidR="00267E69">
        <w:rPr>
          <w:rFonts w:eastAsia="Calibri" w:cs="Times New Roman"/>
        </w:rPr>
        <w:lastRenderedPageBreak/>
        <w:t xml:space="preserve">frequently criticized and despite </w:t>
      </w:r>
      <w:r w:rsidR="00056FAA">
        <w:rPr>
          <w:rFonts w:eastAsia="Calibri" w:cs="Times New Roman"/>
        </w:rPr>
        <w:t xml:space="preserve">most housing markets being </w:t>
      </w:r>
      <w:r w:rsidR="00844E79">
        <w:rPr>
          <w:rFonts w:eastAsia="Calibri" w:cs="Times New Roman"/>
        </w:rPr>
        <w:t>dominated by business actors.</w:t>
      </w:r>
      <w:r w:rsidR="00267E69">
        <w:rPr>
          <w:rStyle w:val="FootnoteReference"/>
          <w:rFonts w:eastAsia="Calibri" w:cs="Times New Roman"/>
        </w:rPr>
        <w:footnoteReference w:id="73"/>
      </w:r>
      <w:r w:rsidR="00844E79">
        <w:rPr>
          <w:rFonts w:eastAsia="Calibri" w:cs="Times New Roman"/>
        </w:rPr>
        <w:t xml:space="preserve"> </w:t>
      </w:r>
      <w:r w:rsidR="000C6FD3">
        <w:rPr>
          <w:rFonts w:eastAsia="Calibri" w:cs="Times New Roman"/>
        </w:rPr>
        <w:t>It appears that</w:t>
      </w:r>
      <w:r w:rsidR="00DD61FA">
        <w:rPr>
          <w:rFonts w:eastAsia="Calibri" w:cs="Times New Roman"/>
        </w:rPr>
        <w:t xml:space="preserve"> actual</w:t>
      </w:r>
      <w:r w:rsidR="000C6FD3">
        <w:rPr>
          <w:rFonts w:eastAsia="Calibri" w:cs="Times New Roman"/>
        </w:rPr>
        <w:t xml:space="preserve"> ‘business activities’ are marginalized</w:t>
      </w:r>
      <w:r w:rsidR="00DD61FA">
        <w:rPr>
          <w:rFonts w:eastAsia="Calibri" w:cs="Times New Roman"/>
        </w:rPr>
        <w:t xml:space="preserve"> in favour of state policies that operate ‘in the context of business activities’, such as rent control. </w:t>
      </w:r>
      <w:r w:rsidR="0052157E">
        <w:rPr>
          <w:rFonts w:eastAsia="Calibri" w:cs="Times New Roman"/>
        </w:rPr>
        <w:t>This lack of attention to business acts causes a significant gap in oversight.</w:t>
      </w:r>
      <w:r w:rsidR="00206AEA">
        <w:rPr>
          <w:rFonts w:eastAsia="Calibri" w:cs="Times New Roman"/>
        </w:rPr>
        <w:t xml:space="preserve"> The ex-UNSR on the right to housing, Leilani Farha, has explored numerous </w:t>
      </w:r>
      <w:r w:rsidR="005D1AB8">
        <w:rPr>
          <w:rFonts w:eastAsia="Calibri" w:cs="Times New Roman"/>
        </w:rPr>
        <w:t>harmful business activities around the world.</w:t>
      </w:r>
      <w:r w:rsidR="005D1AB8">
        <w:rPr>
          <w:rStyle w:val="FootnoteReference"/>
          <w:rFonts w:eastAsia="Calibri" w:cs="Times New Roman"/>
        </w:rPr>
        <w:footnoteReference w:id="74"/>
      </w:r>
      <w:r w:rsidR="005D1AB8">
        <w:rPr>
          <w:rFonts w:eastAsia="Calibri" w:cs="Times New Roman"/>
        </w:rPr>
        <w:t xml:space="preserve"> Land hoarding provides an example of an issue that should be highlighted by the CESCR on the grounds that it is common</w:t>
      </w:r>
      <w:r w:rsidR="00FC6B1D">
        <w:rPr>
          <w:rFonts w:eastAsia="Calibri" w:cs="Times New Roman"/>
        </w:rPr>
        <w:t xml:space="preserve"> and</w:t>
      </w:r>
      <w:r w:rsidR="005D1AB8">
        <w:rPr>
          <w:rFonts w:eastAsia="Calibri" w:cs="Times New Roman"/>
        </w:rPr>
        <w:t xml:space="preserve"> </w:t>
      </w:r>
      <w:r w:rsidR="0077244C">
        <w:rPr>
          <w:rFonts w:eastAsia="Calibri" w:cs="Times New Roman"/>
        </w:rPr>
        <w:t xml:space="preserve">creates a severe, and purposeful, risk to </w:t>
      </w:r>
      <w:r w:rsidR="00FC6B1D">
        <w:rPr>
          <w:rFonts w:eastAsia="Calibri" w:cs="Times New Roman"/>
        </w:rPr>
        <w:t xml:space="preserve">affordability. </w:t>
      </w:r>
      <w:r w:rsidR="00880AB1">
        <w:rPr>
          <w:rFonts w:eastAsia="Calibri" w:cs="Times New Roman"/>
        </w:rPr>
        <w:t>To protect the right to housing, the CESCR and State parties need to pay muc</w:t>
      </w:r>
      <w:r w:rsidR="00E91E65">
        <w:rPr>
          <w:rFonts w:eastAsia="Calibri" w:cs="Times New Roman"/>
        </w:rPr>
        <w:t>h more attention to such business practices</w:t>
      </w:r>
      <w:r w:rsidR="00F83064">
        <w:rPr>
          <w:rFonts w:eastAsia="Calibri" w:cs="Times New Roman"/>
        </w:rPr>
        <w:t>. H</w:t>
      </w:r>
      <w:r w:rsidR="00E91E65">
        <w:rPr>
          <w:rFonts w:eastAsia="Calibri" w:cs="Times New Roman"/>
        </w:rPr>
        <w:t xml:space="preserve">ighlighting their regulation and prohibition as the core element of the obligation to protect would </w:t>
      </w:r>
      <w:r w:rsidR="00F83064">
        <w:rPr>
          <w:rFonts w:eastAsia="Calibri" w:cs="Times New Roman"/>
        </w:rPr>
        <w:t xml:space="preserve">help to achieve this. </w:t>
      </w:r>
    </w:p>
    <w:p w14:paraId="259F769A" w14:textId="7195AF62" w:rsidR="001F7DD2" w:rsidRDefault="001F7DD2" w:rsidP="00CD184A">
      <w:pPr>
        <w:spacing w:line="360" w:lineRule="auto"/>
        <w:contextualSpacing/>
        <w:jc w:val="both"/>
        <w:rPr>
          <w:rFonts w:eastAsia="Calibri" w:cs="Times New Roman"/>
        </w:rPr>
      </w:pPr>
    </w:p>
    <w:p w14:paraId="7ED9592B" w14:textId="021D0CF3" w:rsidR="00036818" w:rsidRDefault="000A0546" w:rsidP="00BD077A">
      <w:pPr>
        <w:spacing w:line="360" w:lineRule="auto"/>
        <w:contextualSpacing/>
        <w:jc w:val="both"/>
        <w:rPr>
          <w:rFonts w:eastAsia="Calibri" w:cs="Times New Roman"/>
        </w:rPr>
      </w:pPr>
      <w:r>
        <w:rPr>
          <w:rFonts w:eastAsia="Calibri" w:cs="Times New Roman"/>
        </w:rPr>
        <w:t>The CESCR frequently cite homelessness and housing-related poverty in Concluding Observations, and frequently suggest rent control as a possible solution.</w:t>
      </w:r>
      <w:r w:rsidR="00C55B58">
        <w:rPr>
          <w:rStyle w:val="FootnoteReference"/>
          <w:rFonts w:eastAsia="Calibri" w:cs="Times New Roman"/>
        </w:rPr>
        <w:footnoteReference w:id="75"/>
      </w:r>
      <w:r>
        <w:rPr>
          <w:rFonts w:eastAsia="Calibri" w:cs="Times New Roman"/>
        </w:rPr>
        <w:t xml:space="preserve"> </w:t>
      </w:r>
      <w:r w:rsidR="001F7DD2" w:rsidRPr="001F7DD2">
        <w:rPr>
          <w:rFonts w:eastAsia="Calibri" w:cs="Times New Roman"/>
          <w:lang w:val="en-GB"/>
        </w:rPr>
        <w:t xml:space="preserve">Rent control to address rising homelessness and housing-related poverty would fulfil, or limit the retrogression of, the right to housing on the criterion of affordability. </w:t>
      </w:r>
      <w:r w:rsidR="00784558">
        <w:rPr>
          <w:rFonts w:eastAsia="Calibri" w:cs="Times New Roman"/>
        </w:rPr>
        <w:t xml:space="preserve">While rent control does operate </w:t>
      </w:r>
      <w:r w:rsidR="00784558" w:rsidRPr="008648AB">
        <w:rPr>
          <w:rFonts w:eastAsia="Calibri" w:cs="Times New Roman"/>
        </w:rPr>
        <w:t>‘in the context of business activities’</w:t>
      </w:r>
      <w:r w:rsidR="00784558">
        <w:rPr>
          <w:rFonts w:eastAsia="Calibri" w:cs="Times New Roman"/>
        </w:rPr>
        <w:t>, it has a logical home under ‘fulfil’</w:t>
      </w:r>
      <w:r w:rsidR="003B3927">
        <w:rPr>
          <w:rFonts w:eastAsia="Calibri" w:cs="Times New Roman"/>
        </w:rPr>
        <w:t xml:space="preserve"> </w:t>
      </w:r>
      <w:r w:rsidR="001F7DD2" w:rsidRPr="001F7DD2">
        <w:rPr>
          <w:rFonts w:eastAsia="Calibri" w:cs="Times New Roman"/>
          <w:lang w:val="en-GB"/>
        </w:rPr>
        <w:t xml:space="preserve">since it involves regulation designed to improve quantitative outcomes based on rights-holder need. </w:t>
      </w:r>
      <w:r w:rsidR="00200197">
        <w:rPr>
          <w:rFonts w:eastAsia="Calibri" w:cs="Times New Roman"/>
          <w:lang w:val="en-GB"/>
        </w:rPr>
        <w:t xml:space="preserve">In that it </w:t>
      </w:r>
      <w:r w:rsidR="00C94E8B">
        <w:rPr>
          <w:rFonts w:eastAsia="Calibri" w:cs="Times New Roman"/>
          <w:lang w:val="en-GB"/>
        </w:rPr>
        <w:t>potentially covers all landlords</w:t>
      </w:r>
      <w:r w:rsidR="00F54D23">
        <w:rPr>
          <w:rFonts w:eastAsia="Calibri" w:cs="Times New Roman"/>
          <w:lang w:val="en-GB"/>
        </w:rPr>
        <w:t xml:space="preserve"> it is not addressing any specific business activity, but rather unaffordable market rates</w:t>
      </w:r>
      <w:r w:rsidR="00653D75">
        <w:rPr>
          <w:rFonts w:eastAsia="Calibri" w:cs="Times New Roman"/>
          <w:lang w:val="en-GB"/>
        </w:rPr>
        <w:t xml:space="preserve">. </w:t>
      </w:r>
      <w:r w:rsidR="001F7DD2" w:rsidRPr="001F7DD2">
        <w:rPr>
          <w:rFonts w:eastAsia="Calibri" w:cs="Times New Roman"/>
          <w:lang w:val="en-GB"/>
        </w:rPr>
        <w:t>Placing it under ‘fulfil’ may also expand the normative scope of the obligation, beyond preventing the continued retrogression of access to housing through unaffordability and toward creating universal affordable housing.</w:t>
      </w:r>
      <w:r w:rsidR="00BD077A" w:rsidRPr="00BD077A">
        <w:rPr>
          <w:rFonts w:eastAsia="Calibri" w:cs="Times New Roman"/>
        </w:rPr>
        <w:t xml:space="preserve"> This paper therefore argues that, while noting the protective element of rent control, such policies have a more natural home under fulfil, leaving ‘protect’ open to address </w:t>
      </w:r>
      <w:r w:rsidR="00B07304">
        <w:rPr>
          <w:rFonts w:eastAsia="Calibri" w:cs="Times New Roman"/>
        </w:rPr>
        <w:t xml:space="preserve">business acts </w:t>
      </w:r>
      <w:r w:rsidR="00BD077A" w:rsidRPr="00BD077A">
        <w:rPr>
          <w:rFonts w:eastAsia="Calibri" w:cs="Times New Roman"/>
        </w:rPr>
        <w:t xml:space="preserve">such as land hoarding. </w:t>
      </w:r>
    </w:p>
    <w:p w14:paraId="4B137653" w14:textId="1AE79081" w:rsidR="00036818" w:rsidRDefault="00036818" w:rsidP="00BD077A">
      <w:pPr>
        <w:spacing w:line="360" w:lineRule="auto"/>
        <w:contextualSpacing/>
        <w:jc w:val="both"/>
        <w:rPr>
          <w:rFonts w:eastAsia="Calibri" w:cs="Times New Roman"/>
        </w:rPr>
      </w:pPr>
    </w:p>
    <w:p w14:paraId="3B388D1E" w14:textId="295B85B9" w:rsidR="00BD077A" w:rsidRPr="00BD077A" w:rsidRDefault="00036818" w:rsidP="00BD077A">
      <w:pPr>
        <w:spacing w:line="360" w:lineRule="auto"/>
        <w:contextualSpacing/>
        <w:jc w:val="both"/>
        <w:rPr>
          <w:rFonts w:eastAsia="Calibri" w:cs="Times New Roman"/>
        </w:rPr>
      </w:pPr>
      <w:r>
        <w:rPr>
          <w:rFonts w:eastAsia="Calibri" w:cs="Times New Roman"/>
        </w:rPr>
        <w:t xml:space="preserve">This </w:t>
      </w:r>
      <w:r w:rsidR="00180DA0">
        <w:rPr>
          <w:rFonts w:eastAsia="Calibri" w:cs="Times New Roman"/>
        </w:rPr>
        <w:t xml:space="preserve">approach </w:t>
      </w:r>
      <w:r w:rsidR="005E5E15">
        <w:rPr>
          <w:rFonts w:eastAsia="Calibri" w:cs="Times New Roman"/>
        </w:rPr>
        <w:t xml:space="preserve">is also coherent with </w:t>
      </w:r>
      <w:r w:rsidR="00B153CB">
        <w:rPr>
          <w:rFonts w:eastAsia="Calibri" w:cs="Times New Roman"/>
        </w:rPr>
        <w:t>the rapidly developing norm of</w:t>
      </w:r>
      <w:r w:rsidR="005E5E15">
        <w:rPr>
          <w:rFonts w:eastAsia="Calibri" w:cs="Times New Roman"/>
        </w:rPr>
        <w:t xml:space="preserve"> human rights due diligence</w:t>
      </w:r>
      <w:r w:rsidR="00500376">
        <w:rPr>
          <w:rFonts w:eastAsia="Calibri" w:cs="Times New Roman"/>
        </w:rPr>
        <w:t xml:space="preserve">, legal </w:t>
      </w:r>
      <w:r w:rsidR="00674947">
        <w:rPr>
          <w:rFonts w:eastAsia="Calibri" w:cs="Times New Roman"/>
        </w:rPr>
        <w:t xml:space="preserve">enforcement of </w:t>
      </w:r>
      <w:r w:rsidR="00500376">
        <w:rPr>
          <w:rFonts w:eastAsia="Calibri" w:cs="Times New Roman"/>
        </w:rPr>
        <w:t>which the CESCR include as part of the state obligation to protect</w:t>
      </w:r>
      <w:r w:rsidR="00674947">
        <w:rPr>
          <w:rFonts w:eastAsia="Calibri" w:cs="Times New Roman"/>
        </w:rPr>
        <w:t>.</w:t>
      </w:r>
      <w:r w:rsidR="00674947">
        <w:rPr>
          <w:rStyle w:val="FootnoteReference"/>
          <w:rFonts w:eastAsia="Calibri" w:cs="Times New Roman"/>
        </w:rPr>
        <w:footnoteReference w:id="76"/>
      </w:r>
      <w:r w:rsidR="00674947">
        <w:rPr>
          <w:rFonts w:eastAsia="Calibri" w:cs="Times New Roman"/>
        </w:rPr>
        <w:t xml:space="preserve"> </w:t>
      </w:r>
      <w:r w:rsidR="0085391D">
        <w:rPr>
          <w:rFonts w:eastAsia="Calibri" w:cs="Times New Roman"/>
        </w:rPr>
        <w:t>While it is coherent under the UNGPs to argue that unaffordable market rents can constitute a breach</w:t>
      </w:r>
      <w:r w:rsidR="00200F80" w:rsidRPr="00200F80">
        <w:rPr>
          <w:rFonts w:eastAsia="Calibri" w:cs="Times New Roman"/>
        </w:rPr>
        <w:t xml:space="preserve"> </w:t>
      </w:r>
      <w:r w:rsidR="00200F80">
        <w:rPr>
          <w:rFonts w:eastAsia="Calibri" w:cs="Times New Roman"/>
        </w:rPr>
        <w:t>of the corporate responsibility to respect</w:t>
      </w:r>
      <w:r w:rsidR="00274C00">
        <w:rPr>
          <w:rFonts w:eastAsia="Calibri" w:cs="Times New Roman"/>
        </w:rPr>
        <w:t xml:space="preserve">, under a legislated </w:t>
      </w:r>
      <w:r w:rsidR="00761A89">
        <w:rPr>
          <w:rFonts w:eastAsia="Calibri" w:cs="Times New Roman"/>
        </w:rPr>
        <w:t>human rights due diligence framework</w:t>
      </w:r>
      <w:r w:rsidR="00486A33">
        <w:rPr>
          <w:rFonts w:eastAsia="Calibri" w:cs="Times New Roman"/>
        </w:rPr>
        <w:t xml:space="preserve"> it is unlikely that high market rents charged by private actors would constitute a </w:t>
      </w:r>
      <w:r w:rsidR="00486A33">
        <w:rPr>
          <w:rFonts w:eastAsia="Calibri" w:cs="Times New Roman"/>
        </w:rPr>
        <w:lastRenderedPageBreak/>
        <w:t>breach.</w:t>
      </w:r>
      <w:r w:rsidR="00842E12">
        <w:rPr>
          <w:rStyle w:val="FootnoteReference"/>
          <w:rFonts w:eastAsia="Calibri" w:cs="Times New Roman"/>
        </w:rPr>
        <w:footnoteReference w:id="77"/>
      </w:r>
      <w:r w:rsidR="00486A33">
        <w:rPr>
          <w:rFonts w:eastAsia="Calibri" w:cs="Times New Roman"/>
        </w:rPr>
        <w:t xml:space="preserve"> T</w:t>
      </w:r>
      <w:r w:rsidR="00842E12">
        <w:rPr>
          <w:rFonts w:eastAsia="Calibri" w:cs="Times New Roman"/>
        </w:rPr>
        <w:t xml:space="preserve">o determine fair rent levels </w:t>
      </w:r>
      <w:r w:rsidR="00486A33">
        <w:rPr>
          <w:rFonts w:eastAsia="Calibri" w:cs="Times New Roman"/>
        </w:rPr>
        <w:t>would be onerous requirement on individual landlords, a</w:t>
      </w:r>
      <w:r w:rsidR="00E5750A">
        <w:rPr>
          <w:rFonts w:eastAsia="Calibri" w:cs="Times New Roman"/>
        </w:rPr>
        <w:t xml:space="preserve">nd such questions should be determined by the state and passed on as rules that businesses should follow. </w:t>
      </w:r>
      <w:r w:rsidR="00842E12">
        <w:rPr>
          <w:rFonts w:eastAsia="Calibri" w:cs="Times New Roman"/>
        </w:rPr>
        <w:t>More overt business acts such as purchasing land for the sole purpose of ensuring its non-development is much more easily constructed as a breach of t</w:t>
      </w:r>
      <w:r w:rsidR="0067137B">
        <w:rPr>
          <w:rFonts w:eastAsia="Calibri" w:cs="Times New Roman"/>
        </w:rPr>
        <w:t xml:space="preserve">he responsibility to respect, and an act that a company </w:t>
      </w:r>
      <w:r w:rsidR="005C6255">
        <w:rPr>
          <w:rFonts w:eastAsia="Calibri" w:cs="Times New Roman"/>
        </w:rPr>
        <w:t xml:space="preserve">seeking to avoid causing or contributing to adverse human rights impacts should </w:t>
      </w:r>
      <w:r w:rsidR="00086E0A">
        <w:rPr>
          <w:rFonts w:eastAsia="Calibri" w:cs="Times New Roman"/>
        </w:rPr>
        <w:t>not undertake</w:t>
      </w:r>
      <w:r w:rsidR="005C6255">
        <w:rPr>
          <w:rFonts w:eastAsia="Calibri" w:cs="Times New Roman"/>
        </w:rPr>
        <w:t>.</w:t>
      </w:r>
      <w:r w:rsidR="005C6255">
        <w:rPr>
          <w:rStyle w:val="FootnoteReference"/>
          <w:rFonts w:eastAsia="Calibri" w:cs="Times New Roman"/>
        </w:rPr>
        <w:footnoteReference w:id="78"/>
      </w:r>
      <w:r w:rsidR="00653D75">
        <w:rPr>
          <w:rFonts w:eastAsia="Calibri" w:cs="Times New Roman"/>
        </w:rPr>
        <w:t xml:space="preserve"> </w:t>
      </w:r>
      <w:r w:rsidR="00BD077A" w:rsidRPr="00BD077A">
        <w:rPr>
          <w:rFonts w:eastAsia="Calibri" w:cs="Times New Roman"/>
        </w:rPr>
        <w:t xml:space="preserve">The </w:t>
      </w:r>
      <w:r w:rsidR="00B07304">
        <w:rPr>
          <w:rFonts w:eastAsia="Calibri" w:cs="Times New Roman"/>
        </w:rPr>
        <w:t xml:space="preserve">next section addresses </w:t>
      </w:r>
      <w:r w:rsidR="00B15E07">
        <w:rPr>
          <w:rFonts w:eastAsia="Calibri" w:cs="Times New Roman"/>
        </w:rPr>
        <w:t xml:space="preserve">the </w:t>
      </w:r>
      <w:r w:rsidR="00BD077A" w:rsidRPr="00BD077A">
        <w:rPr>
          <w:rFonts w:eastAsia="Calibri" w:cs="Times New Roman"/>
        </w:rPr>
        <w:t xml:space="preserve">scope and limits of </w:t>
      </w:r>
      <w:r w:rsidR="00CD5338">
        <w:rPr>
          <w:rFonts w:eastAsia="Calibri" w:cs="Times New Roman"/>
        </w:rPr>
        <w:t xml:space="preserve">a </w:t>
      </w:r>
      <w:r w:rsidR="00BD077A" w:rsidRPr="00BD077A">
        <w:rPr>
          <w:rFonts w:eastAsia="Calibri" w:cs="Times New Roman"/>
        </w:rPr>
        <w:t xml:space="preserve">‘protect’ </w:t>
      </w:r>
      <w:r w:rsidR="007374F5">
        <w:rPr>
          <w:rFonts w:eastAsia="Calibri" w:cs="Times New Roman"/>
        </w:rPr>
        <w:t>limb geared around specific business acts, i.e. what business acts are within</w:t>
      </w:r>
      <w:r w:rsidR="00CD5338">
        <w:rPr>
          <w:rFonts w:eastAsia="Calibri" w:cs="Times New Roman"/>
        </w:rPr>
        <w:t xml:space="preserve"> or beyond the scope of ‘protect’?</w:t>
      </w:r>
      <w:r w:rsidR="00BD077A" w:rsidRPr="00BD077A">
        <w:rPr>
          <w:rFonts w:eastAsia="Calibri" w:cs="Times New Roman"/>
        </w:rPr>
        <w:t xml:space="preserve"> </w:t>
      </w:r>
    </w:p>
    <w:p w14:paraId="3DF3B0A5" w14:textId="77777777" w:rsidR="00B209B2" w:rsidRDefault="00B209B2" w:rsidP="00CD184A">
      <w:pPr>
        <w:jc w:val="both"/>
      </w:pPr>
    </w:p>
    <w:p w14:paraId="3DF24DAC" w14:textId="54283901" w:rsidR="00F56424" w:rsidRDefault="00F56424" w:rsidP="00CD184A">
      <w:pPr>
        <w:pStyle w:val="ListParagraph"/>
        <w:numPr>
          <w:ilvl w:val="2"/>
          <w:numId w:val="6"/>
        </w:numPr>
        <w:jc w:val="both"/>
      </w:pPr>
      <w:r>
        <w:t xml:space="preserve">What </w:t>
      </w:r>
      <w:r w:rsidR="00566950">
        <w:t>Constitutes an ‘Infringement’ by Business Actors</w:t>
      </w:r>
      <w:r>
        <w:t>?</w:t>
      </w:r>
    </w:p>
    <w:p w14:paraId="56444AE0" w14:textId="7543AA7B" w:rsidR="00927492" w:rsidRDefault="00927492" w:rsidP="00CD184A">
      <w:pPr>
        <w:jc w:val="both"/>
      </w:pPr>
    </w:p>
    <w:p w14:paraId="0F8DC455" w14:textId="5D7469BC" w:rsidR="00BD4452" w:rsidRDefault="00BD4452" w:rsidP="00CD184A">
      <w:pPr>
        <w:spacing w:line="360" w:lineRule="auto"/>
        <w:contextualSpacing/>
        <w:jc w:val="both"/>
        <w:rPr>
          <w:rFonts w:eastAsia="Calibri" w:cs="Times New Roman"/>
        </w:rPr>
      </w:pPr>
      <w:r>
        <w:rPr>
          <w:rFonts w:eastAsia="Calibri" w:cs="Times New Roman"/>
        </w:rPr>
        <w:t xml:space="preserve">So far, the case has been made that there is an inadequate distinction between protect and fulfil when discussing marketized rights, that this </w:t>
      </w:r>
      <w:proofErr w:type="gramStart"/>
      <w:r>
        <w:rPr>
          <w:rFonts w:eastAsia="Calibri" w:cs="Times New Roman"/>
        </w:rPr>
        <w:t>lead</w:t>
      </w:r>
      <w:proofErr w:type="gramEnd"/>
      <w:r>
        <w:rPr>
          <w:rFonts w:eastAsia="Calibri" w:cs="Times New Roman"/>
        </w:rPr>
        <w:t xml:space="preserve"> to overtly harmful business practices being ignored by the CESCR, and that separating protect and fulfil according to an act/outcome distinction can be useful. </w:t>
      </w:r>
      <w:r w:rsidR="00840266">
        <w:rPr>
          <w:rFonts w:eastAsia="Calibri" w:cs="Times New Roman"/>
        </w:rPr>
        <w:t>Because marketization leads to business actors’ holding powerful structural positions in rights relevant markets</w:t>
      </w:r>
      <w:r w:rsidR="00AE4872">
        <w:rPr>
          <w:rFonts w:eastAsia="Calibri" w:cs="Times New Roman"/>
        </w:rPr>
        <w:t xml:space="preserve">, they may adversely impact rights through </w:t>
      </w:r>
      <w:r w:rsidR="00E15381">
        <w:rPr>
          <w:rFonts w:eastAsia="Calibri" w:cs="Times New Roman"/>
        </w:rPr>
        <w:t xml:space="preserve">numerous means, including some indirect activities. </w:t>
      </w:r>
      <w:r>
        <w:rPr>
          <w:rFonts w:eastAsia="Calibri" w:cs="Times New Roman"/>
        </w:rPr>
        <w:t>This leads to a question over the scope</w:t>
      </w:r>
      <w:r w:rsidR="00E15381">
        <w:rPr>
          <w:rFonts w:eastAsia="Calibri" w:cs="Times New Roman"/>
        </w:rPr>
        <w:t xml:space="preserve"> and limits</w:t>
      </w:r>
      <w:r>
        <w:rPr>
          <w:rFonts w:eastAsia="Calibri" w:cs="Times New Roman"/>
        </w:rPr>
        <w:t xml:space="preserve"> of ‘infringements’ by business. </w:t>
      </w:r>
    </w:p>
    <w:p w14:paraId="4CB1B151" w14:textId="77777777" w:rsidR="00BD4452" w:rsidRDefault="00BD4452" w:rsidP="00CD184A">
      <w:pPr>
        <w:spacing w:line="360" w:lineRule="auto"/>
        <w:contextualSpacing/>
        <w:jc w:val="both"/>
        <w:rPr>
          <w:rFonts w:eastAsia="Calibri" w:cs="Times New Roman"/>
        </w:rPr>
      </w:pPr>
    </w:p>
    <w:p w14:paraId="57EC525B" w14:textId="6E3BEAA2" w:rsidR="00BD4452" w:rsidRDefault="00BD4452" w:rsidP="00CD184A">
      <w:pPr>
        <w:spacing w:line="360" w:lineRule="auto"/>
        <w:contextualSpacing/>
        <w:jc w:val="both"/>
        <w:rPr>
          <w:rFonts w:eastAsia="Calibri" w:cs="Times New Roman"/>
        </w:rPr>
      </w:pPr>
      <w:r>
        <w:rPr>
          <w:rFonts w:eastAsia="Calibri" w:cs="Times New Roman"/>
        </w:rPr>
        <w:t>There is ample evidence that ‘protect’ entails protecting the right in a comprehensive sense, but the limits are not well explored. General Comment 24 gives some examples, including that the</w:t>
      </w:r>
      <w:r w:rsidRPr="00F734BC">
        <w:rPr>
          <w:rFonts w:eastAsia="Calibri" w:cs="Times New Roman"/>
        </w:rPr>
        <w:t xml:space="preserve"> obligation to protect entails ‘direct regulation and intervention’.</w:t>
      </w:r>
      <w:r w:rsidRPr="00F734BC">
        <w:rPr>
          <w:rFonts w:eastAsia="Calibri" w:cs="Times New Roman"/>
          <w:vertAlign w:val="superscript"/>
        </w:rPr>
        <w:footnoteReference w:id="79"/>
      </w:r>
      <w:r w:rsidRPr="00F734BC">
        <w:rPr>
          <w:rFonts w:eastAsia="Calibri" w:cs="Times New Roman"/>
        </w:rPr>
        <w:t xml:space="preserve"> This includes limits on marketing of tobacco and breast-milk substitutes and active interventions to prevent gender discrimination</w:t>
      </w:r>
      <w:r>
        <w:rPr>
          <w:rFonts w:eastAsia="Calibri" w:cs="Times New Roman"/>
        </w:rPr>
        <w:t>.</w:t>
      </w:r>
      <w:r w:rsidRPr="00F734BC">
        <w:rPr>
          <w:rFonts w:eastAsia="Calibri" w:cs="Times New Roman"/>
          <w:vertAlign w:val="superscript"/>
        </w:rPr>
        <w:footnoteReference w:id="80"/>
      </w:r>
      <w:r>
        <w:rPr>
          <w:rFonts w:eastAsia="Calibri" w:cs="Times New Roman"/>
        </w:rPr>
        <w:t xml:space="preserve"> Further examples include</w:t>
      </w:r>
      <w:r w:rsidRPr="00F734BC">
        <w:rPr>
          <w:sz w:val="20"/>
          <w:szCs w:val="18"/>
        </w:rPr>
        <w:t xml:space="preserve"> </w:t>
      </w:r>
      <w:r>
        <w:rPr>
          <w:sz w:val="20"/>
          <w:szCs w:val="18"/>
        </w:rPr>
        <w:t>‘</w:t>
      </w:r>
      <w:r w:rsidRPr="00F734BC">
        <w:rPr>
          <w:rFonts w:eastAsia="Calibri" w:cs="Times New Roman"/>
        </w:rPr>
        <w:t>lowering the criteria for approving new medicines… granting exploration and exploitation permits for natural resources without giving due consideration to the potential adverse impacts of such activities on the individual and on communitie</w:t>
      </w:r>
      <w:r>
        <w:rPr>
          <w:rFonts w:eastAsia="Calibri" w:cs="Times New Roman"/>
        </w:rPr>
        <w:t>s’ enjoyment of Covenant rights.’</w:t>
      </w:r>
      <w:r>
        <w:rPr>
          <w:rStyle w:val="FootnoteReference"/>
          <w:rFonts w:eastAsia="Calibri" w:cs="Times New Roman"/>
        </w:rPr>
        <w:footnoteReference w:id="81"/>
      </w:r>
      <w:r>
        <w:rPr>
          <w:rFonts w:eastAsia="Calibri" w:cs="Times New Roman"/>
        </w:rPr>
        <w:t xml:space="preserve"> </w:t>
      </w:r>
      <w:r w:rsidRPr="00FC3CCE">
        <w:rPr>
          <w:rFonts w:eastAsia="Calibri" w:cs="Times New Roman"/>
        </w:rPr>
        <w:t xml:space="preserve">The CESCR makes similar comments in </w:t>
      </w:r>
      <w:r w:rsidRPr="00FC3CCE">
        <w:rPr>
          <w:rFonts w:eastAsia="Calibri" w:cs="Times New Roman"/>
        </w:rPr>
        <w:lastRenderedPageBreak/>
        <w:t xml:space="preserve">relation to the right to water, to sexual health, and elsewhere cited herein. </w:t>
      </w:r>
      <w:r w:rsidRPr="00E30AC1">
        <w:rPr>
          <w:rFonts w:cs="Times New Roman"/>
          <w:szCs w:val="24"/>
        </w:rPr>
        <w:t xml:space="preserve">General Comment 14 on the right to health cites extensive </w:t>
      </w:r>
      <w:r>
        <w:rPr>
          <w:rFonts w:cs="Times New Roman"/>
          <w:szCs w:val="24"/>
        </w:rPr>
        <w:t>protect obligations, including ‘</w:t>
      </w:r>
      <w:r w:rsidRPr="00E30AC1">
        <w:rPr>
          <w:rFonts w:cs="Times New Roman"/>
          <w:szCs w:val="20"/>
        </w:rPr>
        <w:t xml:space="preserve">to ensure that privatization of the health sector does not constitute a threat to the availability, accessibility, acceptability and quality of health facilities, goods and </w:t>
      </w:r>
      <w:proofErr w:type="gramStart"/>
      <w:r w:rsidRPr="00E30AC1">
        <w:rPr>
          <w:rFonts w:cs="Times New Roman"/>
          <w:szCs w:val="20"/>
        </w:rPr>
        <w:t>services</w:t>
      </w:r>
      <w:r>
        <w:rPr>
          <w:rFonts w:cs="Times New Roman"/>
          <w:szCs w:val="20"/>
        </w:rPr>
        <w:t>’</w:t>
      </w:r>
      <w:proofErr w:type="gramEnd"/>
      <w:r>
        <w:rPr>
          <w:rFonts w:cs="Times New Roman"/>
          <w:szCs w:val="20"/>
        </w:rPr>
        <w:t>.</w:t>
      </w:r>
      <w:bookmarkStart w:id="17" w:name="_Ref27136791"/>
      <w:r w:rsidRPr="00E30AC1">
        <w:rPr>
          <w:rFonts w:cs="Times New Roman"/>
          <w:szCs w:val="20"/>
          <w:vertAlign w:val="superscript"/>
        </w:rPr>
        <w:footnoteReference w:id="82"/>
      </w:r>
      <w:bookmarkEnd w:id="17"/>
      <w:r w:rsidRPr="00B9219D">
        <w:rPr>
          <w:rFonts w:eastAsia="Calibri" w:cs="Times New Roman"/>
        </w:rPr>
        <w:t xml:space="preserve"> </w:t>
      </w:r>
      <w:r>
        <w:rPr>
          <w:rFonts w:eastAsia="Calibri" w:cs="Times New Roman"/>
        </w:rPr>
        <w:t xml:space="preserve">This demonstrates the comprehensive nature of ‘protect’: privatization must not threaten the availability of healthcare on any metric. Any act by a private healthcare provider that reduces access to healthcare </w:t>
      </w:r>
      <w:r w:rsidRPr="005A66C3">
        <w:rPr>
          <w:rFonts w:eastAsia="Calibri" w:cs="Times New Roman"/>
          <w:i/>
        </w:rPr>
        <w:t>prima facie</w:t>
      </w:r>
      <w:r>
        <w:rPr>
          <w:rFonts w:eastAsia="Calibri" w:cs="Times New Roman"/>
        </w:rPr>
        <w:t xml:space="preserve"> constitutes a </w:t>
      </w:r>
      <w:r w:rsidR="008F4C1B">
        <w:rPr>
          <w:rFonts w:eastAsia="Calibri" w:cs="Times New Roman"/>
        </w:rPr>
        <w:t>failure</w:t>
      </w:r>
      <w:r>
        <w:rPr>
          <w:rFonts w:eastAsia="Calibri" w:cs="Times New Roman"/>
        </w:rPr>
        <w:t xml:space="preserve"> of the state to protect and all such acts must be protected against. This obligation entails </w:t>
      </w:r>
      <w:proofErr w:type="gramStart"/>
      <w:r>
        <w:rPr>
          <w:rFonts w:eastAsia="Calibri" w:cs="Times New Roman"/>
        </w:rPr>
        <w:t>that states</w:t>
      </w:r>
      <w:proofErr w:type="gramEnd"/>
      <w:r>
        <w:rPr>
          <w:rFonts w:eastAsia="Calibri" w:cs="Times New Roman"/>
        </w:rPr>
        <w:t xml:space="preserve"> pay close attention to specific business tactics designed to profit from exploitation, which may well operate in legal gaps and grey areas. The vision of ‘protect’ entailing the prevention of all harmful business practices extends beyond privatized services. General Comment 24 states that:</w:t>
      </w:r>
    </w:p>
    <w:p w14:paraId="0BA540BE" w14:textId="77777777" w:rsidR="00355E82" w:rsidRDefault="00355E82" w:rsidP="00CD184A">
      <w:pPr>
        <w:spacing w:line="360" w:lineRule="auto"/>
        <w:contextualSpacing/>
        <w:jc w:val="both"/>
        <w:rPr>
          <w:rFonts w:eastAsia="Calibri" w:cs="Times New Roman"/>
        </w:rPr>
      </w:pPr>
    </w:p>
    <w:p w14:paraId="139FBC76" w14:textId="77777777" w:rsidR="00BD4452" w:rsidRPr="00B9219D" w:rsidRDefault="00BD4452" w:rsidP="00CD184A">
      <w:pPr>
        <w:spacing w:line="360" w:lineRule="auto"/>
        <w:jc w:val="both"/>
        <w:rPr>
          <w:sz w:val="20"/>
          <w:szCs w:val="18"/>
        </w:rPr>
      </w:pPr>
      <w:r w:rsidRPr="007B0439">
        <w:rPr>
          <w:sz w:val="20"/>
          <w:szCs w:val="18"/>
        </w:rPr>
        <w:t xml:space="preserve">The Committee is particularly concerned that goods and services that are necessary for the enjoyment of basic economic, social and cultural rights may become less affordable as a result of such goods and services being provided by the private sector, or that quality may be sacrificed for the sake of increasing profits. </w:t>
      </w:r>
      <w:r w:rsidRPr="00B9219D">
        <w:rPr>
          <w:sz w:val="20"/>
          <w:szCs w:val="18"/>
        </w:rPr>
        <w:t>The provision by private actors of goods and services essential for the enjoyment of Covenant rights should not lead the enjoyment of Covenant rights to be made conditional on the ability to pay, which would create new forms of socioeconomic segregation.</w:t>
      </w:r>
      <w:r w:rsidRPr="00B9219D">
        <w:rPr>
          <w:sz w:val="20"/>
          <w:szCs w:val="18"/>
          <w:vertAlign w:val="superscript"/>
        </w:rPr>
        <w:footnoteReference w:id="83"/>
      </w:r>
    </w:p>
    <w:p w14:paraId="720DA4D3" w14:textId="7696510E" w:rsidR="00BD4452" w:rsidRDefault="00BD4452" w:rsidP="00CD184A">
      <w:pPr>
        <w:spacing w:line="360" w:lineRule="auto"/>
        <w:jc w:val="both"/>
      </w:pPr>
      <w:r w:rsidRPr="00B9219D">
        <w:t xml:space="preserve">This covers all Covenant rights, and any related aspects that are </w:t>
      </w:r>
      <w:r>
        <w:t>‘</w:t>
      </w:r>
      <w:r w:rsidRPr="00B9219D">
        <w:t>necessary</w:t>
      </w:r>
      <w:r>
        <w:t>’</w:t>
      </w:r>
      <w:r w:rsidRPr="00B9219D">
        <w:t xml:space="preserve">, such as, perhaps, banks through mortgage lending insofar as certain practices may create an </w:t>
      </w:r>
      <w:r>
        <w:t>‘[</w:t>
      </w:r>
      <w:r w:rsidRPr="00B9219D">
        <w:t>in</w:t>
      </w:r>
      <w:r>
        <w:t>]</w:t>
      </w:r>
      <w:r w:rsidRPr="00B9219D">
        <w:t>ability to pay</w:t>
      </w:r>
      <w:r>
        <w:t>’. While states could meet this obligation by increasing the social safety net,</w:t>
      </w:r>
      <w:r>
        <w:rPr>
          <w:rStyle w:val="FootnoteReference"/>
        </w:rPr>
        <w:footnoteReference w:id="84"/>
      </w:r>
      <w:r>
        <w:t xml:space="preserve"> it shows that, where marketization is adopted, private providers of Covenant rights must be subject to restrictions designed to prevent them retrogressing affordability or quality for profit. Therefore ‘protect’ under marketization entails </w:t>
      </w:r>
      <w:proofErr w:type="gramStart"/>
      <w:r>
        <w:t>that states</w:t>
      </w:r>
      <w:proofErr w:type="gramEnd"/>
      <w:r>
        <w:t xml:space="preserve"> proactively manage private suppliers of human rights essentials to ensure, so far as possible,</w:t>
      </w:r>
      <w:bookmarkStart w:id="18" w:name="_Ref27137261"/>
      <w:r>
        <w:rPr>
          <w:rStyle w:val="FootnoteReference"/>
        </w:rPr>
        <w:footnoteReference w:id="85"/>
      </w:r>
      <w:bookmarkEnd w:id="18"/>
      <w:r>
        <w:t xml:space="preserve"> that no right is harmed on any metric.</w:t>
      </w:r>
    </w:p>
    <w:p w14:paraId="10792811" w14:textId="3A233CFB" w:rsidR="00BD4452" w:rsidRDefault="00BD4452" w:rsidP="00CD184A">
      <w:pPr>
        <w:spacing w:line="360" w:lineRule="auto"/>
        <w:jc w:val="both"/>
      </w:pPr>
      <w:r>
        <w:t xml:space="preserve">This is the element that the CESCR has failed to </w:t>
      </w:r>
      <w:r w:rsidR="00113881">
        <w:t xml:space="preserve">adequately </w:t>
      </w:r>
      <w:r>
        <w:t xml:space="preserve">explore. The principle appears comprehensive, however, there are countless examples of private companies increasing profits </w:t>
      </w:r>
      <w:r>
        <w:lastRenderedPageBreak/>
        <w:t xml:space="preserve">through reducing access that states do not protect against and the CESCR ignores. The article has mentioned land hoarding, and the CESCR also fails to mention practices of corporate landlords such as extreme fines for late payment and </w:t>
      </w:r>
      <w:r w:rsidR="00A74645">
        <w:t>exploiting legal loopholes</w:t>
      </w:r>
      <w:r>
        <w:t>.</w:t>
      </w:r>
      <w:r>
        <w:rPr>
          <w:rStyle w:val="FootnoteReference"/>
        </w:rPr>
        <w:footnoteReference w:id="86"/>
      </w:r>
      <w:r>
        <w:t xml:space="preserve"> </w:t>
      </w:r>
      <w:r w:rsidRPr="00AB3810">
        <w:t>Regarding wage-related issues, this may include unpaid time to pass through security checks at work,</w:t>
      </w:r>
      <w:r>
        <w:rPr>
          <w:rStyle w:val="FootnoteReference"/>
        </w:rPr>
        <w:footnoteReference w:id="87"/>
      </w:r>
      <w:r w:rsidRPr="00AB3810">
        <w:t xml:space="preserve"> or for salaried individuals it may include </w:t>
      </w:r>
      <w:r w:rsidR="000B18F4">
        <w:t>working time</w:t>
      </w:r>
      <w:r w:rsidRPr="00AB3810">
        <w:t xml:space="preserve"> breaches through expecting email replies in the evening.</w:t>
      </w:r>
      <w:r>
        <w:rPr>
          <w:rStyle w:val="FootnoteReference"/>
        </w:rPr>
        <w:footnoteReference w:id="88"/>
      </w:r>
      <w:r w:rsidRPr="00AB3810">
        <w:t xml:space="preserve"> During COVID-19, British Airways fired thousands of workers and rehired them on significantly lower pay.</w:t>
      </w:r>
      <w:r>
        <w:rPr>
          <w:rStyle w:val="FootnoteReference"/>
        </w:rPr>
        <w:footnoteReference w:id="89"/>
      </w:r>
      <w:r w:rsidRPr="00AB3810">
        <w:t xml:space="preserve"> The full range of specific, harmful practices is context-dependent and </w:t>
      </w:r>
      <w:r w:rsidR="000B18F4">
        <w:t>limitless</w:t>
      </w:r>
      <w:r w:rsidR="00A15CDF">
        <w:t xml:space="preserve">. Yet such tactics barely register under ‘protect’. </w:t>
      </w:r>
    </w:p>
    <w:p w14:paraId="1302DFEE" w14:textId="62DF7951" w:rsidR="00BD4452" w:rsidRDefault="00BD4452" w:rsidP="00CD184A">
      <w:pPr>
        <w:spacing w:line="360" w:lineRule="auto"/>
        <w:jc w:val="both"/>
      </w:pPr>
      <w:r>
        <w:t>More attention to this area is necessary to improve rights protection, but also to better define the scope and limits of ‘protect’. For example, legally permitted lobbying by businesses is one commonly cited social problem, often with implications for human rights.</w:t>
      </w:r>
      <w:r>
        <w:rPr>
          <w:rStyle w:val="FootnoteReference"/>
        </w:rPr>
        <w:footnoteReference w:id="90"/>
      </w:r>
      <w:r>
        <w:t xml:space="preserve"> Are states obligated to address their lobbying rules as part of ‘protect’? Should human rights legal obligations be part of any decision on lobbyist requests, given that sometimes the relevant government department may be </w:t>
      </w:r>
      <w:r w:rsidR="00861277">
        <w:t>deciding</w:t>
      </w:r>
      <w:r>
        <w:t xml:space="preserve"> without adequate knowledge of these obligations? Do federal governments have an obligation to regulate lobbying to ensure regional human rights compliance? </w:t>
      </w:r>
      <w:proofErr w:type="gramStart"/>
      <w:r w:rsidR="00EB3563">
        <w:t>O</w:t>
      </w:r>
      <w:r>
        <w:t>r,</w:t>
      </w:r>
      <w:proofErr w:type="gramEnd"/>
      <w:r>
        <w:t xml:space="preserve"> does the CESCR believe that such issues have too indirect an effect on human rights, and are therefore beyond the scope of their remit? Given that the CESCR included both national taxation plans and the prevention of the facilitation of tax avoidance in General Comment 24, neither of which directly violate human rights, the directness of harm does not seem to be a </w:t>
      </w:r>
      <w:r w:rsidR="00861277">
        <w:t>key criterion</w:t>
      </w:r>
      <w:r>
        <w:t xml:space="preserve">. This is agreeable from a rights-holder perspective, and comprehensive rights oversight is necessary </w:t>
      </w:r>
      <w:proofErr w:type="gramStart"/>
      <w:r>
        <w:t>where</w:t>
      </w:r>
      <w:proofErr w:type="gramEnd"/>
      <w:r>
        <w:t xml:space="preserve"> businesses shape rights outcomes. Nonetheless, the CESCR’s failure to properly analyse and consider the range of these tactics has allowed them to proliferate without institutional human rights critique. The CESCR must address this type of question with more clarity in future.</w:t>
      </w:r>
    </w:p>
    <w:p w14:paraId="3FF02007" w14:textId="0D856C0F" w:rsidR="000D764D" w:rsidRDefault="00BD4452" w:rsidP="00CD184A">
      <w:pPr>
        <w:spacing w:line="360" w:lineRule="auto"/>
        <w:jc w:val="both"/>
      </w:pPr>
      <w:r>
        <w:t xml:space="preserve">This section has made three arguments: first, ‘protect’ is grounded in preventing harm by third parties, yet many policies that the CESCR includes under protect are at least as relevant to the </w:t>
      </w:r>
      <w:r>
        <w:lastRenderedPageBreak/>
        <w:t xml:space="preserve">obligation to fulfil. Second, the CESCR does not focus on specific business practices that harm access to rights, such as land hoarding and evasions of minimum wage and working hours rules. Such acts are a major way in which businesses profit from harm and should be a focal point of ‘protect’. Third, the CESCR has not adequately determined the scope and limits of ‘infringements’ by business, with many definitions appearing comprehensive but with no attention drawn to the breadth of business impacts on rights, leading to a lack of clarity around a range of more indirect forms of harm, such as lobbying. </w:t>
      </w:r>
      <w:r w:rsidR="00FE047B">
        <w:t xml:space="preserve">The CESCR needs to pay more attention to the raft of overtly harmful business acts under marketization, and ‘protect’ </w:t>
      </w:r>
      <w:r w:rsidR="00381AE9">
        <w:t>is the correct limb under which to do it. The next section address</w:t>
      </w:r>
      <w:r w:rsidR="00867B3C">
        <w:t>es</w:t>
      </w:r>
      <w:r w:rsidR="00381AE9">
        <w:t xml:space="preserve"> the duty to fulfil. </w:t>
      </w:r>
    </w:p>
    <w:p w14:paraId="4C5F4A08" w14:textId="77777777" w:rsidR="00927492" w:rsidRDefault="00927492" w:rsidP="00CD184A">
      <w:pPr>
        <w:jc w:val="both"/>
      </w:pPr>
    </w:p>
    <w:p w14:paraId="2C990AE1" w14:textId="7EA7E839" w:rsidR="00C74481" w:rsidRDefault="00F56424" w:rsidP="00CD184A">
      <w:pPr>
        <w:pStyle w:val="ListParagraph"/>
        <w:numPr>
          <w:ilvl w:val="1"/>
          <w:numId w:val="6"/>
        </w:numPr>
        <w:jc w:val="both"/>
      </w:pPr>
      <w:r>
        <w:t>The Duty to Fulfil</w:t>
      </w:r>
    </w:p>
    <w:p w14:paraId="0A84D250" w14:textId="7C9369D2" w:rsidR="00927492" w:rsidRDefault="00927492" w:rsidP="00CD184A">
      <w:pPr>
        <w:jc w:val="both"/>
      </w:pPr>
    </w:p>
    <w:p w14:paraId="161FEA8A" w14:textId="77777777" w:rsidR="008F6527" w:rsidRDefault="008F6527" w:rsidP="00CD184A">
      <w:pPr>
        <w:spacing w:after="0" w:line="360" w:lineRule="auto"/>
        <w:jc w:val="both"/>
      </w:pPr>
      <w:r>
        <w:t>Eide formulated t</w:t>
      </w:r>
      <w:r w:rsidRPr="00BA6BF2">
        <w:t>he obligation to fulfil</w:t>
      </w:r>
      <w:r>
        <w:t xml:space="preserve"> as follows: </w:t>
      </w:r>
    </w:p>
    <w:p w14:paraId="61757EE1" w14:textId="77777777" w:rsidR="008F6527" w:rsidRDefault="008F6527" w:rsidP="00CD184A">
      <w:pPr>
        <w:spacing w:after="0" w:line="360" w:lineRule="auto"/>
        <w:jc w:val="both"/>
      </w:pPr>
    </w:p>
    <w:p w14:paraId="73917A44" w14:textId="77777777" w:rsidR="008F6527" w:rsidRDefault="008F6527" w:rsidP="00CD184A">
      <w:pPr>
        <w:spacing w:line="360" w:lineRule="auto"/>
        <w:jc w:val="both"/>
        <w:rPr>
          <w:sz w:val="20"/>
        </w:rPr>
      </w:pPr>
      <w:r w:rsidRPr="00A176A2">
        <w:rPr>
          <w:sz w:val="20"/>
        </w:rPr>
        <w:t xml:space="preserve">The obligation to fulfil </w:t>
      </w:r>
      <w:r>
        <w:rPr>
          <w:sz w:val="20"/>
        </w:rPr>
        <w:t>req</w:t>
      </w:r>
      <w:r w:rsidRPr="00B97758">
        <w:rPr>
          <w:sz w:val="20"/>
        </w:rPr>
        <w:t>uires the State to take the measures necessary to ensure for each person within its jurisdiction opportunities to obtain satisfaction of those needs, recognized in the human rights instruments, which cannot be secured by personal efforts.</w:t>
      </w:r>
      <w:r>
        <w:rPr>
          <w:rStyle w:val="FootnoteReference"/>
          <w:sz w:val="20"/>
        </w:rPr>
        <w:footnoteReference w:id="91"/>
      </w:r>
    </w:p>
    <w:p w14:paraId="2F0C7E90" w14:textId="77777777" w:rsidR="008F6527" w:rsidRDefault="008F6527" w:rsidP="00CD184A">
      <w:pPr>
        <w:spacing w:line="360" w:lineRule="auto"/>
        <w:jc w:val="both"/>
      </w:pPr>
      <w:r>
        <w:t xml:space="preserve">This is a broadly framed, with ‘measures necessary’ being deliberately open-ended. It permits, and presumably obligates insofar as it is ‘necessary’, regulation of private actors to fulfil rights. Eide later added an obligation </w:t>
      </w:r>
      <w:r w:rsidRPr="00B97758">
        <w:t xml:space="preserve">to </w:t>
      </w:r>
      <w:r>
        <w:t>‘</w:t>
      </w:r>
      <w:r w:rsidRPr="00311166">
        <w:t xml:space="preserve">facilitate opportunities by which </w:t>
      </w:r>
      <w:r>
        <w:t>the rights listed can be enjoyed’</w:t>
      </w:r>
      <w:r w:rsidRPr="00311166">
        <w:t>.</w:t>
      </w:r>
      <w:r>
        <w:rPr>
          <w:rStyle w:val="FootnoteReference"/>
        </w:rPr>
        <w:footnoteReference w:id="92"/>
      </w:r>
      <w:r w:rsidRPr="00311166">
        <w:t xml:space="preserve"> </w:t>
      </w:r>
      <w:r>
        <w:t xml:space="preserve">As examples he cites </w:t>
      </w:r>
      <w:r w:rsidRPr="00311166">
        <w:t>CES</w:t>
      </w:r>
      <w:r>
        <w:t>CR Article 6(2), encompassing ‘</w:t>
      </w:r>
      <w:r w:rsidRPr="00311166">
        <w:t>technical and vocational g</w:t>
      </w:r>
      <w:r>
        <w:t>uidance and training programmes’ and</w:t>
      </w:r>
      <w:r w:rsidRPr="00311166">
        <w:t xml:space="preserve"> </w:t>
      </w:r>
      <w:r>
        <w:t>‘</w:t>
      </w:r>
      <w:r w:rsidRPr="00311166">
        <w:t>Article 11(2)(a), take steps to 'improve measures of production, conservation and distribution of food by making full use of technical and scientific knowledge and by developing</w:t>
      </w:r>
      <w:r>
        <w:t xml:space="preserve"> or reforming agrarian systems.’</w:t>
      </w:r>
      <w:r>
        <w:rPr>
          <w:rStyle w:val="FootnoteReference"/>
        </w:rPr>
        <w:footnoteReference w:id="93"/>
      </w:r>
      <w:r>
        <w:t xml:space="preserve"> ‘[D]</w:t>
      </w:r>
      <w:proofErr w:type="spellStart"/>
      <w:r>
        <w:t>eveloping</w:t>
      </w:r>
      <w:proofErr w:type="spellEnd"/>
      <w:r>
        <w:t xml:space="preserve"> or reforming agrarian systems’ should include regulating market actors therein insofar as they contribute to the constitution of the system within a jurisdiction. Where the market is the entry point for rights-holders to access the right, to what extent it fulfils access will be, in large part, determined by its legal constitution.  The Maastricht Guidelines state that ‘[t]</w:t>
      </w:r>
      <w:r w:rsidRPr="00A176A2">
        <w:t>he obligation to fulfil requires States to take appropriate legislative, administrative, budgetary, judicial and other measures towards the full realization of such rights.</w:t>
      </w:r>
      <w:r>
        <w:rPr>
          <w:rStyle w:val="FootnoteReference"/>
        </w:rPr>
        <w:footnoteReference w:id="94"/>
      </w:r>
      <w:r w:rsidRPr="00A176A2">
        <w:t> </w:t>
      </w:r>
      <w:r>
        <w:t>In General Comment 24, ‘[t]</w:t>
      </w:r>
      <w:r w:rsidRPr="00B51C75">
        <w:t xml:space="preserve">he </w:t>
      </w:r>
      <w:r w:rsidRPr="00B51C75">
        <w:lastRenderedPageBreak/>
        <w:t>obligation to fulfil requires States parties to take necessary steps, to the maximum of their available resources, to facilitate and promote the enjoyment of Covenant rights,</w:t>
      </w:r>
      <w:r>
        <w:t>’ Again, a broad scope of activity is invoked that would appear to entail market regulation where necessary.</w:t>
      </w:r>
      <w:r w:rsidRPr="00B51C75">
        <w:t xml:space="preserve"> </w:t>
      </w:r>
    </w:p>
    <w:p w14:paraId="3E4F9001" w14:textId="74058659" w:rsidR="00BD4452" w:rsidRDefault="00EB3563" w:rsidP="00CD184A">
      <w:pPr>
        <w:spacing w:line="360" w:lineRule="auto"/>
        <w:jc w:val="both"/>
      </w:pPr>
      <w:r>
        <w:t>Following this introduction, t</w:t>
      </w:r>
      <w:r w:rsidR="008F6527">
        <w:t>his section is divided into four part</w:t>
      </w:r>
      <w:r w:rsidR="00D726FB">
        <w:t xml:space="preserve">s, discussing the </w:t>
      </w:r>
      <w:r w:rsidR="004C5F75">
        <w:t xml:space="preserve">outsourcing of rights provision, the role of facilitation through market regulation, </w:t>
      </w:r>
      <w:r w:rsidR="002C5D8D">
        <w:t xml:space="preserve">the role of businesses in fulfilling rights, and the type of policies that fulfil rights. </w:t>
      </w:r>
    </w:p>
    <w:p w14:paraId="1C02BA71" w14:textId="77777777" w:rsidR="00927492" w:rsidRDefault="00927492" w:rsidP="00CD184A">
      <w:pPr>
        <w:jc w:val="both"/>
      </w:pPr>
    </w:p>
    <w:p w14:paraId="329BC5FC" w14:textId="0728DE05" w:rsidR="00067C99" w:rsidRDefault="00067C99" w:rsidP="00CD184A">
      <w:pPr>
        <w:pStyle w:val="ListParagraph"/>
        <w:numPr>
          <w:ilvl w:val="2"/>
          <w:numId w:val="6"/>
        </w:numPr>
        <w:jc w:val="both"/>
      </w:pPr>
      <w:r>
        <w:t xml:space="preserve">Does the Duty to Fulfil Hold </w:t>
      </w:r>
      <w:r w:rsidR="007329AB">
        <w:t>When Provision is Outsourced</w:t>
      </w:r>
      <w:r>
        <w:t>?</w:t>
      </w:r>
    </w:p>
    <w:p w14:paraId="2401FE39" w14:textId="7AA11562" w:rsidR="00927492" w:rsidRDefault="00927492" w:rsidP="00CD184A">
      <w:pPr>
        <w:jc w:val="both"/>
      </w:pPr>
    </w:p>
    <w:p w14:paraId="7BAB7344" w14:textId="5748AE78" w:rsidR="00D726FB" w:rsidRDefault="00D726FB" w:rsidP="00CD184A">
      <w:pPr>
        <w:spacing w:line="360" w:lineRule="auto"/>
        <w:jc w:val="both"/>
        <w:rPr>
          <w:rFonts w:eastAsiaTheme="minorEastAsia" w:cs="Times New Roman"/>
          <w:szCs w:val="24"/>
          <w:lang w:eastAsia="zh-CN"/>
        </w:rPr>
      </w:pPr>
      <w:r w:rsidRPr="008E762D">
        <w:rPr>
          <w:rFonts w:eastAsiaTheme="minorEastAsia" w:cs="Times New Roman"/>
          <w:szCs w:val="24"/>
          <w:lang w:eastAsia="zh-CN"/>
        </w:rPr>
        <w:t>The first point is an overarching principle</w:t>
      </w:r>
      <w:r>
        <w:rPr>
          <w:rFonts w:eastAsiaTheme="minorEastAsia" w:cs="Times New Roman"/>
          <w:szCs w:val="24"/>
          <w:lang w:eastAsia="zh-CN"/>
        </w:rPr>
        <w:t xml:space="preserve"> that is confirmed in CESCR Comments and elsewhere</w:t>
      </w:r>
      <w:r w:rsidRPr="008E762D">
        <w:rPr>
          <w:rFonts w:eastAsiaTheme="minorEastAsia" w:cs="Times New Roman"/>
          <w:szCs w:val="24"/>
          <w:lang w:eastAsia="zh-CN"/>
        </w:rPr>
        <w:t xml:space="preserve">. States cannot renege on their human rights obligations by outsourcing provision to business. Rather, outsourcing, whether direct in the sense of privatization, or more gradual in the case of commodification, is a policy choice by the state that </w:t>
      </w:r>
      <w:r>
        <w:rPr>
          <w:rFonts w:eastAsiaTheme="minorEastAsia" w:cs="Times New Roman"/>
          <w:szCs w:val="24"/>
          <w:lang w:eastAsia="zh-CN"/>
        </w:rPr>
        <w:t>may change</w:t>
      </w:r>
      <w:r w:rsidRPr="008E762D">
        <w:rPr>
          <w:rFonts w:eastAsiaTheme="minorEastAsia" w:cs="Times New Roman"/>
          <w:szCs w:val="24"/>
          <w:lang w:eastAsia="zh-CN"/>
        </w:rPr>
        <w:t xml:space="preserve"> the form of state obligations, but not the extent. Nolan addresses this point regarding privatization under General Comment 24. </w:t>
      </w:r>
      <w:r w:rsidRPr="002C751B">
        <w:rPr>
          <w:rFonts w:eastAsiaTheme="minorEastAsia" w:cs="Times New Roman"/>
          <w:szCs w:val="24"/>
          <w:lang w:eastAsia="zh-CN"/>
        </w:rPr>
        <w:t>Privatization is covered under ‘protect’</w:t>
      </w:r>
      <w:r>
        <w:rPr>
          <w:rFonts w:eastAsiaTheme="minorEastAsia" w:cs="Times New Roman"/>
          <w:szCs w:val="24"/>
          <w:lang w:eastAsia="zh-CN"/>
        </w:rPr>
        <w:t xml:space="preserve"> where it is described as</w:t>
      </w:r>
      <w:r w:rsidRPr="002C751B">
        <w:rPr>
          <w:rFonts w:eastAsiaTheme="minorEastAsia" w:cs="Times New Roman"/>
          <w:szCs w:val="24"/>
          <w:lang w:eastAsia="zh-CN"/>
        </w:rPr>
        <w:t xml:space="preserve"> ‘not per se prohibited… Private providers should, however, be subject to strict regulations that impose on them so-called “public service obligations”.</w:t>
      </w:r>
      <w:r w:rsidRPr="002C751B">
        <w:rPr>
          <w:rFonts w:eastAsiaTheme="minorEastAsia" w:cs="Times New Roman"/>
          <w:szCs w:val="24"/>
          <w:vertAlign w:val="superscript"/>
          <w:lang w:eastAsia="zh-CN"/>
        </w:rPr>
        <w:t xml:space="preserve"> </w:t>
      </w:r>
      <w:r w:rsidRPr="002C751B">
        <w:rPr>
          <w:rFonts w:eastAsiaTheme="minorEastAsia" w:cs="Times New Roman"/>
          <w:szCs w:val="24"/>
          <w:vertAlign w:val="superscript"/>
          <w:lang w:eastAsia="zh-CN"/>
        </w:rPr>
        <w:footnoteReference w:id="95"/>
      </w:r>
      <w:r w:rsidRPr="002C751B">
        <w:rPr>
          <w:rFonts w:eastAsiaTheme="minorEastAsia" w:cs="Times New Roman"/>
          <w:szCs w:val="24"/>
          <w:lang w:eastAsia="zh-CN"/>
        </w:rPr>
        <w:t xml:space="preserve"> </w:t>
      </w:r>
      <w:r>
        <w:rPr>
          <w:rFonts w:eastAsiaTheme="minorEastAsia" w:cs="Times New Roman"/>
          <w:szCs w:val="24"/>
          <w:lang w:eastAsia="zh-CN"/>
        </w:rPr>
        <w:t>Nolan critiques t</w:t>
      </w:r>
      <w:r w:rsidRPr="008E762D">
        <w:rPr>
          <w:rFonts w:eastAsiaTheme="minorEastAsia" w:cs="Times New Roman"/>
          <w:szCs w:val="24"/>
          <w:lang w:eastAsia="zh-CN"/>
        </w:rPr>
        <w:t xml:space="preserve">he positioning of privatization under ‘protect’ </w:t>
      </w:r>
      <w:r>
        <w:rPr>
          <w:rFonts w:eastAsiaTheme="minorEastAsia" w:cs="Times New Roman"/>
          <w:szCs w:val="24"/>
          <w:lang w:eastAsia="zh-CN"/>
        </w:rPr>
        <w:t>because it implies that businesses are acting ‘on their own initiative’, and the only duty of the state is to prevent harmful acts.</w:t>
      </w:r>
      <w:r w:rsidRPr="008E762D">
        <w:rPr>
          <w:rFonts w:eastAsiaTheme="minorEastAsia" w:cs="Times New Roman"/>
          <w:szCs w:val="24"/>
          <w:vertAlign w:val="superscript"/>
          <w:lang w:eastAsia="zh-CN"/>
        </w:rPr>
        <w:footnoteReference w:id="96"/>
      </w:r>
      <w:r w:rsidRPr="008E762D">
        <w:rPr>
          <w:rFonts w:eastAsiaTheme="minorEastAsia" w:cs="Times New Roman"/>
          <w:szCs w:val="24"/>
          <w:lang w:eastAsia="zh-CN"/>
        </w:rPr>
        <w:t xml:space="preserve"> This obfuscates that ‘privatization… cannot occur without states making that possible’.</w:t>
      </w:r>
      <w:r w:rsidRPr="008E762D">
        <w:rPr>
          <w:rFonts w:eastAsiaTheme="minorEastAsia" w:cs="Times New Roman"/>
          <w:szCs w:val="24"/>
          <w:vertAlign w:val="superscript"/>
          <w:lang w:eastAsia="zh-CN"/>
        </w:rPr>
        <w:footnoteReference w:id="97"/>
      </w:r>
      <w:r w:rsidRPr="008E762D">
        <w:rPr>
          <w:rFonts w:eastAsiaTheme="minorEastAsia" w:cs="Times New Roman"/>
          <w:szCs w:val="24"/>
          <w:lang w:eastAsia="zh-CN"/>
        </w:rPr>
        <w:t xml:space="preserve"> Privatization ‘can—and, in the author’s view, should—be primarily viewed as one means by which the state chooses or acts to fulfil ESR [economic and social rights].’</w:t>
      </w:r>
      <w:r w:rsidRPr="008E762D">
        <w:rPr>
          <w:rFonts w:eastAsiaTheme="minorEastAsia" w:cs="Times New Roman"/>
          <w:szCs w:val="24"/>
          <w:vertAlign w:val="superscript"/>
          <w:lang w:eastAsia="zh-CN"/>
        </w:rPr>
        <w:footnoteReference w:id="98"/>
      </w:r>
      <w:r w:rsidRPr="008E762D">
        <w:rPr>
          <w:rFonts w:eastAsiaTheme="minorEastAsia" w:cs="Times New Roman"/>
          <w:szCs w:val="24"/>
          <w:lang w:eastAsia="zh-CN"/>
        </w:rPr>
        <w:t xml:space="preserve"> Further, ‘an “obligation to fulfil” approach will… entail an engagement with the implications of privatization for the overall realization of ESR.’</w:t>
      </w:r>
      <w:r w:rsidRPr="008E762D">
        <w:rPr>
          <w:rFonts w:eastAsiaTheme="minorEastAsia" w:cs="Times New Roman"/>
          <w:szCs w:val="24"/>
          <w:vertAlign w:val="superscript"/>
          <w:lang w:eastAsia="zh-CN"/>
        </w:rPr>
        <w:footnoteReference w:id="99"/>
      </w:r>
      <w:r w:rsidRPr="008E762D">
        <w:rPr>
          <w:rFonts w:eastAsiaTheme="minorEastAsia" w:cs="Times New Roman"/>
          <w:szCs w:val="24"/>
          <w:lang w:eastAsia="zh-CN"/>
        </w:rPr>
        <w:t xml:space="preserve"> </w:t>
      </w:r>
    </w:p>
    <w:p w14:paraId="7B720218" w14:textId="4FE6894C" w:rsidR="00D726FB" w:rsidRPr="006547DA" w:rsidRDefault="00D726FB" w:rsidP="00CD184A">
      <w:pPr>
        <w:spacing w:line="360" w:lineRule="auto"/>
        <w:jc w:val="both"/>
        <w:rPr>
          <w:rFonts w:eastAsiaTheme="minorEastAsia" w:cs="Times New Roman"/>
          <w:szCs w:val="24"/>
          <w:lang w:eastAsia="zh-CN"/>
        </w:rPr>
      </w:pPr>
      <w:r w:rsidRPr="008E762D">
        <w:rPr>
          <w:rFonts w:eastAsiaTheme="minorEastAsia" w:cs="Times New Roman"/>
          <w:szCs w:val="24"/>
          <w:lang w:eastAsia="zh-CN"/>
        </w:rPr>
        <w:t xml:space="preserve">Because states are choosing the method of privatization as their primary or sole means by which to address the right, that state action and by extension the actions of the private service provider must be analysed </w:t>
      </w:r>
      <w:proofErr w:type="gramStart"/>
      <w:r w:rsidRPr="008E762D">
        <w:rPr>
          <w:rFonts w:eastAsiaTheme="minorEastAsia" w:cs="Times New Roman"/>
          <w:szCs w:val="24"/>
          <w:lang w:eastAsia="zh-CN"/>
        </w:rPr>
        <w:t>in light of</w:t>
      </w:r>
      <w:proofErr w:type="gramEnd"/>
      <w:r w:rsidRPr="008E762D">
        <w:rPr>
          <w:rFonts w:eastAsiaTheme="minorEastAsia" w:cs="Times New Roman"/>
          <w:szCs w:val="24"/>
          <w:lang w:eastAsia="zh-CN"/>
        </w:rPr>
        <w:t xml:space="preserve"> the obligation to fulfil. This i</w:t>
      </w:r>
      <w:r>
        <w:rPr>
          <w:rFonts w:eastAsiaTheme="minorEastAsia" w:cs="Times New Roman"/>
          <w:szCs w:val="24"/>
          <w:lang w:eastAsia="zh-CN"/>
        </w:rPr>
        <w:t>s</w:t>
      </w:r>
      <w:r w:rsidRPr="008E762D">
        <w:rPr>
          <w:rFonts w:eastAsiaTheme="minorEastAsia" w:cs="Times New Roman"/>
          <w:szCs w:val="24"/>
          <w:lang w:eastAsia="zh-CN"/>
        </w:rPr>
        <w:t xml:space="preserve"> valid, as the analysis above suggests, and applies to other </w:t>
      </w:r>
      <w:r>
        <w:rPr>
          <w:rFonts w:eastAsiaTheme="minorEastAsia" w:cs="Times New Roman"/>
          <w:szCs w:val="24"/>
          <w:lang w:eastAsia="zh-CN"/>
        </w:rPr>
        <w:t>marketized</w:t>
      </w:r>
      <w:r w:rsidRPr="008E762D">
        <w:rPr>
          <w:rFonts w:eastAsiaTheme="minorEastAsia" w:cs="Times New Roman"/>
          <w:szCs w:val="24"/>
          <w:lang w:eastAsia="zh-CN"/>
        </w:rPr>
        <w:t xml:space="preserve"> rights, such as housing and food, insofar as the state has ceded access to the right to private companies.</w:t>
      </w:r>
      <w:r w:rsidRPr="008E762D">
        <w:rPr>
          <w:rFonts w:eastAsia="Calibri" w:cs="Times New Roman"/>
          <w:szCs w:val="24"/>
        </w:rPr>
        <w:t xml:space="preserve"> </w:t>
      </w:r>
      <w:r>
        <w:rPr>
          <w:rFonts w:eastAsia="Calibri" w:cs="Times New Roman"/>
          <w:szCs w:val="24"/>
        </w:rPr>
        <w:t xml:space="preserve">The inverse would mean that states could trade away </w:t>
      </w:r>
      <w:r>
        <w:rPr>
          <w:rFonts w:eastAsia="Calibri" w:cs="Times New Roman"/>
          <w:szCs w:val="24"/>
        </w:rPr>
        <w:lastRenderedPageBreak/>
        <w:t xml:space="preserve">the obligation to fulfil, exposing a significant loophole in </w:t>
      </w:r>
      <w:r w:rsidRPr="00663B15">
        <w:rPr>
          <w:rFonts w:eastAsia="Calibri" w:cs="Times New Roman"/>
          <w:szCs w:val="24"/>
        </w:rPr>
        <w:t>international human rights law</w:t>
      </w:r>
      <w:r>
        <w:rPr>
          <w:rFonts w:eastAsia="Calibri" w:cs="Times New Roman"/>
          <w:szCs w:val="24"/>
        </w:rPr>
        <w:t xml:space="preserve">. Rather, state obligations to fulfil transcend any such policy choice, but it may mean, although does not solely necessitate, that specific policies to fulfil shift from direct provision to regulation. </w:t>
      </w:r>
      <w:r>
        <w:rPr>
          <w:rFonts w:eastAsiaTheme="minorEastAsia" w:cs="Times New Roman"/>
          <w:szCs w:val="24"/>
          <w:lang w:eastAsia="zh-CN"/>
        </w:rPr>
        <w:t xml:space="preserve">Both as an ethical principle and from the CESCR’s interpretations, </w:t>
      </w:r>
      <w:r w:rsidRPr="008E762D">
        <w:rPr>
          <w:rFonts w:eastAsiaTheme="minorEastAsia" w:cs="Times New Roman"/>
          <w:szCs w:val="24"/>
          <w:lang w:eastAsia="zh-CN"/>
        </w:rPr>
        <w:t xml:space="preserve">states retain their obligation to fulfil regardless of the chosen method of fulfilment. </w:t>
      </w:r>
    </w:p>
    <w:p w14:paraId="1F95C908" w14:textId="77777777" w:rsidR="00927492" w:rsidRDefault="00927492" w:rsidP="00CD184A">
      <w:pPr>
        <w:jc w:val="both"/>
      </w:pPr>
    </w:p>
    <w:p w14:paraId="24564D8C" w14:textId="504E0A1A" w:rsidR="00067C99" w:rsidRDefault="00641455" w:rsidP="00CD184A">
      <w:pPr>
        <w:pStyle w:val="ListParagraph"/>
        <w:numPr>
          <w:ilvl w:val="2"/>
          <w:numId w:val="6"/>
        </w:numPr>
        <w:jc w:val="both"/>
      </w:pPr>
      <w:r>
        <w:t>Does Fulfil Include Facilitation through Market Regulation?</w:t>
      </w:r>
    </w:p>
    <w:p w14:paraId="5CE66B40" w14:textId="6DCD5BFF" w:rsidR="00927492" w:rsidRDefault="00927492" w:rsidP="00CD184A">
      <w:pPr>
        <w:jc w:val="both"/>
      </w:pPr>
    </w:p>
    <w:p w14:paraId="6687EB32" w14:textId="42C3C240" w:rsidR="00BB271E" w:rsidRPr="003A38B1" w:rsidRDefault="00BB271E" w:rsidP="00CD184A">
      <w:pPr>
        <w:spacing w:line="360" w:lineRule="auto"/>
        <w:jc w:val="both"/>
        <w:rPr>
          <w:rFonts w:eastAsiaTheme="minorEastAsia" w:cs="Times New Roman"/>
          <w:bCs/>
          <w:szCs w:val="24"/>
          <w:lang w:eastAsia="zh-CN"/>
        </w:rPr>
      </w:pPr>
      <w:r>
        <w:rPr>
          <w:rFonts w:eastAsiaTheme="minorEastAsia" w:cs="Times New Roman"/>
          <w:szCs w:val="24"/>
          <w:lang w:eastAsia="zh-CN"/>
        </w:rPr>
        <w:t xml:space="preserve">Second, the obligation to fulfil includes the </w:t>
      </w:r>
      <w:r w:rsidRPr="008E762D">
        <w:rPr>
          <w:rFonts w:eastAsiaTheme="minorEastAsia" w:cs="Times New Roman"/>
          <w:szCs w:val="24"/>
          <w:lang w:eastAsia="zh-CN"/>
        </w:rPr>
        <w:t>obligation to facilitate rights through regulation</w:t>
      </w:r>
      <w:r>
        <w:rPr>
          <w:rFonts w:eastAsiaTheme="minorEastAsia" w:cs="Times New Roman"/>
          <w:szCs w:val="24"/>
          <w:lang w:eastAsia="zh-CN"/>
        </w:rPr>
        <w:t>. This</w:t>
      </w:r>
      <w:r w:rsidRPr="008E762D">
        <w:rPr>
          <w:rFonts w:eastAsiaTheme="minorEastAsia" w:cs="Times New Roman"/>
          <w:szCs w:val="24"/>
          <w:lang w:eastAsia="zh-CN"/>
        </w:rPr>
        <w:t xml:space="preserve"> is </w:t>
      </w:r>
      <w:r>
        <w:rPr>
          <w:rFonts w:eastAsiaTheme="minorEastAsia" w:cs="Times New Roman"/>
          <w:szCs w:val="24"/>
          <w:lang w:eastAsia="zh-CN"/>
        </w:rPr>
        <w:t>evident</w:t>
      </w:r>
      <w:r w:rsidRPr="008E762D">
        <w:rPr>
          <w:rFonts w:eastAsiaTheme="minorEastAsia" w:cs="Times New Roman"/>
          <w:szCs w:val="24"/>
          <w:lang w:eastAsia="zh-CN"/>
        </w:rPr>
        <w:t xml:space="preserve"> concerning minimum wage and </w:t>
      </w:r>
      <w:r w:rsidR="003930BA">
        <w:rPr>
          <w:rFonts w:eastAsiaTheme="minorEastAsia" w:cs="Times New Roman"/>
          <w:szCs w:val="24"/>
          <w:lang w:eastAsia="zh-CN"/>
        </w:rPr>
        <w:t>affordable</w:t>
      </w:r>
      <w:r w:rsidRPr="008E762D">
        <w:rPr>
          <w:rFonts w:eastAsiaTheme="minorEastAsia" w:cs="Times New Roman"/>
          <w:szCs w:val="24"/>
          <w:lang w:eastAsia="zh-CN"/>
        </w:rPr>
        <w:t xml:space="preserve"> housing, above</w:t>
      </w:r>
      <w:r w:rsidR="00BF766E">
        <w:rPr>
          <w:rFonts w:eastAsiaTheme="minorEastAsia" w:cs="Times New Roman"/>
          <w:szCs w:val="24"/>
          <w:lang w:eastAsia="zh-CN"/>
        </w:rPr>
        <w:t>. I</w:t>
      </w:r>
      <w:r>
        <w:rPr>
          <w:rFonts w:eastAsiaTheme="minorEastAsia" w:cs="Times New Roman"/>
          <w:szCs w:val="24"/>
          <w:lang w:eastAsia="zh-CN"/>
        </w:rPr>
        <w:t>n General Comment 24 it ‘</w:t>
      </w:r>
      <w:r w:rsidRPr="00316969">
        <w:rPr>
          <w:rFonts w:eastAsiaTheme="minorEastAsia" w:cs="Times New Roman"/>
          <w:szCs w:val="24"/>
          <w:lang w:eastAsia="zh-CN"/>
        </w:rPr>
        <w:t xml:space="preserve">requires directing the efforts of business entities towards the fulfilment of Covenant </w:t>
      </w:r>
      <w:proofErr w:type="gramStart"/>
      <w:r w:rsidRPr="00316969">
        <w:rPr>
          <w:rFonts w:eastAsiaTheme="minorEastAsia" w:cs="Times New Roman"/>
          <w:szCs w:val="24"/>
          <w:lang w:eastAsia="zh-CN"/>
        </w:rPr>
        <w:t>rights</w:t>
      </w:r>
      <w:r>
        <w:rPr>
          <w:rFonts w:eastAsiaTheme="minorEastAsia" w:cs="Times New Roman"/>
          <w:szCs w:val="24"/>
          <w:lang w:eastAsia="zh-CN"/>
        </w:rPr>
        <w:t>’</w:t>
      </w:r>
      <w:proofErr w:type="gramEnd"/>
      <w:r w:rsidRPr="008E762D">
        <w:rPr>
          <w:rFonts w:eastAsiaTheme="minorEastAsia" w:cs="Times New Roman"/>
          <w:szCs w:val="24"/>
          <w:lang w:eastAsia="zh-CN"/>
        </w:rPr>
        <w:t>.</w:t>
      </w:r>
      <w:r>
        <w:rPr>
          <w:rStyle w:val="FootnoteReference"/>
          <w:rFonts w:eastAsiaTheme="minorEastAsia" w:cs="Times New Roman"/>
          <w:szCs w:val="24"/>
          <w:lang w:eastAsia="zh-CN"/>
        </w:rPr>
        <w:footnoteReference w:id="100"/>
      </w:r>
      <w:r w:rsidRPr="008E762D">
        <w:rPr>
          <w:rFonts w:eastAsiaTheme="minorEastAsia" w:cs="Times New Roman"/>
          <w:szCs w:val="24"/>
          <w:lang w:eastAsia="zh-CN"/>
        </w:rPr>
        <w:t xml:space="preserve"> It </w:t>
      </w:r>
      <w:r>
        <w:rPr>
          <w:rFonts w:eastAsiaTheme="minorEastAsia" w:cs="Times New Roman"/>
          <w:szCs w:val="24"/>
          <w:lang w:eastAsia="zh-CN"/>
        </w:rPr>
        <w:t xml:space="preserve">is </w:t>
      </w:r>
      <w:r w:rsidRPr="008E762D">
        <w:rPr>
          <w:rFonts w:eastAsiaTheme="minorEastAsia" w:cs="Times New Roman"/>
          <w:szCs w:val="24"/>
          <w:lang w:eastAsia="zh-CN"/>
        </w:rPr>
        <w:t>also stated in General Comment 15 on the right to water, where again the distinction between protect and fulfil is not clear. ‘Violations of the obligation to protect [include the] failure to effectively regulate and control water services providers.</w:t>
      </w:r>
      <w:r w:rsidR="000C503B">
        <w:rPr>
          <w:rFonts w:eastAsiaTheme="minorEastAsia" w:cs="Times New Roman"/>
          <w:szCs w:val="24"/>
          <w:lang w:eastAsia="zh-CN"/>
        </w:rPr>
        <w:t>’</w:t>
      </w:r>
      <w:r w:rsidRPr="008E762D">
        <w:rPr>
          <w:rFonts w:eastAsiaTheme="minorEastAsia" w:cs="Times New Roman"/>
          <w:szCs w:val="24"/>
          <w:vertAlign w:val="superscript"/>
          <w:lang w:eastAsia="zh-CN"/>
        </w:rPr>
        <w:footnoteReference w:id="101"/>
      </w:r>
      <w:r w:rsidRPr="008E762D">
        <w:rPr>
          <w:rFonts w:eastAsiaTheme="minorEastAsia" w:cs="Times New Roman"/>
          <w:szCs w:val="24"/>
          <w:lang w:eastAsia="zh-CN"/>
        </w:rPr>
        <w:t xml:space="preserve"> Many fulfil obligations imply regulation: </w:t>
      </w:r>
      <w:r w:rsidR="000C503B">
        <w:rPr>
          <w:rFonts w:eastAsiaTheme="minorEastAsia" w:cs="Times New Roman"/>
          <w:szCs w:val="24"/>
          <w:lang w:eastAsia="zh-CN"/>
        </w:rPr>
        <w:t>‘</w:t>
      </w:r>
      <w:r w:rsidRPr="008E762D">
        <w:rPr>
          <w:rFonts w:eastAsiaTheme="minorEastAsia" w:cs="Times New Roman"/>
          <w:szCs w:val="24"/>
          <w:lang w:eastAsia="zh-CN"/>
        </w:rPr>
        <w:t>failure to take measures to reduce the inequitable distribution of water facilities and services… failure to ensure that the minimum essential level of the right is enjoyed by everyone.</w:t>
      </w:r>
      <w:r w:rsidRPr="008E762D">
        <w:rPr>
          <w:rFonts w:eastAsiaTheme="minorEastAsia" w:cs="Times New Roman"/>
          <w:szCs w:val="24"/>
          <w:vertAlign w:val="superscript"/>
          <w:lang w:eastAsia="zh-CN"/>
        </w:rPr>
        <w:footnoteReference w:id="102"/>
      </w:r>
      <w:r>
        <w:rPr>
          <w:rFonts w:eastAsiaTheme="minorEastAsia" w:cs="Times New Roman"/>
          <w:szCs w:val="24"/>
          <w:lang w:eastAsia="zh-CN"/>
        </w:rPr>
        <w:t xml:space="preserve"> In privatized cases these fulfil obligations would constitute obligations to regulate the private </w:t>
      </w:r>
      <w:r w:rsidRPr="008E762D">
        <w:rPr>
          <w:rFonts w:eastAsiaTheme="minorEastAsia" w:cs="Times New Roman"/>
          <w:szCs w:val="24"/>
          <w:lang w:eastAsia="zh-CN"/>
        </w:rPr>
        <w:t xml:space="preserve">actor to fulfil the right. No restriction on </w:t>
      </w:r>
      <w:proofErr w:type="gramStart"/>
      <w:r w:rsidRPr="008E762D">
        <w:rPr>
          <w:rFonts w:eastAsiaTheme="minorEastAsia" w:cs="Times New Roman"/>
          <w:szCs w:val="24"/>
          <w:lang w:eastAsia="zh-CN"/>
        </w:rPr>
        <w:t>fulfil</w:t>
      </w:r>
      <w:proofErr w:type="gramEnd"/>
      <w:r w:rsidRPr="008E762D">
        <w:rPr>
          <w:rFonts w:eastAsiaTheme="minorEastAsia" w:cs="Times New Roman"/>
          <w:szCs w:val="24"/>
          <w:lang w:eastAsia="zh-CN"/>
        </w:rPr>
        <w:t xml:space="preserve"> obligations based on the service provider is elaborated. The General Comment on Social Security indicates a similar line</w:t>
      </w:r>
      <w:r>
        <w:rPr>
          <w:rFonts w:eastAsiaTheme="minorEastAsia" w:cs="Times New Roman"/>
          <w:szCs w:val="24"/>
          <w:lang w:eastAsia="zh-CN"/>
        </w:rPr>
        <w:t>, again under ‘protect’</w:t>
      </w:r>
      <w:r w:rsidRPr="008E762D">
        <w:rPr>
          <w:rFonts w:eastAsiaTheme="minorEastAsia" w:cs="Times New Roman"/>
          <w:szCs w:val="24"/>
          <w:lang w:eastAsia="zh-CN"/>
        </w:rPr>
        <w:t>: ‘[w]here social security schemes… are operated or controlled by third parties, States parties retain the responsibility of administering the national social security system and ensuring that private actors do not compromise equal, adequate, affordable, and accessible social security.</w:t>
      </w:r>
      <w:r w:rsidRPr="008E762D">
        <w:rPr>
          <w:rFonts w:eastAsiaTheme="minorEastAsia" w:cs="Times New Roman"/>
          <w:szCs w:val="24"/>
          <w:vertAlign w:val="superscript"/>
          <w:lang w:eastAsia="zh-CN"/>
        </w:rPr>
        <w:footnoteReference w:id="103"/>
      </w:r>
      <w:r w:rsidRPr="008E762D">
        <w:rPr>
          <w:rFonts w:eastAsiaTheme="minorEastAsia" w:cs="Times New Roman"/>
          <w:szCs w:val="24"/>
          <w:lang w:eastAsia="zh-CN"/>
        </w:rPr>
        <w:t xml:space="preserve"> </w:t>
      </w:r>
      <w:r w:rsidR="00592C00">
        <w:rPr>
          <w:rFonts w:eastAsiaTheme="minorEastAsia" w:cs="Times New Roman"/>
          <w:szCs w:val="24"/>
          <w:lang w:eastAsia="zh-CN"/>
        </w:rPr>
        <w:t>Elsewhere, ‘</w:t>
      </w:r>
      <w:r w:rsidR="00592C00">
        <w:t>[</w:t>
      </w:r>
      <w:proofErr w:type="spellStart"/>
      <w:r w:rsidR="00592C00">
        <w:t>i</w:t>
      </w:r>
      <w:proofErr w:type="spellEnd"/>
      <w:r w:rsidR="00592C00">
        <w:t>]</w:t>
      </w:r>
      <w:r w:rsidR="00684FAF">
        <w:t>n order to facilitate the right to just and favourable conditions of work, States parties should adopt positive measures</w:t>
      </w:r>
      <w:r w:rsidR="00592C00">
        <w:t xml:space="preserve">… </w:t>
      </w:r>
      <w:r w:rsidR="00684FAF">
        <w:t>for example, on</w:t>
      </w:r>
      <w:r w:rsidR="00592C00">
        <w:t xml:space="preserve">… </w:t>
      </w:r>
      <w:r w:rsidR="00684FAF">
        <w:t>minimum standards for rest, leisure, limitations on working hours, paid annual and other leave and public holidays.</w:t>
      </w:r>
      <w:r w:rsidR="00592C00">
        <w:rPr>
          <w:rStyle w:val="FootnoteReference"/>
        </w:rPr>
        <w:footnoteReference w:id="104"/>
      </w:r>
      <w:r w:rsidR="00592C00">
        <w:t xml:space="preserve"> </w:t>
      </w:r>
      <w:r>
        <w:rPr>
          <w:rFonts w:eastAsiaTheme="minorEastAsia" w:cs="Times New Roman"/>
          <w:szCs w:val="24"/>
          <w:lang w:eastAsia="zh-CN"/>
        </w:rPr>
        <w:t>Concluding Observations carry similar statements.</w:t>
      </w:r>
      <w:r>
        <w:t xml:space="preserve"> The United Kingdom of Great Britain and Northern Ireland is advised to increase the level of national </w:t>
      </w:r>
      <w:r>
        <w:lastRenderedPageBreak/>
        <w:t>minimum wage and expand its coverage to under-25s.</w:t>
      </w:r>
      <w:r>
        <w:rPr>
          <w:rStyle w:val="FootnoteReference"/>
        </w:rPr>
        <w:footnoteReference w:id="105"/>
      </w:r>
      <w:r w:rsidRPr="00046FB8">
        <w:rPr>
          <w:rFonts w:eastAsiaTheme="minorEastAsia" w:cs="Times New Roman"/>
          <w:bCs/>
          <w:szCs w:val="24"/>
          <w:lang w:eastAsia="zh-CN"/>
        </w:rPr>
        <w:t xml:space="preserve"> Canada should ‘</w:t>
      </w:r>
      <w:r w:rsidRPr="00046FB8">
        <w:rPr>
          <w:rFonts w:eastAsiaTheme="minorEastAsia" w:cs="Times New Roman"/>
          <w:bCs/>
          <w:szCs w:val="24"/>
          <w:lang w:val="en-US" w:eastAsia="zh-CN"/>
        </w:rPr>
        <w:t>[r]</w:t>
      </w:r>
      <w:proofErr w:type="spellStart"/>
      <w:r w:rsidRPr="00046FB8">
        <w:rPr>
          <w:rFonts w:eastAsiaTheme="minorEastAsia" w:cs="Times New Roman"/>
          <w:bCs/>
          <w:szCs w:val="24"/>
          <w:lang w:eastAsia="zh-CN"/>
        </w:rPr>
        <w:t>egulate</w:t>
      </w:r>
      <w:proofErr w:type="spellEnd"/>
      <w:r w:rsidRPr="00046FB8">
        <w:rPr>
          <w:rFonts w:eastAsiaTheme="minorEastAsia" w:cs="Times New Roman"/>
          <w:bCs/>
          <w:szCs w:val="24"/>
          <w:lang w:eastAsia="zh-CN"/>
        </w:rPr>
        <w:t xml:space="preserve"> rental arrangements with a view to ensuring that tenants enjoy the right to affordable and decent housing and are not vulnerable to forced evictions or homelessness’.</w:t>
      </w:r>
      <w:r w:rsidRPr="00046FB8">
        <w:rPr>
          <w:rFonts w:eastAsiaTheme="minorEastAsia" w:cs="Times New Roman"/>
          <w:bCs/>
          <w:szCs w:val="24"/>
          <w:vertAlign w:val="superscript"/>
          <w:lang w:val="en-US" w:eastAsia="zh-CN"/>
        </w:rPr>
        <w:t xml:space="preserve"> </w:t>
      </w:r>
      <w:r w:rsidRPr="00046FB8">
        <w:rPr>
          <w:rFonts w:eastAsiaTheme="minorEastAsia" w:cs="Times New Roman"/>
          <w:bCs/>
          <w:szCs w:val="24"/>
          <w:vertAlign w:val="superscript"/>
          <w:lang w:val="en-US" w:eastAsia="zh-CN"/>
        </w:rPr>
        <w:footnoteReference w:id="106"/>
      </w:r>
      <w:r w:rsidRPr="00046FB8">
        <w:rPr>
          <w:rFonts w:eastAsiaTheme="minorEastAsia" w:cs="Times New Roman"/>
          <w:bCs/>
          <w:szCs w:val="24"/>
          <w:lang w:val="en-US" w:eastAsia="zh-CN"/>
        </w:rPr>
        <w:t xml:space="preserve"> </w:t>
      </w:r>
    </w:p>
    <w:p w14:paraId="563FB956" w14:textId="570DAC43" w:rsidR="007E2083" w:rsidRDefault="00BB271E" w:rsidP="003A2882">
      <w:pPr>
        <w:spacing w:line="360" w:lineRule="auto"/>
        <w:jc w:val="both"/>
        <w:rPr>
          <w:rFonts w:eastAsiaTheme="minorEastAsia" w:cs="Times New Roman"/>
          <w:szCs w:val="24"/>
          <w:lang w:eastAsia="zh-CN"/>
        </w:rPr>
      </w:pPr>
      <w:r w:rsidRPr="008E762D">
        <w:rPr>
          <w:rFonts w:eastAsiaTheme="minorEastAsia" w:cs="Times New Roman"/>
          <w:szCs w:val="24"/>
          <w:lang w:eastAsia="zh-CN"/>
        </w:rPr>
        <w:t xml:space="preserve">In </w:t>
      </w:r>
      <w:r>
        <w:rPr>
          <w:rFonts w:eastAsiaTheme="minorEastAsia" w:cs="Times New Roman"/>
          <w:szCs w:val="24"/>
          <w:lang w:eastAsia="zh-CN"/>
        </w:rPr>
        <w:t>each case</w:t>
      </w:r>
      <w:r w:rsidRPr="008E762D">
        <w:rPr>
          <w:rFonts w:eastAsiaTheme="minorEastAsia" w:cs="Times New Roman"/>
          <w:szCs w:val="24"/>
          <w:lang w:eastAsia="zh-CN"/>
        </w:rPr>
        <w:t>,</w:t>
      </w:r>
      <w:r>
        <w:rPr>
          <w:rFonts w:eastAsiaTheme="minorEastAsia" w:cs="Times New Roman"/>
          <w:szCs w:val="24"/>
          <w:lang w:eastAsia="zh-CN"/>
        </w:rPr>
        <w:t xml:space="preserve"> ‘fulfil’ obligations </w:t>
      </w:r>
      <w:r w:rsidR="0072411A">
        <w:rPr>
          <w:rFonts w:eastAsiaTheme="minorEastAsia" w:cs="Times New Roman"/>
          <w:szCs w:val="24"/>
          <w:lang w:eastAsia="zh-CN"/>
        </w:rPr>
        <w:t xml:space="preserve">can require </w:t>
      </w:r>
      <w:r>
        <w:rPr>
          <w:rFonts w:eastAsiaTheme="minorEastAsia" w:cs="Times New Roman"/>
          <w:szCs w:val="24"/>
          <w:lang w:eastAsia="zh-CN"/>
        </w:rPr>
        <w:t>facilitat</w:t>
      </w:r>
      <w:r w:rsidR="002146B0">
        <w:rPr>
          <w:rFonts w:eastAsiaTheme="minorEastAsia" w:cs="Times New Roman"/>
          <w:szCs w:val="24"/>
          <w:lang w:eastAsia="zh-CN"/>
        </w:rPr>
        <w:t>ion</w:t>
      </w:r>
      <w:r>
        <w:rPr>
          <w:rFonts w:eastAsiaTheme="minorEastAsia" w:cs="Times New Roman"/>
          <w:szCs w:val="24"/>
          <w:lang w:eastAsia="zh-CN"/>
        </w:rPr>
        <w:t xml:space="preserve"> through market regulation. </w:t>
      </w:r>
      <w:r w:rsidR="00855E41">
        <w:rPr>
          <w:rFonts w:eastAsiaTheme="minorEastAsia" w:cs="Times New Roman"/>
          <w:szCs w:val="24"/>
          <w:lang w:eastAsia="zh-CN"/>
        </w:rPr>
        <w:t xml:space="preserve">To guarantee the </w:t>
      </w:r>
      <w:r w:rsidR="005B41D2">
        <w:rPr>
          <w:rFonts w:eastAsiaTheme="minorEastAsia" w:cs="Times New Roman"/>
          <w:szCs w:val="24"/>
          <w:lang w:eastAsia="zh-CN"/>
        </w:rPr>
        <w:t>right to a fair wage, a national minimum wage should be implemented that applies to all employers</w:t>
      </w:r>
      <w:r w:rsidR="00D44A86">
        <w:rPr>
          <w:rFonts w:eastAsiaTheme="minorEastAsia" w:cs="Times New Roman"/>
          <w:szCs w:val="24"/>
          <w:lang w:eastAsia="zh-CN"/>
        </w:rPr>
        <w:t>. This is evident but underdeveloped</w:t>
      </w:r>
      <w:r w:rsidR="006515F0">
        <w:rPr>
          <w:rFonts w:eastAsiaTheme="minorEastAsia" w:cs="Times New Roman"/>
          <w:szCs w:val="24"/>
          <w:lang w:eastAsia="zh-CN"/>
        </w:rPr>
        <w:t>, particularly regarding certain rights, such as housing</w:t>
      </w:r>
      <w:r w:rsidR="00D44A86">
        <w:rPr>
          <w:rFonts w:eastAsiaTheme="minorEastAsia" w:cs="Times New Roman"/>
          <w:szCs w:val="24"/>
          <w:lang w:eastAsia="zh-CN"/>
        </w:rPr>
        <w:t>. It means</w:t>
      </w:r>
      <w:r w:rsidR="009F4BED">
        <w:rPr>
          <w:rFonts w:eastAsiaTheme="minorEastAsia" w:cs="Times New Roman"/>
          <w:szCs w:val="24"/>
          <w:lang w:eastAsia="zh-CN"/>
        </w:rPr>
        <w:t xml:space="preserve"> that</w:t>
      </w:r>
      <w:r w:rsidR="006E42FB">
        <w:rPr>
          <w:rFonts w:eastAsiaTheme="minorEastAsia" w:cs="Times New Roman"/>
          <w:szCs w:val="24"/>
          <w:lang w:eastAsia="zh-CN"/>
        </w:rPr>
        <w:t xml:space="preserve"> </w:t>
      </w:r>
      <w:r w:rsidR="009F4BED">
        <w:rPr>
          <w:rFonts w:eastAsiaTheme="minorEastAsia" w:cs="Times New Roman"/>
          <w:szCs w:val="24"/>
          <w:lang w:eastAsia="zh-CN"/>
        </w:rPr>
        <w:t>if</w:t>
      </w:r>
      <w:r w:rsidR="006E42FB">
        <w:rPr>
          <w:rFonts w:eastAsiaTheme="minorEastAsia" w:cs="Times New Roman"/>
          <w:szCs w:val="24"/>
          <w:lang w:eastAsia="zh-CN"/>
        </w:rPr>
        <w:t xml:space="preserve"> marketization is adopted</w:t>
      </w:r>
      <w:r w:rsidR="009F4BED">
        <w:rPr>
          <w:rFonts w:eastAsiaTheme="minorEastAsia" w:cs="Times New Roman"/>
          <w:szCs w:val="24"/>
          <w:lang w:eastAsia="zh-CN"/>
        </w:rPr>
        <w:t>, any business in a rights relevant market may be</w:t>
      </w:r>
      <w:r w:rsidR="009F4BED" w:rsidRPr="008E762D">
        <w:rPr>
          <w:rFonts w:eastAsiaTheme="minorEastAsia" w:cs="Times New Roman"/>
          <w:szCs w:val="24"/>
          <w:lang w:eastAsia="zh-CN"/>
        </w:rPr>
        <w:t xml:space="preserve"> compelled </w:t>
      </w:r>
      <w:r w:rsidR="009F4BED">
        <w:rPr>
          <w:rFonts w:eastAsiaTheme="minorEastAsia" w:cs="Times New Roman"/>
          <w:szCs w:val="24"/>
          <w:lang w:eastAsia="zh-CN"/>
        </w:rPr>
        <w:t xml:space="preserve">by national law to </w:t>
      </w:r>
      <w:r w:rsidR="00BF1462">
        <w:rPr>
          <w:rFonts w:eastAsiaTheme="minorEastAsia" w:cs="Times New Roman"/>
          <w:szCs w:val="24"/>
          <w:lang w:eastAsia="zh-CN"/>
        </w:rPr>
        <w:t>reduce prices or improve supply</w:t>
      </w:r>
      <w:r w:rsidR="00BF1462" w:rsidRPr="00BF1462">
        <w:rPr>
          <w:rFonts w:eastAsiaTheme="minorEastAsia" w:cs="Times New Roman"/>
          <w:szCs w:val="24"/>
          <w:lang w:eastAsia="zh-CN"/>
        </w:rPr>
        <w:t xml:space="preserve"> </w:t>
      </w:r>
      <w:r w:rsidR="00BF1462">
        <w:rPr>
          <w:rFonts w:eastAsiaTheme="minorEastAsia" w:cs="Times New Roman"/>
          <w:szCs w:val="24"/>
          <w:lang w:eastAsia="zh-CN"/>
        </w:rPr>
        <w:t>based on the state’s</w:t>
      </w:r>
      <w:r w:rsidR="00BF1462" w:rsidRPr="008E762D">
        <w:rPr>
          <w:rFonts w:eastAsiaTheme="minorEastAsia" w:cs="Times New Roman"/>
          <w:szCs w:val="24"/>
          <w:lang w:eastAsia="zh-CN"/>
        </w:rPr>
        <w:t xml:space="preserve"> international legal obligation</w:t>
      </w:r>
      <w:r w:rsidR="00BF1462">
        <w:rPr>
          <w:rFonts w:eastAsiaTheme="minorEastAsia" w:cs="Times New Roman"/>
          <w:szCs w:val="24"/>
          <w:lang w:eastAsia="zh-CN"/>
        </w:rPr>
        <w:t>s.</w:t>
      </w:r>
      <w:r w:rsidR="0047401F">
        <w:rPr>
          <w:rFonts w:eastAsiaTheme="minorEastAsia" w:cs="Times New Roman"/>
          <w:szCs w:val="24"/>
          <w:lang w:eastAsia="zh-CN"/>
        </w:rPr>
        <w:t xml:space="preserve"> The scope and form of this principle is discussed next.</w:t>
      </w:r>
    </w:p>
    <w:p w14:paraId="1E7D7364" w14:textId="77777777" w:rsidR="00771C39" w:rsidRPr="003A2882" w:rsidRDefault="00771C39" w:rsidP="003A2882">
      <w:pPr>
        <w:spacing w:line="360" w:lineRule="auto"/>
        <w:jc w:val="both"/>
        <w:rPr>
          <w:rFonts w:eastAsiaTheme="minorEastAsia" w:cs="Times New Roman"/>
          <w:szCs w:val="24"/>
          <w:lang w:eastAsia="zh-CN"/>
        </w:rPr>
      </w:pPr>
    </w:p>
    <w:p w14:paraId="6CFD8F29" w14:textId="1612ACEC" w:rsidR="00641455" w:rsidRDefault="00641455" w:rsidP="00CD184A">
      <w:pPr>
        <w:pStyle w:val="ListParagraph"/>
        <w:numPr>
          <w:ilvl w:val="2"/>
          <w:numId w:val="6"/>
        </w:numPr>
        <w:jc w:val="both"/>
      </w:pPr>
      <w:r>
        <w:t xml:space="preserve">Does Fulfil </w:t>
      </w:r>
      <w:r w:rsidR="000C412F">
        <w:t xml:space="preserve">Necessitate </w:t>
      </w:r>
      <w:r w:rsidR="006064EC">
        <w:t xml:space="preserve">Regulating Businesses </w:t>
      </w:r>
      <w:proofErr w:type="gramStart"/>
      <w:r w:rsidR="006064EC">
        <w:t>so as to</w:t>
      </w:r>
      <w:proofErr w:type="gramEnd"/>
      <w:r w:rsidR="006064EC">
        <w:t xml:space="preserve"> Fulfil Rights? </w:t>
      </w:r>
    </w:p>
    <w:p w14:paraId="0EA7EE73" w14:textId="77777777" w:rsidR="00927492" w:rsidRDefault="00927492" w:rsidP="00CD184A">
      <w:pPr>
        <w:pStyle w:val="ListParagraph"/>
        <w:jc w:val="both"/>
      </w:pPr>
    </w:p>
    <w:p w14:paraId="6580862A" w14:textId="588FA900" w:rsidR="00927492" w:rsidRDefault="00927492" w:rsidP="00CD184A">
      <w:pPr>
        <w:pStyle w:val="ListParagraph"/>
        <w:ind w:left="360"/>
        <w:jc w:val="both"/>
      </w:pPr>
    </w:p>
    <w:p w14:paraId="7BA1E3D0" w14:textId="3BDF45F4" w:rsidR="00AA5B17" w:rsidRPr="008E762D" w:rsidRDefault="00AA5B17" w:rsidP="00CD184A">
      <w:pPr>
        <w:spacing w:line="360" w:lineRule="auto"/>
        <w:jc w:val="both"/>
        <w:rPr>
          <w:rFonts w:eastAsiaTheme="minorEastAsia" w:cs="Times New Roman"/>
          <w:szCs w:val="24"/>
          <w:lang w:eastAsia="zh-CN"/>
        </w:rPr>
      </w:pPr>
      <w:r w:rsidRPr="008E762D">
        <w:rPr>
          <w:rFonts w:eastAsiaTheme="minorEastAsia" w:cs="Times New Roman"/>
          <w:szCs w:val="24"/>
          <w:lang w:eastAsia="zh-CN"/>
        </w:rPr>
        <w:t>This leads to the third element of ‘fulfil’ under marketization.</w:t>
      </w:r>
      <w:r>
        <w:rPr>
          <w:rFonts w:eastAsiaTheme="minorEastAsia" w:cs="Times New Roman"/>
          <w:szCs w:val="24"/>
          <w:lang w:eastAsia="zh-CN"/>
        </w:rPr>
        <w:t xml:space="preserve"> </w:t>
      </w:r>
      <w:r w:rsidR="00246351" w:rsidRPr="008E762D">
        <w:rPr>
          <w:rFonts w:eastAsiaTheme="minorEastAsia" w:cs="Times New Roman"/>
          <w:szCs w:val="24"/>
          <w:lang w:eastAsia="zh-CN"/>
        </w:rPr>
        <w:t xml:space="preserve">Businesses have voluntarily chosen to take key structural positions in markets for human rights essentials in the hope of increasing profits. </w:t>
      </w:r>
      <w:r w:rsidR="00246351">
        <w:rPr>
          <w:rFonts w:eastAsiaTheme="minorEastAsia" w:cs="Times New Roman"/>
          <w:szCs w:val="24"/>
          <w:lang w:eastAsia="zh-CN"/>
        </w:rPr>
        <w:t>As such, the</w:t>
      </w:r>
      <w:r>
        <w:rPr>
          <w:rFonts w:eastAsiaTheme="minorEastAsia" w:cs="Times New Roman"/>
          <w:szCs w:val="24"/>
          <w:lang w:eastAsia="zh-CN"/>
        </w:rPr>
        <w:t xml:space="preserve"> state obligation to fulfil entails obligations to regulate businesses </w:t>
      </w:r>
      <w:proofErr w:type="gramStart"/>
      <w:r>
        <w:rPr>
          <w:rFonts w:eastAsiaTheme="minorEastAsia" w:cs="Times New Roman"/>
          <w:szCs w:val="24"/>
          <w:lang w:eastAsia="zh-CN"/>
        </w:rPr>
        <w:t>so as to</w:t>
      </w:r>
      <w:proofErr w:type="gramEnd"/>
      <w:r>
        <w:rPr>
          <w:rFonts w:eastAsiaTheme="minorEastAsia" w:cs="Times New Roman"/>
          <w:szCs w:val="24"/>
          <w:lang w:eastAsia="zh-CN"/>
        </w:rPr>
        <w:t xml:space="preserve"> fulfil rights</w:t>
      </w:r>
      <w:r w:rsidR="00C7134C">
        <w:rPr>
          <w:rFonts w:eastAsiaTheme="minorEastAsia" w:cs="Times New Roman"/>
          <w:szCs w:val="24"/>
          <w:lang w:eastAsia="zh-CN"/>
        </w:rPr>
        <w:t xml:space="preserve">. Just as states have transferred </w:t>
      </w:r>
      <w:r w:rsidR="00C32013">
        <w:rPr>
          <w:rFonts w:eastAsiaTheme="minorEastAsia" w:cs="Times New Roman"/>
          <w:szCs w:val="24"/>
          <w:lang w:eastAsia="zh-CN"/>
        </w:rPr>
        <w:t>the supply of essential resources to the market, so the state obligation to fulfil must be transferred to this market via regulation.</w:t>
      </w:r>
      <w:r w:rsidR="00064368">
        <w:rPr>
          <w:rFonts w:eastAsiaTheme="minorEastAsia" w:cs="Times New Roman"/>
          <w:szCs w:val="24"/>
          <w:lang w:eastAsia="zh-CN"/>
        </w:rPr>
        <w:t xml:space="preserve"> </w:t>
      </w:r>
      <w:r>
        <w:rPr>
          <w:rFonts w:eastAsiaTheme="minorEastAsia" w:cs="Times New Roman"/>
          <w:szCs w:val="24"/>
          <w:lang w:eastAsia="zh-CN"/>
        </w:rPr>
        <w:t xml:space="preserve">These obligations already exist but are not well-defined, particularly when placed under ‘protect’. Implementing a living wage or affordable rent control fulfils the element of the right in question for the relevant individual, and does so through market facilitation, by compelling a private actor to fulfil the right so long as the private actor remains in the relevant field. </w:t>
      </w:r>
    </w:p>
    <w:p w14:paraId="0CAD9236" w14:textId="0977F2B1" w:rsidR="00AA5B17" w:rsidRDefault="00AA5B17" w:rsidP="00CD184A">
      <w:pPr>
        <w:spacing w:line="360" w:lineRule="auto"/>
        <w:jc w:val="both"/>
        <w:rPr>
          <w:rFonts w:eastAsiaTheme="minorEastAsia" w:cs="Times New Roman"/>
          <w:szCs w:val="24"/>
          <w:lang w:eastAsia="zh-CN"/>
        </w:rPr>
      </w:pPr>
      <w:r w:rsidRPr="008E762D">
        <w:rPr>
          <w:rFonts w:eastAsiaTheme="minorEastAsia" w:cs="Times New Roman"/>
          <w:szCs w:val="24"/>
          <w:lang w:eastAsia="zh-CN"/>
        </w:rPr>
        <w:t>General Comment 14 on the right to health offers that fulfil ‘obligations include the provision of a public, private or mixed health insurance system which is affordable for all.’</w:t>
      </w:r>
      <w:r w:rsidRPr="008E762D">
        <w:rPr>
          <w:rFonts w:eastAsiaTheme="minorEastAsia" w:cs="Times New Roman"/>
          <w:szCs w:val="24"/>
          <w:vertAlign w:val="superscript"/>
          <w:lang w:eastAsia="zh-CN"/>
        </w:rPr>
        <w:footnoteReference w:id="107"/>
      </w:r>
      <w:r w:rsidRPr="008E762D">
        <w:rPr>
          <w:rFonts w:eastAsiaTheme="minorEastAsia" w:cs="Times New Roman"/>
          <w:szCs w:val="24"/>
          <w:lang w:eastAsia="zh-CN"/>
        </w:rPr>
        <w:t xml:space="preserve"> General Comment 22 on the right to sexual and reproductive health states that ‘[p]</w:t>
      </w:r>
      <w:proofErr w:type="spellStart"/>
      <w:r w:rsidRPr="008E762D">
        <w:rPr>
          <w:rFonts w:eastAsiaTheme="minorEastAsia" w:cs="Times New Roman"/>
          <w:szCs w:val="24"/>
          <w:lang w:eastAsia="zh-CN"/>
        </w:rPr>
        <w:t>ublicly</w:t>
      </w:r>
      <w:proofErr w:type="spellEnd"/>
      <w:r w:rsidRPr="008E762D">
        <w:rPr>
          <w:rFonts w:eastAsiaTheme="minorEastAsia" w:cs="Times New Roman"/>
          <w:szCs w:val="24"/>
          <w:lang w:eastAsia="zh-CN"/>
        </w:rPr>
        <w:t xml:space="preserve"> or privately provided sexual and reproductive health services must be affordable for all. Essential goods and services… must be provided at no cost or based on the principle of equality to ensure that individuals and families are not disproportionately burdened with health expenses.’</w:t>
      </w:r>
      <w:r w:rsidRPr="008E762D">
        <w:rPr>
          <w:rFonts w:eastAsiaTheme="minorEastAsia" w:cs="Times New Roman"/>
          <w:szCs w:val="24"/>
          <w:vertAlign w:val="superscript"/>
          <w:lang w:eastAsia="zh-CN"/>
        </w:rPr>
        <w:footnoteReference w:id="108"/>
      </w:r>
      <w:r w:rsidRPr="008E762D">
        <w:rPr>
          <w:rFonts w:eastAsiaTheme="minorEastAsia" w:cs="Times New Roman"/>
          <w:szCs w:val="24"/>
          <w:lang w:eastAsia="zh-CN"/>
        </w:rPr>
        <w:t xml:space="preserve"> </w:t>
      </w:r>
      <w:r>
        <w:rPr>
          <w:rFonts w:eastAsiaTheme="minorEastAsia" w:cs="Times New Roman"/>
          <w:szCs w:val="24"/>
          <w:lang w:eastAsia="zh-CN"/>
        </w:rPr>
        <w:t xml:space="preserve">Along </w:t>
      </w:r>
      <w:r>
        <w:rPr>
          <w:rFonts w:eastAsiaTheme="minorEastAsia" w:cs="Times New Roman"/>
          <w:szCs w:val="24"/>
          <w:lang w:eastAsia="zh-CN"/>
        </w:rPr>
        <w:lastRenderedPageBreak/>
        <w:t xml:space="preserve">with the statements cited above from General Comment 24 related to housing, just work, and other rights, it is clear that, to the CESCR, private actors can and sometimes must </w:t>
      </w:r>
      <w:r w:rsidR="00237458">
        <w:rPr>
          <w:rFonts w:eastAsiaTheme="minorEastAsia" w:cs="Times New Roman"/>
          <w:szCs w:val="24"/>
          <w:lang w:eastAsia="zh-CN"/>
        </w:rPr>
        <w:t>be regulated so that they</w:t>
      </w:r>
      <w:r>
        <w:rPr>
          <w:rFonts w:eastAsiaTheme="minorEastAsia" w:cs="Times New Roman"/>
          <w:szCs w:val="24"/>
          <w:lang w:eastAsia="zh-CN"/>
        </w:rPr>
        <w:t xml:space="preserve"> </w:t>
      </w:r>
      <w:r w:rsidR="00237458">
        <w:rPr>
          <w:rFonts w:eastAsiaTheme="minorEastAsia" w:cs="Times New Roman"/>
          <w:szCs w:val="24"/>
          <w:lang w:eastAsia="zh-CN"/>
        </w:rPr>
        <w:t xml:space="preserve">contribute to </w:t>
      </w:r>
      <w:r w:rsidR="005211C1">
        <w:rPr>
          <w:rFonts w:eastAsiaTheme="minorEastAsia" w:cs="Times New Roman"/>
          <w:szCs w:val="24"/>
          <w:lang w:eastAsia="zh-CN"/>
        </w:rPr>
        <w:t>fulfilment</w:t>
      </w:r>
      <w:r>
        <w:rPr>
          <w:rFonts w:eastAsiaTheme="minorEastAsia" w:cs="Times New Roman"/>
          <w:szCs w:val="24"/>
          <w:lang w:eastAsia="zh-CN"/>
        </w:rPr>
        <w:t xml:space="preserve"> based on their position as key suppliers of essential materialities and services</w:t>
      </w:r>
      <w:r w:rsidRPr="008E762D">
        <w:rPr>
          <w:rFonts w:eastAsiaTheme="minorEastAsia" w:cs="Times New Roman"/>
          <w:szCs w:val="24"/>
          <w:lang w:eastAsia="zh-CN"/>
        </w:rPr>
        <w:t xml:space="preserve">. </w:t>
      </w:r>
      <w:r>
        <w:rPr>
          <w:rFonts w:eastAsiaTheme="minorEastAsia" w:cs="Times New Roman"/>
          <w:szCs w:val="24"/>
          <w:lang w:eastAsia="zh-CN"/>
        </w:rPr>
        <w:t xml:space="preserve">To be clear, these are legally state obligations which impose, in practice, obligations to fulfil upon private providers. </w:t>
      </w:r>
    </w:p>
    <w:p w14:paraId="75D90015" w14:textId="77777777" w:rsidR="00D0324C" w:rsidRDefault="00AA5B17" w:rsidP="00CD184A">
      <w:pPr>
        <w:spacing w:line="360" w:lineRule="auto"/>
        <w:jc w:val="both"/>
        <w:rPr>
          <w:rFonts w:eastAsiaTheme="minorEastAsia" w:cs="Times New Roman"/>
          <w:szCs w:val="24"/>
          <w:lang w:eastAsia="zh-CN"/>
        </w:rPr>
      </w:pPr>
      <w:r>
        <w:rPr>
          <w:rFonts w:eastAsiaTheme="minorEastAsia" w:cs="Times New Roman"/>
          <w:szCs w:val="24"/>
          <w:lang w:eastAsia="zh-CN"/>
        </w:rPr>
        <w:t>These positive obligations will be enforced by state regulation, and will be specifically limited to those necessitated by the business’s structural position.</w:t>
      </w:r>
      <w:r>
        <w:rPr>
          <w:rStyle w:val="FootnoteReference"/>
          <w:rFonts w:eastAsiaTheme="minorEastAsia" w:cs="Times New Roman"/>
          <w:szCs w:val="24"/>
          <w:lang w:eastAsia="zh-CN"/>
        </w:rPr>
        <w:footnoteReference w:id="109"/>
      </w:r>
      <w:r w:rsidRPr="008E762D">
        <w:rPr>
          <w:rFonts w:eastAsiaTheme="minorEastAsia" w:cs="Times New Roman"/>
          <w:szCs w:val="24"/>
          <w:lang w:eastAsia="zh-CN"/>
        </w:rPr>
        <w:t xml:space="preserve"> </w:t>
      </w:r>
      <w:r>
        <w:rPr>
          <w:rFonts w:eastAsiaTheme="minorEastAsia" w:cs="Times New Roman"/>
          <w:szCs w:val="24"/>
          <w:lang w:eastAsia="zh-CN"/>
        </w:rPr>
        <w:t xml:space="preserve">Therefore, the water company </w:t>
      </w:r>
      <w:r w:rsidR="00F06042">
        <w:rPr>
          <w:rFonts w:eastAsiaTheme="minorEastAsia" w:cs="Times New Roman"/>
          <w:szCs w:val="24"/>
          <w:lang w:eastAsia="zh-CN"/>
        </w:rPr>
        <w:t>holds</w:t>
      </w:r>
      <w:r>
        <w:rPr>
          <w:rFonts w:eastAsiaTheme="minorEastAsia" w:cs="Times New Roman"/>
          <w:szCs w:val="24"/>
          <w:lang w:eastAsia="zh-CN"/>
        </w:rPr>
        <w:t xml:space="preserve"> obligations to ensure universal access to water at an affordable price;</w:t>
      </w:r>
      <w:r>
        <w:rPr>
          <w:rStyle w:val="FootnoteReference"/>
          <w:rFonts w:eastAsiaTheme="minorEastAsia" w:cs="Times New Roman"/>
          <w:szCs w:val="24"/>
          <w:lang w:eastAsia="zh-CN"/>
        </w:rPr>
        <w:footnoteReference w:id="110"/>
      </w:r>
      <w:r>
        <w:rPr>
          <w:rFonts w:eastAsiaTheme="minorEastAsia" w:cs="Times New Roman"/>
          <w:szCs w:val="24"/>
          <w:lang w:eastAsia="zh-CN"/>
        </w:rPr>
        <w:t xml:space="preserve"> the healthcare insurance company </w:t>
      </w:r>
      <w:r w:rsidR="008238E0">
        <w:rPr>
          <w:rFonts w:eastAsiaTheme="minorEastAsia" w:cs="Times New Roman"/>
          <w:szCs w:val="24"/>
          <w:lang w:eastAsia="zh-CN"/>
        </w:rPr>
        <w:t>holds</w:t>
      </w:r>
      <w:r>
        <w:rPr>
          <w:rFonts w:eastAsiaTheme="minorEastAsia" w:cs="Times New Roman"/>
          <w:szCs w:val="24"/>
          <w:lang w:eastAsia="zh-CN"/>
        </w:rPr>
        <w:t xml:space="preserve"> obligations to ensure universal access for its members, including an array of regulations regarding when funding for health services can be legitimately denied; the employer </w:t>
      </w:r>
      <w:r w:rsidR="008238E0">
        <w:rPr>
          <w:rFonts w:eastAsiaTheme="minorEastAsia" w:cs="Times New Roman"/>
          <w:szCs w:val="24"/>
          <w:lang w:eastAsia="zh-CN"/>
        </w:rPr>
        <w:t>may</w:t>
      </w:r>
      <w:r>
        <w:rPr>
          <w:rFonts w:eastAsiaTheme="minorEastAsia" w:cs="Times New Roman"/>
          <w:szCs w:val="24"/>
          <w:lang w:eastAsia="zh-CN"/>
        </w:rPr>
        <w:t xml:space="preserve"> obligated to ensure fair pay through minimum wage law; and the landlord </w:t>
      </w:r>
      <w:r w:rsidR="008238E0">
        <w:rPr>
          <w:rFonts w:eastAsiaTheme="minorEastAsia" w:cs="Times New Roman"/>
          <w:szCs w:val="24"/>
          <w:lang w:eastAsia="zh-CN"/>
        </w:rPr>
        <w:t>may</w:t>
      </w:r>
      <w:r>
        <w:rPr>
          <w:rFonts w:eastAsiaTheme="minorEastAsia" w:cs="Times New Roman"/>
          <w:szCs w:val="24"/>
          <w:lang w:eastAsia="zh-CN"/>
        </w:rPr>
        <w:t xml:space="preserve"> be obligated to contribute to universal access to housing through rent control. </w:t>
      </w:r>
    </w:p>
    <w:p w14:paraId="0CCC62AC" w14:textId="10B1C3CA" w:rsidR="00AA5B17" w:rsidRPr="00D0324C" w:rsidRDefault="00AA5B17" w:rsidP="00CD184A">
      <w:pPr>
        <w:spacing w:line="360" w:lineRule="auto"/>
        <w:jc w:val="both"/>
        <w:rPr>
          <w:rFonts w:eastAsiaTheme="minorEastAsia" w:cs="Times New Roman"/>
          <w:szCs w:val="24"/>
          <w:lang w:eastAsia="zh-CN"/>
        </w:rPr>
      </w:pPr>
      <w:r>
        <w:rPr>
          <w:rFonts w:eastAsiaTheme="minorEastAsia" w:cs="Times New Roman"/>
          <w:szCs w:val="24"/>
          <w:lang w:eastAsia="zh-CN"/>
        </w:rPr>
        <w:t>The restricted nature of these positive obligations bypasses commonly cited issues with placing positive obligations upon private actors.</w:t>
      </w:r>
      <w:r>
        <w:rPr>
          <w:rStyle w:val="FootnoteReference"/>
          <w:rFonts w:eastAsiaTheme="minorEastAsia" w:cs="Times New Roman"/>
          <w:szCs w:val="24"/>
          <w:lang w:eastAsia="zh-CN"/>
        </w:rPr>
        <w:footnoteReference w:id="111"/>
      </w:r>
      <w:r>
        <w:rPr>
          <w:rFonts w:eastAsiaTheme="minorEastAsia" w:cs="Times New Roman"/>
          <w:szCs w:val="24"/>
          <w:lang w:eastAsia="zh-CN"/>
        </w:rPr>
        <w:t xml:space="preserve"> Business, generally, remains under ‘protect’; only when a business voluntarily moves into a specific rights-relevant area does the state obligation to fulfil become relevant to business actors. </w:t>
      </w:r>
      <w:r w:rsidR="00997F0B">
        <w:rPr>
          <w:rFonts w:eastAsiaTheme="minorEastAsia" w:cs="Times New Roman"/>
          <w:szCs w:val="24"/>
          <w:lang w:eastAsia="zh-CN"/>
        </w:rPr>
        <w:t xml:space="preserve">Businesses </w:t>
      </w:r>
      <w:r w:rsidR="00D52A6A">
        <w:rPr>
          <w:rFonts w:eastAsiaTheme="minorEastAsia" w:cs="Times New Roman"/>
          <w:szCs w:val="24"/>
          <w:lang w:eastAsia="zh-CN"/>
        </w:rPr>
        <w:t xml:space="preserve">do not hold general obligations to fulfil for a variety of reasons, including </w:t>
      </w:r>
      <w:r w:rsidR="005437AD">
        <w:rPr>
          <w:rFonts w:eastAsiaTheme="minorEastAsia" w:cs="Times New Roman"/>
          <w:szCs w:val="24"/>
          <w:lang w:eastAsia="zh-CN"/>
        </w:rPr>
        <w:t xml:space="preserve">that it is difficult to specify </w:t>
      </w:r>
      <w:r w:rsidR="00B52BB6">
        <w:rPr>
          <w:rFonts w:eastAsiaTheme="minorEastAsia" w:cs="Times New Roman"/>
          <w:szCs w:val="24"/>
          <w:lang w:eastAsia="zh-CN"/>
        </w:rPr>
        <w:t>to</w:t>
      </w:r>
      <w:r w:rsidR="00A068AC">
        <w:rPr>
          <w:rFonts w:eastAsiaTheme="minorEastAsia" w:cs="Times New Roman"/>
          <w:szCs w:val="24"/>
          <w:lang w:eastAsia="zh-CN"/>
        </w:rPr>
        <w:t xml:space="preserve"> whom, how, and to what extent they should be obligated to fulfil rights. </w:t>
      </w:r>
      <w:r>
        <w:rPr>
          <w:rFonts w:eastAsiaTheme="minorEastAsia" w:cs="Times New Roman"/>
          <w:szCs w:val="24"/>
          <w:lang w:eastAsia="zh-CN"/>
        </w:rPr>
        <w:t>S</w:t>
      </w:r>
      <w:r w:rsidRPr="008E762D">
        <w:rPr>
          <w:rFonts w:eastAsiaTheme="minorEastAsia" w:cs="Times New Roman"/>
          <w:szCs w:val="24"/>
          <w:lang w:eastAsia="zh-CN"/>
        </w:rPr>
        <w:t xml:space="preserve">tates are </w:t>
      </w:r>
      <w:proofErr w:type="gramStart"/>
      <w:r w:rsidRPr="008E762D">
        <w:rPr>
          <w:rFonts w:eastAsiaTheme="minorEastAsia" w:cs="Times New Roman"/>
          <w:szCs w:val="24"/>
          <w:lang w:eastAsia="zh-CN"/>
        </w:rPr>
        <w:t>geographically-bounded</w:t>
      </w:r>
      <w:proofErr w:type="gramEnd"/>
      <w:r w:rsidRPr="008E762D">
        <w:rPr>
          <w:rFonts w:eastAsiaTheme="minorEastAsia" w:cs="Times New Roman"/>
          <w:szCs w:val="24"/>
          <w:lang w:eastAsia="zh-CN"/>
        </w:rPr>
        <w:t xml:space="preserve"> entities with the authority to implement legal and political changes within their jurisdiction with the aim of realizing, or denying, human rights. States are </w:t>
      </w:r>
      <w:r w:rsidR="00E212B9">
        <w:rPr>
          <w:rFonts w:eastAsiaTheme="minorEastAsia" w:cs="Times New Roman"/>
          <w:szCs w:val="24"/>
          <w:lang w:eastAsia="zh-CN"/>
        </w:rPr>
        <w:t xml:space="preserve">hold responsibilities to their citizens and are </w:t>
      </w:r>
      <w:r w:rsidRPr="008E762D">
        <w:rPr>
          <w:rFonts w:eastAsiaTheme="minorEastAsia" w:cs="Times New Roman"/>
          <w:szCs w:val="24"/>
          <w:lang w:eastAsia="zh-CN"/>
        </w:rPr>
        <w:t xml:space="preserve">at least capable of attempting to move toward full realization. Corporations do not have this sweeping authority and therefore the conception that they should be obligated to fulfil rights begs </w:t>
      </w:r>
      <w:r w:rsidR="005211C1">
        <w:rPr>
          <w:rFonts w:eastAsiaTheme="minorEastAsia" w:cs="Times New Roman"/>
          <w:szCs w:val="24"/>
          <w:lang w:eastAsia="zh-CN"/>
        </w:rPr>
        <w:t xml:space="preserve">the above </w:t>
      </w:r>
      <w:r w:rsidRPr="008E762D">
        <w:rPr>
          <w:rFonts w:eastAsiaTheme="minorEastAsia" w:cs="Times New Roman"/>
          <w:szCs w:val="24"/>
          <w:lang w:eastAsia="zh-CN"/>
        </w:rPr>
        <w:t>questions.</w:t>
      </w:r>
      <w:r>
        <w:rPr>
          <w:rStyle w:val="FootnoteReference"/>
          <w:rFonts w:eastAsiaTheme="minorEastAsia" w:cs="Times New Roman"/>
          <w:szCs w:val="24"/>
          <w:lang w:eastAsia="zh-CN"/>
        </w:rPr>
        <w:footnoteReference w:id="112"/>
      </w:r>
      <w:r w:rsidRPr="008E762D">
        <w:rPr>
          <w:rFonts w:eastAsiaTheme="minorEastAsia" w:cs="Times New Roman"/>
          <w:szCs w:val="24"/>
          <w:lang w:eastAsia="zh-CN"/>
        </w:rPr>
        <w:t xml:space="preserve"> </w:t>
      </w:r>
      <w:r w:rsidRPr="008E762D">
        <w:rPr>
          <w:rFonts w:eastAsiaTheme="minorEastAsia" w:cs="Times New Roman"/>
          <w:szCs w:val="24"/>
          <w:lang w:val="en-US" w:eastAsia="zh-CN"/>
        </w:rPr>
        <w:t xml:space="preserve">This problem is true at the general level. </w:t>
      </w:r>
      <w:r>
        <w:rPr>
          <w:rFonts w:eastAsiaTheme="minorEastAsia" w:cs="Times New Roman"/>
          <w:szCs w:val="24"/>
          <w:lang w:val="en-US" w:eastAsia="zh-CN"/>
        </w:rPr>
        <w:t xml:space="preserve">The approach described above restricts positive obligations to those </w:t>
      </w:r>
      <w:r w:rsidRPr="008E762D">
        <w:rPr>
          <w:rFonts w:eastAsiaTheme="minorEastAsia" w:cs="Times New Roman"/>
          <w:szCs w:val="24"/>
          <w:lang w:val="en-US" w:eastAsia="zh-CN"/>
        </w:rPr>
        <w:t xml:space="preserve">business actors </w:t>
      </w:r>
      <w:r>
        <w:rPr>
          <w:rFonts w:eastAsiaTheme="minorEastAsia" w:cs="Times New Roman"/>
          <w:szCs w:val="24"/>
          <w:lang w:val="en-US" w:eastAsia="zh-CN"/>
        </w:rPr>
        <w:t>that have accepted</w:t>
      </w:r>
      <w:r w:rsidRPr="008E762D">
        <w:rPr>
          <w:rFonts w:eastAsiaTheme="minorEastAsia" w:cs="Times New Roman"/>
          <w:szCs w:val="24"/>
          <w:lang w:val="en-US" w:eastAsia="zh-CN"/>
        </w:rPr>
        <w:t xml:space="preserve"> </w:t>
      </w:r>
      <w:r>
        <w:rPr>
          <w:rFonts w:eastAsiaTheme="minorEastAsia" w:cs="Times New Roman"/>
          <w:szCs w:val="24"/>
          <w:lang w:val="en-US" w:eastAsia="zh-CN"/>
        </w:rPr>
        <w:t xml:space="preserve">authoritative positions (even if this is minimalistic, such a landlord with a single property) in sectors that </w:t>
      </w:r>
      <w:r>
        <w:rPr>
          <w:rFonts w:eastAsiaTheme="minorEastAsia" w:cs="Times New Roman"/>
          <w:szCs w:val="24"/>
          <w:lang w:val="en-US" w:eastAsia="zh-CN"/>
        </w:rPr>
        <w:lastRenderedPageBreak/>
        <w:t>engage</w:t>
      </w:r>
      <w:r w:rsidRPr="008E762D">
        <w:rPr>
          <w:rFonts w:eastAsiaTheme="minorEastAsia" w:cs="Times New Roman"/>
          <w:szCs w:val="24"/>
          <w:lang w:val="en-US" w:eastAsia="zh-CN"/>
        </w:rPr>
        <w:t xml:space="preserve"> inte</w:t>
      </w:r>
      <w:r>
        <w:rPr>
          <w:rFonts w:eastAsiaTheme="minorEastAsia" w:cs="Times New Roman"/>
          <w:szCs w:val="24"/>
          <w:lang w:val="en-US" w:eastAsia="zh-CN"/>
        </w:rPr>
        <w:t xml:space="preserve">rnational legal obligations. It further restricts positive obligations only to those areas where such obligations are necessary to realize the right. Rent control, for example, is not a universal necessity, but where it is necessary it is because </w:t>
      </w:r>
      <w:r w:rsidR="00EB2AB3">
        <w:rPr>
          <w:rFonts w:eastAsiaTheme="minorEastAsia" w:cs="Times New Roman"/>
          <w:szCs w:val="24"/>
          <w:lang w:val="en-US" w:eastAsia="zh-CN"/>
        </w:rPr>
        <w:t>market</w:t>
      </w:r>
      <w:r>
        <w:rPr>
          <w:rFonts w:eastAsiaTheme="minorEastAsia" w:cs="Times New Roman"/>
          <w:szCs w:val="24"/>
          <w:lang w:val="en-US" w:eastAsia="zh-CN"/>
        </w:rPr>
        <w:t xml:space="preserve"> prices are too high, invoking a lack of fulfilment that requires targeting landlords under state obligations.</w:t>
      </w:r>
    </w:p>
    <w:p w14:paraId="3516DEAC" w14:textId="331AE5C1" w:rsidR="008F6527" w:rsidRPr="002778E2" w:rsidRDefault="00AA5B17" w:rsidP="002778E2">
      <w:pPr>
        <w:spacing w:line="360" w:lineRule="auto"/>
        <w:jc w:val="both"/>
        <w:rPr>
          <w:rFonts w:eastAsiaTheme="minorEastAsia" w:cs="Times New Roman"/>
          <w:szCs w:val="24"/>
          <w:lang w:eastAsia="zh-CN"/>
        </w:rPr>
      </w:pPr>
      <w:r>
        <w:rPr>
          <w:rFonts w:eastAsiaTheme="minorEastAsia" w:cs="Times New Roman"/>
          <w:szCs w:val="24"/>
          <w:lang w:val="en-US" w:eastAsia="zh-CN"/>
        </w:rPr>
        <w:t xml:space="preserve">The well-known limitation on private actors holding obligations to fulfil rights may explain the passivity of the CESCR in formulating rent control and similar policies as a state obligation. By concretely defining that it stems from the outcome-oriented state obligation to fulfil rights, that marketization requires that fulfil obligates regulation of these markets, and that it is an essential policy insofar as private rents are too high, the CESCR can take a much more assertive, obligations-oriented approach to such policies. </w:t>
      </w:r>
      <w:r w:rsidR="00682614">
        <w:rPr>
          <w:rFonts w:eastAsiaTheme="minorEastAsia" w:cs="Times New Roman"/>
          <w:szCs w:val="24"/>
          <w:lang w:val="en-US" w:eastAsia="zh-CN"/>
        </w:rPr>
        <w:t>The business actor retains the right to exit the relevant sector</w:t>
      </w:r>
      <w:r w:rsidR="00D72351">
        <w:rPr>
          <w:rFonts w:eastAsiaTheme="minorEastAsia" w:cs="Times New Roman"/>
          <w:szCs w:val="24"/>
          <w:lang w:val="en-US" w:eastAsia="zh-CN"/>
        </w:rPr>
        <w:t xml:space="preserve">, and the state retains the right shift away from marketization to realize rights. The obligation is that </w:t>
      </w:r>
      <w:r w:rsidR="0036374C">
        <w:rPr>
          <w:rFonts w:eastAsiaTheme="minorEastAsia" w:cs="Times New Roman"/>
          <w:szCs w:val="24"/>
          <w:lang w:val="en-US" w:eastAsia="zh-CN"/>
        </w:rPr>
        <w:t>so long as the market provides, market actors are legitimate and sometimes necessary bearers of de facto positive obligations through the state obligation to fulfil.</w:t>
      </w:r>
    </w:p>
    <w:p w14:paraId="2E35D6ED" w14:textId="2F9A9820" w:rsidR="006064EC" w:rsidRDefault="00C74481" w:rsidP="00CD184A">
      <w:pPr>
        <w:pStyle w:val="ListParagraph"/>
        <w:numPr>
          <w:ilvl w:val="2"/>
          <w:numId w:val="6"/>
        </w:numPr>
        <w:jc w:val="both"/>
      </w:pPr>
      <w:r>
        <w:t xml:space="preserve">What Policies </w:t>
      </w:r>
      <w:r w:rsidR="001950B6">
        <w:t>are Needed to</w:t>
      </w:r>
      <w:r>
        <w:t xml:space="preserve"> Fulfil Marketized Rights?</w:t>
      </w:r>
    </w:p>
    <w:p w14:paraId="4D9C8B52" w14:textId="3F3746ED" w:rsidR="00E74D2C" w:rsidRDefault="00E74D2C" w:rsidP="00CD184A">
      <w:pPr>
        <w:spacing w:line="360" w:lineRule="auto"/>
        <w:jc w:val="both"/>
        <w:rPr>
          <w:rFonts w:eastAsiaTheme="minorEastAsia" w:cs="Times New Roman"/>
          <w:szCs w:val="24"/>
          <w:lang w:eastAsia="zh-CN"/>
        </w:rPr>
      </w:pPr>
      <w:r>
        <w:rPr>
          <w:rFonts w:eastAsiaTheme="minorEastAsia" w:cs="Times New Roman"/>
          <w:szCs w:val="24"/>
          <w:lang w:eastAsia="zh-CN"/>
        </w:rPr>
        <w:t xml:space="preserve">Finally, the core of ‘fulfil’ </w:t>
      </w:r>
      <w:r w:rsidR="00C65B5E">
        <w:rPr>
          <w:rFonts w:eastAsiaTheme="minorEastAsia" w:cs="Times New Roman"/>
          <w:szCs w:val="24"/>
          <w:lang w:eastAsia="zh-CN"/>
        </w:rPr>
        <w:t>as relevant to</w:t>
      </w:r>
      <w:r>
        <w:rPr>
          <w:rFonts w:eastAsiaTheme="minorEastAsia" w:cs="Times New Roman"/>
          <w:szCs w:val="24"/>
          <w:lang w:eastAsia="zh-CN"/>
        </w:rPr>
        <w:t xml:space="preserve"> marketization </w:t>
      </w:r>
      <w:r w:rsidR="00533595">
        <w:rPr>
          <w:rFonts w:eastAsiaTheme="minorEastAsia" w:cs="Times New Roman"/>
          <w:szCs w:val="24"/>
          <w:lang w:eastAsia="zh-CN"/>
        </w:rPr>
        <w:t>are</w:t>
      </w:r>
      <w:r>
        <w:rPr>
          <w:rFonts w:eastAsiaTheme="minorEastAsia" w:cs="Times New Roman"/>
          <w:szCs w:val="24"/>
          <w:lang w:eastAsia="zh-CN"/>
        </w:rPr>
        <w:t xml:space="preserve"> those </w:t>
      </w:r>
      <w:r w:rsidR="002778E2">
        <w:rPr>
          <w:rFonts w:eastAsiaTheme="minorEastAsia" w:cs="Times New Roman"/>
          <w:szCs w:val="24"/>
          <w:lang w:eastAsia="zh-CN"/>
        </w:rPr>
        <w:t>market-wide</w:t>
      </w:r>
      <w:r>
        <w:rPr>
          <w:rFonts w:eastAsiaTheme="minorEastAsia" w:cs="Times New Roman"/>
          <w:szCs w:val="24"/>
          <w:lang w:eastAsia="zh-CN"/>
        </w:rPr>
        <w:t xml:space="preserve"> policies designed to improve quantitative </w:t>
      </w:r>
      <w:r w:rsidR="00E55D64">
        <w:rPr>
          <w:rFonts w:eastAsiaTheme="minorEastAsia" w:cs="Times New Roman"/>
          <w:szCs w:val="24"/>
          <w:lang w:eastAsia="zh-CN"/>
        </w:rPr>
        <w:t>outcomes</w:t>
      </w:r>
      <w:r>
        <w:rPr>
          <w:rFonts w:eastAsiaTheme="minorEastAsia" w:cs="Times New Roman"/>
          <w:szCs w:val="24"/>
          <w:lang w:eastAsia="zh-CN"/>
        </w:rPr>
        <w:t>, such as minimum wage, rent control, and universal health coverage.</w:t>
      </w:r>
      <w:r w:rsidRPr="008E762D">
        <w:rPr>
          <w:rFonts w:eastAsiaTheme="minorEastAsia" w:cs="Times New Roman"/>
          <w:szCs w:val="24"/>
          <w:lang w:eastAsia="zh-CN"/>
        </w:rPr>
        <w:t xml:space="preserve"> </w:t>
      </w:r>
      <w:r>
        <w:rPr>
          <w:rFonts w:eastAsiaTheme="minorEastAsia" w:cs="Times New Roman"/>
          <w:szCs w:val="24"/>
          <w:lang w:eastAsia="zh-CN"/>
        </w:rPr>
        <w:t xml:space="preserve">The state has an obligation to fulfil the right to affordable housing, healthcare, and fair wages for all. This is the core of the obligation. It is tangential to the obligation whether the state directly fulfils the right or chooses to regulate markets to fulfil such obligations. Each is a legitimate policy choice in principle, to directly fulfil or to facilitate. Any such universal policy grounded in rights-holders needs constitutes a fulfil policy. Its means of enactment does not change this. </w:t>
      </w:r>
    </w:p>
    <w:p w14:paraId="7AF622D6" w14:textId="6E9EF037" w:rsidR="009C22EE" w:rsidRPr="009C22EE" w:rsidRDefault="00E74D2C" w:rsidP="00CD184A">
      <w:pPr>
        <w:spacing w:line="360" w:lineRule="auto"/>
        <w:jc w:val="both"/>
        <w:rPr>
          <w:rFonts w:eastAsiaTheme="minorEastAsia" w:cs="Times New Roman"/>
          <w:szCs w:val="24"/>
          <w:lang w:eastAsia="zh-CN"/>
        </w:rPr>
      </w:pPr>
      <w:r>
        <w:rPr>
          <w:rFonts w:eastAsiaTheme="minorEastAsia" w:cs="Times New Roman"/>
          <w:szCs w:val="24"/>
          <w:lang w:eastAsia="zh-CN"/>
        </w:rPr>
        <w:t xml:space="preserve">As per the minimum wage example, while </w:t>
      </w:r>
      <w:r w:rsidR="00417FDD">
        <w:rPr>
          <w:rFonts w:eastAsiaTheme="minorEastAsia" w:cs="Times New Roman"/>
          <w:szCs w:val="24"/>
          <w:lang w:eastAsia="zh-CN"/>
        </w:rPr>
        <w:t>it</w:t>
      </w:r>
      <w:r>
        <w:rPr>
          <w:rFonts w:eastAsiaTheme="minorEastAsia" w:cs="Times New Roman"/>
          <w:szCs w:val="24"/>
          <w:lang w:eastAsia="zh-CN"/>
        </w:rPr>
        <w:t xml:space="preserve"> could be discussed under each of respect, protect, and fulfil, the aim of a minimum wage is to fulfil the right to a fair wage. It</w:t>
      </w:r>
      <w:r w:rsidRPr="008E762D">
        <w:rPr>
          <w:rFonts w:eastAsiaTheme="minorEastAsia" w:cs="Times New Roman"/>
          <w:szCs w:val="24"/>
          <w:lang w:eastAsia="zh-CN"/>
        </w:rPr>
        <w:t xml:space="preserve"> is irrelevant </w:t>
      </w:r>
      <w:r>
        <w:rPr>
          <w:rFonts w:eastAsiaTheme="minorEastAsia" w:cs="Times New Roman"/>
          <w:szCs w:val="24"/>
          <w:lang w:eastAsia="zh-CN"/>
        </w:rPr>
        <w:t>whether the right to</w:t>
      </w:r>
      <w:r w:rsidRPr="008E762D">
        <w:rPr>
          <w:rFonts w:eastAsiaTheme="minorEastAsia" w:cs="Times New Roman"/>
          <w:szCs w:val="24"/>
          <w:lang w:eastAsia="zh-CN"/>
        </w:rPr>
        <w:t xml:space="preserve"> a </w:t>
      </w:r>
      <w:r>
        <w:rPr>
          <w:rFonts w:eastAsiaTheme="minorEastAsia" w:cs="Times New Roman"/>
          <w:szCs w:val="24"/>
          <w:lang w:eastAsia="zh-CN"/>
        </w:rPr>
        <w:t>fair</w:t>
      </w:r>
      <w:r w:rsidRPr="008E762D">
        <w:rPr>
          <w:rFonts w:eastAsiaTheme="minorEastAsia" w:cs="Times New Roman"/>
          <w:szCs w:val="24"/>
          <w:lang w:eastAsia="zh-CN"/>
        </w:rPr>
        <w:t xml:space="preserve"> wage is being ‘violated’</w:t>
      </w:r>
      <w:r w:rsidR="00C65B5E">
        <w:rPr>
          <w:rFonts w:eastAsiaTheme="minorEastAsia" w:cs="Times New Roman"/>
          <w:szCs w:val="24"/>
          <w:lang w:eastAsia="zh-CN"/>
        </w:rPr>
        <w:t>, or allowed to retrogress,</w:t>
      </w:r>
      <w:r w:rsidRPr="008E762D">
        <w:rPr>
          <w:rFonts w:eastAsiaTheme="minorEastAsia" w:cs="Times New Roman"/>
          <w:szCs w:val="24"/>
          <w:lang w:eastAsia="zh-CN"/>
        </w:rPr>
        <w:t xml:space="preserve"> because the value is set so low, or if it requires moderate improvement </w:t>
      </w:r>
      <w:proofErr w:type="gramStart"/>
      <w:r w:rsidRPr="008E762D">
        <w:rPr>
          <w:rFonts w:eastAsiaTheme="minorEastAsia" w:cs="Times New Roman"/>
          <w:szCs w:val="24"/>
          <w:lang w:eastAsia="zh-CN"/>
        </w:rPr>
        <w:t>so as to</w:t>
      </w:r>
      <w:proofErr w:type="gramEnd"/>
      <w:r w:rsidRPr="008E762D">
        <w:rPr>
          <w:rFonts w:eastAsiaTheme="minorEastAsia" w:cs="Times New Roman"/>
          <w:szCs w:val="24"/>
          <w:lang w:eastAsia="zh-CN"/>
        </w:rPr>
        <w:t xml:space="preserve"> fulfil the right</w:t>
      </w:r>
      <w:r>
        <w:rPr>
          <w:rFonts w:eastAsiaTheme="minorEastAsia" w:cs="Times New Roman"/>
          <w:szCs w:val="24"/>
          <w:lang w:eastAsia="zh-CN"/>
        </w:rPr>
        <w:t>, and this quantitative approach does not feature in ICESCR jurisprudence</w:t>
      </w:r>
      <w:r w:rsidRPr="008E762D">
        <w:rPr>
          <w:rFonts w:eastAsiaTheme="minorEastAsia" w:cs="Times New Roman"/>
          <w:szCs w:val="24"/>
          <w:lang w:eastAsia="zh-CN"/>
        </w:rPr>
        <w:t>.</w:t>
      </w:r>
      <w:bookmarkStart w:id="20" w:name="_Ref51359440"/>
      <w:r w:rsidR="00C65B5E">
        <w:rPr>
          <w:rStyle w:val="FootnoteReference"/>
          <w:rFonts w:eastAsiaTheme="minorEastAsia" w:cs="Times New Roman"/>
          <w:szCs w:val="24"/>
          <w:lang w:eastAsia="zh-CN"/>
        </w:rPr>
        <w:footnoteReference w:id="113"/>
      </w:r>
      <w:bookmarkEnd w:id="20"/>
      <w:r w:rsidRPr="008E762D">
        <w:rPr>
          <w:rFonts w:eastAsiaTheme="minorEastAsia" w:cs="Times New Roman"/>
          <w:szCs w:val="24"/>
          <w:lang w:eastAsia="zh-CN"/>
        </w:rPr>
        <w:t xml:space="preserve"> </w:t>
      </w:r>
      <w:r w:rsidR="00E36EFB">
        <w:rPr>
          <w:rFonts w:eastAsiaTheme="minorEastAsia" w:cs="Times New Roman"/>
          <w:szCs w:val="24"/>
          <w:lang w:eastAsia="zh-CN"/>
        </w:rPr>
        <w:t>Such</w:t>
      </w:r>
      <w:r w:rsidR="00417FDD">
        <w:rPr>
          <w:rFonts w:eastAsiaTheme="minorEastAsia" w:cs="Times New Roman"/>
          <w:szCs w:val="24"/>
          <w:lang w:eastAsia="zh-CN"/>
        </w:rPr>
        <w:t xml:space="preserve"> </w:t>
      </w:r>
      <w:r w:rsidR="001744C5">
        <w:rPr>
          <w:rFonts w:eastAsiaTheme="minorEastAsia" w:cs="Times New Roman"/>
          <w:szCs w:val="24"/>
          <w:lang w:eastAsia="zh-CN"/>
        </w:rPr>
        <w:t>market-wide</w:t>
      </w:r>
      <w:r w:rsidR="00417FDD">
        <w:rPr>
          <w:rFonts w:eastAsiaTheme="minorEastAsia" w:cs="Times New Roman"/>
          <w:szCs w:val="24"/>
          <w:lang w:eastAsia="zh-CN"/>
        </w:rPr>
        <w:t xml:space="preserve"> policies </w:t>
      </w:r>
      <w:r w:rsidR="00266391">
        <w:rPr>
          <w:rFonts w:eastAsiaTheme="minorEastAsia" w:cs="Times New Roman"/>
          <w:szCs w:val="24"/>
          <w:lang w:eastAsia="zh-CN"/>
        </w:rPr>
        <w:t xml:space="preserve">designed to create universal access to marketized resources </w:t>
      </w:r>
      <w:r w:rsidR="00360301">
        <w:rPr>
          <w:rFonts w:eastAsiaTheme="minorEastAsia" w:cs="Times New Roman"/>
          <w:szCs w:val="24"/>
          <w:lang w:eastAsia="zh-CN"/>
        </w:rPr>
        <w:t xml:space="preserve">are </w:t>
      </w:r>
      <w:r w:rsidR="004E1FB0">
        <w:rPr>
          <w:rFonts w:eastAsiaTheme="minorEastAsia" w:cs="Times New Roman"/>
          <w:szCs w:val="24"/>
          <w:lang w:eastAsia="zh-CN"/>
        </w:rPr>
        <w:t xml:space="preserve">the essence of fulfilment through facilitation. They pay no heed to what any specific business is doing, nor </w:t>
      </w:r>
      <w:r w:rsidR="00550FD0">
        <w:rPr>
          <w:rFonts w:eastAsiaTheme="minorEastAsia" w:cs="Times New Roman"/>
          <w:szCs w:val="24"/>
          <w:lang w:eastAsia="zh-CN"/>
        </w:rPr>
        <w:t xml:space="preserve">the public/private </w:t>
      </w:r>
      <w:r w:rsidR="00550FD0">
        <w:rPr>
          <w:rFonts w:eastAsiaTheme="minorEastAsia" w:cs="Times New Roman"/>
          <w:szCs w:val="24"/>
          <w:lang w:eastAsia="zh-CN"/>
        </w:rPr>
        <w:lastRenderedPageBreak/>
        <w:t>divide</w:t>
      </w:r>
      <w:r w:rsidR="0084298C">
        <w:rPr>
          <w:rFonts w:eastAsiaTheme="minorEastAsia" w:cs="Times New Roman"/>
          <w:szCs w:val="24"/>
          <w:lang w:eastAsia="zh-CN"/>
        </w:rPr>
        <w:t>, but are instead grounded in rights-holder outcomes</w:t>
      </w:r>
      <w:r w:rsidR="00B42B1E">
        <w:rPr>
          <w:rFonts w:eastAsiaTheme="minorEastAsia" w:cs="Times New Roman"/>
          <w:szCs w:val="24"/>
          <w:lang w:eastAsia="zh-CN"/>
        </w:rPr>
        <w:t>, evidence of unfulfilled rights and policies to fulfil these rights</w:t>
      </w:r>
      <w:r w:rsidR="00550FD0">
        <w:rPr>
          <w:rFonts w:eastAsiaTheme="minorEastAsia" w:cs="Times New Roman"/>
          <w:szCs w:val="24"/>
          <w:lang w:eastAsia="zh-CN"/>
        </w:rPr>
        <w:t xml:space="preserve">. </w:t>
      </w:r>
      <w:r w:rsidR="00B42B1E">
        <w:rPr>
          <w:rFonts w:eastAsiaTheme="minorEastAsia" w:cs="Times New Roman"/>
          <w:szCs w:val="24"/>
          <w:lang w:eastAsia="zh-CN"/>
        </w:rPr>
        <w:t xml:space="preserve">Contra the CESCR in General Comment 24, therefore, this paper proposes that such policies by located under ‘fulfil’. </w:t>
      </w:r>
      <w:r>
        <w:rPr>
          <w:rFonts w:eastAsiaTheme="minorEastAsia" w:cs="Times New Roman"/>
          <w:szCs w:val="24"/>
          <w:lang w:eastAsia="zh-CN"/>
        </w:rPr>
        <w:t xml:space="preserve">The next section concretizes the reconstructed duties. </w:t>
      </w:r>
    </w:p>
    <w:p w14:paraId="3A07B2A6" w14:textId="3BA3769B" w:rsidR="00927492" w:rsidRDefault="00927492" w:rsidP="00CD184A">
      <w:pPr>
        <w:pStyle w:val="ListParagraph"/>
        <w:numPr>
          <w:ilvl w:val="0"/>
          <w:numId w:val="6"/>
        </w:numPr>
        <w:jc w:val="both"/>
      </w:pPr>
      <w:r>
        <w:t>Reconstructed State Duties: To Protect from Profiteering and to Fulfil through Market Regulation</w:t>
      </w:r>
    </w:p>
    <w:p w14:paraId="0909E45D" w14:textId="68A04273" w:rsidR="00927492" w:rsidRDefault="00927492" w:rsidP="00CD184A">
      <w:pPr>
        <w:jc w:val="both"/>
      </w:pPr>
    </w:p>
    <w:p w14:paraId="273CC443" w14:textId="50C2298F" w:rsidR="00B86C2F" w:rsidRPr="004E1A3F" w:rsidRDefault="00B86C2F" w:rsidP="00CD184A">
      <w:pPr>
        <w:spacing w:line="360" w:lineRule="auto"/>
        <w:jc w:val="both"/>
      </w:pPr>
      <w:r w:rsidRPr="003B763A">
        <w:rPr>
          <w:lang w:val="en-GB"/>
        </w:rPr>
        <w:t>General Comment 24</w:t>
      </w:r>
      <w:r>
        <w:rPr>
          <w:lang w:val="en-GB"/>
        </w:rPr>
        <w:t xml:space="preserve"> </w:t>
      </w:r>
      <w:r w:rsidRPr="003B763A">
        <w:rPr>
          <w:lang w:val="en-GB"/>
        </w:rPr>
        <w:t>is ambitious but</w:t>
      </w:r>
      <w:r>
        <w:rPr>
          <w:lang w:val="en-GB"/>
        </w:rPr>
        <w:t xml:space="preserve"> </w:t>
      </w:r>
      <w:r w:rsidR="00C77E8B">
        <w:rPr>
          <w:lang w:val="en-GB"/>
        </w:rPr>
        <w:t>blurs the distinction between</w:t>
      </w:r>
      <w:r w:rsidRPr="003B763A">
        <w:rPr>
          <w:lang w:val="en-GB"/>
        </w:rPr>
        <w:t xml:space="preserve"> ‘protect’ </w:t>
      </w:r>
      <w:r w:rsidR="00C77E8B">
        <w:rPr>
          <w:lang w:val="en-GB"/>
        </w:rPr>
        <w:t>and ‘fulfil’</w:t>
      </w:r>
      <w:r w:rsidR="0044127F">
        <w:rPr>
          <w:lang w:val="en-GB"/>
        </w:rPr>
        <w:t>, in so doing occluding some major issues and failing to concretely establish the rationale for some policy suggestions</w:t>
      </w:r>
      <w:r w:rsidRPr="003B763A">
        <w:rPr>
          <w:lang w:val="en-GB"/>
        </w:rPr>
        <w:t xml:space="preserve">. </w:t>
      </w:r>
      <w:r w:rsidR="00C708F2">
        <w:rPr>
          <w:lang w:val="en-GB"/>
        </w:rPr>
        <w:t xml:space="preserve">As regards marketized rights resources, </w:t>
      </w:r>
      <w:r>
        <w:rPr>
          <w:lang w:val="en-GB"/>
        </w:rPr>
        <w:t>‘</w:t>
      </w:r>
      <w:r w:rsidR="00C708F2">
        <w:rPr>
          <w:lang w:val="en-GB"/>
        </w:rPr>
        <w:t>p</w:t>
      </w:r>
      <w:r>
        <w:rPr>
          <w:lang w:val="en-GB"/>
        </w:rPr>
        <w:t xml:space="preserve">rotect’ should be </w:t>
      </w:r>
      <w:r w:rsidR="004D12C7">
        <w:rPr>
          <w:lang w:val="en-GB"/>
        </w:rPr>
        <w:t xml:space="preserve">primarily </w:t>
      </w:r>
      <w:r>
        <w:rPr>
          <w:lang w:val="en-GB"/>
        </w:rPr>
        <w:t xml:space="preserve">restricted to monitoring and preventing specific harmful acts of ‘infringement’ </w:t>
      </w:r>
      <w:r w:rsidR="00AC7386">
        <w:rPr>
          <w:lang w:val="en-GB"/>
        </w:rPr>
        <w:t>through business acts</w:t>
      </w:r>
      <w:r>
        <w:rPr>
          <w:lang w:val="en-GB"/>
        </w:rPr>
        <w:t xml:space="preserve">, while fulfil entails any policy aimed at progressively realizing the right, including </w:t>
      </w:r>
      <w:r w:rsidR="00545912">
        <w:rPr>
          <w:lang w:val="en-GB"/>
        </w:rPr>
        <w:t xml:space="preserve">through </w:t>
      </w:r>
      <w:r>
        <w:rPr>
          <w:lang w:val="en-GB"/>
        </w:rPr>
        <w:t xml:space="preserve">facilitation. </w:t>
      </w:r>
      <w:r w:rsidRPr="003B763A">
        <w:rPr>
          <w:lang w:val="en-GB"/>
        </w:rPr>
        <w:t>This proposed restatement better specifies the</w:t>
      </w:r>
      <w:r>
        <w:rPr>
          <w:lang w:val="en-GB"/>
        </w:rPr>
        <w:t xml:space="preserve"> scope of each limb</w:t>
      </w:r>
      <w:r w:rsidRPr="003B763A">
        <w:rPr>
          <w:lang w:val="en-GB"/>
        </w:rPr>
        <w:t xml:space="preserve">, </w:t>
      </w:r>
      <w:r>
        <w:rPr>
          <w:lang w:val="en-GB"/>
        </w:rPr>
        <w:t>in so doing reifying the practical utility of each by defining a ‘duty to protect from profiteering’ and a ‘duty to fulfil through market regulation’.</w:t>
      </w:r>
      <w:r w:rsidRPr="003B763A">
        <w:rPr>
          <w:lang w:val="en-GB"/>
        </w:rPr>
        <w:t xml:space="preserve"> </w:t>
      </w:r>
      <w:r w:rsidR="002D6552">
        <w:rPr>
          <w:lang w:val="en-GB"/>
        </w:rPr>
        <w:t xml:space="preserve">These are </w:t>
      </w:r>
      <w:r w:rsidR="001C325B">
        <w:rPr>
          <w:lang w:val="en-GB"/>
        </w:rPr>
        <w:t xml:space="preserve">forms of the duty relevant to marketized rights resources that do not </w:t>
      </w:r>
      <w:r w:rsidR="00D339B6">
        <w:rPr>
          <w:lang w:val="en-GB"/>
        </w:rPr>
        <w:t>detract from other obligations, such as direct provision.</w:t>
      </w:r>
    </w:p>
    <w:p w14:paraId="3E3F1E8D" w14:textId="75ACE702" w:rsidR="00B86C2F" w:rsidRPr="00D34957" w:rsidRDefault="00B86C2F" w:rsidP="00CD184A">
      <w:pPr>
        <w:spacing w:line="360" w:lineRule="auto"/>
        <w:jc w:val="both"/>
        <w:rPr>
          <w:rFonts w:eastAsia="Calibri" w:cs="Times New Roman"/>
          <w:lang w:val="en-GB"/>
        </w:rPr>
      </w:pPr>
      <w:r w:rsidRPr="003B763A">
        <w:rPr>
          <w:rFonts w:eastAsia="Calibri" w:cs="Times New Roman"/>
          <w:lang w:val="en-GB"/>
        </w:rPr>
        <w:t xml:space="preserve">The duty to protect from profiteering requires that states protect from profit-motivated retrogressions or denial of access to rights by third parties. </w:t>
      </w:r>
      <w:r>
        <w:rPr>
          <w:rFonts w:eastAsia="Calibri" w:cs="Times New Roman"/>
          <w:lang w:val="en-GB"/>
        </w:rPr>
        <w:t xml:space="preserve">This </w:t>
      </w:r>
      <w:r w:rsidR="00AB3B41">
        <w:rPr>
          <w:rFonts w:eastAsia="Calibri" w:cs="Times New Roman"/>
          <w:lang w:val="en-GB"/>
        </w:rPr>
        <w:t>is defined according to four elements</w:t>
      </w:r>
      <w:r w:rsidR="00672C8B">
        <w:rPr>
          <w:rFonts w:eastAsia="Calibri" w:cs="Times New Roman"/>
          <w:lang w:val="en-GB"/>
        </w:rPr>
        <w:t>. F</w:t>
      </w:r>
      <w:r w:rsidRPr="00401AC2">
        <w:rPr>
          <w:rFonts w:eastAsia="Calibri" w:cs="Times New Roman"/>
          <w:lang w:val="en-GB"/>
        </w:rPr>
        <w:t>irst, it addresses third parties. Second, it is a</w:t>
      </w:r>
      <w:r w:rsidR="00643648">
        <w:rPr>
          <w:rFonts w:eastAsia="Calibri" w:cs="Times New Roman"/>
          <w:lang w:val="en-GB"/>
        </w:rPr>
        <w:t>n</w:t>
      </w:r>
      <w:r w:rsidRPr="00401AC2">
        <w:rPr>
          <w:rFonts w:eastAsia="Calibri" w:cs="Times New Roman"/>
          <w:lang w:val="en-GB"/>
        </w:rPr>
        <w:t xml:space="preserve"> obligation to prevent harm only. Third, it </w:t>
      </w:r>
      <w:r w:rsidR="00B72D3D">
        <w:rPr>
          <w:rFonts w:eastAsia="Calibri" w:cs="Times New Roman"/>
          <w:lang w:val="en-GB"/>
        </w:rPr>
        <w:t xml:space="preserve">should </w:t>
      </w:r>
      <w:r>
        <w:rPr>
          <w:rFonts w:eastAsia="Calibri" w:cs="Times New Roman"/>
          <w:lang w:val="en-GB"/>
        </w:rPr>
        <w:t>prioritize</w:t>
      </w:r>
      <w:r w:rsidR="001962F5">
        <w:rPr>
          <w:rFonts w:eastAsia="Calibri" w:cs="Times New Roman"/>
          <w:lang w:val="en-GB"/>
        </w:rPr>
        <w:t xml:space="preserve"> investigating</w:t>
      </w:r>
      <w:r>
        <w:rPr>
          <w:rFonts w:eastAsia="Calibri" w:cs="Times New Roman"/>
          <w:lang w:val="en-GB"/>
        </w:rPr>
        <w:t xml:space="preserve"> </w:t>
      </w:r>
      <w:r w:rsidRPr="00401AC2">
        <w:rPr>
          <w:rFonts w:eastAsia="Calibri" w:cs="Times New Roman"/>
          <w:lang w:val="en-GB"/>
        </w:rPr>
        <w:t xml:space="preserve">specific business acts, rather than national problems </w:t>
      </w:r>
      <w:r>
        <w:rPr>
          <w:rFonts w:eastAsia="Calibri" w:cs="Times New Roman"/>
          <w:lang w:val="en-GB"/>
        </w:rPr>
        <w:t xml:space="preserve">that are relevant </w:t>
      </w:r>
      <w:r w:rsidRPr="00401AC2">
        <w:rPr>
          <w:rFonts w:eastAsia="Calibri" w:cs="Times New Roman"/>
          <w:lang w:val="en-GB"/>
        </w:rPr>
        <w:t>to business. Fourth, the element which becomes more vital under marketization, it includes duties to protect against acts that cause or are likely to cause harm to human rights without constituting direct, or justiciable, violations of individuals’ rights. This final component covers potentially a swathe of corporate practices related to pricing, supply, and quality.</w:t>
      </w:r>
      <w:r w:rsidR="00AB3B41">
        <w:rPr>
          <w:rFonts w:eastAsia="Calibri" w:cs="Times New Roman"/>
          <w:lang w:val="en-GB"/>
        </w:rPr>
        <w:t xml:space="preserve"> As part of this </w:t>
      </w:r>
      <w:r w:rsidR="00273CE8">
        <w:rPr>
          <w:rFonts w:eastAsia="Calibri" w:cs="Times New Roman"/>
          <w:lang w:val="en-GB"/>
        </w:rPr>
        <w:t xml:space="preserve">component the CESCR should </w:t>
      </w:r>
      <w:r w:rsidR="00BB6338">
        <w:rPr>
          <w:rFonts w:eastAsia="Calibri" w:cs="Times New Roman"/>
          <w:lang w:val="en-GB"/>
        </w:rPr>
        <w:t>explicate</w:t>
      </w:r>
      <w:r w:rsidR="00273CE8">
        <w:rPr>
          <w:rFonts w:eastAsia="Calibri" w:cs="Times New Roman"/>
          <w:lang w:val="en-GB"/>
        </w:rPr>
        <w:t xml:space="preserve"> the limits of </w:t>
      </w:r>
      <w:r w:rsidR="00237C78">
        <w:rPr>
          <w:rFonts w:eastAsia="Calibri" w:cs="Times New Roman"/>
          <w:lang w:val="en-GB"/>
        </w:rPr>
        <w:t>business activities which may infringe rights.</w:t>
      </w:r>
      <w:r w:rsidRPr="00401AC2">
        <w:rPr>
          <w:rFonts w:eastAsia="Calibri" w:cs="Times New Roman"/>
          <w:lang w:val="en-GB"/>
        </w:rPr>
        <w:t xml:space="preserve"> ‘Fulfil’ also contains four elements</w:t>
      </w:r>
      <w:r w:rsidR="00672C8B">
        <w:rPr>
          <w:rFonts w:eastAsia="Calibri" w:cs="Times New Roman"/>
          <w:lang w:val="en-GB"/>
        </w:rPr>
        <w:t>.</w:t>
      </w:r>
      <w:r w:rsidRPr="00401AC2">
        <w:rPr>
          <w:rFonts w:eastAsia="Calibri" w:cs="Times New Roman"/>
          <w:lang w:val="en-GB"/>
        </w:rPr>
        <w:t xml:space="preserve"> First, as a general principle, ‘fulfil’ holds as a state obligation to realize human rights irrespective of outsourcing or other policy choices. Second, ‘fulfil’ includes facilitation through market regulation</w:t>
      </w:r>
      <w:r w:rsidR="00B23E6B">
        <w:rPr>
          <w:rFonts w:eastAsia="Calibri" w:cs="Times New Roman"/>
          <w:lang w:val="en-GB"/>
        </w:rPr>
        <w:t xml:space="preserve"> where relevant</w:t>
      </w:r>
      <w:r w:rsidRPr="00401AC2">
        <w:rPr>
          <w:rFonts w:eastAsia="Calibri" w:cs="Times New Roman"/>
          <w:lang w:val="en-GB"/>
        </w:rPr>
        <w:t xml:space="preserve">. Third, </w:t>
      </w:r>
      <w:r w:rsidR="00B23E6B">
        <w:rPr>
          <w:rFonts w:eastAsia="Calibri" w:cs="Times New Roman"/>
          <w:lang w:val="en-GB"/>
        </w:rPr>
        <w:t xml:space="preserve">states </w:t>
      </w:r>
      <w:r w:rsidR="00FE5EA5">
        <w:rPr>
          <w:rFonts w:eastAsia="Calibri" w:cs="Times New Roman"/>
          <w:lang w:val="en-GB"/>
        </w:rPr>
        <w:t>are sometimes obligated</w:t>
      </w:r>
      <w:r w:rsidR="00B23E6B">
        <w:rPr>
          <w:rFonts w:eastAsia="Calibri" w:cs="Times New Roman"/>
          <w:lang w:val="en-GB"/>
        </w:rPr>
        <w:t xml:space="preserve"> to regulate business actors </w:t>
      </w:r>
      <w:r w:rsidR="00FE5EA5">
        <w:rPr>
          <w:rFonts w:eastAsia="Calibri" w:cs="Times New Roman"/>
          <w:lang w:val="en-GB"/>
        </w:rPr>
        <w:t xml:space="preserve">based on their structural position </w:t>
      </w:r>
      <w:r w:rsidR="00B23E6B">
        <w:rPr>
          <w:rFonts w:eastAsia="Calibri" w:cs="Times New Roman"/>
          <w:lang w:val="en-GB"/>
        </w:rPr>
        <w:t xml:space="preserve">so that </w:t>
      </w:r>
      <w:r w:rsidR="00FE5EA5">
        <w:rPr>
          <w:rFonts w:eastAsia="Calibri" w:cs="Times New Roman"/>
          <w:lang w:val="en-GB"/>
        </w:rPr>
        <w:t>these actors fulfil rights.</w:t>
      </w:r>
      <w:r w:rsidR="00E61557">
        <w:rPr>
          <w:rFonts w:eastAsia="Calibri" w:cs="Times New Roman"/>
          <w:lang w:val="en-GB"/>
        </w:rPr>
        <w:t xml:space="preserve"> </w:t>
      </w:r>
      <w:r w:rsidRPr="00401AC2">
        <w:rPr>
          <w:rFonts w:eastAsia="Calibri" w:cs="Times New Roman"/>
          <w:lang w:val="en-GB"/>
        </w:rPr>
        <w:t xml:space="preserve">Fourth, it covers </w:t>
      </w:r>
      <w:r w:rsidR="0041343C">
        <w:rPr>
          <w:rFonts w:eastAsia="Calibri" w:cs="Times New Roman"/>
          <w:lang w:val="en-GB"/>
        </w:rPr>
        <w:t xml:space="preserve">market-wide </w:t>
      </w:r>
      <w:r w:rsidR="00E56544">
        <w:rPr>
          <w:rFonts w:eastAsia="Calibri" w:cs="Times New Roman"/>
          <w:lang w:val="en-GB"/>
        </w:rPr>
        <w:t xml:space="preserve">outcome-oriented </w:t>
      </w:r>
      <w:r w:rsidRPr="00401AC2">
        <w:rPr>
          <w:rFonts w:eastAsia="Calibri" w:cs="Times New Roman"/>
          <w:lang w:val="en-GB"/>
        </w:rPr>
        <w:t>polic</w:t>
      </w:r>
      <w:r w:rsidR="0041343C">
        <w:rPr>
          <w:rFonts w:eastAsia="Calibri" w:cs="Times New Roman"/>
          <w:lang w:val="en-GB"/>
        </w:rPr>
        <w:t>ies</w:t>
      </w:r>
      <w:r w:rsidRPr="00401AC2">
        <w:rPr>
          <w:rFonts w:eastAsia="Calibri" w:cs="Times New Roman"/>
          <w:lang w:val="en-GB"/>
        </w:rPr>
        <w:t xml:space="preserve"> grounded in an evidentiary base of rights-holders’ needs, whether designed to slow a retrogression of access or to increase access.</w:t>
      </w:r>
      <w:r w:rsidR="000A6A7C">
        <w:rPr>
          <w:rFonts w:eastAsia="Calibri" w:cs="Times New Roman"/>
          <w:lang w:val="en-GB"/>
        </w:rPr>
        <w:t xml:space="preserve"> </w:t>
      </w:r>
    </w:p>
    <w:p w14:paraId="17A9785F" w14:textId="4BA06AB5" w:rsidR="005926C8" w:rsidRDefault="005926C8" w:rsidP="00CD184A">
      <w:pPr>
        <w:spacing w:line="360" w:lineRule="auto"/>
        <w:jc w:val="both"/>
        <w:rPr>
          <w:rFonts w:eastAsia="Calibri" w:cs="Times New Roman"/>
          <w:lang w:val="en-GB"/>
        </w:rPr>
      </w:pPr>
      <w:r>
        <w:rPr>
          <w:rFonts w:eastAsia="Calibri" w:cs="Times New Roman"/>
          <w:lang w:val="en-GB"/>
        </w:rPr>
        <w:lastRenderedPageBreak/>
        <w:t>This delineation is</w:t>
      </w:r>
      <w:r w:rsidR="00B86C2F" w:rsidRPr="003B763A">
        <w:rPr>
          <w:rFonts w:eastAsia="Calibri" w:cs="Times New Roman"/>
          <w:lang w:val="en-GB"/>
        </w:rPr>
        <w:t xml:space="preserve"> necessary because states are ignoring these elements of the duty and the </w:t>
      </w:r>
      <w:r>
        <w:rPr>
          <w:rFonts w:eastAsia="Calibri" w:cs="Times New Roman"/>
          <w:lang w:val="en-GB"/>
        </w:rPr>
        <w:t>CESCR has</w:t>
      </w:r>
      <w:r w:rsidR="00B86C2F" w:rsidRPr="003B763A">
        <w:rPr>
          <w:rFonts w:eastAsia="Calibri" w:cs="Times New Roman"/>
          <w:lang w:val="en-GB"/>
        </w:rPr>
        <w:t xml:space="preserve"> not consistently and coherently constructed </w:t>
      </w:r>
      <w:r>
        <w:rPr>
          <w:rFonts w:eastAsia="Calibri" w:cs="Times New Roman"/>
          <w:lang w:val="en-GB"/>
        </w:rPr>
        <w:t>these elements</w:t>
      </w:r>
      <w:r w:rsidR="00B86C2F" w:rsidRPr="003B763A">
        <w:rPr>
          <w:rFonts w:eastAsia="Calibri" w:cs="Times New Roman"/>
          <w:lang w:val="en-GB"/>
        </w:rPr>
        <w:t xml:space="preserve">. </w:t>
      </w:r>
      <w:r>
        <w:rPr>
          <w:rFonts w:eastAsia="Calibri" w:cs="Times New Roman"/>
          <w:lang w:val="en-GB"/>
        </w:rPr>
        <w:t xml:space="preserve">The act/outcome distinction provides </w:t>
      </w:r>
      <w:r w:rsidR="00AA7105">
        <w:rPr>
          <w:rFonts w:eastAsia="Calibri" w:cs="Times New Roman"/>
          <w:lang w:val="en-GB"/>
        </w:rPr>
        <w:t>the key.</w:t>
      </w:r>
      <w:r w:rsidR="002E5685">
        <w:rPr>
          <w:rFonts w:eastAsia="Calibri" w:cs="Times New Roman"/>
          <w:lang w:val="en-GB"/>
        </w:rPr>
        <w:t xml:space="preserve"> ‘Protect’ should be used as lens on specific business practices, </w:t>
      </w:r>
      <w:r w:rsidR="005E3C3E">
        <w:rPr>
          <w:rFonts w:eastAsia="Calibri" w:cs="Times New Roman"/>
          <w:lang w:val="en-GB"/>
        </w:rPr>
        <w:t xml:space="preserve">including those which attempt to evade state fulfilment policies, </w:t>
      </w:r>
      <w:r w:rsidR="008F672B">
        <w:rPr>
          <w:rFonts w:eastAsia="Calibri" w:cs="Times New Roman"/>
          <w:lang w:val="en-GB"/>
        </w:rPr>
        <w:t>while fulfil should be used to address universal rights-</w:t>
      </w:r>
      <w:proofErr w:type="spellStart"/>
      <w:r w:rsidR="008F672B">
        <w:rPr>
          <w:rFonts w:eastAsia="Calibri" w:cs="Times New Roman"/>
          <w:lang w:val="en-GB"/>
        </w:rPr>
        <w:t>holders</w:t>
      </w:r>
      <w:proofErr w:type="spellEnd"/>
      <w:r w:rsidR="008F672B">
        <w:rPr>
          <w:rFonts w:eastAsia="Calibri" w:cs="Times New Roman"/>
          <w:lang w:val="en-GB"/>
        </w:rPr>
        <w:t xml:space="preserve"> needs. Between the</w:t>
      </w:r>
      <w:r w:rsidR="00302962">
        <w:rPr>
          <w:rFonts w:eastAsia="Calibri" w:cs="Times New Roman"/>
          <w:lang w:val="en-GB"/>
        </w:rPr>
        <w:t>m</w:t>
      </w:r>
      <w:r w:rsidR="008F672B">
        <w:rPr>
          <w:rFonts w:eastAsia="Calibri" w:cs="Times New Roman"/>
          <w:lang w:val="en-GB"/>
        </w:rPr>
        <w:t xml:space="preserve">, the two major risks of marketization can be adequately addressed within socio-economic rights jurisprudence. </w:t>
      </w:r>
      <w:r w:rsidR="00145A46">
        <w:rPr>
          <w:rFonts w:eastAsia="Calibri" w:cs="Times New Roman"/>
          <w:lang w:val="en-GB"/>
        </w:rPr>
        <w:t xml:space="preserve">The delineation would transform CESCR practice by </w:t>
      </w:r>
      <w:r w:rsidR="00453EB8">
        <w:rPr>
          <w:rFonts w:eastAsia="Calibri" w:cs="Times New Roman"/>
          <w:lang w:val="en-GB"/>
        </w:rPr>
        <w:t xml:space="preserve">allowing much greater critique of extant business practices within international human rights law, and concretizes </w:t>
      </w:r>
      <w:proofErr w:type="gramStart"/>
      <w:r w:rsidR="00453EB8">
        <w:rPr>
          <w:rFonts w:eastAsia="Calibri" w:cs="Times New Roman"/>
          <w:lang w:val="en-GB"/>
        </w:rPr>
        <w:t>that</w:t>
      </w:r>
      <w:r w:rsidR="00151EE3">
        <w:rPr>
          <w:rFonts w:eastAsia="Calibri" w:cs="Times New Roman"/>
          <w:lang w:val="en-GB"/>
        </w:rPr>
        <w:t xml:space="preserve"> certain business-related policies</w:t>
      </w:r>
      <w:proofErr w:type="gramEnd"/>
      <w:r w:rsidR="00151EE3">
        <w:rPr>
          <w:rFonts w:eastAsia="Calibri" w:cs="Times New Roman"/>
          <w:lang w:val="en-GB"/>
        </w:rPr>
        <w:t xml:space="preserve"> are within the functional scope of ‘fulfil’, even to the point of state</w:t>
      </w:r>
      <w:r w:rsidR="00DA6980">
        <w:rPr>
          <w:rFonts w:eastAsia="Calibri" w:cs="Times New Roman"/>
          <w:lang w:val="en-GB"/>
        </w:rPr>
        <w:t xml:space="preserve">s’ regulating companies so that they contribute to rights realization. </w:t>
      </w:r>
    </w:p>
    <w:p w14:paraId="27DE7014" w14:textId="45642BAA" w:rsidR="00E74D2C" w:rsidRPr="00544F77" w:rsidRDefault="00B86C2F" w:rsidP="00544F77">
      <w:pPr>
        <w:spacing w:line="360" w:lineRule="auto"/>
        <w:jc w:val="both"/>
        <w:rPr>
          <w:rFonts w:eastAsia="Calibri" w:cs="Times New Roman"/>
          <w:lang w:val="en-GB"/>
        </w:rPr>
      </w:pPr>
      <w:r w:rsidRPr="003B763A">
        <w:rPr>
          <w:rFonts w:eastAsia="Calibri" w:cs="Times New Roman"/>
          <w:lang w:val="en-GB"/>
        </w:rPr>
        <w:t xml:space="preserve">Two final points are worth noting. </w:t>
      </w:r>
      <w:r w:rsidRPr="0092616D">
        <w:rPr>
          <w:rFonts w:eastAsia="Calibri" w:cs="Times New Roman"/>
          <w:lang w:val="en-GB"/>
        </w:rPr>
        <w:t>First, many of these obligations are obligations of conduct, not of result</w:t>
      </w:r>
      <w:r w:rsidR="0092616D" w:rsidRPr="0092616D">
        <w:rPr>
          <w:rFonts w:eastAsia="Calibri" w:cs="Times New Roman"/>
          <w:lang w:val="en-GB"/>
        </w:rPr>
        <w:t>.</w:t>
      </w:r>
      <w:r>
        <w:rPr>
          <w:rStyle w:val="FootnoteReference"/>
          <w:rFonts w:eastAsia="Calibri" w:cs="Times New Roman"/>
          <w:lang w:val="en-GB"/>
        </w:rPr>
        <w:footnoteReference w:id="114"/>
      </w:r>
      <w:r w:rsidRPr="003B763A">
        <w:rPr>
          <w:rFonts w:eastAsia="Calibri" w:cs="Times New Roman"/>
          <w:lang w:val="en-GB"/>
        </w:rPr>
        <w:t xml:space="preserve"> The state obligation is to implement regulation conducive to access to rights. These are not obligations to eliminate homelessness or hunger; rather they are obligations that can be implemented immediately and that should lead to a positive outcome. They do not therefore suffer </w:t>
      </w:r>
      <w:r>
        <w:rPr>
          <w:rFonts w:eastAsia="Calibri" w:cs="Times New Roman"/>
          <w:lang w:val="en-GB"/>
        </w:rPr>
        <w:t xml:space="preserve">to such a strong degree </w:t>
      </w:r>
      <w:r w:rsidRPr="003B763A">
        <w:rPr>
          <w:rFonts w:eastAsia="Calibri" w:cs="Times New Roman"/>
          <w:lang w:val="en-GB"/>
        </w:rPr>
        <w:t xml:space="preserve">from the </w:t>
      </w:r>
      <w:r>
        <w:rPr>
          <w:rFonts w:eastAsia="Calibri" w:cs="Times New Roman"/>
          <w:lang w:val="en-GB"/>
        </w:rPr>
        <w:t>oft-elaborated problem that the demands are utopian and unfeasible.</w:t>
      </w:r>
      <w:r>
        <w:rPr>
          <w:rStyle w:val="FootnoteReference"/>
          <w:rFonts w:eastAsia="Calibri" w:cs="Times New Roman"/>
          <w:lang w:val="en-GB"/>
        </w:rPr>
        <w:footnoteReference w:id="115"/>
      </w:r>
      <w:r w:rsidRPr="003B763A">
        <w:rPr>
          <w:rFonts w:eastAsia="Calibri" w:cs="Times New Roman"/>
          <w:lang w:val="en-GB"/>
        </w:rPr>
        <w:t xml:space="preserve"> Indeed, while business involvement in rights is often seen as presenting risks, it could </w:t>
      </w:r>
      <w:r>
        <w:rPr>
          <w:rFonts w:eastAsia="Calibri" w:cs="Times New Roman"/>
          <w:lang w:val="en-GB"/>
        </w:rPr>
        <w:t>allow</w:t>
      </w:r>
      <w:r w:rsidRPr="003B763A">
        <w:rPr>
          <w:rFonts w:eastAsia="Calibri" w:cs="Times New Roman"/>
          <w:lang w:val="en-GB"/>
        </w:rPr>
        <w:t xml:space="preserve"> an ethically</w:t>
      </w:r>
      <w:r>
        <w:rPr>
          <w:rFonts w:eastAsia="Calibri" w:cs="Times New Roman"/>
          <w:lang w:val="en-GB"/>
        </w:rPr>
        <w:t>-</w:t>
      </w:r>
      <w:r w:rsidRPr="003B763A">
        <w:rPr>
          <w:rFonts w:eastAsia="Calibri" w:cs="Times New Roman"/>
          <w:lang w:val="en-GB"/>
        </w:rPr>
        <w:t>minded politician to make rapid improvements to access at a minimal cost.</w:t>
      </w:r>
      <w:r>
        <w:rPr>
          <w:rStyle w:val="FootnoteReference"/>
          <w:rFonts w:eastAsia="Calibri" w:cs="Times New Roman"/>
          <w:lang w:val="en-GB"/>
        </w:rPr>
        <w:footnoteReference w:id="116"/>
      </w:r>
      <w:r w:rsidRPr="003B763A">
        <w:rPr>
          <w:rFonts w:eastAsia="Calibri" w:cs="Times New Roman"/>
          <w:lang w:val="en-GB"/>
        </w:rPr>
        <w:t xml:space="preserve"> </w:t>
      </w:r>
      <w:r w:rsidRPr="003B763A">
        <w:rPr>
          <w:rFonts w:eastAsia="Calibri" w:cs="Times New Roman"/>
        </w:rPr>
        <w:t>Second, something not highlighted in General Comment 24 is the importance of the obligation to devote the maximum available resources to all rights.</w:t>
      </w:r>
      <w:r>
        <w:rPr>
          <w:rStyle w:val="FootnoteReference"/>
          <w:rFonts w:eastAsia="Calibri" w:cs="Times New Roman"/>
        </w:rPr>
        <w:footnoteReference w:id="117"/>
      </w:r>
      <w:r w:rsidRPr="003B763A">
        <w:rPr>
          <w:rFonts w:eastAsia="Calibri" w:cs="Times New Roman"/>
        </w:rPr>
        <w:t xml:space="preserve"> A state is prima facie permitted to avoid regulating businesses and to provide significant subsidies to rights-holders. However, that state is also obligated not to waste resources if any Covenant right remains unfulfilled. </w:t>
      </w:r>
      <w:r w:rsidRPr="003B763A">
        <w:rPr>
          <w:rFonts w:eastAsia="Calibri" w:cs="Times New Roman"/>
          <w:lang w:val="en-GB"/>
        </w:rPr>
        <w:t xml:space="preserve">The UK, for example, paid </w:t>
      </w:r>
      <w:r w:rsidRPr="004E1A3F">
        <w:rPr>
          <w:rFonts w:eastAsia="Calibri" w:cs="Times New Roman"/>
        </w:rPr>
        <w:t>£</w:t>
      </w:r>
      <w:r w:rsidRPr="003B763A">
        <w:rPr>
          <w:rFonts w:eastAsia="Calibri" w:cs="Times New Roman"/>
          <w:lang w:val="en-GB"/>
        </w:rPr>
        <w:t xml:space="preserve">9.3 billion to private landlords in 2016 at a time when its healthcare system was </w:t>
      </w:r>
      <w:r>
        <w:rPr>
          <w:rFonts w:eastAsia="Calibri" w:cs="Times New Roman"/>
          <w:lang w:val="en-GB"/>
        </w:rPr>
        <w:t>underfunded</w:t>
      </w:r>
      <w:r w:rsidRPr="003B763A">
        <w:rPr>
          <w:rFonts w:eastAsia="Calibri" w:cs="Times New Roman"/>
          <w:lang w:val="en-GB"/>
        </w:rPr>
        <w:t>.</w:t>
      </w:r>
      <w:r w:rsidRPr="003B763A">
        <w:rPr>
          <w:rFonts w:eastAsia="Calibri" w:cs="Times New Roman"/>
          <w:vertAlign w:val="superscript"/>
          <w:lang w:val="en-GB"/>
        </w:rPr>
        <w:footnoteReference w:id="118"/>
      </w:r>
      <w:r w:rsidRPr="003B763A">
        <w:rPr>
          <w:rFonts w:eastAsia="Calibri" w:cs="Times New Roman"/>
          <w:lang w:val="en-GB"/>
        </w:rPr>
        <w:t xml:space="preserve"> This presents a </w:t>
      </w:r>
      <w:r w:rsidRPr="00B45DD8">
        <w:rPr>
          <w:rFonts w:eastAsia="Calibri" w:cs="Times New Roman"/>
          <w:i/>
          <w:iCs/>
          <w:lang w:val="en-GB"/>
        </w:rPr>
        <w:t>prima facie</w:t>
      </w:r>
      <w:r w:rsidRPr="003B763A">
        <w:rPr>
          <w:rFonts w:eastAsia="Calibri" w:cs="Times New Roman"/>
          <w:lang w:val="en-GB"/>
        </w:rPr>
        <w:t xml:space="preserve"> case of a failure to devote the </w:t>
      </w:r>
      <w:r w:rsidRPr="003B763A">
        <w:rPr>
          <w:rFonts w:eastAsia="Calibri" w:cs="Times New Roman"/>
        </w:rPr>
        <w:t>maximum available resources</w:t>
      </w:r>
      <w:r w:rsidRPr="003B763A">
        <w:rPr>
          <w:rFonts w:eastAsia="Calibri" w:cs="Times New Roman"/>
          <w:lang w:val="en-GB"/>
        </w:rPr>
        <w:t xml:space="preserve"> to all Covenant rights, due, in part, to ineffective regulation of the housing market.</w:t>
      </w:r>
    </w:p>
    <w:p w14:paraId="545D57A1" w14:textId="415E7189" w:rsidR="00927492" w:rsidRDefault="00927492" w:rsidP="00CD184A">
      <w:pPr>
        <w:pStyle w:val="ListParagraph"/>
        <w:numPr>
          <w:ilvl w:val="0"/>
          <w:numId w:val="6"/>
        </w:numPr>
        <w:jc w:val="both"/>
      </w:pPr>
      <w:r>
        <w:t>How Much Room Remains for Profit?</w:t>
      </w:r>
    </w:p>
    <w:p w14:paraId="480CF386" w14:textId="77777777" w:rsidR="00927492" w:rsidRDefault="00927492" w:rsidP="00CD184A">
      <w:pPr>
        <w:pStyle w:val="ListParagraph"/>
        <w:jc w:val="both"/>
      </w:pPr>
    </w:p>
    <w:p w14:paraId="2755C1DE" w14:textId="64D51A6F" w:rsidR="00371562" w:rsidRPr="003B763A" w:rsidRDefault="00371562" w:rsidP="00CD184A">
      <w:pPr>
        <w:spacing w:line="360" w:lineRule="auto"/>
        <w:jc w:val="both"/>
        <w:rPr>
          <w:lang w:val="en-GB"/>
        </w:rPr>
      </w:pPr>
      <w:r w:rsidRPr="003B763A">
        <w:rPr>
          <w:lang w:val="en-GB"/>
        </w:rPr>
        <w:t xml:space="preserve">Despite the above critique, the </w:t>
      </w:r>
      <w:r>
        <w:rPr>
          <w:lang w:val="en-GB"/>
        </w:rPr>
        <w:t xml:space="preserve">CESCR’s </w:t>
      </w:r>
      <w:r w:rsidRPr="003B763A">
        <w:rPr>
          <w:lang w:val="en-GB"/>
        </w:rPr>
        <w:t xml:space="preserve">strategy is sensible from the human rights perspective. It </w:t>
      </w:r>
      <w:r>
        <w:rPr>
          <w:lang w:val="en-GB"/>
        </w:rPr>
        <w:t xml:space="preserve">is not anti-business. It </w:t>
      </w:r>
      <w:r w:rsidRPr="003B763A">
        <w:rPr>
          <w:lang w:val="en-GB"/>
        </w:rPr>
        <w:t xml:space="preserve">makes no statement as to whether in theory free markets are good or bad for human rights. </w:t>
      </w:r>
      <w:proofErr w:type="gramStart"/>
      <w:r>
        <w:rPr>
          <w:lang w:val="en-GB"/>
        </w:rPr>
        <w:t>Instead</w:t>
      </w:r>
      <w:proofErr w:type="gramEnd"/>
      <w:r>
        <w:rPr>
          <w:lang w:val="en-GB"/>
        </w:rPr>
        <w:t xml:space="preserve"> it confirms that ‘protect’ entails preventing harm by business, and fulfil includes facilitation through market regulation which in practice requires that states regulate those companies that are involved in the provision of human rights relevant resources so as to fulfil the right in question. </w:t>
      </w:r>
      <w:r w:rsidRPr="003B763A">
        <w:rPr>
          <w:lang w:val="en-GB"/>
        </w:rPr>
        <w:t xml:space="preserve">This is a coherent human rights-based argument that </w:t>
      </w:r>
      <w:proofErr w:type="gramStart"/>
      <w:r w:rsidRPr="003B763A">
        <w:rPr>
          <w:lang w:val="en-GB"/>
        </w:rPr>
        <w:t>in actuality challenges</w:t>
      </w:r>
      <w:proofErr w:type="gramEnd"/>
      <w:r w:rsidRPr="003B763A">
        <w:rPr>
          <w:lang w:val="en-GB"/>
        </w:rPr>
        <w:t xml:space="preserve"> central aspects of global capitalism. It sets rules of the game beyond formalistic proceduralism and legal accountability for human rights violations, and toward the acts and outcomes produced by global capitalism. It thereby recasts human rights obligations as a critical lens on global capitalism, clarifying that these obligations apply to the actors and constitutive rules </w:t>
      </w:r>
      <w:r>
        <w:rPr>
          <w:lang w:val="en-GB"/>
        </w:rPr>
        <w:t>therein</w:t>
      </w:r>
      <w:r w:rsidRPr="003B763A">
        <w:rPr>
          <w:lang w:val="en-GB"/>
        </w:rPr>
        <w:t xml:space="preserve">. </w:t>
      </w:r>
      <w:r>
        <w:rPr>
          <w:lang w:val="en-GB"/>
        </w:rPr>
        <w:t xml:space="preserve">Where private profit harms access to a right, that harm must be protected against. </w:t>
      </w:r>
      <w:r w:rsidR="001F1DD1">
        <w:rPr>
          <w:lang w:val="en-GB"/>
        </w:rPr>
        <w:t>However, the CESCR</w:t>
      </w:r>
      <w:r w:rsidR="00D144C2">
        <w:rPr>
          <w:lang w:val="en-GB"/>
        </w:rPr>
        <w:t xml:space="preserve">’s method fails to concretely define these obligations. </w:t>
      </w:r>
      <w:r w:rsidR="006B430F" w:rsidRPr="000C3767">
        <w:rPr>
          <w:lang w:val="en-GB"/>
        </w:rPr>
        <w:t>This paper argues that the CESCR’s</w:t>
      </w:r>
      <w:r w:rsidR="005D6F88" w:rsidRPr="000C3767">
        <w:rPr>
          <w:lang w:val="en-GB"/>
        </w:rPr>
        <w:t xml:space="preserve"> principle</w:t>
      </w:r>
      <w:r w:rsidR="006B430F" w:rsidRPr="000C3767">
        <w:rPr>
          <w:lang w:val="en-GB"/>
        </w:rPr>
        <w:t>s</w:t>
      </w:r>
      <w:r w:rsidR="005D6F88" w:rsidRPr="000C3767">
        <w:rPr>
          <w:lang w:val="en-GB"/>
        </w:rPr>
        <w:t xml:space="preserve"> </w:t>
      </w:r>
      <w:r w:rsidR="006B430F" w:rsidRPr="000C3767">
        <w:rPr>
          <w:lang w:val="en-GB"/>
        </w:rPr>
        <w:t>necessitate in</w:t>
      </w:r>
      <w:r w:rsidR="005D6F88" w:rsidRPr="000C3767">
        <w:rPr>
          <w:lang w:val="en-GB"/>
        </w:rPr>
        <w:t xml:space="preserve"> practice</w:t>
      </w:r>
      <w:r w:rsidR="006B430F" w:rsidRPr="000C3767">
        <w:rPr>
          <w:lang w:val="en-GB"/>
        </w:rPr>
        <w:t xml:space="preserve"> the prohibition or </w:t>
      </w:r>
      <w:r w:rsidR="00D21B91" w:rsidRPr="000C3767">
        <w:rPr>
          <w:lang w:val="en-GB"/>
        </w:rPr>
        <w:t xml:space="preserve">regulation of a wide range of specific business acts under ‘protect’, and </w:t>
      </w:r>
      <w:r w:rsidR="00C408C3" w:rsidRPr="000C3767">
        <w:rPr>
          <w:lang w:val="en-GB"/>
        </w:rPr>
        <w:t xml:space="preserve">the implementation of </w:t>
      </w:r>
      <w:r w:rsidR="00BB0C07" w:rsidRPr="000C3767">
        <w:rPr>
          <w:lang w:val="en-GB"/>
        </w:rPr>
        <w:t>equally wide</w:t>
      </w:r>
      <w:r w:rsidR="00477C1E" w:rsidRPr="000C3767">
        <w:rPr>
          <w:lang w:val="en-GB"/>
        </w:rPr>
        <w:t>-</w:t>
      </w:r>
      <w:r w:rsidR="00BB0C07" w:rsidRPr="000C3767">
        <w:rPr>
          <w:lang w:val="en-GB"/>
        </w:rPr>
        <w:t xml:space="preserve">ranging </w:t>
      </w:r>
      <w:r w:rsidR="005671DD" w:rsidRPr="000C3767">
        <w:rPr>
          <w:lang w:val="en-GB"/>
        </w:rPr>
        <w:t>social policies</w:t>
      </w:r>
      <w:r w:rsidR="00477C1E" w:rsidRPr="000C3767">
        <w:rPr>
          <w:lang w:val="en-GB"/>
        </w:rPr>
        <w:t xml:space="preserve"> that under marketization will impact businesses</w:t>
      </w:r>
      <w:r w:rsidR="005671DD" w:rsidRPr="000C3767">
        <w:rPr>
          <w:lang w:val="en-GB"/>
        </w:rPr>
        <w:t xml:space="preserve"> to realize rights.</w:t>
      </w:r>
    </w:p>
    <w:p w14:paraId="1FFB2FCD" w14:textId="047D979E" w:rsidR="00371562" w:rsidRPr="003B763A" w:rsidRDefault="00371562" w:rsidP="00CD184A">
      <w:pPr>
        <w:spacing w:line="360" w:lineRule="auto"/>
        <w:jc w:val="both"/>
        <w:rPr>
          <w:lang w:val="en-GB"/>
        </w:rPr>
      </w:pPr>
      <w:r>
        <w:rPr>
          <w:lang w:val="en-GB"/>
        </w:rPr>
        <w:t xml:space="preserve">One potential objection is </w:t>
      </w:r>
      <w:r w:rsidRPr="003B763A">
        <w:rPr>
          <w:lang w:val="en-GB"/>
        </w:rPr>
        <w:t>that such obligations are beyon</w:t>
      </w:r>
      <w:r>
        <w:rPr>
          <w:lang w:val="en-GB"/>
        </w:rPr>
        <w:t>d the remit of human rights law</w:t>
      </w:r>
      <w:r w:rsidRPr="003B763A">
        <w:rPr>
          <w:lang w:val="en-GB"/>
        </w:rPr>
        <w:t>. There is no space to address the wealth of theoretical divisions over the proper scope of human rights. Certainly, the approach herein moves beyond the liberal</w:t>
      </w:r>
      <w:r>
        <w:rPr>
          <w:lang w:val="en-GB"/>
        </w:rPr>
        <w:t>-legalist</w:t>
      </w:r>
      <w:r w:rsidRPr="003B763A">
        <w:rPr>
          <w:lang w:val="en-GB"/>
        </w:rPr>
        <w:t xml:space="preserve"> notion of individual rights held against the state and to be enforced by courts based on specific claims of violation.</w:t>
      </w:r>
      <w:r w:rsidRPr="003B763A">
        <w:rPr>
          <w:vertAlign w:val="superscript"/>
          <w:lang w:val="en-GB"/>
        </w:rPr>
        <w:footnoteReference w:id="119"/>
      </w:r>
      <w:r w:rsidRPr="003B763A">
        <w:rPr>
          <w:lang w:val="en-GB"/>
        </w:rPr>
        <w:t xml:space="preserve"> It moves rights into the realm of political economy, and therefore into ideologically contested questions.</w:t>
      </w:r>
      <w:r w:rsidRPr="003B763A">
        <w:rPr>
          <w:vertAlign w:val="superscript"/>
          <w:lang w:val="en-GB"/>
        </w:rPr>
        <w:footnoteReference w:id="120"/>
      </w:r>
      <w:r w:rsidRPr="003B763A">
        <w:rPr>
          <w:lang w:val="en-GB"/>
        </w:rPr>
        <w:t xml:space="preserve"> Quite apart from liberal claim rights also being ideologically contested, limited and balanced - free expression and hate speech, for example - the issues raised above must be the proper site of socio-economic rights </w:t>
      </w:r>
      <w:r w:rsidR="00154EA3">
        <w:rPr>
          <w:lang w:val="en-GB"/>
        </w:rPr>
        <w:t>because</w:t>
      </w:r>
      <w:r w:rsidRPr="003B763A">
        <w:rPr>
          <w:lang w:val="en-GB"/>
        </w:rPr>
        <w:t xml:space="preserve"> they greatly impact these rights. </w:t>
      </w:r>
      <w:r>
        <w:rPr>
          <w:lang w:val="en-GB"/>
        </w:rPr>
        <w:t xml:space="preserve">It is less a case of human rights impinging on political economy, as political economy impinging on human rights, and a belated human rights response to the problems caused. </w:t>
      </w:r>
      <w:r w:rsidRPr="003B763A">
        <w:rPr>
          <w:lang w:val="en-GB"/>
        </w:rPr>
        <w:t xml:space="preserve">How can one support a right to food but deny that the right influence the production and distribution of food? If one does, one is supporting only a liberal-legal fiction of the right to food, rather than </w:t>
      </w:r>
      <w:r w:rsidRPr="003B763A">
        <w:rPr>
          <w:lang w:val="en-GB"/>
        </w:rPr>
        <w:lastRenderedPageBreak/>
        <w:t>supporting living individuals and their need for food.</w:t>
      </w:r>
      <w:r>
        <w:rPr>
          <w:rStyle w:val="FootnoteReference"/>
          <w:lang w:val="en-GB"/>
        </w:rPr>
        <w:footnoteReference w:id="121"/>
      </w:r>
      <w:r w:rsidRPr="003B763A">
        <w:rPr>
          <w:lang w:val="en-GB"/>
        </w:rPr>
        <w:t xml:space="preserve"> If issues such as affordability are not the proper site of human rights, then no rights with a material base exist in practice. If one’s rebuttal is that affordability </w:t>
      </w:r>
      <w:r>
        <w:rPr>
          <w:lang w:val="en-GB"/>
        </w:rPr>
        <w:t>is a matter for</w:t>
      </w:r>
      <w:r w:rsidRPr="003B763A">
        <w:rPr>
          <w:lang w:val="en-GB"/>
        </w:rPr>
        <w:t xml:space="preserve"> state provision, one is again ignoring political-economic reality to cling to an increasingly outdated worldview.</w:t>
      </w:r>
      <w:r w:rsidR="00A56438">
        <w:rPr>
          <w:lang w:val="en-GB"/>
        </w:rPr>
        <w:t xml:space="preserve"> </w:t>
      </w:r>
      <w:r w:rsidR="005D38B5">
        <w:rPr>
          <w:lang w:val="en-GB"/>
        </w:rPr>
        <w:t>Finally, human rights obligations can help restore a semblance of democratic balance to marketized rights</w:t>
      </w:r>
      <w:r w:rsidR="004C15BE">
        <w:rPr>
          <w:lang w:val="en-GB"/>
        </w:rPr>
        <w:t xml:space="preserve"> by </w:t>
      </w:r>
      <w:r w:rsidR="0062362C">
        <w:rPr>
          <w:lang w:val="en-GB"/>
        </w:rPr>
        <w:t xml:space="preserve">reinjecting </w:t>
      </w:r>
      <w:r w:rsidR="00870567">
        <w:rPr>
          <w:lang w:val="en-GB"/>
        </w:rPr>
        <w:t>political debate into issues that are currently the realm of market fundamentalism</w:t>
      </w:r>
      <w:r w:rsidR="00A74CD2">
        <w:rPr>
          <w:lang w:val="en-GB"/>
        </w:rPr>
        <w:t>.</w:t>
      </w:r>
      <w:r w:rsidR="00A74CD2">
        <w:rPr>
          <w:rStyle w:val="FootnoteReference"/>
          <w:lang w:val="en-GB"/>
        </w:rPr>
        <w:footnoteReference w:id="122"/>
      </w:r>
    </w:p>
    <w:p w14:paraId="02659043" w14:textId="5DC1C240" w:rsidR="00371562" w:rsidRPr="00F420D5" w:rsidRDefault="00371562" w:rsidP="00CD184A">
      <w:pPr>
        <w:spacing w:line="360" w:lineRule="auto"/>
        <w:jc w:val="both"/>
        <w:rPr>
          <w:lang w:val="en-GB"/>
        </w:rPr>
      </w:pPr>
      <w:r>
        <w:rPr>
          <w:lang w:val="en-GB"/>
        </w:rPr>
        <w:t>A second likely objection is that these rights-based</w:t>
      </w:r>
      <w:r w:rsidRPr="00D97F09">
        <w:rPr>
          <w:lang w:val="en-GB"/>
        </w:rPr>
        <w:t xml:space="preserve"> </w:t>
      </w:r>
      <w:r>
        <w:rPr>
          <w:lang w:val="en-GB"/>
        </w:rPr>
        <w:t>socio-</w:t>
      </w:r>
      <w:r w:rsidRPr="00D97F09">
        <w:rPr>
          <w:lang w:val="en-GB"/>
        </w:rPr>
        <w:t xml:space="preserve">economic </w:t>
      </w:r>
      <w:r>
        <w:rPr>
          <w:lang w:val="en-GB"/>
        </w:rPr>
        <w:t xml:space="preserve">changes </w:t>
      </w:r>
      <w:r w:rsidRPr="00D97F09">
        <w:rPr>
          <w:lang w:val="en-GB"/>
        </w:rPr>
        <w:t>may cause negative externalities</w:t>
      </w:r>
      <w:r>
        <w:rPr>
          <w:lang w:val="en-GB"/>
        </w:rPr>
        <w:t>. Here</w:t>
      </w:r>
      <w:r w:rsidRPr="003B763A">
        <w:rPr>
          <w:lang w:val="en-GB"/>
        </w:rPr>
        <w:t xml:space="preserve"> three rebuttals are possible: first, the most visible negative externalities related to socio-economic rights today come in the form of precarious work, homelessness, unaffordable healthcare and so on. The CESCR has a duty to address this, and</w:t>
      </w:r>
      <w:r>
        <w:rPr>
          <w:lang w:val="en-GB"/>
        </w:rPr>
        <w:t>, as the problems intimately connect to business, the CESCR must cast a lens in that direction</w:t>
      </w:r>
      <w:r w:rsidRPr="003B763A">
        <w:rPr>
          <w:lang w:val="en-GB"/>
        </w:rPr>
        <w:t xml:space="preserve">. Relatedly, the ICESCR </w:t>
      </w:r>
      <w:r>
        <w:rPr>
          <w:lang w:val="en-GB"/>
        </w:rPr>
        <w:t>is</w:t>
      </w:r>
      <w:r w:rsidRPr="003B763A">
        <w:rPr>
          <w:lang w:val="en-GB"/>
        </w:rPr>
        <w:t xml:space="preserve"> not so powerful as to necessitate sweeping and immediate economic shifts</w:t>
      </w:r>
      <w:r>
        <w:rPr>
          <w:lang w:val="en-GB"/>
        </w:rPr>
        <w:t xml:space="preserve">. Rather, CESCR recommendations in Concluding Observations are already treated by states as </w:t>
      </w:r>
      <w:r w:rsidR="00772463">
        <w:rPr>
          <w:i/>
          <w:iCs/>
          <w:lang w:val="en-GB"/>
        </w:rPr>
        <w:t xml:space="preserve">pro tanto </w:t>
      </w:r>
      <w:r>
        <w:rPr>
          <w:lang w:val="en-GB"/>
        </w:rPr>
        <w:t>‘comply or explain’</w:t>
      </w:r>
      <w:r w:rsidR="00772463">
        <w:rPr>
          <w:lang w:val="en-GB"/>
        </w:rPr>
        <w:t xml:space="preserve"> obligations.</w:t>
      </w:r>
      <w:r>
        <w:rPr>
          <w:rStyle w:val="FootnoteReference"/>
          <w:lang w:val="en-GB"/>
        </w:rPr>
        <w:footnoteReference w:id="123"/>
      </w:r>
      <w:r>
        <w:rPr>
          <w:lang w:val="en-GB"/>
        </w:rPr>
        <w:t xml:space="preserve"> Adding more specificity and directness to these recommendations will n</w:t>
      </w:r>
      <w:r w:rsidR="00B7420A">
        <w:rPr>
          <w:lang w:val="en-GB"/>
        </w:rPr>
        <w:t>ot compel</w:t>
      </w:r>
      <w:r>
        <w:rPr>
          <w:lang w:val="en-GB"/>
        </w:rPr>
        <w:t xml:space="preserve"> radical change. </w:t>
      </w:r>
      <w:r w:rsidRPr="003B763A">
        <w:rPr>
          <w:lang w:val="en-GB"/>
        </w:rPr>
        <w:t>Second, there are many specific examples of investments that serve no necessary purpose othe</w:t>
      </w:r>
      <w:r>
        <w:rPr>
          <w:lang w:val="en-GB"/>
        </w:rPr>
        <w:t xml:space="preserve">r private profit, </w:t>
      </w:r>
      <w:r w:rsidR="00B7420A">
        <w:rPr>
          <w:lang w:val="en-GB"/>
        </w:rPr>
        <w:t>such as</w:t>
      </w:r>
      <w:r>
        <w:rPr>
          <w:lang w:val="en-GB"/>
        </w:rPr>
        <w:t xml:space="preserve"> land-</w:t>
      </w:r>
      <w:r w:rsidRPr="003B763A">
        <w:rPr>
          <w:lang w:val="en-GB"/>
        </w:rPr>
        <w:t>hoar</w:t>
      </w:r>
      <w:r>
        <w:rPr>
          <w:lang w:val="en-GB"/>
        </w:rPr>
        <w:t>ding.</w:t>
      </w:r>
      <w:r w:rsidRPr="003B763A">
        <w:rPr>
          <w:lang w:val="en-GB"/>
        </w:rPr>
        <w:t xml:space="preserve"> Other cases, such precarious work, may require more nuance, but it is difficult to argue that the current trends represent the ideal of a humane society. Third, there is a strong argument that greater regulation of business would improve </w:t>
      </w:r>
      <w:r>
        <w:rPr>
          <w:lang w:val="en-GB"/>
        </w:rPr>
        <w:t>national economies</w:t>
      </w:r>
      <w:r w:rsidRPr="003B763A">
        <w:rPr>
          <w:lang w:val="en-GB"/>
        </w:rPr>
        <w:t>. One argument frequently cited is that US healthcare is both more expensive and provides less protection than any other developed country system.</w:t>
      </w:r>
      <w:r w:rsidRPr="003B763A">
        <w:rPr>
          <w:vertAlign w:val="superscript"/>
          <w:lang w:val="en-GB"/>
        </w:rPr>
        <w:footnoteReference w:id="124"/>
      </w:r>
      <w:r w:rsidRPr="003B763A">
        <w:rPr>
          <w:lang w:val="en-GB"/>
        </w:rPr>
        <w:t xml:space="preserve"> Lower healthcare costs, housing costs or higher/more stable pay would provide more funds to spent in the wider economy.</w:t>
      </w:r>
      <w:r w:rsidRPr="003B763A">
        <w:rPr>
          <w:vertAlign w:val="superscript"/>
          <w:lang w:val="en-GB"/>
        </w:rPr>
        <w:footnoteReference w:id="125"/>
      </w:r>
      <w:r w:rsidRPr="003B763A">
        <w:rPr>
          <w:lang w:val="en-GB"/>
        </w:rPr>
        <w:t xml:space="preserve"> Finally, the level of profit is often extremely high, suggesting states could act without disincentivizing investment. In the UK, housing developer Persimmon made a record </w:t>
      </w:r>
      <w:r w:rsidRPr="003B763A">
        <w:t>£1 billion profit, and</w:t>
      </w:r>
      <w:r w:rsidRPr="003B763A">
        <w:rPr>
          <w:lang w:val="en-GB"/>
        </w:rPr>
        <w:t xml:space="preserve"> </w:t>
      </w:r>
      <w:r w:rsidRPr="003B763A">
        <w:t>£66,000</w:t>
      </w:r>
      <w:r w:rsidRPr="003B763A">
        <w:rPr>
          <w:lang w:val="en-GB"/>
        </w:rPr>
        <w:t xml:space="preserve"> profit </w:t>
      </w:r>
      <w:r w:rsidRPr="003B763A">
        <w:rPr>
          <w:lang w:val="en-GB"/>
        </w:rPr>
        <w:lastRenderedPageBreak/>
        <w:t>per home it built, in 2018,</w:t>
      </w:r>
      <w:r w:rsidRPr="003B763A">
        <w:rPr>
          <w:vertAlign w:val="superscript"/>
          <w:lang w:val="en-GB"/>
        </w:rPr>
        <w:footnoteReference w:id="126"/>
      </w:r>
      <w:r w:rsidRPr="003B763A">
        <w:rPr>
          <w:lang w:val="en-GB"/>
        </w:rPr>
        <w:t xml:space="preserve"> a</w:t>
      </w:r>
      <w:r>
        <w:rPr>
          <w:lang w:val="en-GB"/>
        </w:rPr>
        <w:t>ssisted</w:t>
      </w:r>
      <w:r w:rsidRPr="003B763A">
        <w:rPr>
          <w:lang w:val="en-GB"/>
        </w:rPr>
        <w:t xml:space="preserve"> by indirect government aid through the </w:t>
      </w:r>
      <w:r w:rsidRPr="003B763A">
        <w:t xml:space="preserve">government’s help-to-buy scheme. Housing investor Blackstone, much criticized by the </w:t>
      </w:r>
      <w:r w:rsidR="00D84ECF">
        <w:t>ex-</w:t>
      </w:r>
      <w:r w:rsidRPr="003B763A">
        <w:t>UNSR on the right to housing,</w:t>
      </w:r>
      <w:r w:rsidRPr="003B763A">
        <w:rPr>
          <w:vertAlign w:val="superscript"/>
        </w:rPr>
        <w:footnoteReference w:id="127"/>
      </w:r>
      <w:r w:rsidRPr="003B763A">
        <w:t xml:space="preserve"> made $3.5 billion profit</w:t>
      </w:r>
      <w:bookmarkStart w:id="21" w:name="_Ref12282318"/>
      <w:r w:rsidRPr="003B763A">
        <w:t>,</w:t>
      </w:r>
      <w:r w:rsidRPr="003B763A">
        <w:rPr>
          <w:vertAlign w:val="superscript"/>
        </w:rPr>
        <w:footnoteReference w:id="128"/>
      </w:r>
      <w:bookmarkEnd w:id="21"/>
      <w:r>
        <w:t xml:space="preserve"> and their dividends rose 7.2 per cent</w:t>
      </w:r>
      <w:r w:rsidRPr="003B763A">
        <w:t>, in 2018.</w:t>
      </w:r>
      <w:r w:rsidRPr="003B763A">
        <w:rPr>
          <w:vertAlign w:val="superscript"/>
        </w:rPr>
        <w:footnoteReference w:id="129"/>
      </w:r>
      <w:r w:rsidRPr="003B763A">
        <w:t xml:space="preserve"> </w:t>
      </w:r>
    </w:p>
    <w:p w14:paraId="5B459D31" w14:textId="77777777" w:rsidR="00E74D2C" w:rsidRDefault="00E74D2C" w:rsidP="00CD184A">
      <w:pPr>
        <w:jc w:val="both"/>
      </w:pPr>
    </w:p>
    <w:p w14:paraId="1BF7A6B7" w14:textId="77777777" w:rsidR="00927492" w:rsidRDefault="00927492" w:rsidP="00CD184A">
      <w:pPr>
        <w:pStyle w:val="ListParagraph"/>
        <w:numPr>
          <w:ilvl w:val="0"/>
          <w:numId w:val="6"/>
        </w:numPr>
        <w:jc w:val="both"/>
      </w:pPr>
      <w:r>
        <w:t>Conclusion</w:t>
      </w:r>
    </w:p>
    <w:p w14:paraId="721E2160" w14:textId="08F3513F" w:rsidR="003E57A9" w:rsidRDefault="003E57A9" w:rsidP="00CD184A">
      <w:pPr>
        <w:jc w:val="both"/>
      </w:pPr>
    </w:p>
    <w:p w14:paraId="79808A9E" w14:textId="73BBB567" w:rsidR="003E57A9" w:rsidRDefault="00F95CB7" w:rsidP="00D84ECF">
      <w:pPr>
        <w:spacing w:line="360" w:lineRule="auto"/>
        <w:jc w:val="both"/>
      </w:pPr>
      <w:r>
        <w:t>Socio-economic rights are today frequently provided through the market</w:t>
      </w:r>
      <w:r w:rsidRPr="003B763A">
        <w:t>. This raises risks, which the CESCR has addressed, most directly in General Comment 24, creating an ambitious list of obligations. These obligations appear almost entirely under ‘protect’, expanding its scope such that ‘protect’ now requires that regulation works to ‘ensure access… for all.’</w:t>
      </w:r>
      <w:r>
        <w:rPr>
          <w:rStyle w:val="FootnoteReference"/>
        </w:rPr>
        <w:footnoteReference w:id="130"/>
      </w:r>
      <w:r w:rsidRPr="003B763A">
        <w:t xml:space="preserve"> This </w:t>
      </w:r>
      <w:r>
        <w:t>falls more naturally under the</w:t>
      </w:r>
      <w:r w:rsidRPr="003B763A">
        <w:t xml:space="preserve"> obligation to fulfil, or to facilitate, access to rights. Th</w:t>
      </w:r>
      <w:r>
        <w:t>e</w:t>
      </w:r>
      <w:r w:rsidRPr="003B763A">
        <w:t xml:space="preserve"> collapsing of </w:t>
      </w:r>
      <w:r>
        <w:t>this distinction</w:t>
      </w:r>
      <w:r w:rsidRPr="003B763A">
        <w:t xml:space="preserve"> creates risks, and this paper has therefore reconstructed the duties to recall their unique individual purposes and to apply those purposes to contemporary marketized human rights. It is submitted that these reconstructed duties are both within the scope of international human rights law and a potentially significant tool with which to push back against harmful profit-seeking acts. It is hoped that this reconstruction can help clarify state obligations under the ICESCR and can assist in challenging the </w:t>
      </w:r>
      <w:r>
        <w:t>marketization</w:t>
      </w:r>
      <w:r w:rsidRPr="003B763A">
        <w:t xml:space="preserve"> of human rights </w:t>
      </w:r>
      <w:r>
        <w:t xml:space="preserve">and creating </w:t>
      </w:r>
      <w:r w:rsidRPr="003B763A">
        <w:t xml:space="preserve">socio-economic justice. </w:t>
      </w:r>
    </w:p>
    <w:sectPr w:rsidR="003E57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EEEC" w14:textId="77777777" w:rsidR="00BF17C5" w:rsidRDefault="00BF17C5" w:rsidP="00AC3C69">
      <w:pPr>
        <w:spacing w:after="0" w:line="240" w:lineRule="auto"/>
      </w:pPr>
      <w:r>
        <w:separator/>
      </w:r>
    </w:p>
  </w:endnote>
  <w:endnote w:type="continuationSeparator" w:id="0">
    <w:p w14:paraId="5E4F954F" w14:textId="77777777" w:rsidR="00BF17C5" w:rsidRDefault="00BF17C5" w:rsidP="00AC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85213"/>
      <w:docPartObj>
        <w:docPartGallery w:val="Page Numbers (Bottom of Page)"/>
        <w:docPartUnique/>
      </w:docPartObj>
    </w:sdtPr>
    <w:sdtEndPr>
      <w:rPr>
        <w:noProof/>
      </w:rPr>
    </w:sdtEndPr>
    <w:sdtContent>
      <w:p w14:paraId="70F1B2A2" w14:textId="68FF9E1C" w:rsidR="00CD184A" w:rsidRDefault="00CD1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C005D" w14:textId="77777777" w:rsidR="00CD184A" w:rsidRDefault="00CD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B22B" w14:textId="77777777" w:rsidR="00BF17C5" w:rsidRDefault="00BF17C5" w:rsidP="00AC3C69">
      <w:pPr>
        <w:spacing w:after="0" w:line="240" w:lineRule="auto"/>
      </w:pPr>
      <w:r>
        <w:separator/>
      </w:r>
    </w:p>
  </w:footnote>
  <w:footnote w:type="continuationSeparator" w:id="0">
    <w:p w14:paraId="7B3570ED" w14:textId="77777777" w:rsidR="00BF17C5" w:rsidRDefault="00BF17C5" w:rsidP="00AC3C69">
      <w:pPr>
        <w:spacing w:after="0" w:line="240" w:lineRule="auto"/>
      </w:pPr>
      <w:r>
        <w:continuationSeparator/>
      </w:r>
    </w:p>
  </w:footnote>
  <w:footnote w:id="1">
    <w:p w14:paraId="5CDF9086" w14:textId="77777777" w:rsidR="009E16EB" w:rsidRPr="00553987" w:rsidRDefault="009E16EB" w:rsidP="009E16EB">
      <w:pPr>
        <w:pStyle w:val="FootnoteText"/>
      </w:pPr>
      <w:r>
        <w:rPr>
          <w:rStyle w:val="FootnoteReference"/>
        </w:rPr>
        <w:footnoteRef/>
      </w:r>
      <w:r>
        <w:t xml:space="preserve"> See generally: K.</w:t>
      </w:r>
      <w:r w:rsidRPr="008465EC">
        <w:t xml:space="preserve"> De </w:t>
      </w:r>
      <w:proofErr w:type="spellStart"/>
      <w:r w:rsidRPr="008465EC">
        <w:t>Feyter</w:t>
      </w:r>
      <w:proofErr w:type="spellEnd"/>
      <w:r w:rsidRPr="008465EC">
        <w:t xml:space="preserve"> &amp; F</w:t>
      </w:r>
      <w:r>
        <w:t>.</w:t>
      </w:r>
      <w:r w:rsidRPr="008465EC">
        <w:t xml:space="preserve"> Gómez Isa </w:t>
      </w:r>
      <w:r>
        <w:t>(</w:t>
      </w:r>
      <w:r w:rsidRPr="008465EC">
        <w:t>eds.</w:t>
      </w:r>
      <w:r>
        <w:t>)</w:t>
      </w:r>
      <w:r w:rsidRPr="008465EC">
        <w:t xml:space="preserve"> Privatisation and Human Rights i</w:t>
      </w:r>
      <w:r>
        <w:t xml:space="preserve">n the Age of Globalisation (Maastricht: </w:t>
      </w:r>
      <w:proofErr w:type="spellStart"/>
      <w:r>
        <w:t>Intersentia</w:t>
      </w:r>
      <w:proofErr w:type="spellEnd"/>
      <w:r>
        <w:t xml:space="preserve">, </w:t>
      </w:r>
      <w:r w:rsidRPr="008465EC">
        <w:t>2005)</w:t>
      </w:r>
      <w:r>
        <w:t>; K. Farnsworth and C. Holden, ‘</w:t>
      </w:r>
      <w:r w:rsidRPr="00303A2F">
        <w:t>The business-social policy nexus: corporate power and corpo</w:t>
      </w:r>
      <w:r>
        <w:t>rate inputs into social policy’ (2006) 35.3</w:t>
      </w:r>
      <w:r w:rsidRPr="00303A2F">
        <w:t> </w:t>
      </w:r>
      <w:r w:rsidRPr="00303A2F">
        <w:rPr>
          <w:i/>
          <w:iCs/>
        </w:rPr>
        <w:t>Journal of Social Policy</w:t>
      </w:r>
      <w:r w:rsidRPr="00303A2F">
        <w:t> </w:t>
      </w:r>
      <w:r>
        <w:t xml:space="preserve">473; L. </w:t>
      </w:r>
      <w:proofErr w:type="spellStart"/>
      <w:r>
        <w:t>Drutman</w:t>
      </w:r>
      <w:proofErr w:type="spellEnd"/>
      <w:r>
        <w:t>,</w:t>
      </w:r>
      <w:r w:rsidRPr="00303A2F">
        <w:t> </w:t>
      </w:r>
      <w:proofErr w:type="gramStart"/>
      <w:r w:rsidRPr="00303A2F">
        <w:rPr>
          <w:i/>
          <w:iCs/>
        </w:rPr>
        <w:t>The</w:t>
      </w:r>
      <w:proofErr w:type="gramEnd"/>
      <w:r w:rsidRPr="00303A2F">
        <w:rPr>
          <w:i/>
          <w:iCs/>
        </w:rPr>
        <w:t xml:space="preserve"> business of America is lobbying: How corporations became politicized and politics became more corporate</w:t>
      </w:r>
      <w:r w:rsidRPr="00303A2F">
        <w:t xml:space="preserve">. </w:t>
      </w:r>
      <w:r>
        <w:t xml:space="preserve">(Oxford: Oxford University Press, 2015). See on specific marketization and some specific human rights: P. </w:t>
      </w:r>
      <w:r w:rsidRPr="00553987">
        <w:t>O’Connell, ‘The human right to health in an age of market hegemony’, </w:t>
      </w:r>
      <w:r w:rsidRPr="00553987">
        <w:rPr>
          <w:i/>
          <w:iCs/>
        </w:rPr>
        <w:t>Global Health and Human Rights</w:t>
      </w:r>
      <w:r w:rsidRPr="00553987">
        <w:t xml:space="preserve"> (</w:t>
      </w:r>
      <w:r>
        <w:t xml:space="preserve">London: </w:t>
      </w:r>
      <w:r w:rsidRPr="00553987">
        <w:t>Routledge, 2010), 200-219</w:t>
      </w:r>
      <w:r>
        <w:t xml:space="preserve">; G. </w:t>
      </w:r>
      <w:proofErr w:type="spellStart"/>
      <w:r w:rsidRPr="00FF7240">
        <w:t>MacNaughton</w:t>
      </w:r>
      <w:proofErr w:type="spellEnd"/>
      <w:r>
        <w:t xml:space="preserve"> and D. F. Frey, ‘</w:t>
      </w:r>
      <w:r w:rsidRPr="00FF7240">
        <w:t>Decent work for all: a</w:t>
      </w:r>
      <w:r>
        <w:t xml:space="preserve"> holistic human rights approach’,</w:t>
      </w:r>
      <w:r w:rsidRPr="00FF7240">
        <w:t> </w:t>
      </w:r>
      <w:r>
        <w:t xml:space="preserve">(2010) 26 </w:t>
      </w:r>
      <w:r w:rsidRPr="00FF7240">
        <w:rPr>
          <w:i/>
          <w:iCs/>
        </w:rPr>
        <w:t>Am</w:t>
      </w:r>
      <w:r>
        <w:rPr>
          <w:i/>
          <w:iCs/>
        </w:rPr>
        <w:t>erican University International Law Review</w:t>
      </w:r>
      <w:r>
        <w:t xml:space="preserve"> 26 (2010), </w:t>
      </w:r>
      <w:r w:rsidRPr="00FF7240">
        <w:t>441</w:t>
      </w:r>
      <w:r>
        <w:t>;</w:t>
      </w:r>
      <w:r w:rsidRPr="004E29B2">
        <w:rPr>
          <w:lang w:val="en-US"/>
        </w:rPr>
        <w:t xml:space="preserve"> </w:t>
      </w:r>
      <w:r w:rsidRPr="00553987">
        <w:rPr>
          <w:lang w:val="en-US"/>
        </w:rPr>
        <w:t>J</w:t>
      </w:r>
      <w:r>
        <w:rPr>
          <w:lang w:val="en-US"/>
        </w:rPr>
        <w:t>.</w:t>
      </w:r>
      <w:r w:rsidRPr="00553987">
        <w:rPr>
          <w:lang w:val="en-US"/>
        </w:rPr>
        <w:t xml:space="preserve"> Akers, E</w:t>
      </w:r>
      <w:r>
        <w:rPr>
          <w:lang w:val="en-US"/>
        </w:rPr>
        <w:t xml:space="preserve">. </w:t>
      </w:r>
      <w:r w:rsidRPr="00553987">
        <w:rPr>
          <w:lang w:val="en-US"/>
        </w:rPr>
        <w:t>Seymour, D</w:t>
      </w:r>
      <w:r>
        <w:rPr>
          <w:lang w:val="en-US"/>
        </w:rPr>
        <w:t>.</w:t>
      </w:r>
      <w:r w:rsidRPr="00553987">
        <w:rPr>
          <w:lang w:val="en-US"/>
        </w:rPr>
        <w:t xml:space="preserve"> Butler, and W</w:t>
      </w:r>
      <w:r>
        <w:rPr>
          <w:lang w:val="en-US"/>
        </w:rPr>
        <w:t>.</w:t>
      </w:r>
      <w:r w:rsidRPr="00553987">
        <w:rPr>
          <w:lang w:val="en-US"/>
        </w:rPr>
        <w:t xml:space="preserve"> </w:t>
      </w:r>
      <w:proofErr w:type="spellStart"/>
      <w:r w:rsidRPr="00553987">
        <w:rPr>
          <w:lang w:val="en-US"/>
        </w:rPr>
        <w:t>Rathke</w:t>
      </w:r>
      <w:proofErr w:type="spellEnd"/>
      <w:r w:rsidRPr="00553987">
        <w:rPr>
          <w:lang w:val="en-US"/>
        </w:rPr>
        <w:t xml:space="preserve">, </w:t>
      </w:r>
      <w:r>
        <w:rPr>
          <w:lang w:val="en-US"/>
        </w:rPr>
        <w:t>‘</w:t>
      </w:r>
      <w:r w:rsidRPr="00553987">
        <w:rPr>
          <w:lang w:val="en-US"/>
        </w:rPr>
        <w:t>Liquid Tenancy: "Post-crisis" economies of displacement, community organizing, and new forms of resistance</w:t>
      </w:r>
      <w:r>
        <w:rPr>
          <w:lang w:val="en-US"/>
        </w:rPr>
        <w:t>’</w:t>
      </w:r>
      <w:r w:rsidRPr="00553987">
        <w:rPr>
          <w:lang w:val="en-US"/>
        </w:rPr>
        <w:t xml:space="preserve">, </w:t>
      </w:r>
      <w:r>
        <w:rPr>
          <w:lang w:val="en-US"/>
        </w:rPr>
        <w:t xml:space="preserve">(2019) </w:t>
      </w:r>
      <w:r w:rsidRPr="00553987">
        <w:rPr>
          <w:lang w:val="en-US"/>
        </w:rPr>
        <w:t xml:space="preserve">1.1 </w:t>
      </w:r>
      <w:r w:rsidRPr="00553987">
        <w:rPr>
          <w:i/>
          <w:lang w:val="en-US"/>
        </w:rPr>
        <w:t>Radical Housing Journal</w:t>
      </w:r>
      <w:r w:rsidRPr="00553987">
        <w:rPr>
          <w:lang w:val="en-US"/>
        </w:rPr>
        <w:t>, 1</w:t>
      </w:r>
      <w:r>
        <w:rPr>
          <w:lang w:val="en-US"/>
        </w:rPr>
        <w:t>.</w:t>
      </w:r>
    </w:p>
  </w:footnote>
  <w:footnote w:id="2">
    <w:p w14:paraId="07B85B85" w14:textId="77777777" w:rsidR="009E16EB" w:rsidRDefault="009E16EB" w:rsidP="009E16EB">
      <w:pPr>
        <w:pStyle w:val="FootnoteText"/>
      </w:pPr>
      <w:r>
        <w:rPr>
          <w:rStyle w:val="FootnoteReference"/>
        </w:rPr>
        <w:footnoteRef/>
      </w:r>
      <w:r>
        <w:t xml:space="preserve"> </w:t>
      </w:r>
      <w:r w:rsidRPr="00F21C6F">
        <w:t>UN General Assembly, International Covenant on Economic, Social and Cultural Rights, 16 December 1966, United Nations, Treaty Series, vol. 993</w:t>
      </w:r>
      <w:r>
        <w:t xml:space="preserve"> [ICESCR].</w:t>
      </w:r>
    </w:p>
  </w:footnote>
  <w:footnote w:id="3">
    <w:p w14:paraId="329CE579" w14:textId="77777777" w:rsidR="00E50353" w:rsidRDefault="00E50353" w:rsidP="00E50353">
      <w:pPr>
        <w:pStyle w:val="FootnoteText"/>
      </w:pPr>
      <w:r>
        <w:rPr>
          <w:rStyle w:val="FootnoteReference"/>
        </w:rPr>
        <w:footnoteRef/>
      </w:r>
      <w:r>
        <w:t xml:space="preserve"> </w:t>
      </w:r>
      <w:r w:rsidRPr="005846A1">
        <w:rPr>
          <w:lang w:val="en-US"/>
        </w:rPr>
        <w:t>CESCR, ‘</w:t>
      </w:r>
      <w:r w:rsidRPr="005846A1">
        <w:rPr>
          <w:iCs/>
          <w:lang w:val="en-US"/>
        </w:rPr>
        <w:t>General comment No. 24 (2017) on State obligations under the International Covenant on Economic, Social and Cultural Rights in the context of business activities’</w:t>
      </w:r>
      <w:r w:rsidRPr="005846A1">
        <w:rPr>
          <w:lang w:val="en-US"/>
        </w:rPr>
        <w:t xml:space="preserve">, 10 August 2017, E/C.12/GC/24, para. </w:t>
      </w:r>
      <w:r>
        <w:rPr>
          <w:lang w:val="en-US"/>
        </w:rPr>
        <w:t>17</w:t>
      </w:r>
      <w:r w:rsidRPr="005846A1">
        <w:rPr>
          <w:lang w:val="en-US"/>
        </w:rPr>
        <w:t xml:space="preserve"> </w:t>
      </w:r>
      <w:r w:rsidRPr="005846A1">
        <w:t xml:space="preserve">[hereinafter </w:t>
      </w:r>
      <w:r w:rsidRPr="005846A1">
        <w:rPr>
          <w:iCs/>
        </w:rPr>
        <w:t>General Comment 24, Business</w:t>
      </w:r>
      <w:r w:rsidRPr="005846A1">
        <w:t>].</w:t>
      </w:r>
    </w:p>
  </w:footnote>
  <w:footnote w:id="4">
    <w:p w14:paraId="00D0D577" w14:textId="3B9BBFED" w:rsidR="007204FE" w:rsidRDefault="007204FE">
      <w:pPr>
        <w:pStyle w:val="FootnoteText"/>
      </w:pPr>
      <w:r>
        <w:rPr>
          <w:rStyle w:val="FootnoteReference"/>
        </w:rPr>
        <w:footnoteRef/>
      </w:r>
      <w:r>
        <w:t xml:space="preserve"> </w:t>
      </w:r>
    </w:p>
  </w:footnote>
  <w:footnote w:id="5">
    <w:p w14:paraId="4012DAC4" w14:textId="77777777" w:rsidR="00AD5258" w:rsidRDefault="00AD5258" w:rsidP="00AD5258">
      <w:pPr>
        <w:pStyle w:val="FootnoteText"/>
      </w:pPr>
      <w:r>
        <w:rPr>
          <w:rStyle w:val="FootnoteReference"/>
        </w:rPr>
        <w:footnoteRef/>
      </w:r>
      <w:r>
        <w:t xml:space="preserve"> See [REDACTED BHRJ]</w:t>
      </w:r>
    </w:p>
  </w:footnote>
  <w:footnote w:id="6">
    <w:p w14:paraId="2E5F620D" w14:textId="77777777" w:rsidR="00AD5258" w:rsidRDefault="00AD5258" w:rsidP="00AD5258">
      <w:pPr>
        <w:pStyle w:val="FootnoteText"/>
      </w:pPr>
      <w:r>
        <w:rPr>
          <w:rStyle w:val="FootnoteReference"/>
        </w:rPr>
        <w:footnoteRef/>
      </w:r>
      <w:r>
        <w:t xml:space="preserve"> [REDACTED SCJIL]</w:t>
      </w:r>
    </w:p>
  </w:footnote>
  <w:footnote w:id="7">
    <w:p w14:paraId="1C416631" w14:textId="77777777" w:rsidR="00AD5258" w:rsidRDefault="00AD5258" w:rsidP="00AD5258">
      <w:pPr>
        <w:pStyle w:val="FootnoteText"/>
      </w:pPr>
      <w:r>
        <w:rPr>
          <w:rStyle w:val="FootnoteReference"/>
        </w:rPr>
        <w:footnoteRef/>
      </w:r>
      <w:r>
        <w:t xml:space="preserve"> </w:t>
      </w:r>
      <w:r w:rsidRPr="00E32C5B">
        <w:rPr>
          <w:iCs/>
        </w:rPr>
        <w:t>General Comment 24, Business, n</w:t>
      </w:r>
      <w:r w:rsidRPr="00E32C5B">
        <w:rPr>
          <w:lang w:val="en-US"/>
        </w:rPr>
        <w:t xml:space="preserve"> </w:t>
      </w:r>
      <w:r w:rsidRPr="00E32C5B">
        <w:rPr>
          <w:lang w:val="en-US"/>
        </w:rPr>
        <w:fldChar w:fldCharType="begin"/>
      </w:r>
      <w:r w:rsidRPr="00E32C5B">
        <w:rPr>
          <w:lang w:val="en-US"/>
        </w:rPr>
        <w:instrText xml:space="preserve"> NOTEREF _Ref51170030 \h </w:instrText>
      </w:r>
      <w:r w:rsidRPr="00E32C5B">
        <w:rPr>
          <w:lang w:val="en-US"/>
        </w:rPr>
      </w:r>
      <w:r w:rsidRPr="00E32C5B">
        <w:rPr>
          <w:lang w:val="en-US"/>
        </w:rPr>
        <w:fldChar w:fldCharType="separate"/>
      </w:r>
      <w:r>
        <w:rPr>
          <w:lang w:val="en-US"/>
        </w:rPr>
        <w:t>3</w:t>
      </w:r>
      <w:r w:rsidRPr="00E32C5B">
        <w:fldChar w:fldCharType="end"/>
      </w:r>
      <w:r w:rsidRPr="00E32C5B">
        <w:rPr>
          <w:lang w:val="en-US"/>
        </w:rPr>
        <w:t>,</w:t>
      </w:r>
      <w:r>
        <w:rPr>
          <w:lang w:val="en-US"/>
        </w:rPr>
        <w:t xml:space="preserve"> para. 16.</w:t>
      </w:r>
    </w:p>
  </w:footnote>
  <w:footnote w:id="8">
    <w:p w14:paraId="13FA14A2" w14:textId="77777777" w:rsidR="00AD5258" w:rsidRDefault="00AD5258" w:rsidP="00AD5258">
      <w:pPr>
        <w:pStyle w:val="FootnoteText"/>
      </w:pPr>
      <w:r>
        <w:rPr>
          <w:rStyle w:val="FootnoteReference"/>
        </w:rPr>
        <w:footnoteRef/>
      </w:r>
      <w:r>
        <w:t xml:space="preserve"> </w:t>
      </w:r>
      <w:r w:rsidRPr="00D010D7">
        <w:rPr>
          <w:iCs/>
        </w:rPr>
        <w:t>General Comment 24, Business, n</w:t>
      </w:r>
      <w:r w:rsidRPr="00D010D7">
        <w:rPr>
          <w:lang w:val="en-US"/>
        </w:rPr>
        <w:t xml:space="preserve"> </w:t>
      </w:r>
      <w:r w:rsidRPr="00D010D7">
        <w:rPr>
          <w:lang w:val="en-US"/>
        </w:rPr>
        <w:fldChar w:fldCharType="begin"/>
      </w:r>
      <w:r w:rsidRPr="00D010D7">
        <w:rPr>
          <w:lang w:val="en-US"/>
        </w:rPr>
        <w:instrText xml:space="preserve"> NOTEREF _Ref51170030 \h </w:instrText>
      </w:r>
      <w:r w:rsidRPr="00D010D7">
        <w:rPr>
          <w:lang w:val="en-US"/>
        </w:rPr>
      </w:r>
      <w:r w:rsidRPr="00D010D7">
        <w:rPr>
          <w:lang w:val="en-US"/>
        </w:rPr>
        <w:fldChar w:fldCharType="separate"/>
      </w:r>
      <w:r>
        <w:rPr>
          <w:lang w:val="en-US"/>
        </w:rPr>
        <w:t>3</w:t>
      </w:r>
      <w:r w:rsidRPr="00D010D7">
        <w:fldChar w:fldCharType="end"/>
      </w:r>
      <w:r w:rsidRPr="00D010D7">
        <w:rPr>
          <w:lang w:val="en-US"/>
        </w:rPr>
        <w:t>,</w:t>
      </w:r>
      <w:r>
        <w:rPr>
          <w:lang w:val="en-US"/>
        </w:rPr>
        <w:t xml:space="preserve"> para. 19.</w:t>
      </w:r>
    </w:p>
  </w:footnote>
  <w:footnote w:id="9">
    <w:p w14:paraId="5E52E7FC" w14:textId="60B47C20" w:rsidR="009E16EB" w:rsidRDefault="009E16EB" w:rsidP="009E16EB">
      <w:pPr>
        <w:pStyle w:val="FootnoteText"/>
      </w:pPr>
      <w:r>
        <w:rPr>
          <w:rStyle w:val="FootnoteReference"/>
        </w:rPr>
        <w:footnoteRef/>
      </w:r>
      <w:r>
        <w:t xml:space="preserve"> See for example on housing: </w:t>
      </w:r>
      <w:r w:rsidRPr="00142CB4">
        <w:t xml:space="preserve">Human Rights Council, </w:t>
      </w:r>
      <w:r>
        <w:t>‘</w:t>
      </w:r>
      <w:r w:rsidRPr="00E6490B">
        <w:t>Report of the Special Rapporteur on adequate housing as a component of the right to an adequate standard of living, and on the right to non-discrimination in this context: The Financialization of housing and the right to adequate housing</w:t>
      </w:r>
      <w:r>
        <w:t>’</w:t>
      </w:r>
      <w:r w:rsidRPr="00142CB4">
        <w:t>, A/HRC/34/51, 18 January 2017, para</w:t>
      </w:r>
      <w:r>
        <w:t xml:space="preserve">s. 34-37 </w:t>
      </w:r>
      <w:r w:rsidRPr="00142CB4">
        <w:t xml:space="preserve">[hereinafter </w:t>
      </w:r>
      <w:bookmarkStart w:id="3" w:name="_Hlk51359041"/>
      <w:r w:rsidRPr="00142CB4">
        <w:t xml:space="preserve">UNSR, </w:t>
      </w:r>
      <w:r w:rsidRPr="00E6490B">
        <w:t>Financialization</w:t>
      </w:r>
      <w:bookmarkEnd w:id="3"/>
      <w:r w:rsidRPr="00142CB4">
        <w:t>]</w:t>
      </w:r>
      <w:r>
        <w:t xml:space="preserve">; </w:t>
      </w:r>
      <w:r w:rsidRPr="00142CB4">
        <w:t>Mandates of the Working Group on the issue of human rights and transnational corporations and other business enterprises and the Special Rapporteur on adequate housing as a component of the right to an adequate standard of living, and on the right to non-discrimination in this context, Letter to Ireland, OL IRE 2/2019, 22 March 2019 [Ireland Letter].</w:t>
      </w:r>
      <w:r>
        <w:t xml:space="preserve"> See similar letters to the governments of the Czech Republic, Denmark, Spain, Sweden, the USA and to housing investment company the Blackstone Group L.P here: </w:t>
      </w:r>
      <w:hyperlink r:id="rId1" w:history="1">
        <w:r w:rsidRPr="00E366BE">
          <w:rPr>
            <w:rStyle w:val="Hyperlink"/>
          </w:rPr>
          <w:t>https://www.ohchr.org/EN/Issues/Housing/Pages/FinancializationHousing.aspx</w:t>
        </w:r>
      </w:hyperlink>
      <w:r>
        <w:t xml:space="preserve"> </w:t>
      </w:r>
      <w:r w:rsidR="00277EA0" w:rsidRPr="00277EA0">
        <w:t>(last accessed 26 September 2020).</w:t>
      </w:r>
    </w:p>
  </w:footnote>
  <w:footnote w:id="10">
    <w:p w14:paraId="2D9A9AAB" w14:textId="29341242" w:rsidR="009E16EB" w:rsidRDefault="009E16EB" w:rsidP="009E16EB">
      <w:pPr>
        <w:pStyle w:val="FootnoteText"/>
      </w:pPr>
      <w:r>
        <w:rPr>
          <w:rStyle w:val="FootnoteReference"/>
        </w:rPr>
        <w:footnoteRef/>
      </w:r>
      <w:r>
        <w:t xml:space="preserve"> </w:t>
      </w:r>
      <w:r w:rsidRPr="00CE25B3">
        <w:rPr>
          <w:iCs/>
        </w:rPr>
        <w:t>General Comment 24, Business</w:t>
      </w:r>
      <w:r>
        <w:rPr>
          <w:iCs/>
        </w:rPr>
        <w:t>, n</w:t>
      </w:r>
      <w:r>
        <w:rPr>
          <w:lang w:val="en-US"/>
        </w:rPr>
        <w:t xml:space="preserve"> </w:t>
      </w:r>
      <w:r>
        <w:rPr>
          <w:lang w:val="en-US"/>
        </w:rPr>
        <w:fldChar w:fldCharType="begin"/>
      </w:r>
      <w:r>
        <w:rPr>
          <w:lang w:val="en-US"/>
        </w:rPr>
        <w:instrText xml:space="preserve"> NOTEREF _Ref51170030 \h </w:instrText>
      </w:r>
      <w:r>
        <w:rPr>
          <w:lang w:val="en-US"/>
        </w:rPr>
      </w:r>
      <w:r>
        <w:rPr>
          <w:lang w:val="en-US"/>
        </w:rPr>
        <w:fldChar w:fldCharType="separate"/>
      </w:r>
      <w:r w:rsidR="001A0A81">
        <w:rPr>
          <w:lang w:val="en-US"/>
        </w:rPr>
        <w:t>3</w:t>
      </w:r>
      <w:r>
        <w:rPr>
          <w:lang w:val="en-US"/>
        </w:rPr>
        <w:fldChar w:fldCharType="end"/>
      </w:r>
      <w:r>
        <w:rPr>
          <w:lang w:val="en-US"/>
        </w:rPr>
        <w:t>, para. 21 and para. 24.</w:t>
      </w:r>
    </w:p>
  </w:footnote>
  <w:footnote w:id="11">
    <w:p w14:paraId="400DAB11" w14:textId="77777777" w:rsidR="00235683" w:rsidRDefault="00235683" w:rsidP="00235683">
      <w:pPr>
        <w:pStyle w:val="FootnoteText"/>
      </w:pPr>
      <w:r>
        <w:rPr>
          <w:rStyle w:val="FootnoteReference"/>
        </w:rPr>
        <w:footnoteRef/>
      </w:r>
      <w:r>
        <w:t xml:space="preserve"> See [REDACTED BHRJ]</w:t>
      </w:r>
    </w:p>
  </w:footnote>
  <w:footnote w:id="12">
    <w:p w14:paraId="75C4F4E8" w14:textId="77777777" w:rsidR="00F701A8" w:rsidRDefault="00F701A8" w:rsidP="00F701A8">
      <w:pPr>
        <w:pStyle w:val="FootnoteText"/>
      </w:pPr>
      <w:r>
        <w:rPr>
          <w:rStyle w:val="FootnoteReference"/>
        </w:rPr>
        <w:footnoteRef/>
      </w:r>
      <w:r>
        <w:t xml:space="preserve"> [REDACTED SCJIL]</w:t>
      </w:r>
    </w:p>
  </w:footnote>
  <w:footnote w:id="13">
    <w:p w14:paraId="6956B1D4" w14:textId="70537CC8" w:rsidR="009E16EB" w:rsidRPr="00D64FCA" w:rsidRDefault="009E16EB" w:rsidP="009E16EB">
      <w:pPr>
        <w:pStyle w:val="FootnoteText"/>
        <w:rPr>
          <w:rFonts w:cs="Times New Roman"/>
        </w:rPr>
      </w:pPr>
      <w:r w:rsidRPr="00D64FCA">
        <w:rPr>
          <w:rStyle w:val="FootnoteReference"/>
          <w:rFonts w:cs="Times New Roman"/>
        </w:rPr>
        <w:footnoteRef/>
      </w:r>
      <w:r w:rsidRPr="00D64FCA">
        <w:rPr>
          <w:rFonts w:cs="Times New Roman"/>
        </w:rPr>
        <w:t xml:space="preserve"> </w:t>
      </w:r>
      <w:r w:rsidRPr="00D64FCA">
        <w:rPr>
          <w:rFonts w:cs="Times New Roman"/>
          <w:iCs/>
        </w:rPr>
        <w:t>General Comment 24, Business, n</w:t>
      </w:r>
      <w:r>
        <w:rPr>
          <w:rFonts w:cs="Times New Roman"/>
          <w:iCs/>
        </w:rPr>
        <w:t xml:space="preserve"> </w:t>
      </w:r>
      <w:r>
        <w:rPr>
          <w:rFonts w:cs="Times New Roman"/>
          <w:iCs/>
        </w:rPr>
        <w:fldChar w:fldCharType="begin"/>
      </w:r>
      <w:r>
        <w:rPr>
          <w:rFonts w:cs="Times New Roman"/>
          <w:iCs/>
        </w:rPr>
        <w:instrText xml:space="preserve"> NOTEREF _Ref51170030 \h </w:instrText>
      </w:r>
      <w:r>
        <w:rPr>
          <w:rFonts w:cs="Times New Roman"/>
          <w:iCs/>
        </w:rPr>
      </w:r>
      <w:r>
        <w:rPr>
          <w:rFonts w:cs="Times New Roman"/>
          <w:iCs/>
        </w:rPr>
        <w:fldChar w:fldCharType="separate"/>
      </w:r>
      <w:r w:rsidR="001A0A81">
        <w:rPr>
          <w:rFonts w:cs="Times New Roman"/>
          <w:iCs/>
        </w:rPr>
        <w:t>3</w:t>
      </w:r>
      <w:r>
        <w:rPr>
          <w:rFonts w:cs="Times New Roman"/>
          <w:iCs/>
        </w:rPr>
        <w:fldChar w:fldCharType="end"/>
      </w:r>
      <w:r w:rsidRPr="00D64FCA">
        <w:rPr>
          <w:rFonts w:cs="Times New Roman"/>
          <w:iCs/>
        </w:rPr>
        <w:t xml:space="preserve">, para. 37; </w:t>
      </w:r>
      <w:r w:rsidRPr="00D64FCA">
        <w:rPr>
          <w:rFonts w:cs="Times New Roman"/>
        </w:rPr>
        <w:t>S</w:t>
      </w:r>
      <w:r>
        <w:rPr>
          <w:rFonts w:cs="Times New Roman"/>
        </w:rPr>
        <w:t>.</w:t>
      </w:r>
      <w:r w:rsidRPr="00D64FCA">
        <w:rPr>
          <w:rFonts w:cs="Times New Roman"/>
        </w:rPr>
        <w:t xml:space="preserve"> Darcy, ‘The Elephant in the Room’: Corporate Tax Avoidance &amp; Business and Human Rights,’</w:t>
      </w:r>
      <w:r w:rsidR="00454C31">
        <w:rPr>
          <w:rFonts w:cs="Times New Roman"/>
        </w:rPr>
        <w:t xml:space="preserve"> (2017) 2.1</w:t>
      </w:r>
      <w:r w:rsidRPr="00D64FCA">
        <w:rPr>
          <w:rFonts w:cs="Times New Roman"/>
        </w:rPr>
        <w:t> </w:t>
      </w:r>
      <w:r w:rsidRPr="00D64FCA">
        <w:rPr>
          <w:rFonts w:cs="Times New Roman"/>
          <w:i/>
          <w:iCs/>
        </w:rPr>
        <w:t>Business and Human Rights Journal</w:t>
      </w:r>
      <w:r w:rsidRPr="00D64FCA">
        <w:rPr>
          <w:rFonts w:cs="Times New Roman"/>
        </w:rPr>
        <w:t>, 1.</w:t>
      </w:r>
    </w:p>
  </w:footnote>
  <w:footnote w:id="14">
    <w:p w14:paraId="3DF0EF9A" w14:textId="77777777" w:rsidR="009E16EB" w:rsidRDefault="009E16EB" w:rsidP="009E16EB">
      <w:pPr>
        <w:pStyle w:val="FootnoteText"/>
      </w:pPr>
      <w:r>
        <w:rPr>
          <w:rStyle w:val="FootnoteReference"/>
        </w:rPr>
        <w:footnoteRef/>
      </w:r>
      <w:r>
        <w:t xml:space="preserve"> O. </w:t>
      </w:r>
      <w:r w:rsidRPr="007E4C62">
        <w:t>De Schutter</w:t>
      </w:r>
      <w:r>
        <w:t xml:space="preserve"> </w:t>
      </w:r>
      <w:r w:rsidRPr="007E4C62">
        <w:t>et al</w:t>
      </w:r>
      <w:r>
        <w:t>, ‘</w:t>
      </w:r>
      <w:r w:rsidRPr="007E4C62">
        <w:t>Commentary to the Maastricht principles on extraterritorial obligations of states in the area of economic, social and cultural rights</w:t>
      </w:r>
      <w:r>
        <w:t>’ (2012) 34</w:t>
      </w:r>
      <w:r w:rsidRPr="007E4C62">
        <w:t> </w:t>
      </w:r>
      <w:r w:rsidRPr="007E4C62">
        <w:rPr>
          <w:i/>
          <w:iCs/>
        </w:rPr>
        <w:t>Hum</w:t>
      </w:r>
      <w:r>
        <w:rPr>
          <w:i/>
          <w:iCs/>
        </w:rPr>
        <w:t xml:space="preserve">an Rights Quarterly </w:t>
      </w:r>
      <w:r w:rsidRPr="007E4C62">
        <w:t>1084.</w:t>
      </w:r>
    </w:p>
  </w:footnote>
  <w:footnote w:id="15">
    <w:p w14:paraId="5F24BBC3" w14:textId="77777777" w:rsidR="009E16EB" w:rsidRPr="00D82064" w:rsidRDefault="009E16EB" w:rsidP="009E16EB">
      <w:pPr>
        <w:pStyle w:val="FootnoteText"/>
      </w:pPr>
      <w:r>
        <w:rPr>
          <w:rStyle w:val="FootnoteReference"/>
        </w:rPr>
        <w:footnoteRef/>
      </w:r>
      <w:r>
        <w:t xml:space="preserve"> S.L. </w:t>
      </w:r>
      <w:proofErr w:type="spellStart"/>
      <w:r>
        <w:t>Seck</w:t>
      </w:r>
      <w:proofErr w:type="spellEnd"/>
      <w:r>
        <w:t xml:space="preserve">, </w:t>
      </w:r>
      <w:r w:rsidRPr="00D82064">
        <w:t xml:space="preserve">Moving beyond </w:t>
      </w:r>
      <w:r>
        <w:t>the E-word in the Anthropocene’ in</w:t>
      </w:r>
      <w:r w:rsidRPr="00D82064">
        <w:t> </w:t>
      </w:r>
      <w:r w:rsidRPr="00D82064">
        <w:rPr>
          <w:i/>
          <w:iCs/>
        </w:rPr>
        <w:t>The Extraterritoriality of Law</w:t>
      </w:r>
      <w:r w:rsidRPr="00D82064">
        <w:t xml:space="preserve">. </w:t>
      </w:r>
      <w:r>
        <w:t xml:space="preserve">(D.S. </w:t>
      </w:r>
      <w:proofErr w:type="spellStart"/>
      <w:r>
        <w:t>Margolies</w:t>
      </w:r>
      <w:proofErr w:type="spellEnd"/>
      <w:r>
        <w:t xml:space="preserve"> et al. eds. Routledge, 2019), 49.</w:t>
      </w:r>
    </w:p>
  </w:footnote>
  <w:footnote w:id="16">
    <w:p w14:paraId="1F44195C" w14:textId="77777777" w:rsidR="009E16EB" w:rsidRDefault="009E16EB" w:rsidP="009E16EB">
      <w:pPr>
        <w:pStyle w:val="FootnoteText"/>
      </w:pPr>
      <w:r>
        <w:rPr>
          <w:rStyle w:val="FootnoteReference"/>
        </w:rPr>
        <w:footnoteRef/>
      </w:r>
      <w:r>
        <w:t xml:space="preserve"> A. </w:t>
      </w:r>
      <w:r w:rsidRPr="001907A1">
        <w:t xml:space="preserve">Davis, </w:t>
      </w:r>
      <w:r>
        <w:t>‘</w:t>
      </w:r>
      <w:r w:rsidRPr="001907A1">
        <w:t>Masked racism: reflections on the prison industrial complex</w:t>
      </w:r>
      <w:r>
        <w:t xml:space="preserve">’ (2000) 4.27 </w:t>
      </w:r>
      <w:r w:rsidRPr="001907A1">
        <w:rPr>
          <w:i/>
          <w:iCs/>
        </w:rPr>
        <w:t>Indigenous Law Bulletin</w:t>
      </w:r>
      <w:r w:rsidRPr="001907A1">
        <w:t> 4.27</w:t>
      </w:r>
      <w:r>
        <w:t>, 4, 6-7.</w:t>
      </w:r>
    </w:p>
  </w:footnote>
  <w:footnote w:id="17">
    <w:p w14:paraId="128D9905" w14:textId="77777777" w:rsidR="009E16EB" w:rsidRPr="00D64FCA" w:rsidRDefault="009E16EB" w:rsidP="009E16EB">
      <w:pPr>
        <w:pStyle w:val="FootnoteText"/>
        <w:rPr>
          <w:rFonts w:cs="Times New Roman"/>
        </w:rPr>
      </w:pPr>
      <w:r w:rsidRPr="00D64FCA">
        <w:rPr>
          <w:rStyle w:val="FootnoteReference"/>
          <w:rFonts w:cs="Times New Roman"/>
        </w:rPr>
        <w:footnoteRef/>
      </w:r>
      <w:r w:rsidRPr="00D64FCA">
        <w:rPr>
          <w:rFonts w:cs="Times New Roman"/>
        </w:rPr>
        <w:t xml:space="preserve"> </w:t>
      </w:r>
      <w:r w:rsidRPr="001D2445">
        <w:t xml:space="preserve">U.N. Office of the High Commissioner of Human Rights, </w:t>
      </w:r>
      <w:r w:rsidRPr="00DC71B1">
        <w:rPr>
          <w:i/>
          <w:iCs/>
        </w:rPr>
        <w:t>Guiding Principles on Business and Human Rights</w:t>
      </w:r>
      <w:r>
        <w:rPr>
          <w:i/>
          <w:iCs/>
        </w:rPr>
        <w:t>,</w:t>
      </w:r>
      <w:r w:rsidRPr="001D2445">
        <w:t xml:space="preserve"> HR/</w:t>
      </w:r>
      <w:r>
        <w:t xml:space="preserve">PUB/11/04 (2011) </w:t>
      </w:r>
      <w:r w:rsidRPr="001D2445">
        <w:t>[hereinafter Guiding Principles</w:t>
      </w:r>
      <w:r>
        <w:t xml:space="preserve">]; </w:t>
      </w:r>
      <w:r w:rsidRPr="00D64FCA">
        <w:rPr>
          <w:rFonts w:cs="Times New Roman"/>
        </w:rPr>
        <w:t>The author has published on the direct business responsibilities in relation to marketized rights [REDACTED</w:t>
      </w:r>
      <w:r>
        <w:rPr>
          <w:rFonts w:cs="Times New Roman"/>
        </w:rPr>
        <w:t xml:space="preserve"> OXLR</w:t>
      </w:r>
      <w:r w:rsidRPr="00D64FCA">
        <w:rPr>
          <w:rFonts w:cs="Times New Roman"/>
        </w:rPr>
        <w:t>].</w:t>
      </w:r>
    </w:p>
  </w:footnote>
  <w:footnote w:id="18">
    <w:p w14:paraId="611615E3" w14:textId="77777777" w:rsidR="00E30747" w:rsidRPr="00BC6D1D" w:rsidRDefault="00E30747" w:rsidP="00E30747">
      <w:pPr>
        <w:pStyle w:val="FootnoteText"/>
        <w:rPr>
          <w:lang w:val="en-US"/>
        </w:rPr>
      </w:pPr>
      <w:r>
        <w:rPr>
          <w:rStyle w:val="FootnoteReference"/>
        </w:rPr>
        <w:footnoteRef/>
      </w:r>
      <w:r>
        <w:t xml:space="preserve"> L.</w:t>
      </w:r>
      <w:r w:rsidRPr="00942DAC">
        <w:t xml:space="preserve"> </w:t>
      </w:r>
      <w:proofErr w:type="spellStart"/>
      <w:r w:rsidRPr="00942DAC">
        <w:t>Ennser-Jedenastik</w:t>
      </w:r>
      <w:proofErr w:type="spellEnd"/>
      <w:r w:rsidRPr="00942DAC">
        <w:t>,</w:t>
      </w:r>
      <w:r>
        <w:t xml:space="preserve"> ‘</w:t>
      </w:r>
      <w:r w:rsidRPr="00942DAC">
        <w:t>Credibility versus control: Agency independence and partisan inf</w:t>
      </w:r>
      <w:r>
        <w:t>luence in the regulatory state’</w:t>
      </w:r>
      <w:r w:rsidRPr="00942DAC">
        <w:t xml:space="preserve"> (2015</w:t>
      </w:r>
      <w:r>
        <w:t xml:space="preserve">) </w:t>
      </w:r>
      <w:r w:rsidRPr="00942DAC">
        <w:t xml:space="preserve">48.7 </w:t>
      </w:r>
      <w:r w:rsidRPr="00942DAC">
        <w:rPr>
          <w:i/>
          <w:iCs/>
        </w:rPr>
        <w:t>Comparative Political Studies</w:t>
      </w:r>
      <w:r w:rsidRPr="00942DAC">
        <w:t> </w:t>
      </w:r>
      <w:r>
        <w:t>823.</w:t>
      </w:r>
    </w:p>
  </w:footnote>
  <w:footnote w:id="19">
    <w:p w14:paraId="6FFE3BFE" w14:textId="00942291" w:rsidR="00E30747" w:rsidRPr="008D6FF2" w:rsidRDefault="00E30747" w:rsidP="00E30747">
      <w:pPr>
        <w:pStyle w:val="FootnoteText"/>
      </w:pPr>
      <w:r>
        <w:rPr>
          <w:rStyle w:val="FootnoteReference"/>
        </w:rPr>
        <w:footnoteRef/>
      </w:r>
      <w:r>
        <w:t xml:space="preserve"> See generally: N. </w:t>
      </w:r>
      <w:r w:rsidRPr="0003302A">
        <w:t>Thrift,</w:t>
      </w:r>
      <w:r>
        <w:t xml:space="preserve"> </w:t>
      </w:r>
      <w:proofErr w:type="spellStart"/>
      <w:r>
        <w:t>‘</w:t>
      </w:r>
      <w:r w:rsidRPr="0003302A">
        <w:t>Re</w:t>
      </w:r>
      <w:proofErr w:type="spellEnd"/>
      <w:r w:rsidRPr="0003302A">
        <w:t>-inventing invention: new tendencies in capitalist commodification</w:t>
      </w:r>
      <w:r>
        <w:t>’ (2006) 35.02</w:t>
      </w:r>
      <w:r w:rsidRPr="0003302A">
        <w:t> </w:t>
      </w:r>
      <w:r w:rsidRPr="0003302A">
        <w:rPr>
          <w:i/>
          <w:iCs/>
        </w:rPr>
        <w:t>Economy and society</w:t>
      </w:r>
      <w:r w:rsidRPr="0003302A">
        <w:t> </w:t>
      </w:r>
      <w:r>
        <w:t>279</w:t>
      </w:r>
      <w:r w:rsidR="003C3440">
        <w:t>.</w:t>
      </w:r>
    </w:p>
  </w:footnote>
  <w:footnote w:id="20">
    <w:p w14:paraId="0750700B" w14:textId="77777777" w:rsidR="00E30747" w:rsidRPr="008D6FF2" w:rsidRDefault="00E30747" w:rsidP="00E30747">
      <w:pPr>
        <w:pStyle w:val="FootnoteText"/>
      </w:pPr>
      <w:r>
        <w:rPr>
          <w:rStyle w:val="FootnoteReference"/>
        </w:rPr>
        <w:footnoteRef/>
      </w:r>
      <w:r>
        <w:t xml:space="preserve"> I. </w:t>
      </w:r>
      <w:r w:rsidRPr="00755B74">
        <w:t xml:space="preserve">Greer, </w:t>
      </w:r>
      <w:r>
        <w:t>‘</w:t>
      </w:r>
      <w:r w:rsidRPr="00755B74">
        <w:t>Welfare reform, precarity and the re-commodification of labour</w:t>
      </w:r>
      <w:r>
        <w:t>, (2016) 30.1</w:t>
      </w:r>
      <w:r w:rsidRPr="00755B74">
        <w:t> </w:t>
      </w:r>
      <w:r w:rsidRPr="00755B74">
        <w:rPr>
          <w:i/>
          <w:iCs/>
        </w:rPr>
        <w:t>Work, employment and society</w:t>
      </w:r>
      <w:r w:rsidRPr="00755B74">
        <w:t> </w:t>
      </w:r>
      <w:r>
        <w:t>162.</w:t>
      </w:r>
    </w:p>
  </w:footnote>
  <w:footnote w:id="21">
    <w:p w14:paraId="33E717B6" w14:textId="77777777" w:rsidR="00E30747" w:rsidRPr="004328FB" w:rsidRDefault="00E30747" w:rsidP="00E30747">
      <w:pPr>
        <w:pStyle w:val="FootnoteText"/>
        <w:rPr>
          <w:lang w:val="en-US"/>
        </w:rPr>
      </w:pPr>
      <w:r>
        <w:rPr>
          <w:rStyle w:val="FootnoteReference"/>
        </w:rPr>
        <w:footnoteRef/>
      </w:r>
      <w:r>
        <w:t xml:space="preserve"> </w:t>
      </w:r>
      <w:r w:rsidRPr="00755B74">
        <w:t>A. Nolan, ‘Privatization and economic and social rights’ (2018) 40.4 </w:t>
      </w:r>
      <w:r w:rsidRPr="00755B74">
        <w:rPr>
          <w:i/>
          <w:iCs/>
        </w:rPr>
        <w:t>Human Rights Quarterly</w:t>
      </w:r>
      <w:r w:rsidRPr="00755B74">
        <w:t> 815, 8</w:t>
      </w:r>
      <w:r>
        <w:t>18</w:t>
      </w:r>
      <w:r w:rsidRPr="00755B74">
        <w:t xml:space="preserve"> </w:t>
      </w:r>
      <w:r w:rsidRPr="00755B74">
        <w:rPr>
          <w:iCs/>
        </w:rPr>
        <w:t>[Nolan, Privatization].</w:t>
      </w:r>
    </w:p>
  </w:footnote>
  <w:footnote w:id="22">
    <w:p w14:paraId="4385600F" w14:textId="77777777" w:rsidR="00E30747" w:rsidRDefault="00E30747" w:rsidP="00E30747">
      <w:pPr>
        <w:pStyle w:val="FootnoteText"/>
      </w:pPr>
      <w:r>
        <w:rPr>
          <w:rStyle w:val="FootnoteReference"/>
        </w:rPr>
        <w:footnoteRef/>
      </w:r>
      <w:r>
        <w:t xml:space="preserve"> </w:t>
      </w:r>
      <w:r w:rsidRPr="009141AB">
        <w:t>G. Hodge, </w:t>
      </w:r>
      <w:r w:rsidRPr="009141AB">
        <w:rPr>
          <w:i/>
          <w:iCs/>
        </w:rPr>
        <w:t>Privatization: An international review of performance</w:t>
      </w:r>
      <w:r w:rsidRPr="009141AB">
        <w:t xml:space="preserve">. Routledge, 2018, </w:t>
      </w:r>
      <w:r>
        <w:t>6 [Hodge, Privatization].</w:t>
      </w:r>
    </w:p>
  </w:footnote>
  <w:footnote w:id="23">
    <w:p w14:paraId="6EC2E91A" w14:textId="77777777" w:rsidR="00E30747" w:rsidRPr="008D6FF2" w:rsidRDefault="00E30747" w:rsidP="00E30747">
      <w:pPr>
        <w:pStyle w:val="FootnoteText"/>
        <w:rPr>
          <w:lang w:val="en-US"/>
        </w:rPr>
      </w:pPr>
      <w:r>
        <w:rPr>
          <w:rStyle w:val="FootnoteReference"/>
        </w:rPr>
        <w:footnoteRef/>
      </w:r>
      <w:r>
        <w:t xml:space="preserve"> R. </w:t>
      </w:r>
      <w:r w:rsidRPr="00406513">
        <w:t xml:space="preserve">Rolnik, </w:t>
      </w:r>
      <w:r>
        <w:t>‘</w:t>
      </w:r>
      <w:r w:rsidRPr="00406513">
        <w:t>Late neoliberalism: the financialization of homeownership and housing rights</w:t>
      </w:r>
      <w:r>
        <w:t>, (2013) 37.3</w:t>
      </w:r>
      <w:r w:rsidRPr="00406513">
        <w:t> </w:t>
      </w:r>
      <w:r w:rsidRPr="00406513">
        <w:rPr>
          <w:i/>
          <w:iCs/>
        </w:rPr>
        <w:t>International journal of urban and regional research</w:t>
      </w:r>
      <w:r w:rsidRPr="00406513">
        <w:t> </w:t>
      </w:r>
      <w:r>
        <w:t>1058, 1059-60.</w:t>
      </w:r>
    </w:p>
  </w:footnote>
  <w:footnote w:id="24">
    <w:p w14:paraId="4675797D" w14:textId="1E076F86" w:rsidR="00E30747" w:rsidRDefault="00E30747" w:rsidP="00E30747">
      <w:pPr>
        <w:pStyle w:val="FootnoteText"/>
      </w:pPr>
      <w:r>
        <w:rPr>
          <w:rStyle w:val="FootnoteReference"/>
        </w:rPr>
        <w:footnoteRef/>
      </w:r>
      <w:r>
        <w:t xml:space="preserve"> [REDACTED </w:t>
      </w:r>
      <w:r w:rsidR="00D634B3">
        <w:t>T</w:t>
      </w:r>
      <w:r w:rsidR="00252A04">
        <w:t>LT</w:t>
      </w:r>
      <w:r>
        <w:t>].</w:t>
      </w:r>
    </w:p>
  </w:footnote>
  <w:footnote w:id="25">
    <w:p w14:paraId="23C291BE" w14:textId="77777777" w:rsidR="00E30747" w:rsidRPr="008D6FF2" w:rsidRDefault="00E30747" w:rsidP="00E30747">
      <w:pPr>
        <w:pStyle w:val="FootnoteText"/>
        <w:rPr>
          <w:lang w:val="en-US"/>
        </w:rPr>
      </w:pPr>
      <w:r>
        <w:rPr>
          <w:rStyle w:val="FootnoteReference"/>
        </w:rPr>
        <w:footnoteRef/>
      </w:r>
      <w:r>
        <w:t xml:space="preserve"> A. </w:t>
      </w:r>
      <w:r w:rsidRPr="008D6FF2">
        <w:t xml:space="preserve">Chadwick, </w:t>
      </w:r>
      <w:r>
        <w:t>‘</w:t>
      </w:r>
      <w:r w:rsidRPr="008D6FF2">
        <w:t>Regulating excessive speculation: commodity derivatives and the global food crisis</w:t>
      </w:r>
      <w:r>
        <w:t>’ (2017) 66.3</w:t>
      </w:r>
      <w:r w:rsidRPr="008D6FF2">
        <w:t> </w:t>
      </w:r>
      <w:r w:rsidRPr="008D6FF2">
        <w:rPr>
          <w:i/>
          <w:iCs/>
        </w:rPr>
        <w:t>International &amp; Comparative Law Quarterly</w:t>
      </w:r>
      <w:r>
        <w:t> 625.</w:t>
      </w:r>
    </w:p>
  </w:footnote>
  <w:footnote w:id="26">
    <w:p w14:paraId="7A5DFDFC" w14:textId="77777777" w:rsidR="00E30747" w:rsidRDefault="00E30747" w:rsidP="00E30747">
      <w:pPr>
        <w:pStyle w:val="FootnoteText"/>
      </w:pPr>
      <w:r>
        <w:rPr>
          <w:rStyle w:val="FootnoteReference"/>
        </w:rPr>
        <w:footnoteRef/>
      </w:r>
      <w:r>
        <w:t xml:space="preserve"> B. </w:t>
      </w:r>
      <w:proofErr w:type="spellStart"/>
      <w:r w:rsidRPr="00C937EC">
        <w:t>Jongbloed</w:t>
      </w:r>
      <w:proofErr w:type="spellEnd"/>
      <w:r w:rsidRPr="00C937EC">
        <w:t xml:space="preserve">, </w:t>
      </w:r>
      <w:r>
        <w:t>‘</w:t>
      </w:r>
      <w:r w:rsidRPr="00C937EC">
        <w:t>Marketisation in higher education, Clark's triangle and the essential ingredients of markets</w:t>
      </w:r>
      <w:r>
        <w:t>’ (2003) 57.2</w:t>
      </w:r>
      <w:r w:rsidRPr="00C937EC">
        <w:t> </w:t>
      </w:r>
      <w:r w:rsidRPr="00C937EC">
        <w:rPr>
          <w:i/>
          <w:iCs/>
        </w:rPr>
        <w:t xml:space="preserve">Higher </w:t>
      </w:r>
      <w:r>
        <w:rPr>
          <w:i/>
          <w:iCs/>
        </w:rPr>
        <w:t>E</w:t>
      </w:r>
      <w:r w:rsidRPr="00C937EC">
        <w:rPr>
          <w:i/>
          <w:iCs/>
        </w:rPr>
        <w:t xml:space="preserve">ducation </w:t>
      </w:r>
      <w:r>
        <w:rPr>
          <w:i/>
          <w:iCs/>
        </w:rPr>
        <w:t>Q</w:t>
      </w:r>
      <w:r w:rsidRPr="00C937EC">
        <w:rPr>
          <w:i/>
          <w:iCs/>
        </w:rPr>
        <w:t>uarterly</w:t>
      </w:r>
      <w:r w:rsidRPr="00C937EC">
        <w:t> </w:t>
      </w:r>
      <w:r>
        <w:t>110, 114-5.</w:t>
      </w:r>
    </w:p>
  </w:footnote>
  <w:footnote w:id="27">
    <w:p w14:paraId="02E5B632" w14:textId="77777777" w:rsidR="00E30747" w:rsidRPr="006C20D1" w:rsidRDefault="00E30747" w:rsidP="00E30747">
      <w:pPr>
        <w:pStyle w:val="FootnoteText"/>
      </w:pPr>
      <w:r>
        <w:rPr>
          <w:rStyle w:val="FootnoteReference"/>
        </w:rPr>
        <w:footnoteRef/>
      </w:r>
      <w:r>
        <w:t xml:space="preserve"> European Commission, </w:t>
      </w:r>
      <w:r w:rsidRPr="000C1DD4">
        <w:rPr>
          <w:i/>
          <w:iCs/>
        </w:rPr>
        <w:t>Study on precarious work and social rights</w:t>
      </w:r>
      <w:r>
        <w:t xml:space="preserve">, </w:t>
      </w:r>
      <w:r w:rsidRPr="006C20D1">
        <w:t>VT/2010/084</w:t>
      </w:r>
      <w:r>
        <w:t xml:space="preserve"> (April 2012), 5.</w:t>
      </w:r>
    </w:p>
  </w:footnote>
  <w:footnote w:id="28">
    <w:p w14:paraId="418B4334" w14:textId="5570EBF2" w:rsidR="00E30747" w:rsidRDefault="00E30747" w:rsidP="00E30747">
      <w:pPr>
        <w:pStyle w:val="FootnoteText"/>
      </w:pPr>
      <w:r>
        <w:rPr>
          <w:rStyle w:val="FootnoteReference"/>
        </w:rPr>
        <w:footnoteRef/>
      </w:r>
      <w:r>
        <w:t xml:space="preserve"> </w:t>
      </w:r>
      <w:r w:rsidRPr="00D61268">
        <w:t>P</w:t>
      </w:r>
      <w:r>
        <w:t>.</w:t>
      </w:r>
      <w:r w:rsidRPr="00D61268">
        <w:t xml:space="preserve"> </w:t>
      </w:r>
      <w:proofErr w:type="spellStart"/>
      <w:r w:rsidRPr="00D61268">
        <w:t>Bourquin</w:t>
      </w:r>
      <w:proofErr w:type="spellEnd"/>
      <w:r>
        <w:t xml:space="preserve"> et al., ‘</w:t>
      </w:r>
      <w:r w:rsidRPr="00D61268">
        <w:t>Why has in-work poverty risen in Britain?</w:t>
      </w:r>
      <w:r>
        <w:t xml:space="preserve">’ </w:t>
      </w:r>
      <w:r w:rsidRPr="00D61268">
        <w:rPr>
          <w:i/>
          <w:iCs/>
        </w:rPr>
        <w:t>Institute of Fiscal Studies Working Paper W19/12</w:t>
      </w:r>
      <w:r>
        <w:t xml:space="preserve">, 12, at: </w:t>
      </w:r>
      <w:hyperlink r:id="rId2" w:history="1">
        <w:r w:rsidRPr="003B177A">
          <w:rPr>
            <w:rStyle w:val="Hyperlink"/>
          </w:rPr>
          <w:t>https://www.ifs.org.uk/publications/14154</w:t>
        </w:r>
      </w:hyperlink>
      <w:r w:rsidRPr="00FF490B">
        <w:rPr>
          <w:rFonts w:cs="Times New Roman"/>
          <w:sz w:val="24"/>
          <w:szCs w:val="22"/>
        </w:rPr>
        <w:t xml:space="preserve"> </w:t>
      </w:r>
      <w:r w:rsidR="00277EA0" w:rsidRPr="00277EA0">
        <w:t>(last accessed 26 September 2020).</w:t>
      </w:r>
      <w:r w:rsidR="00DF712D" w:rsidRPr="00DF712D">
        <w:rPr>
          <w:rFonts w:eastAsia="SimSun" w:cs="Times New Roman"/>
          <w:sz w:val="24"/>
          <w:szCs w:val="22"/>
          <w:lang w:eastAsia="zh-CN"/>
        </w:rPr>
        <w:t xml:space="preserve"> </w:t>
      </w:r>
    </w:p>
  </w:footnote>
  <w:footnote w:id="29">
    <w:p w14:paraId="169DEDB9" w14:textId="11EC21F5" w:rsidR="00E30747" w:rsidRPr="00FF490B" w:rsidRDefault="00E30747" w:rsidP="00E30747">
      <w:pPr>
        <w:pStyle w:val="FootnoteText"/>
        <w:rPr>
          <w:color w:val="0000FF"/>
          <w:u w:val="single"/>
        </w:rPr>
      </w:pPr>
      <w:r>
        <w:rPr>
          <w:rStyle w:val="FootnoteReference"/>
        </w:rPr>
        <w:footnoteRef/>
      </w:r>
      <w:r>
        <w:t xml:space="preserve"> Focus Ireland, ‘Latest figures on Homelessness in Ireland’, at: </w:t>
      </w:r>
      <w:hyperlink r:id="rId3" w:history="1">
        <w:r>
          <w:rPr>
            <w:rStyle w:val="Hyperlink"/>
          </w:rPr>
          <w:t>https://www.focusireland.ie/resource-hub/latest-figures-homelessness-ireland/</w:t>
        </w:r>
      </w:hyperlink>
      <w:r>
        <w:rPr>
          <w:rStyle w:val="Hyperlink"/>
        </w:rPr>
        <w:t xml:space="preserve"> </w:t>
      </w:r>
      <w:r w:rsidR="00DF712D">
        <w:t>(last accessed 26 September 2020).</w:t>
      </w:r>
    </w:p>
  </w:footnote>
  <w:footnote w:id="30">
    <w:p w14:paraId="43B595CB" w14:textId="77777777" w:rsidR="00E30747" w:rsidRDefault="00E30747" w:rsidP="00E30747">
      <w:pPr>
        <w:pStyle w:val="FootnoteText"/>
      </w:pPr>
      <w:r>
        <w:rPr>
          <w:rStyle w:val="FootnoteReference"/>
        </w:rPr>
        <w:footnoteRef/>
      </w:r>
      <w:r>
        <w:t xml:space="preserve"> S. Fitzpatrick and H. Pawson, ‘Fifty years since Cathy Come Home: critical reflections on the UK homelessness safety net’ (2016) 16.4 </w:t>
      </w:r>
      <w:r w:rsidRPr="003C58E8">
        <w:rPr>
          <w:i/>
          <w:iCs/>
        </w:rPr>
        <w:t>International Journal of Housing Policy</w:t>
      </w:r>
      <w:r>
        <w:rPr>
          <w:i/>
          <w:iCs/>
        </w:rPr>
        <w:t>,</w:t>
      </w:r>
      <w:r w:rsidRPr="003C58E8">
        <w:rPr>
          <w:i/>
          <w:iCs/>
        </w:rPr>
        <w:t xml:space="preserve"> </w:t>
      </w:r>
      <w:r>
        <w:t>543, 549.</w:t>
      </w:r>
    </w:p>
  </w:footnote>
  <w:footnote w:id="31">
    <w:p w14:paraId="28406071" w14:textId="480A3C70" w:rsidR="00E30747" w:rsidRPr="00CB4A1F" w:rsidRDefault="00E30747" w:rsidP="00E30747">
      <w:pPr>
        <w:pStyle w:val="FootnoteText"/>
        <w:rPr>
          <w:b/>
          <w:bCs/>
        </w:rPr>
      </w:pPr>
      <w:r>
        <w:rPr>
          <w:rStyle w:val="FootnoteReference"/>
        </w:rPr>
        <w:footnoteRef/>
      </w:r>
      <w:r>
        <w:t xml:space="preserve"> </w:t>
      </w:r>
      <w:proofErr w:type="spellStart"/>
      <w:r>
        <w:t>EuroStat</w:t>
      </w:r>
      <w:proofErr w:type="spellEnd"/>
      <w:r>
        <w:t xml:space="preserve">, </w:t>
      </w:r>
      <w:r w:rsidRPr="00DB6C33">
        <w:t>The State of Housing in the EU 2019: Decoding the new housing reality</w:t>
      </w:r>
      <w:r>
        <w:t>, (2019), 2 (linked chapter 1), at:</w:t>
      </w:r>
      <w:r>
        <w:rPr>
          <w:b/>
          <w:bCs/>
        </w:rPr>
        <w:t xml:space="preserve"> </w:t>
      </w:r>
      <w:hyperlink r:id="rId4" w:history="1">
        <w:r>
          <w:rPr>
            <w:rStyle w:val="Hyperlink"/>
          </w:rPr>
          <w:t>http://www.housingeurope.eu/resource-1323/the-state-of-housing-in-the-eu-2019</w:t>
        </w:r>
      </w:hyperlink>
      <w:r>
        <w:t xml:space="preserve"> </w:t>
      </w:r>
      <w:r w:rsidR="00DF712D">
        <w:t>(last accessed 26 September 2020).</w:t>
      </w:r>
      <w:r>
        <w:t xml:space="preserve"> This adopts the OECD’s 40 per cent income-housing costs ratio. Many jurisdictions set affordable housing at 30 per cent of income costs, including both the US and Canada. See Canada Mortgage and Housing Corporation</w:t>
      </w:r>
      <w:r w:rsidRPr="003F60D3">
        <w:rPr>
          <w:i/>
        </w:rPr>
        <w:t xml:space="preserve">, </w:t>
      </w:r>
      <w:r w:rsidRPr="003F60D3">
        <w:rPr>
          <w:i/>
          <w:lang w:val="en-US"/>
        </w:rPr>
        <w:t>About Affordable Housing in Canada</w:t>
      </w:r>
      <w:r>
        <w:rPr>
          <w:lang w:val="en-US"/>
        </w:rPr>
        <w:t xml:space="preserve">, </w:t>
      </w:r>
      <w:r w:rsidRPr="003F60D3">
        <w:rPr>
          <w:iCs/>
          <w:lang w:val="en-US"/>
        </w:rPr>
        <w:t>March 31, 2018</w:t>
      </w:r>
      <w:r>
        <w:rPr>
          <w:iCs/>
          <w:lang w:val="en-US"/>
        </w:rPr>
        <w:t xml:space="preserve">, at: </w:t>
      </w:r>
      <w:hyperlink r:id="rId5" w:history="1">
        <w:r w:rsidRPr="003F60D3">
          <w:rPr>
            <w:rStyle w:val="Hyperlink"/>
            <w:iCs/>
            <w:lang w:val="en-US"/>
          </w:rPr>
          <w:t>https://www.cmhc-schl.gc.ca/en/developing-and-renovating/develop-new-affordable-housing/programs-and-information/about-affordable-housing-in-canada</w:t>
        </w:r>
      </w:hyperlink>
      <w:r>
        <w:rPr>
          <w:iCs/>
          <w:lang w:val="en-US"/>
        </w:rPr>
        <w:t xml:space="preserve"> </w:t>
      </w:r>
      <w:r w:rsidR="00076068" w:rsidRPr="00076068">
        <w:rPr>
          <w:iCs/>
        </w:rPr>
        <w:t>(last accessed 26 September 2020)</w:t>
      </w:r>
      <w:r>
        <w:rPr>
          <w:iCs/>
        </w:rPr>
        <w:t xml:space="preserve">; </w:t>
      </w:r>
      <w:r w:rsidRPr="003F60D3">
        <w:rPr>
          <w:iCs/>
          <w:lang w:val="en-US"/>
        </w:rPr>
        <w:t xml:space="preserve">The Department of Housing and Urban Development, </w:t>
      </w:r>
      <w:r w:rsidRPr="003F60D3">
        <w:rPr>
          <w:i/>
          <w:iCs/>
          <w:lang w:val="en-US"/>
        </w:rPr>
        <w:t>Defining Affordable Housing,</w:t>
      </w:r>
      <w:r w:rsidRPr="003F60D3">
        <w:rPr>
          <w:iCs/>
          <w:lang w:val="en-US"/>
        </w:rPr>
        <w:t xml:space="preserve"> HUD USER</w:t>
      </w:r>
      <w:r w:rsidRPr="003F60D3">
        <w:rPr>
          <w:i/>
          <w:iCs/>
          <w:lang w:val="en-US"/>
        </w:rPr>
        <w:t xml:space="preserve"> </w:t>
      </w:r>
      <w:r w:rsidRPr="003F60D3">
        <w:rPr>
          <w:iCs/>
          <w:lang w:val="en-US"/>
        </w:rPr>
        <w:t xml:space="preserve">(undated) at: </w:t>
      </w:r>
      <w:hyperlink r:id="rId6" w:history="1">
        <w:r w:rsidRPr="003F60D3">
          <w:rPr>
            <w:rStyle w:val="Hyperlink"/>
            <w:iCs/>
            <w:lang w:val="en-US"/>
          </w:rPr>
          <w:t>https://www.huduser.gov/portal/pdredge/pdr-edge-featd-article-081417.html</w:t>
        </w:r>
      </w:hyperlink>
      <w:r w:rsidRPr="003F60D3">
        <w:rPr>
          <w:iCs/>
          <w:u w:val="single"/>
          <w:lang w:val="en-US"/>
        </w:rPr>
        <w:t xml:space="preserve"> </w:t>
      </w:r>
      <w:r w:rsidR="00DF712D">
        <w:t>(last accessed 26 September 2020).</w:t>
      </w:r>
    </w:p>
  </w:footnote>
  <w:footnote w:id="32">
    <w:p w14:paraId="48C0A4C5" w14:textId="2F9EA11B" w:rsidR="00E30747" w:rsidRDefault="00E30747" w:rsidP="00E30747">
      <w:pPr>
        <w:pStyle w:val="FootnoteText"/>
      </w:pPr>
      <w:r>
        <w:rPr>
          <w:rStyle w:val="FootnoteReference"/>
        </w:rPr>
        <w:footnoteRef/>
      </w:r>
      <w:r>
        <w:t xml:space="preserve"> UNSR, Financialization, n </w:t>
      </w:r>
      <w:r>
        <w:fldChar w:fldCharType="begin"/>
      </w:r>
      <w:r>
        <w:instrText xml:space="preserve"> NOTEREF _Ref27129641 \h </w:instrText>
      </w:r>
      <w:r>
        <w:fldChar w:fldCharType="separate"/>
      </w:r>
      <w:r w:rsidR="001A0A81">
        <w:t>4</w:t>
      </w:r>
      <w:r>
        <w:fldChar w:fldCharType="end"/>
      </w:r>
      <w:r>
        <w:t xml:space="preserve"> para. 27.</w:t>
      </w:r>
    </w:p>
  </w:footnote>
  <w:footnote w:id="33">
    <w:p w14:paraId="76C4BBE6" w14:textId="0F68C63C" w:rsidR="00E30747" w:rsidRPr="009B2447" w:rsidRDefault="00E30747" w:rsidP="00E30747">
      <w:pPr>
        <w:pStyle w:val="FootnoteText"/>
        <w:rPr>
          <w:lang w:val="en-US"/>
        </w:rPr>
      </w:pPr>
      <w:r>
        <w:rPr>
          <w:rStyle w:val="FootnoteReference"/>
        </w:rPr>
        <w:footnoteRef/>
      </w:r>
      <w:r>
        <w:t xml:space="preserve"> </w:t>
      </w:r>
      <w:r w:rsidRPr="00BA3D60">
        <w:t xml:space="preserve">Wettstein, </w:t>
      </w:r>
      <w:r>
        <w:t xml:space="preserve">Global Justice, n </w:t>
      </w:r>
      <w:r>
        <w:fldChar w:fldCharType="begin"/>
      </w:r>
      <w:r>
        <w:instrText xml:space="preserve"> NOTEREF _Ref27468255 \h </w:instrText>
      </w:r>
      <w:r>
        <w:fldChar w:fldCharType="separate"/>
      </w:r>
      <w:r w:rsidR="001A0A81">
        <w:t>19</w:t>
      </w:r>
      <w:r>
        <w:fldChar w:fldCharType="end"/>
      </w:r>
      <w:r>
        <w:t>, 236-9.</w:t>
      </w:r>
    </w:p>
  </w:footnote>
  <w:footnote w:id="34">
    <w:p w14:paraId="74696CE6" w14:textId="77777777" w:rsidR="00E30747" w:rsidRDefault="00E30747" w:rsidP="00E30747">
      <w:pPr>
        <w:pStyle w:val="FootnoteText"/>
      </w:pPr>
      <w:r>
        <w:rPr>
          <w:rStyle w:val="FootnoteReference"/>
        </w:rPr>
        <w:footnoteRef/>
      </w:r>
      <w:r>
        <w:t xml:space="preserve"> A. Chadwick, ‘</w:t>
      </w:r>
      <w:r w:rsidRPr="00313780">
        <w:t>Gambling on Hunger? The Right to Adequate Food and</w:t>
      </w:r>
      <w:r>
        <w:t xml:space="preserve"> Commodity Derivatives Trading,’</w:t>
      </w:r>
      <w:r w:rsidRPr="00313780">
        <w:t> </w:t>
      </w:r>
      <w:r w:rsidRPr="00313780">
        <w:rPr>
          <w:i/>
          <w:iCs/>
        </w:rPr>
        <w:t>Human Rights Law Review</w:t>
      </w:r>
      <w:r w:rsidRPr="00313780">
        <w:t> 18.2 (2018)</w:t>
      </w:r>
      <w:r>
        <w:t>,</w:t>
      </w:r>
      <w:r w:rsidRPr="00313780">
        <w:t xml:space="preserve"> 233</w:t>
      </w:r>
      <w:r>
        <w:t>, 238.</w:t>
      </w:r>
    </w:p>
  </w:footnote>
  <w:footnote w:id="35">
    <w:p w14:paraId="0B83A79F" w14:textId="77777777" w:rsidR="00E30747" w:rsidRPr="00BF44F5" w:rsidRDefault="00E30747" w:rsidP="00E30747">
      <w:pPr>
        <w:pStyle w:val="FootnoteText"/>
        <w:rPr>
          <w:lang w:val="en-US"/>
        </w:rPr>
      </w:pPr>
      <w:r>
        <w:rPr>
          <w:rStyle w:val="FootnoteReference"/>
        </w:rPr>
        <w:footnoteRef/>
      </w:r>
      <w:r>
        <w:t xml:space="preserve"> J. Raz,</w:t>
      </w:r>
      <w:r w:rsidRPr="00163F1B">
        <w:t> </w:t>
      </w:r>
      <w:r w:rsidRPr="00163F1B">
        <w:rPr>
          <w:i/>
          <w:iCs/>
        </w:rPr>
        <w:t>The morality of freedom</w:t>
      </w:r>
      <w:r>
        <w:t xml:space="preserve"> (Oxford: Clarendon Press, 1986), 171.</w:t>
      </w:r>
    </w:p>
  </w:footnote>
  <w:footnote w:id="36">
    <w:p w14:paraId="0AFB7349" w14:textId="56851F8D" w:rsidR="00187B33" w:rsidRDefault="00187B33" w:rsidP="00187B33">
      <w:pPr>
        <w:pStyle w:val="FootnoteText"/>
        <w:rPr>
          <w:rFonts w:cs="Times New Roman"/>
          <w:lang w:eastAsia="zh-CN"/>
        </w:rPr>
      </w:pPr>
      <w:r>
        <w:rPr>
          <w:rStyle w:val="FootnoteReference"/>
        </w:rPr>
        <w:footnoteRef/>
      </w:r>
      <w:r>
        <w:t xml:space="preserve"> </w:t>
      </w:r>
      <w:r w:rsidRPr="00CE25B3">
        <w:rPr>
          <w:iCs/>
        </w:rPr>
        <w:t>General Comment 24, Business</w:t>
      </w:r>
      <w:r>
        <w:t xml:space="preserve">, n </w:t>
      </w:r>
      <w:r>
        <w:fldChar w:fldCharType="begin"/>
      </w:r>
      <w:r>
        <w:instrText xml:space="preserve"> NOTEREF _Ref27051343 \h </w:instrText>
      </w:r>
      <w:r>
        <w:fldChar w:fldCharType="separate"/>
      </w:r>
      <w:r w:rsidR="001A0A81">
        <w:t>5</w:t>
      </w:r>
      <w:r>
        <w:fldChar w:fldCharType="end"/>
      </w:r>
      <w:r>
        <w:t>.</w:t>
      </w:r>
    </w:p>
  </w:footnote>
  <w:footnote w:id="37">
    <w:p w14:paraId="6B825F87" w14:textId="77777777" w:rsidR="00187B33" w:rsidRPr="00B0378F" w:rsidRDefault="00187B33" w:rsidP="00187B33">
      <w:pPr>
        <w:pStyle w:val="FootnoteText"/>
        <w:rPr>
          <w:lang w:val="en-US"/>
        </w:rPr>
      </w:pPr>
      <w:r>
        <w:rPr>
          <w:rStyle w:val="FootnoteReference"/>
        </w:rPr>
        <w:footnoteRef/>
      </w:r>
      <w:r>
        <w:t xml:space="preserve"> </w:t>
      </w:r>
      <w:proofErr w:type="gramStart"/>
      <w:r>
        <w:t>E.g.</w:t>
      </w:r>
      <w:proofErr w:type="gramEnd"/>
      <w:r>
        <w:t xml:space="preserve"> at id. para. 21-22.</w:t>
      </w:r>
    </w:p>
  </w:footnote>
  <w:footnote w:id="38">
    <w:p w14:paraId="0397BE19" w14:textId="2B10B71E" w:rsidR="00187B33" w:rsidRDefault="00187B33" w:rsidP="00187B33">
      <w:pPr>
        <w:pStyle w:val="FootnoteText"/>
      </w:pPr>
      <w:r>
        <w:rPr>
          <w:rStyle w:val="FootnoteReference"/>
        </w:rPr>
        <w:footnoteRef/>
      </w:r>
      <w:r>
        <w:t xml:space="preserve"> </w:t>
      </w:r>
      <w:r w:rsidR="00B47E76">
        <w:t>id. para. 26.</w:t>
      </w:r>
    </w:p>
  </w:footnote>
  <w:footnote w:id="39">
    <w:p w14:paraId="6F6488E4" w14:textId="7ADDC418" w:rsidR="00187B33" w:rsidRDefault="00187B33" w:rsidP="00187B33">
      <w:pPr>
        <w:pStyle w:val="FootnoteText"/>
      </w:pPr>
      <w:r>
        <w:rPr>
          <w:rStyle w:val="FootnoteReference"/>
        </w:rPr>
        <w:footnoteRef/>
      </w:r>
      <w:r>
        <w:t xml:space="preserve"> </w:t>
      </w:r>
      <w:r w:rsidR="00B47E76">
        <w:t xml:space="preserve">id. </w:t>
      </w:r>
      <w:r>
        <w:t>para. 33</w:t>
      </w:r>
      <w:r w:rsidR="00B47E76">
        <w:t>.</w:t>
      </w:r>
    </w:p>
  </w:footnote>
  <w:footnote w:id="40">
    <w:p w14:paraId="7EE47B6D" w14:textId="77777777" w:rsidR="00187B33" w:rsidRPr="00B97758" w:rsidRDefault="00187B33" w:rsidP="00187B33">
      <w:pPr>
        <w:pStyle w:val="FootnoteText"/>
        <w:rPr>
          <w:rFonts w:cs="Times New Roman"/>
        </w:rPr>
      </w:pPr>
      <w:r w:rsidRPr="00B97758">
        <w:rPr>
          <w:rStyle w:val="FootnoteReference"/>
          <w:rFonts w:cs="Times New Roman"/>
        </w:rPr>
        <w:footnoteRef/>
      </w:r>
      <w:r w:rsidRPr="00B97758">
        <w:rPr>
          <w:rFonts w:cs="Times New Roman"/>
        </w:rPr>
        <w:t xml:space="preserve"> </w:t>
      </w:r>
      <w:r>
        <w:t xml:space="preserve">id. para </w:t>
      </w:r>
      <w:r w:rsidRPr="00B97758">
        <w:rPr>
          <w:rFonts w:cs="Times New Roman"/>
        </w:rPr>
        <w:t>23</w:t>
      </w:r>
      <w:r>
        <w:rPr>
          <w:rFonts w:cs="Times New Roman"/>
        </w:rPr>
        <w:t>.</w:t>
      </w:r>
    </w:p>
  </w:footnote>
  <w:footnote w:id="41">
    <w:p w14:paraId="1E5FF451" w14:textId="77777777" w:rsidR="00187B33" w:rsidRPr="00D51914" w:rsidRDefault="00187B33" w:rsidP="00187B33">
      <w:pPr>
        <w:pStyle w:val="FootnoteText"/>
        <w:rPr>
          <w:lang w:val="en-US"/>
        </w:rPr>
      </w:pPr>
      <w:r>
        <w:rPr>
          <w:rStyle w:val="FootnoteReference"/>
        </w:rPr>
        <w:footnoteRef/>
      </w:r>
      <w:r>
        <w:t xml:space="preserve"> id. para 37.</w:t>
      </w:r>
    </w:p>
  </w:footnote>
  <w:footnote w:id="42">
    <w:p w14:paraId="622C9AAB" w14:textId="59FD72E1" w:rsidR="00187B33" w:rsidRPr="001029DD" w:rsidRDefault="00187B33" w:rsidP="00187B33">
      <w:pPr>
        <w:pStyle w:val="FootnoteText"/>
      </w:pPr>
      <w:r>
        <w:rPr>
          <w:rStyle w:val="FootnoteReference"/>
        </w:rPr>
        <w:footnoteRef/>
      </w:r>
      <w:r>
        <w:t xml:space="preserve"> See below for examples and see also </w:t>
      </w:r>
      <w:r>
        <w:rPr>
          <w:iCs/>
        </w:rPr>
        <w:t xml:space="preserve">Nolan, Privatization, n </w:t>
      </w:r>
      <w:r>
        <w:rPr>
          <w:iCs/>
        </w:rPr>
        <w:fldChar w:fldCharType="begin"/>
      </w:r>
      <w:r>
        <w:rPr>
          <w:iCs/>
        </w:rPr>
        <w:instrText xml:space="preserve"> NOTEREF _Ref27128569 \h </w:instrText>
      </w:r>
      <w:r>
        <w:rPr>
          <w:iCs/>
        </w:rPr>
      </w:r>
      <w:r>
        <w:rPr>
          <w:iCs/>
        </w:rPr>
        <w:fldChar w:fldCharType="separate"/>
      </w:r>
      <w:r w:rsidR="001A0A81">
        <w:rPr>
          <w:iCs/>
        </w:rPr>
        <w:t>26</w:t>
      </w:r>
      <w:r>
        <w:rPr>
          <w:iCs/>
        </w:rPr>
        <w:fldChar w:fldCharType="end"/>
      </w:r>
      <w:r>
        <w:rPr>
          <w:iCs/>
        </w:rPr>
        <w:t xml:space="preserve">, </w:t>
      </w:r>
      <w:r w:rsidRPr="00E6122C">
        <w:rPr>
          <w:iCs/>
        </w:rPr>
        <w:t>852-853.</w:t>
      </w:r>
    </w:p>
  </w:footnote>
  <w:footnote w:id="43">
    <w:p w14:paraId="64368AC1" w14:textId="38C4A28A" w:rsidR="00187B33" w:rsidRPr="007D705A" w:rsidRDefault="00187B33" w:rsidP="00187B33">
      <w:pPr>
        <w:pStyle w:val="FootnoteText"/>
        <w:rPr>
          <w:lang w:val="en-US"/>
        </w:rPr>
      </w:pPr>
      <w:r>
        <w:rPr>
          <w:rStyle w:val="FootnoteReference"/>
        </w:rPr>
        <w:footnoteRef/>
      </w:r>
      <w:r>
        <w:t xml:space="preserve"> </w:t>
      </w:r>
      <w:r w:rsidRPr="00BB4703">
        <w:rPr>
          <w:iCs/>
        </w:rPr>
        <w:t>General Comment 24, Business</w:t>
      </w:r>
      <w:r w:rsidRPr="00BB4703">
        <w:t xml:space="preserve">, n </w:t>
      </w:r>
      <w:r w:rsidRPr="00BB4703">
        <w:fldChar w:fldCharType="begin"/>
      </w:r>
      <w:r w:rsidRPr="00BB4703">
        <w:instrText xml:space="preserve"> NOTEREF _Ref27051343 \h </w:instrText>
      </w:r>
      <w:r w:rsidRPr="00BB4703">
        <w:fldChar w:fldCharType="separate"/>
      </w:r>
      <w:r w:rsidR="001A0A81">
        <w:t>5</w:t>
      </w:r>
      <w:r w:rsidRPr="00BB4703">
        <w:fldChar w:fldCharType="end"/>
      </w:r>
      <w:r>
        <w:t>, para 21.</w:t>
      </w:r>
    </w:p>
  </w:footnote>
  <w:footnote w:id="44">
    <w:p w14:paraId="1B75F8E3" w14:textId="77777777" w:rsidR="00187B33" w:rsidRPr="007D705A" w:rsidRDefault="00187B33" w:rsidP="00187B33">
      <w:pPr>
        <w:pStyle w:val="FootnoteText"/>
        <w:rPr>
          <w:lang w:val="en-US"/>
        </w:rPr>
      </w:pPr>
      <w:r>
        <w:rPr>
          <w:rStyle w:val="FootnoteReference"/>
        </w:rPr>
        <w:footnoteRef/>
      </w:r>
      <w:r>
        <w:t xml:space="preserve"> id. para 24.</w:t>
      </w:r>
    </w:p>
  </w:footnote>
  <w:footnote w:id="45">
    <w:p w14:paraId="17D9F016" w14:textId="77777777" w:rsidR="00187B33" w:rsidRDefault="00187B33" w:rsidP="00187B33">
      <w:pPr>
        <w:pStyle w:val="FootnoteText"/>
      </w:pPr>
      <w:r>
        <w:rPr>
          <w:rStyle w:val="FootnoteReference"/>
        </w:rPr>
        <w:footnoteRef/>
      </w:r>
      <w:r>
        <w:t xml:space="preserve"> para. 19.</w:t>
      </w:r>
    </w:p>
  </w:footnote>
  <w:footnote w:id="46">
    <w:p w14:paraId="1EDC4ABF" w14:textId="35DCC77E" w:rsidR="00187B33" w:rsidRPr="006E0CAD" w:rsidRDefault="00187B33" w:rsidP="00187B33">
      <w:pPr>
        <w:pStyle w:val="FootnoteText"/>
      </w:pPr>
      <w:r>
        <w:rPr>
          <w:rStyle w:val="FootnoteReference"/>
        </w:rPr>
        <w:footnoteRef/>
      </w:r>
      <w:r>
        <w:t xml:space="preserve"> </w:t>
      </w:r>
      <w:proofErr w:type="gramStart"/>
      <w:r w:rsidRPr="006E0CAD">
        <w:t>e.g.</w:t>
      </w:r>
      <w:proofErr w:type="gramEnd"/>
      <w:r w:rsidRPr="006E0CAD">
        <w:t xml:space="preserve"> CESCR, </w:t>
      </w:r>
      <w:r w:rsidRPr="006E0CAD">
        <w:rPr>
          <w:iCs/>
        </w:rPr>
        <w:t>General comment No. 23 on the right to just and favourable conditions of work (Art. 7 of the Covenant</w:t>
      </w:r>
      <w:r w:rsidRPr="006E0CAD">
        <w:rPr>
          <w:i/>
          <w:iCs/>
        </w:rPr>
        <w:t>)</w:t>
      </w:r>
      <w:r w:rsidRPr="006E0CAD">
        <w:t>, 7 April 2016, E/C.12/GC/23, para</w:t>
      </w:r>
      <w:r w:rsidR="006E0CAD" w:rsidRPr="006E0CAD">
        <w:t>s</w:t>
      </w:r>
      <w:r w:rsidRPr="006E0CAD">
        <w:t>. 59</w:t>
      </w:r>
      <w:r w:rsidR="006E0CAD" w:rsidRPr="006E0CAD">
        <w:t xml:space="preserve"> and 61</w:t>
      </w:r>
      <w:r w:rsidRPr="006E0CAD">
        <w:t xml:space="preserve"> available at: </w:t>
      </w:r>
      <w:hyperlink r:id="rId7" w:history="1">
        <w:r w:rsidRPr="006E0CAD">
          <w:rPr>
            <w:rStyle w:val="Hyperlink"/>
          </w:rPr>
          <w:t>https://www.refworld.org/docid/5550a0b14.html</w:t>
        </w:r>
      </w:hyperlink>
      <w:r w:rsidRPr="006E0CAD">
        <w:t xml:space="preserve"> </w:t>
      </w:r>
      <w:r w:rsidR="00DF712D">
        <w:t>(last accessed 26 September 2020).</w:t>
      </w:r>
      <w:r w:rsidRPr="006E0CAD">
        <w:t xml:space="preserve"> See for similar blurred distinction CESCR), </w:t>
      </w:r>
      <w:r w:rsidRPr="006E0CAD">
        <w:rPr>
          <w:iCs/>
        </w:rPr>
        <w:t>General Comment No. 18: The Right to Work (Art. 6 of the Covenant)</w:t>
      </w:r>
      <w:r w:rsidRPr="006E0CAD">
        <w:t xml:space="preserve">, 6 February 2006, E/C.12/GC/18, para. 25 (protect) and para. 36 (fulfil) available at: </w:t>
      </w:r>
      <w:hyperlink r:id="rId8" w:history="1">
        <w:r w:rsidRPr="006E0CAD">
          <w:rPr>
            <w:rStyle w:val="Hyperlink"/>
          </w:rPr>
          <w:t>https://www.refworld.org/docid/4415453b4.html</w:t>
        </w:r>
      </w:hyperlink>
      <w:r w:rsidRPr="006E0CAD">
        <w:t xml:space="preserve"> </w:t>
      </w:r>
      <w:r w:rsidR="00DF712D">
        <w:t>(last accessed 26 September 2020).</w:t>
      </w:r>
    </w:p>
  </w:footnote>
  <w:footnote w:id="47">
    <w:p w14:paraId="64E202EA" w14:textId="042397AD" w:rsidR="00992C88" w:rsidRDefault="00992C88">
      <w:pPr>
        <w:pStyle w:val="FootnoteText"/>
      </w:pPr>
      <w:r>
        <w:rPr>
          <w:rStyle w:val="FootnoteReference"/>
        </w:rPr>
        <w:footnoteRef/>
      </w:r>
      <w:r>
        <w:t xml:space="preserve"> </w:t>
      </w:r>
      <w:r>
        <w:rPr>
          <w:rFonts w:eastAsia="Calibri" w:cs="Times New Roman"/>
        </w:rPr>
        <w:t>The author has previously provided an in-depth account of Concluding Observations relevant to this context [REDACTED].</w:t>
      </w:r>
    </w:p>
  </w:footnote>
  <w:footnote w:id="48">
    <w:p w14:paraId="2E67FA4C" w14:textId="77777777" w:rsidR="00187B33" w:rsidRDefault="00187B33" w:rsidP="00187B33">
      <w:pPr>
        <w:pStyle w:val="FootnoteText"/>
      </w:pPr>
      <w:r>
        <w:rPr>
          <w:rStyle w:val="FootnoteReference"/>
        </w:rPr>
        <w:footnoteRef/>
      </w:r>
      <w:r>
        <w:t xml:space="preserve"> para. 39</w:t>
      </w:r>
    </w:p>
  </w:footnote>
  <w:footnote w:id="49">
    <w:p w14:paraId="65F9F2C0" w14:textId="77777777" w:rsidR="00187B33" w:rsidRDefault="00187B33" w:rsidP="00187B33">
      <w:pPr>
        <w:pStyle w:val="FootnoteText"/>
      </w:pPr>
      <w:r>
        <w:rPr>
          <w:rStyle w:val="FootnoteReference"/>
        </w:rPr>
        <w:footnoteRef/>
      </w:r>
      <w:r>
        <w:t xml:space="preserve"> para. 34.</w:t>
      </w:r>
    </w:p>
  </w:footnote>
  <w:footnote w:id="50">
    <w:p w14:paraId="40E291FB" w14:textId="44B58E5E" w:rsidR="00187B33" w:rsidRDefault="00187B33" w:rsidP="00187B33">
      <w:pPr>
        <w:pStyle w:val="FootnoteText"/>
      </w:pPr>
      <w:r>
        <w:rPr>
          <w:rStyle w:val="FootnoteReference"/>
        </w:rPr>
        <w:footnoteRef/>
      </w:r>
      <w:r>
        <w:t xml:space="preserve"> para. 35 b and c.</w:t>
      </w:r>
      <w:r w:rsidR="00B47E76" w:rsidRPr="00B47E76">
        <w:rPr>
          <w:rFonts w:eastAsia="Calibri" w:cs="Times New Roman"/>
        </w:rPr>
        <w:t xml:space="preserve"> </w:t>
      </w:r>
    </w:p>
  </w:footnote>
  <w:footnote w:id="51">
    <w:p w14:paraId="024B88F3" w14:textId="77777777" w:rsidR="00B209B2" w:rsidRPr="00B97758" w:rsidRDefault="00B209B2" w:rsidP="00B209B2">
      <w:pPr>
        <w:pStyle w:val="FootnoteText"/>
      </w:pPr>
      <w:r>
        <w:rPr>
          <w:rStyle w:val="FootnoteReference"/>
        </w:rPr>
        <w:footnoteRef/>
      </w:r>
      <w:r>
        <w:t xml:space="preserve"> H. </w:t>
      </w:r>
      <w:r w:rsidRPr="0090439A">
        <w:t xml:space="preserve">Shue, </w:t>
      </w:r>
      <w:r w:rsidRPr="0090439A">
        <w:rPr>
          <w:i/>
          <w:iCs/>
        </w:rPr>
        <w:t>Basic rights: Subsistence, affluence, and US foreign policy</w:t>
      </w:r>
      <w:r w:rsidRPr="0090439A">
        <w:t xml:space="preserve">. </w:t>
      </w:r>
      <w:r>
        <w:t>(</w:t>
      </w:r>
      <w:r w:rsidRPr="0090439A">
        <w:t>P</w:t>
      </w:r>
      <w:r>
        <w:t>rinceton University Press, 1996, 2</w:t>
      </w:r>
      <w:r w:rsidRPr="00177DCE">
        <w:rPr>
          <w:vertAlign w:val="superscript"/>
        </w:rPr>
        <w:t>nd</w:t>
      </w:r>
      <w:r>
        <w:t xml:space="preserve"> ed.), 52 [Shue, Basic Rights]; This was applied directly to business, with the argument being that businesses have direct responsibilities only to ‘avoid depriving’, in T. </w:t>
      </w:r>
      <w:r w:rsidRPr="0090439A">
        <w:t xml:space="preserve">Donaldson, </w:t>
      </w:r>
      <w:r w:rsidRPr="003B0935">
        <w:rPr>
          <w:i/>
          <w:iCs/>
        </w:rPr>
        <w:t>The ethics of international business,</w:t>
      </w:r>
      <w:r w:rsidRPr="0090439A">
        <w:t xml:space="preserve"> (</w:t>
      </w:r>
      <w:r>
        <w:t xml:space="preserve">Oxford: Oxford University Press, </w:t>
      </w:r>
      <w:r w:rsidRPr="0090439A">
        <w:t>1989)</w:t>
      </w:r>
      <w:r>
        <w:t>; I. E. Koch, ‘</w:t>
      </w:r>
      <w:r w:rsidRPr="00B97758">
        <w:t>Dichotomies, trichotom</w:t>
      </w:r>
      <w:r>
        <w:t>ies or waves of duties?’ (2005) 5.1</w:t>
      </w:r>
      <w:r w:rsidRPr="00B97758">
        <w:t> </w:t>
      </w:r>
      <w:r w:rsidRPr="00B97758">
        <w:rPr>
          <w:i/>
          <w:iCs/>
        </w:rPr>
        <w:t>Human Rights Law Review</w:t>
      </w:r>
      <w:r>
        <w:t> 5.1 81.</w:t>
      </w:r>
    </w:p>
  </w:footnote>
  <w:footnote w:id="52">
    <w:p w14:paraId="26D180A9" w14:textId="0D0857E4" w:rsidR="00B209B2" w:rsidRPr="00D3718B" w:rsidRDefault="00B209B2" w:rsidP="00B209B2">
      <w:pPr>
        <w:pStyle w:val="FootnoteText"/>
        <w:rPr>
          <w:lang w:val="en-US"/>
        </w:rPr>
      </w:pPr>
      <w:r>
        <w:rPr>
          <w:rStyle w:val="FootnoteReference"/>
        </w:rPr>
        <w:footnoteRef/>
      </w:r>
      <w:r>
        <w:t xml:space="preserve"> </w:t>
      </w:r>
      <w:r w:rsidRPr="00315590">
        <w:t>Shue, Basic Rights</w:t>
      </w:r>
      <w:r>
        <w:t xml:space="preserve">, n </w:t>
      </w:r>
      <w:r>
        <w:fldChar w:fldCharType="begin"/>
      </w:r>
      <w:r>
        <w:instrText xml:space="preserve"> NOTEREF _Ref22025455 \h </w:instrText>
      </w:r>
      <w:r>
        <w:fldChar w:fldCharType="separate"/>
      </w:r>
      <w:r w:rsidR="001A0A81">
        <w:t>57</w:t>
      </w:r>
      <w:r>
        <w:fldChar w:fldCharType="end"/>
      </w:r>
      <w:r>
        <w:t>, 52.</w:t>
      </w:r>
    </w:p>
  </w:footnote>
  <w:footnote w:id="53">
    <w:p w14:paraId="4E419795" w14:textId="77777777" w:rsidR="00B209B2" w:rsidRPr="00BC0930" w:rsidRDefault="00B209B2" w:rsidP="00B209B2">
      <w:pPr>
        <w:pStyle w:val="FootnoteText"/>
        <w:rPr>
          <w:lang w:val="en-US"/>
        </w:rPr>
      </w:pPr>
      <w:r>
        <w:rPr>
          <w:rStyle w:val="FootnoteReference"/>
        </w:rPr>
        <w:footnoteRef/>
      </w:r>
      <w:r>
        <w:t xml:space="preserve"> </w:t>
      </w:r>
      <w:proofErr w:type="spellStart"/>
      <w:r w:rsidRPr="00C10E8A">
        <w:t>Asbjørn</w:t>
      </w:r>
      <w:proofErr w:type="spellEnd"/>
      <w:r w:rsidRPr="00C10E8A">
        <w:t xml:space="preserve"> Eide</w:t>
      </w:r>
      <w:r>
        <w:t>, ‘</w:t>
      </w:r>
      <w:r w:rsidRPr="00C10E8A">
        <w:t xml:space="preserve">The New International Economic Order and the Promotion of Human Rights—Report on the right to adequate food as a human right submitted by Mr. </w:t>
      </w:r>
      <w:proofErr w:type="spellStart"/>
      <w:r w:rsidRPr="00C10E8A">
        <w:t>Asbjørn</w:t>
      </w:r>
      <w:proofErr w:type="spellEnd"/>
      <w:r w:rsidRPr="00C10E8A">
        <w:t xml:space="preserve"> Eide, Special Rapporteur</w:t>
      </w:r>
      <w:r>
        <w:t>’</w:t>
      </w:r>
      <w:r w:rsidRPr="00C10E8A">
        <w:t xml:space="preserve">, E.CN.4/Sub.2/1987/23 (Jul. 7, 1987), para 40 [Eide, Report on Food] </w:t>
      </w:r>
      <w:r>
        <w:t>para. 66.</w:t>
      </w:r>
      <w:r w:rsidRPr="005172A6">
        <w:t xml:space="preserve">  </w:t>
      </w:r>
    </w:p>
  </w:footnote>
  <w:footnote w:id="54">
    <w:p w14:paraId="456104D9" w14:textId="77777777" w:rsidR="00B209B2" w:rsidRPr="00B97758" w:rsidRDefault="00B209B2" w:rsidP="00B209B2">
      <w:pPr>
        <w:spacing w:after="0" w:line="240" w:lineRule="auto"/>
        <w:rPr>
          <w:rFonts w:cs="Times New Roman"/>
          <w:sz w:val="20"/>
          <w:szCs w:val="20"/>
        </w:rPr>
      </w:pPr>
      <w:r w:rsidRPr="00B97758">
        <w:rPr>
          <w:rStyle w:val="FootnoteReference"/>
          <w:rFonts w:cs="Times New Roman"/>
        </w:rPr>
        <w:footnoteRef/>
      </w:r>
      <w:r w:rsidRPr="00B97758">
        <w:rPr>
          <w:rFonts w:cs="Times New Roman"/>
          <w:sz w:val="20"/>
          <w:szCs w:val="20"/>
        </w:rPr>
        <w:t xml:space="preserve"> </w:t>
      </w:r>
      <w:r>
        <w:rPr>
          <w:rFonts w:cs="Times New Roman"/>
          <w:sz w:val="20"/>
          <w:szCs w:val="20"/>
        </w:rPr>
        <w:t xml:space="preserve">id. para. </w:t>
      </w:r>
      <w:r w:rsidRPr="00B97758">
        <w:rPr>
          <w:rFonts w:cs="Times New Roman"/>
          <w:sz w:val="20"/>
          <w:szCs w:val="20"/>
        </w:rPr>
        <w:t>68</w:t>
      </w:r>
      <w:r>
        <w:rPr>
          <w:rFonts w:cs="Times New Roman"/>
          <w:sz w:val="20"/>
          <w:szCs w:val="20"/>
        </w:rPr>
        <w:t>.</w:t>
      </w:r>
      <w:r w:rsidRPr="00B97758">
        <w:rPr>
          <w:rFonts w:cs="Times New Roman"/>
          <w:sz w:val="20"/>
          <w:szCs w:val="20"/>
        </w:rPr>
        <w:t xml:space="preserve"> </w:t>
      </w:r>
    </w:p>
  </w:footnote>
  <w:footnote w:id="55">
    <w:p w14:paraId="3EC432DC" w14:textId="77777777" w:rsidR="00A2059C" w:rsidRPr="00B97758" w:rsidRDefault="00A2059C" w:rsidP="00A2059C">
      <w:pPr>
        <w:spacing w:after="0" w:line="240" w:lineRule="auto"/>
        <w:rPr>
          <w:rFonts w:cs="Times New Roman"/>
          <w:sz w:val="20"/>
          <w:szCs w:val="20"/>
        </w:rPr>
      </w:pPr>
      <w:r w:rsidRPr="00B97758">
        <w:rPr>
          <w:rStyle w:val="FootnoteReference"/>
          <w:rFonts w:cs="Times New Roman"/>
        </w:rPr>
        <w:footnoteRef/>
      </w:r>
      <w:r w:rsidRPr="00B97758">
        <w:rPr>
          <w:rFonts w:cs="Times New Roman"/>
          <w:sz w:val="20"/>
          <w:szCs w:val="20"/>
        </w:rPr>
        <w:t xml:space="preserve"> </w:t>
      </w:r>
      <w:r>
        <w:rPr>
          <w:rFonts w:cs="Times New Roman"/>
          <w:sz w:val="20"/>
          <w:szCs w:val="20"/>
        </w:rPr>
        <w:t>‘</w:t>
      </w:r>
      <w:r w:rsidRPr="00B97758">
        <w:rPr>
          <w:rFonts w:cs="Times New Roman"/>
          <w:sz w:val="20"/>
          <w:szCs w:val="20"/>
        </w:rPr>
        <w:t>The obligation to respect requires the State, and thereby all its organs and agents, to abstain from doing anything that violates the integrity of the individual or infringes on her or his freedom, including the freedom to use the material resources available to that individual in the way she or he finds best to satisfy the basic needs.</w:t>
      </w:r>
      <w:r>
        <w:rPr>
          <w:rFonts w:cs="Times New Roman"/>
          <w:sz w:val="20"/>
          <w:szCs w:val="20"/>
        </w:rPr>
        <w:t>’</w:t>
      </w:r>
      <w:r w:rsidRPr="00B97758">
        <w:rPr>
          <w:rFonts w:cs="Times New Roman"/>
          <w:sz w:val="20"/>
          <w:szCs w:val="20"/>
        </w:rPr>
        <w:t xml:space="preserve">, </w:t>
      </w:r>
      <w:r>
        <w:rPr>
          <w:rFonts w:cs="Times New Roman"/>
          <w:sz w:val="20"/>
          <w:szCs w:val="20"/>
        </w:rPr>
        <w:t xml:space="preserve">id. </w:t>
      </w:r>
      <w:r w:rsidRPr="00B97758">
        <w:rPr>
          <w:rFonts w:cs="Times New Roman"/>
          <w:sz w:val="20"/>
          <w:szCs w:val="20"/>
        </w:rPr>
        <w:t>para. 67</w:t>
      </w:r>
      <w:r>
        <w:rPr>
          <w:rFonts w:cs="Times New Roman"/>
          <w:sz w:val="20"/>
          <w:szCs w:val="20"/>
        </w:rPr>
        <w:t>.</w:t>
      </w:r>
    </w:p>
  </w:footnote>
  <w:footnote w:id="56">
    <w:p w14:paraId="4A8AEF9B" w14:textId="77777777" w:rsidR="00B209B2" w:rsidRPr="006C716B" w:rsidRDefault="00B209B2" w:rsidP="00B209B2">
      <w:pPr>
        <w:pStyle w:val="FootnoteText"/>
        <w:rPr>
          <w:lang w:val="en-US"/>
        </w:rPr>
      </w:pPr>
      <w:r>
        <w:rPr>
          <w:rStyle w:val="FootnoteReference"/>
        </w:rPr>
        <w:footnoteRef/>
      </w:r>
      <w:r>
        <w:t xml:space="preserve"> Discussed in: A. Clapham,</w:t>
      </w:r>
      <w:r w:rsidRPr="00315590">
        <w:t> </w:t>
      </w:r>
      <w:r w:rsidRPr="00315590">
        <w:rPr>
          <w:i/>
          <w:iCs/>
        </w:rPr>
        <w:t>Human rights obligations of non-state actors</w:t>
      </w:r>
      <w:r>
        <w:t>, (Oxford: Oxford University Press, 2006), 49.</w:t>
      </w:r>
    </w:p>
  </w:footnote>
  <w:footnote w:id="57">
    <w:p w14:paraId="4F16ED4B" w14:textId="6E573F34" w:rsidR="00B209B2" w:rsidRDefault="00B209B2" w:rsidP="00B209B2">
      <w:pPr>
        <w:pStyle w:val="FootnoteText"/>
      </w:pPr>
      <w:r>
        <w:rPr>
          <w:rStyle w:val="FootnoteReference"/>
        </w:rPr>
        <w:footnoteRef/>
      </w:r>
      <w:r>
        <w:t xml:space="preserve"> </w:t>
      </w:r>
      <w:r w:rsidRPr="00896B5F">
        <w:t>Maastricht Guidelines on Violations of Economic, Social and Cultural Rights, Maastricht, January 22-26, 1997, para. 6 [Maastricht Guidelines]</w:t>
      </w:r>
      <w:r>
        <w:t xml:space="preserve"> at:</w:t>
      </w:r>
      <w:r w:rsidRPr="00896B5F">
        <w:t xml:space="preserve"> </w:t>
      </w:r>
      <w:hyperlink r:id="rId9" w:history="1">
        <w:r w:rsidRPr="00896B5F">
          <w:rPr>
            <w:rStyle w:val="Hyperlink"/>
          </w:rPr>
          <w:t>http://hrlibrary.umn.edu/instree/Maastrichtguidelines_.html</w:t>
        </w:r>
      </w:hyperlink>
      <w:r w:rsidRPr="00896B5F">
        <w:rPr>
          <w:u w:val="single"/>
        </w:rPr>
        <w:t xml:space="preserve"> </w:t>
      </w:r>
      <w:r w:rsidR="00DF712D">
        <w:t>(last accessed 26 September 2020).</w:t>
      </w:r>
    </w:p>
  </w:footnote>
  <w:footnote w:id="58">
    <w:p w14:paraId="520DA64B" w14:textId="01673B75" w:rsidR="00B64481" w:rsidRPr="00B97758" w:rsidRDefault="00B64481" w:rsidP="00B64481">
      <w:pPr>
        <w:pStyle w:val="FootnoteText"/>
        <w:rPr>
          <w:rFonts w:cs="Times New Roman"/>
          <w:lang w:val="en-US"/>
        </w:rPr>
      </w:pPr>
      <w:r w:rsidRPr="00B97758">
        <w:rPr>
          <w:rStyle w:val="FootnoteReference"/>
          <w:rFonts w:cs="Times New Roman"/>
        </w:rPr>
        <w:footnoteRef/>
      </w:r>
      <w:r w:rsidRPr="00B97758">
        <w:rPr>
          <w:rFonts w:cs="Times New Roman"/>
        </w:rPr>
        <w:t xml:space="preserve"> </w:t>
      </w:r>
      <w:r w:rsidRPr="00692CAC">
        <w:rPr>
          <w:rFonts w:cs="Times New Roman"/>
        </w:rPr>
        <w:t>CESCR General Comment No. 12: The R</w:t>
      </w:r>
      <w:r>
        <w:rPr>
          <w:rFonts w:cs="Times New Roman"/>
        </w:rPr>
        <w:t xml:space="preserve">ight to Adequate Food (Art. 11), 12 May 1999, </w:t>
      </w:r>
      <w:r w:rsidRPr="00692CAC">
        <w:rPr>
          <w:rFonts w:cs="Times New Roman"/>
        </w:rPr>
        <w:t>E/C.12/1999/5</w:t>
      </w:r>
      <w:r>
        <w:rPr>
          <w:rFonts w:cs="Times New Roman"/>
        </w:rPr>
        <w:t>, para.</w:t>
      </w:r>
      <w:r w:rsidRPr="00B97758">
        <w:rPr>
          <w:rFonts w:cs="Times New Roman"/>
          <w:lang w:val="en-US"/>
        </w:rPr>
        <w:t>15</w:t>
      </w:r>
      <w:r>
        <w:rPr>
          <w:rFonts w:cs="Times New Roman"/>
        </w:rPr>
        <w:t xml:space="preserve">, at: </w:t>
      </w:r>
      <w:hyperlink r:id="rId10" w:history="1">
        <w:r w:rsidRPr="00B97758">
          <w:rPr>
            <w:rStyle w:val="Hyperlink"/>
            <w:rFonts w:cs="Times New Roman"/>
          </w:rPr>
          <w:t>https://www.refworld.org/pdfid/4538838c11.pdf</w:t>
        </w:r>
      </w:hyperlink>
      <w:r w:rsidRPr="00B97758">
        <w:rPr>
          <w:rFonts w:cs="Times New Roman"/>
        </w:rPr>
        <w:t xml:space="preserve"> </w:t>
      </w:r>
      <w:r w:rsidR="00076068" w:rsidRPr="00076068">
        <w:rPr>
          <w:rFonts w:cs="Times New Roman"/>
        </w:rPr>
        <w:t>(last accessed 26 September 2020)</w:t>
      </w:r>
      <w:r w:rsidR="00076068">
        <w:rPr>
          <w:rFonts w:cs="Times New Roman"/>
        </w:rPr>
        <w:t xml:space="preserve"> </w:t>
      </w:r>
      <w:r>
        <w:rPr>
          <w:rFonts w:cs="Times New Roman"/>
        </w:rPr>
        <w:t>[CESCR, Food].</w:t>
      </w:r>
    </w:p>
  </w:footnote>
  <w:footnote w:id="59">
    <w:p w14:paraId="70B17A96" w14:textId="135F3081" w:rsidR="00B64481" w:rsidRDefault="00B64481" w:rsidP="00B64481">
      <w:pPr>
        <w:pStyle w:val="FootnoteText"/>
      </w:pPr>
      <w:r>
        <w:rPr>
          <w:rStyle w:val="FootnoteReference"/>
        </w:rPr>
        <w:footnoteRef/>
      </w:r>
      <w:r>
        <w:t xml:space="preserve"> General comment No. 22 (2016) on the right to sexual and reproductive health (Art. 12 of the Covenant, 2 May 2016, E/C.12/GC/22, para. 43, at: </w:t>
      </w:r>
      <w:hyperlink r:id="rId11" w:history="1">
        <w:r>
          <w:rPr>
            <w:rStyle w:val="Hyperlink"/>
          </w:rPr>
          <w:t>http://docstore.ohchr.org/SelfServices/FilesHandler.ashx?enc=4slQ6QSmlBEDzFEovLCuW1a0Szab0oXTdImnsJZZVQfQejF41Tob4CvIjeTiAP6sGFQktiae1vlbbOAekmaOwDOWsUe7N8TLm%2BP3HJPzxjHySkUoHMavD%2Fpyfcp3Ylzg</w:t>
        </w:r>
      </w:hyperlink>
      <w:r>
        <w:t xml:space="preserve"> </w:t>
      </w:r>
      <w:r w:rsidR="00DF712D">
        <w:t>(last accessed 26 September 2020).</w:t>
      </w:r>
    </w:p>
  </w:footnote>
  <w:footnote w:id="60">
    <w:p w14:paraId="63B8C98C" w14:textId="77777777" w:rsidR="00B64481" w:rsidRPr="00AE2215" w:rsidRDefault="00B64481" w:rsidP="00B64481">
      <w:pPr>
        <w:pStyle w:val="FootnoteText"/>
      </w:pPr>
      <w:r>
        <w:rPr>
          <w:rStyle w:val="FootnoteReference"/>
        </w:rPr>
        <w:footnoteRef/>
      </w:r>
      <w:r>
        <w:t xml:space="preserve"> id. para 14.</w:t>
      </w:r>
    </w:p>
  </w:footnote>
  <w:footnote w:id="61">
    <w:p w14:paraId="4318DFD8" w14:textId="5A4DA37B" w:rsidR="00B64481" w:rsidRDefault="00B64481" w:rsidP="00B64481">
      <w:pPr>
        <w:pStyle w:val="FootnoteText"/>
      </w:pPr>
      <w:r>
        <w:rPr>
          <w:rStyle w:val="FootnoteReference"/>
        </w:rPr>
        <w:footnoteRef/>
      </w:r>
      <w:r>
        <w:t xml:space="preserve"> </w:t>
      </w:r>
      <w:r w:rsidR="001F78E8">
        <w:t>id. para. 17.</w:t>
      </w:r>
    </w:p>
  </w:footnote>
  <w:footnote w:id="62">
    <w:p w14:paraId="2C502F19" w14:textId="0EB2274A" w:rsidR="00B64481" w:rsidRDefault="00B64481" w:rsidP="00B64481">
      <w:pPr>
        <w:pStyle w:val="FootnoteText"/>
      </w:pPr>
      <w:r>
        <w:rPr>
          <w:rStyle w:val="FootnoteReference"/>
        </w:rPr>
        <w:footnoteRef/>
      </w:r>
      <w:r>
        <w:t xml:space="preserve"> </w:t>
      </w:r>
      <w:r w:rsidR="001F78E8">
        <w:t xml:space="preserve">This framing is </w:t>
      </w:r>
      <w:r w:rsidR="00E53282">
        <w:t>borrowed from the UNGPs,</w:t>
      </w:r>
      <w:r w:rsidR="00C32AC9">
        <w:t xml:space="preserve"> n </w:t>
      </w:r>
      <w:r w:rsidR="00C32AC9">
        <w:fldChar w:fldCharType="begin"/>
      </w:r>
      <w:r w:rsidR="00C32AC9">
        <w:instrText xml:space="preserve"> NOTEREF _Ref51171155 \h </w:instrText>
      </w:r>
      <w:r w:rsidR="00C32AC9">
        <w:fldChar w:fldCharType="separate"/>
      </w:r>
      <w:r w:rsidR="001A0A81">
        <w:t>14</w:t>
      </w:r>
      <w:r w:rsidR="00C32AC9">
        <w:fldChar w:fldCharType="end"/>
      </w:r>
      <w:r w:rsidR="00C32AC9">
        <w:t>,</w:t>
      </w:r>
      <w:r w:rsidR="00196B36">
        <w:t xml:space="preserve"> Principle 13. </w:t>
      </w:r>
    </w:p>
  </w:footnote>
  <w:footnote w:id="63">
    <w:p w14:paraId="1B2B8C74" w14:textId="23EDE187" w:rsidR="00B64481" w:rsidRDefault="00B64481" w:rsidP="00B64481">
      <w:pPr>
        <w:pStyle w:val="FootnoteText"/>
      </w:pPr>
      <w:r>
        <w:rPr>
          <w:rStyle w:val="FootnoteReference"/>
        </w:rPr>
        <w:footnoteRef/>
      </w:r>
      <w:r>
        <w:t xml:space="preserve"> </w:t>
      </w:r>
      <w:r w:rsidR="009C4155" w:rsidRPr="008D26EF">
        <w:rPr>
          <w:iCs/>
        </w:rPr>
        <w:t>General Comment 24, Business</w:t>
      </w:r>
      <w:r w:rsidR="009C4155" w:rsidRPr="008D26EF">
        <w:t>, n</w:t>
      </w:r>
      <w:r w:rsidR="009C4155">
        <w:t xml:space="preserve"> </w:t>
      </w:r>
      <w:r w:rsidR="009C4155">
        <w:fldChar w:fldCharType="begin"/>
      </w:r>
      <w:r w:rsidR="009C4155">
        <w:instrText xml:space="preserve"> NOTEREF _Ref27051343 \h </w:instrText>
      </w:r>
      <w:r w:rsidR="009C4155">
        <w:fldChar w:fldCharType="separate"/>
      </w:r>
      <w:r w:rsidR="001A0A81">
        <w:t>5</w:t>
      </w:r>
      <w:r w:rsidR="009C4155">
        <w:fldChar w:fldCharType="end"/>
      </w:r>
      <w:r w:rsidR="009C4155">
        <w:t>, para 1</w:t>
      </w:r>
      <w:r w:rsidR="00FC2B74">
        <w:t>5</w:t>
      </w:r>
      <w:r w:rsidR="009C4155">
        <w:t>.</w:t>
      </w:r>
    </w:p>
  </w:footnote>
  <w:footnote w:id="64">
    <w:p w14:paraId="70B804B8" w14:textId="7F1E1F09" w:rsidR="00B64481" w:rsidRPr="00AE2215" w:rsidRDefault="00B64481" w:rsidP="00B64481">
      <w:pPr>
        <w:pStyle w:val="FootnoteText"/>
      </w:pPr>
      <w:r>
        <w:rPr>
          <w:rStyle w:val="FootnoteReference"/>
        </w:rPr>
        <w:footnoteRef/>
      </w:r>
      <w:r>
        <w:t xml:space="preserve"> </w:t>
      </w:r>
      <w:r w:rsidR="009C4155">
        <w:t>id.</w:t>
      </w:r>
      <w:r w:rsidR="00FC2B74">
        <w:t xml:space="preserve"> para. 18.</w:t>
      </w:r>
    </w:p>
  </w:footnote>
  <w:footnote w:id="65">
    <w:p w14:paraId="5E9A0B17" w14:textId="77777777" w:rsidR="00B64481" w:rsidRPr="00AE2215" w:rsidRDefault="00B64481" w:rsidP="00B64481">
      <w:pPr>
        <w:pStyle w:val="FootnoteText"/>
      </w:pPr>
      <w:r>
        <w:rPr>
          <w:rStyle w:val="FootnoteReference"/>
        </w:rPr>
        <w:footnoteRef/>
      </w:r>
      <w:r>
        <w:t xml:space="preserve"> id. para 19.</w:t>
      </w:r>
    </w:p>
  </w:footnote>
  <w:footnote w:id="66">
    <w:p w14:paraId="56A8621F" w14:textId="5DC7EDBA" w:rsidR="00B64481" w:rsidRDefault="00B64481" w:rsidP="00B64481">
      <w:pPr>
        <w:pStyle w:val="FootnoteText"/>
      </w:pPr>
      <w:r>
        <w:rPr>
          <w:rStyle w:val="FootnoteReference"/>
        </w:rPr>
        <w:footnoteRef/>
      </w:r>
      <w:r>
        <w:t xml:space="preserve"> </w:t>
      </w:r>
      <w:r w:rsidR="00484F65">
        <w:t>id. para. 19.</w:t>
      </w:r>
    </w:p>
  </w:footnote>
  <w:footnote w:id="67">
    <w:p w14:paraId="14C92744" w14:textId="102DBDE2" w:rsidR="00B64481" w:rsidRPr="00DA0F00" w:rsidRDefault="00B64481" w:rsidP="00B64481">
      <w:pPr>
        <w:pStyle w:val="FootnoteText"/>
        <w:rPr>
          <w:rFonts w:cs="Times New Roman"/>
          <w:lang w:val="en-US"/>
        </w:rPr>
      </w:pPr>
      <w:r w:rsidRPr="00B97758">
        <w:rPr>
          <w:rStyle w:val="FootnoteReference"/>
          <w:rFonts w:cs="Times New Roman"/>
        </w:rPr>
        <w:footnoteRef/>
      </w:r>
      <w:r w:rsidRPr="00B97758">
        <w:rPr>
          <w:rFonts w:cs="Times New Roman"/>
        </w:rPr>
        <w:t xml:space="preserve"> </w:t>
      </w:r>
      <w:r w:rsidRPr="00CB0B63">
        <w:rPr>
          <w:rFonts w:cs="Times New Roman"/>
          <w:iCs/>
        </w:rPr>
        <w:t xml:space="preserve">General </w:t>
      </w:r>
      <w:r w:rsidR="00D562B6">
        <w:rPr>
          <w:rFonts w:cs="Times New Roman"/>
          <w:iCs/>
        </w:rPr>
        <w:t>C</w:t>
      </w:r>
      <w:r w:rsidRPr="00CB0B63">
        <w:rPr>
          <w:rFonts w:cs="Times New Roman"/>
          <w:iCs/>
        </w:rPr>
        <w:t>omment 23</w:t>
      </w:r>
      <w:r w:rsidR="00484F65">
        <w:rPr>
          <w:rFonts w:cs="Times New Roman"/>
          <w:iCs/>
        </w:rPr>
        <w:t>,</w:t>
      </w:r>
      <w:r w:rsidR="006074D8">
        <w:rPr>
          <w:rFonts w:cs="Times New Roman"/>
          <w:iCs/>
        </w:rPr>
        <w:t xml:space="preserve"> n. </w:t>
      </w:r>
      <w:r w:rsidR="006074D8">
        <w:rPr>
          <w:rFonts w:cs="Times New Roman"/>
          <w:iCs/>
        </w:rPr>
        <w:fldChar w:fldCharType="begin"/>
      </w:r>
      <w:r w:rsidR="006074D8">
        <w:rPr>
          <w:rFonts w:cs="Times New Roman"/>
          <w:iCs/>
        </w:rPr>
        <w:instrText xml:space="preserve"> NOTEREF _Ref51171980 \h </w:instrText>
      </w:r>
      <w:r w:rsidR="006074D8">
        <w:rPr>
          <w:rFonts w:cs="Times New Roman"/>
          <w:iCs/>
        </w:rPr>
      </w:r>
      <w:r w:rsidR="006074D8">
        <w:rPr>
          <w:rFonts w:cs="Times New Roman"/>
          <w:iCs/>
        </w:rPr>
        <w:fldChar w:fldCharType="separate"/>
      </w:r>
      <w:r w:rsidR="001A0A81">
        <w:rPr>
          <w:rFonts w:cs="Times New Roman"/>
          <w:iCs/>
        </w:rPr>
        <w:t>51</w:t>
      </w:r>
      <w:r w:rsidR="006074D8">
        <w:rPr>
          <w:rFonts w:cs="Times New Roman"/>
          <w:iCs/>
        </w:rPr>
        <w:fldChar w:fldCharType="end"/>
      </w:r>
      <w:r w:rsidR="006074D8">
        <w:rPr>
          <w:rFonts w:cs="Times New Roman"/>
          <w:iCs/>
        </w:rPr>
        <w:t>,</w:t>
      </w:r>
      <w:r w:rsidR="00484F65">
        <w:rPr>
          <w:rFonts w:cs="Times New Roman"/>
          <w:iCs/>
        </w:rPr>
        <w:t xml:space="preserve"> </w:t>
      </w:r>
      <w:r>
        <w:rPr>
          <w:rFonts w:cs="Times New Roman"/>
        </w:rPr>
        <w:t xml:space="preserve">para. </w:t>
      </w:r>
      <w:r w:rsidR="006074D8">
        <w:rPr>
          <w:rFonts w:cs="Times New Roman"/>
        </w:rPr>
        <w:t>59.</w:t>
      </w:r>
    </w:p>
  </w:footnote>
  <w:footnote w:id="68">
    <w:p w14:paraId="03F413AE" w14:textId="7AD6F5DF" w:rsidR="00B64481" w:rsidRPr="00CB0B63" w:rsidRDefault="00B64481" w:rsidP="00B64481">
      <w:pPr>
        <w:pStyle w:val="FootnoteText"/>
        <w:rPr>
          <w:lang w:val="en-US"/>
        </w:rPr>
      </w:pPr>
      <w:r>
        <w:rPr>
          <w:rStyle w:val="FootnoteReference"/>
        </w:rPr>
        <w:footnoteRef/>
      </w:r>
      <w:r>
        <w:t xml:space="preserve"> </w:t>
      </w:r>
      <w:r>
        <w:rPr>
          <w:rFonts w:cs="Times New Roman"/>
        </w:rPr>
        <w:t>id. para. 61.</w:t>
      </w:r>
    </w:p>
  </w:footnote>
  <w:footnote w:id="69">
    <w:p w14:paraId="46F81645" w14:textId="62DE23A1" w:rsidR="005156C0" w:rsidRDefault="005156C0">
      <w:pPr>
        <w:pStyle w:val="FootnoteText"/>
      </w:pPr>
      <w:r>
        <w:rPr>
          <w:rStyle w:val="FootnoteReference"/>
        </w:rPr>
        <w:footnoteRef/>
      </w:r>
      <w:r>
        <w:t xml:space="preserve"> </w:t>
      </w:r>
      <w:r w:rsidR="008822BD">
        <w:t xml:space="preserve">J. </w:t>
      </w:r>
      <w:r w:rsidR="008822BD" w:rsidRPr="008822BD">
        <w:t>Lee</w:t>
      </w:r>
      <w:r w:rsidR="008822BD">
        <w:t xml:space="preserve"> </w:t>
      </w:r>
      <w:r w:rsidR="008822BD" w:rsidRPr="008822BD">
        <w:t>and A</w:t>
      </w:r>
      <w:r w:rsidR="008822BD">
        <w:t>.</w:t>
      </w:r>
      <w:r w:rsidR="008822BD" w:rsidRPr="008822BD">
        <w:t xml:space="preserve"> Smith</w:t>
      </w:r>
      <w:r w:rsidR="008822BD">
        <w:t>, ‘</w:t>
      </w:r>
      <w:r w:rsidR="008822BD" w:rsidRPr="008822BD">
        <w:t>Regulating Wage Theft</w:t>
      </w:r>
      <w:r w:rsidR="008822BD">
        <w:t xml:space="preserve">’, </w:t>
      </w:r>
      <w:r w:rsidR="008822BD" w:rsidRPr="008822BD">
        <w:rPr>
          <w:i/>
          <w:iCs/>
        </w:rPr>
        <w:t>Wash</w:t>
      </w:r>
      <w:r w:rsidR="008822BD">
        <w:rPr>
          <w:i/>
          <w:iCs/>
        </w:rPr>
        <w:t>ington</w:t>
      </w:r>
      <w:r w:rsidR="008822BD" w:rsidRPr="008822BD">
        <w:rPr>
          <w:i/>
          <w:iCs/>
        </w:rPr>
        <w:t xml:space="preserve"> L</w:t>
      </w:r>
      <w:r w:rsidR="008822BD">
        <w:rPr>
          <w:i/>
          <w:iCs/>
        </w:rPr>
        <w:t xml:space="preserve">aw </w:t>
      </w:r>
      <w:r w:rsidR="008822BD" w:rsidRPr="008822BD">
        <w:rPr>
          <w:i/>
          <w:iCs/>
        </w:rPr>
        <w:t>Rev</w:t>
      </w:r>
      <w:r w:rsidR="008822BD">
        <w:rPr>
          <w:i/>
          <w:iCs/>
        </w:rPr>
        <w:t>iew</w:t>
      </w:r>
      <w:r w:rsidR="008822BD" w:rsidRPr="008822BD">
        <w:t> 94 (2019)</w:t>
      </w:r>
      <w:r w:rsidR="008822BD">
        <w:t xml:space="preserve">, </w:t>
      </w:r>
      <w:r w:rsidR="008822BD" w:rsidRPr="008822BD">
        <w:t>759.</w:t>
      </w:r>
    </w:p>
  </w:footnote>
  <w:footnote w:id="70">
    <w:p w14:paraId="142FD191" w14:textId="5B0DD44D" w:rsidR="005A6237" w:rsidRDefault="005A6237">
      <w:pPr>
        <w:pStyle w:val="FootnoteText"/>
      </w:pPr>
      <w:r>
        <w:rPr>
          <w:rStyle w:val="FootnoteReference"/>
        </w:rPr>
        <w:footnoteRef/>
      </w:r>
      <w:r>
        <w:t xml:space="preserve"> </w:t>
      </w:r>
      <w:r w:rsidR="0050044C">
        <w:t xml:space="preserve">D. </w:t>
      </w:r>
      <w:r w:rsidR="0050044C" w:rsidRPr="0050044C">
        <w:t xml:space="preserve">Doorey, </w:t>
      </w:r>
      <w:r w:rsidR="0050044C">
        <w:t>‘</w:t>
      </w:r>
      <w:r w:rsidR="0050044C" w:rsidRPr="0050044C">
        <w:t>Mapping the ascendance of the ‘living wage’</w:t>
      </w:r>
      <w:r w:rsidR="0050044C">
        <w:t xml:space="preserve"> </w:t>
      </w:r>
      <w:r w:rsidR="0050044C" w:rsidRPr="0050044C">
        <w:t xml:space="preserve">standard in non-state global labour </w:t>
      </w:r>
      <w:r w:rsidR="00884403">
        <w:t xml:space="preserve">codes’, 6.2 (2015) </w:t>
      </w:r>
      <w:r w:rsidR="0050044C" w:rsidRPr="0050044C">
        <w:rPr>
          <w:i/>
          <w:iCs/>
        </w:rPr>
        <w:t>Transnational Legal Theory</w:t>
      </w:r>
      <w:r w:rsidR="0050044C">
        <w:t>,</w:t>
      </w:r>
      <w:r w:rsidR="0050044C" w:rsidRPr="0050044C">
        <w:t xml:space="preserve"> 435</w:t>
      </w:r>
      <w:r w:rsidR="0050044C">
        <w:t>.</w:t>
      </w:r>
    </w:p>
  </w:footnote>
  <w:footnote w:id="71">
    <w:p w14:paraId="64553D00" w14:textId="77C58729" w:rsidR="000A0546" w:rsidRPr="00465F3A" w:rsidRDefault="000A0546" w:rsidP="000A0546">
      <w:pPr>
        <w:pStyle w:val="FootnoteText"/>
      </w:pPr>
      <w:r>
        <w:rPr>
          <w:rStyle w:val="FootnoteReference"/>
        </w:rPr>
        <w:footnoteRef/>
      </w:r>
      <w:r>
        <w:t xml:space="preserve"> Ireland Letter, n </w:t>
      </w:r>
      <w:r>
        <w:fldChar w:fldCharType="begin"/>
      </w:r>
      <w:r>
        <w:instrText xml:space="preserve"> NOTEREF _Ref27129641 \h </w:instrText>
      </w:r>
      <w:r>
        <w:fldChar w:fldCharType="separate"/>
      </w:r>
      <w:r w:rsidR="001A0A81">
        <w:t>4</w:t>
      </w:r>
      <w:r>
        <w:fldChar w:fldCharType="end"/>
      </w:r>
      <w:r>
        <w:t xml:space="preserve">, 2; 86-89; L. H. </w:t>
      </w:r>
      <w:r w:rsidRPr="00243484">
        <w:t xml:space="preserve">Li, </w:t>
      </w:r>
      <w:r>
        <w:t xml:space="preserve">S. K. </w:t>
      </w:r>
      <w:proofErr w:type="spellStart"/>
      <w:proofErr w:type="gramStart"/>
      <w:r>
        <w:t>K.</w:t>
      </w:r>
      <w:r w:rsidRPr="00243484">
        <w:t>Wong</w:t>
      </w:r>
      <w:proofErr w:type="spellEnd"/>
      <w:proofErr w:type="gramEnd"/>
      <w:r w:rsidRPr="00243484">
        <w:t xml:space="preserve">, </w:t>
      </w:r>
      <w:r>
        <w:t xml:space="preserve">and </w:t>
      </w:r>
      <w:r w:rsidRPr="00243484">
        <w:t>K.</w:t>
      </w:r>
      <w:r>
        <w:t xml:space="preserve"> S.</w:t>
      </w:r>
      <w:r w:rsidRPr="00243484">
        <w:t xml:space="preserve"> Cheung,  Land supply and housing prices in Hong Kong: The political economy of urban land policy</w:t>
      </w:r>
      <w:r>
        <w:t>,</w:t>
      </w:r>
      <w:r w:rsidRPr="00243484">
        <w:t xml:space="preserve"> (2016)</w:t>
      </w:r>
      <w:r>
        <w:t xml:space="preserve"> 34.5</w:t>
      </w:r>
      <w:r w:rsidRPr="00243484">
        <w:t> </w:t>
      </w:r>
      <w:r w:rsidRPr="00243484">
        <w:rPr>
          <w:i/>
          <w:iCs/>
        </w:rPr>
        <w:t>Environment and Planning C: Government and Policy</w:t>
      </w:r>
      <w:r w:rsidRPr="00243484">
        <w:t>,  981</w:t>
      </w:r>
      <w:r>
        <w:t>, 988</w:t>
      </w:r>
      <w:r w:rsidRPr="00243484">
        <w:t>.</w:t>
      </w:r>
    </w:p>
  </w:footnote>
  <w:footnote w:id="72">
    <w:p w14:paraId="40865DB3" w14:textId="284EF397" w:rsidR="006450FB" w:rsidRDefault="006450FB" w:rsidP="006450FB">
      <w:pPr>
        <w:pStyle w:val="FootnoteText"/>
      </w:pPr>
      <w:r>
        <w:rPr>
          <w:rStyle w:val="FootnoteReference"/>
        </w:rPr>
        <w:footnoteRef/>
      </w:r>
      <w:r>
        <w:t xml:space="preserve"> See also: </w:t>
      </w:r>
      <w:r w:rsidRPr="00F53B01">
        <w:t>CESCR, </w:t>
      </w:r>
      <w:r w:rsidRPr="00F53B01">
        <w:rPr>
          <w:i/>
          <w:iCs/>
        </w:rPr>
        <w:t>General Comment No. 4: The Right to Adequate Housing (Art. 11 (1) of the Covenant)</w:t>
      </w:r>
      <w:r w:rsidRPr="00F53B01">
        <w:t>, 13 December 1991, E/1992/23</w:t>
      </w:r>
      <w:r>
        <w:t xml:space="preserve">; General Comment 24, Business, n </w:t>
      </w:r>
      <w:r>
        <w:fldChar w:fldCharType="begin"/>
      </w:r>
      <w:r>
        <w:instrText xml:space="preserve"> NOTEREF _Ref51170030 \h </w:instrText>
      </w:r>
      <w:r>
        <w:fldChar w:fldCharType="separate"/>
      </w:r>
      <w:r w:rsidR="001A0A81">
        <w:t>3</w:t>
      </w:r>
      <w:r>
        <w:fldChar w:fldCharType="end"/>
      </w:r>
      <w:r>
        <w:t>.</w:t>
      </w:r>
    </w:p>
  </w:footnote>
  <w:footnote w:id="73">
    <w:p w14:paraId="2B169A20" w14:textId="2CD80F09" w:rsidR="00267E69" w:rsidRDefault="00267E69">
      <w:pPr>
        <w:pStyle w:val="FootnoteText"/>
      </w:pPr>
      <w:r>
        <w:rPr>
          <w:rStyle w:val="FootnoteReference"/>
        </w:rPr>
        <w:footnoteRef/>
      </w:r>
      <w:r>
        <w:t xml:space="preserve"> </w:t>
      </w:r>
      <w:r w:rsidRPr="00267E69">
        <w:t xml:space="preserve">Rory Hearne, ‘A home or a wealth generator? Inequality, </w:t>
      </w:r>
      <w:proofErr w:type="spellStart"/>
      <w:r w:rsidRPr="00267E69">
        <w:t>financialisation</w:t>
      </w:r>
      <w:proofErr w:type="spellEnd"/>
      <w:r w:rsidRPr="00267E69">
        <w:t xml:space="preserve"> and the Irish housing crisis’, in </w:t>
      </w:r>
      <w:r w:rsidRPr="00267E69">
        <w:rPr>
          <w:i/>
          <w:iCs/>
        </w:rPr>
        <w:t xml:space="preserve">Cherishing All Equally - Economic Inequality in Ireland </w:t>
      </w:r>
      <w:r w:rsidRPr="00267E69">
        <w:t>(2017) 62</w:t>
      </w:r>
      <w:r>
        <w:t>.</w:t>
      </w:r>
    </w:p>
  </w:footnote>
  <w:footnote w:id="74">
    <w:p w14:paraId="5BFFF25B" w14:textId="74AABC71" w:rsidR="005D1AB8" w:rsidRDefault="005D1AB8">
      <w:pPr>
        <w:pStyle w:val="FootnoteText"/>
      </w:pPr>
      <w:r>
        <w:rPr>
          <w:rStyle w:val="FootnoteReference"/>
        </w:rPr>
        <w:footnoteRef/>
      </w:r>
      <w:r>
        <w:t xml:space="preserve"> </w:t>
      </w:r>
      <w:r w:rsidR="00D6136E" w:rsidRPr="00D6136E">
        <w:t>UNSR, Financialization</w:t>
      </w:r>
      <w:r w:rsidR="00D6136E">
        <w:t xml:space="preserve">, n. </w:t>
      </w:r>
      <w:r w:rsidR="00D6136E">
        <w:fldChar w:fldCharType="begin"/>
      </w:r>
      <w:r w:rsidR="00D6136E">
        <w:instrText xml:space="preserve"> NOTEREF _Ref27129641 \h </w:instrText>
      </w:r>
      <w:r w:rsidR="00D6136E">
        <w:fldChar w:fldCharType="separate"/>
      </w:r>
      <w:r w:rsidR="001A0A81">
        <w:t>4</w:t>
      </w:r>
      <w:r w:rsidR="00D6136E">
        <w:fldChar w:fldCharType="end"/>
      </w:r>
      <w:r w:rsidR="000F581B">
        <w:t>, paras. 24-38.</w:t>
      </w:r>
    </w:p>
  </w:footnote>
  <w:footnote w:id="75">
    <w:p w14:paraId="2F8668E5" w14:textId="02BEFA49" w:rsidR="00C55B58" w:rsidRDefault="00C55B58">
      <w:pPr>
        <w:pStyle w:val="FootnoteText"/>
      </w:pPr>
      <w:r>
        <w:rPr>
          <w:rStyle w:val="FootnoteReference"/>
        </w:rPr>
        <w:footnoteRef/>
      </w:r>
      <w:r>
        <w:t xml:space="preserve"> [REDACTED].</w:t>
      </w:r>
    </w:p>
  </w:footnote>
  <w:footnote w:id="76">
    <w:p w14:paraId="0FC476E0" w14:textId="4E5E9FFC" w:rsidR="00674947" w:rsidRDefault="00674947">
      <w:pPr>
        <w:pStyle w:val="FootnoteText"/>
      </w:pPr>
      <w:r>
        <w:rPr>
          <w:rStyle w:val="FootnoteReference"/>
        </w:rPr>
        <w:footnoteRef/>
      </w:r>
      <w:r>
        <w:t xml:space="preserve"> </w:t>
      </w:r>
      <w:r w:rsidRPr="00BB69FA">
        <w:rPr>
          <w:iCs/>
        </w:rPr>
        <w:t>General Comment 24, Business</w:t>
      </w:r>
      <w:r w:rsidRPr="00BB69FA">
        <w:t>, n</w:t>
      </w:r>
      <w:r>
        <w:t xml:space="preserve"> </w:t>
      </w:r>
      <w:r>
        <w:fldChar w:fldCharType="begin"/>
      </w:r>
      <w:r>
        <w:instrText xml:space="preserve"> NOTEREF _Ref51170030 \h </w:instrText>
      </w:r>
      <w:r>
        <w:fldChar w:fldCharType="separate"/>
      </w:r>
      <w:r w:rsidR="001A0A81">
        <w:t>3</w:t>
      </w:r>
      <w:r>
        <w:fldChar w:fldCharType="end"/>
      </w:r>
      <w:r w:rsidRPr="00BB69FA">
        <w:t xml:space="preserve">, </w:t>
      </w:r>
      <w:r>
        <w:t>para. 16.</w:t>
      </w:r>
    </w:p>
  </w:footnote>
  <w:footnote w:id="77">
    <w:p w14:paraId="4C6B356E" w14:textId="363E69CE" w:rsidR="00842E12" w:rsidRDefault="00842E12">
      <w:pPr>
        <w:pStyle w:val="FootnoteText"/>
      </w:pPr>
      <w:r>
        <w:rPr>
          <w:rStyle w:val="FootnoteReference"/>
        </w:rPr>
        <w:footnoteRef/>
      </w:r>
      <w:r>
        <w:t xml:space="preserve"> </w:t>
      </w:r>
      <w:r w:rsidR="00024175" w:rsidRPr="00024175">
        <w:t>The French Duty of Vigilance law</w:t>
      </w:r>
      <w:r w:rsidR="00024175">
        <w:t xml:space="preserve"> </w:t>
      </w:r>
      <w:r w:rsidR="00024175" w:rsidRPr="00024175">
        <w:t xml:space="preserve">is restricted to ‘the prevention of severe violations of human rights and fundamental freedoms, serious bodily injury or environmental damage or health </w:t>
      </w:r>
      <w:proofErr w:type="gramStart"/>
      <w:r w:rsidR="00024175" w:rsidRPr="00024175">
        <w:t>risks’</w:t>
      </w:r>
      <w:proofErr w:type="gramEnd"/>
      <w:r w:rsidR="00024175">
        <w:t xml:space="preserve">. </w:t>
      </w:r>
      <w:r w:rsidR="00024175" w:rsidRPr="00024175">
        <w:t>French Corporate Duty of Vigilance Law (English Translation),</w:t>
      </w:r>
      <w:r w:rsidR="00024175" w:rsidRPr="00024175">
        <w:rPr>
          <w:b/>
          <w:bCs/>
        </w:rPr>
        <w:t xml:space="preserve"> </w:t>
      </w:r>
      <w:r w:rsidR="00024175" w:rsidRPr="00024175">
        <w:t xml:space="preserve">European Coalition of Corporate Justice, 2016, at: </w:t>
      </w:r>
      <w:hyperlink r:id="rId12" w:history="1">
        <w:r w:rsidR="00024175" w:rsidRPr="00024175">
          <w:rPr>
            <w:rStyle w:val="Hyperlink"/>
          </w:rPr>
          <w:t>http://www.respect.international/french-corporate-duty-of-vigilance-law-english-translation/</w:t>
        </w:r>
      </w:hyperlink>
      <w:r w:rsidR="00024175" w:rsidRPr="00024175">
        <w:t xml:space="preserve"> [last accessed </w:t>
      </w:r>
      <w:r w:rsidR="00024175">
        <w:t>23</w:t>
      </w:r>
      <w:r w:rsidR="00024175" w:rsidRPr="00024175">
        <w:t xml:space="preserve"> September 2020].</w:t>
      </w:r>
    </w:p>
  </w:footnote>
  <w:footnote w:id="78">
    <w:p w14:paraId="62CA7BED" w14:textId="050D210C" w:rsidR="005C6255" w:rsidRDefault="005C6255">
      <w:pPr>
        <w:pStyle w:val="FootnoteText"/>
      </w:pPr>
      <w:r>
        <w:rPr>
          <w:rStyle w:val="FootnoteReference"/>
        </w:rPr>
        <w:footnoteRef/>
      </w:r>
      <w:r>
        <w:t xml:space="preserve"> Guiding Principles, n </w:t>
      </w:r>
      <w:r>
        <w:fldChar w:fldCharType="begin"/>
      </w:r>
      <w:r>
        <w:instrText xml:space="preserve"> NOTEREF _Ref51171155 \h </w:instrText>
      </w:r>
      <w:r>
        <w:fldChar w:fldCharType="separate"/>
      </w:r>
      <w:r w:rsidR="001A0A81">
        <w:t>14</w:t>
      </w:r>
      <w:r>
        <w:fldChar w:fldCharType="end"/>
      </w:r>
      <w:r>
        <w:t>, Principle 13.</w:t>
      </w:r>
    </w:p>
  </w:footnote>
  <w:footnote w:id="79">
    <w:p w14:paraId="1A209E93" w14:textId="1D2DB0B7" w:rsidR="00BD4452" w:rsidRPr="00AE2215" w:rsidRDefault="00BD4452" w:rsidP="00BD4452">
      <w:pPr>
        <w:pStyle w:val="FootnoteText"/>
      </w:pPr>
      <w:r>
        <w:rPr>
          <w:rStyle w:val="FootnoteReference"/>
        </w:rPr>
        <w:footnoteRef/>
      </w:r>
      <w:r>
        <w:t xml:space="preserve"> </w:t>
      </w:r>
      <w:r w:rsidR="00674947">
        <w:t>id. para. 19</w:t>
      </w:r>
    </w:p>
  </w:footnote>
  <w:footnote w:id="80">
    <w:p w14:paraId="70701BA1" w14:textId="77777777" w:rsidR="00BD4452" w:rsidRPr="00AE2215" w:rsidRDefault="00BD4452" w:rsidP="00BD4452">
      <w:pPr>
        <w:pStyle w:val="FootnoteText"/>
      </w:pPr>
      <w:r>
        <w:rPr>
          <w:rStyle w:val="FootnoteReference"/>
        </w:rPr>
        <w:footnoteRef/>
      </w:r>
      <w:r>
        <w:t xml:space="preserve"> id. para. 19.</w:t>
      </w:r>
    </w:p>
  </w:footnote>
  <w:footnote w:id="81">
    <w:p w14:paraId="17E0F277" w14:textId="77777777" w:rsidR="00BD4452" w:rsidRPr="00F734BC" w:rsidRDefault="00BD4452" w:rsidP="00BD4452">
      <w:pPr>
        <w:pStyle w:val="FootnoteText"/>
      </w:pPr>
      <w:r>
        <w:rPr>
          <w:rStyle w:val="FootnoteReference"/>
        </w:rPr>
        <w:footnoteRef/>
      </w:r>
      <w:r>
        <w:t xml:space="preserve"> id para 18.</w:t>
      </w:r>
    </w:p>
  </w:footnote>
  <w:footnote w:id="82">
    <w:p w14:paraId="2BC28630" w14:textId="05EAF2D2" w:rsidR="00BD4452" w:rsidRPr="002F1FBB" w:rsidRDefault="00BD4452" w:rsidP="00BD4452">
      <w:pPr>
        <w:pStyle w:val="FootnoteText"/>
        <w:rPr>
          <w:rFonts w:cs="Times New Roman"/>
          <w:color w:val="0000FF"/>
          <w:u w:val="single"/>
        </w:rPr>
      </w:pPr>
      <w:r w:rsidRPr="00B97758">
        <w:rPr>
          <w:rStyle w:val="FootnoteReference"/>
          <w:rFonts w:cs="Times New Roman"/>
        </w:rPr>
        <w:footnoteRef/>
      </w:r>
      <w:r w:rsidRPr="00B97758">
        <w:rPr>
          <w:rFonts w:cs="Times New Roman"/>
        </w:rPr>
        <w:t xml:space="preserve"> </w:t>
      </w:r>
      <w:r>
        <w:t xml:space="preserve">CESCR General Comment No. 14: The Right to the Highest Attainable Standard of Health (Art. 12), 11 August 2000, E/C.12/2000/4), para. </w:t>
      </w:r>
      <w:r w:rsidRPr="00B97758">
        <w:rPr>
          <w:rFonts w:cs="Times New Roman"/>
        </w:rPr>
        <w:t>35</w:t>
      </w:r>
      <w:r>
        <w:rPr>
          <w:rFonts w:cs="Times New Roman"/>
        </w:rPr>
        <w:t>, at:</w:t>
      </w:r>
      <w:r w:rsidRPr="00B97758">
        <w:rPr>
          <w:rFonts w:cs="Times New Roman"/>
        </w:rPr>
        <w:t xml:space="preserve"> </w:t>
      </w:r>
      <w:hyperlink r:id="rId13" w:history="1">
        <w:r w:rsidRPr="00B97758">
          <w:rPr>
            <w:rStyle w:val="Hyperlink"/>
            <w:rFonts w:cs="Times New Roman"/>
          </w:rPr>
          <w:t>https://www.refworld.org/pdfid/4538838d0.pdf</w:t>
        </w:r>
      </w:hyperlink>
      <w:r>
        <w:rPr>
          <w:rStyle w:val="Hyperlink"/>
          <w:rFonts w:cs="Times New Roman"/>
        </w:rPr>
        <w:t xml:space="preserve"> </w:t>
      </w:r>
      <w:r w:rsidR="00DF712D">
        <w:rPr>
          <w:rFonts w:cs="Times New Roman"/>
        </w:rPr>
        <w:t>(last accessed 26 September 2020).</w:t>
      </w:r>
    </w:p>
  </w:footnote>
  <w:footnote w:id="83">
    <w:p w14:paraId="60A2B9CD" w14:textId="5B256FE0" w:rsidR="00BD4452" w:rsidRPr="00A94CEE" w:rsidRDefault="00BD4452" w:rsidP="00BD4452">
      <w:pPr>
        <w:pStyle w:val="FootnoteText"/>
        <w:rPr>
          <w:lang w:val="en-US"/>
        </w:rPr>
      </w:pPr>
      <w:r>
        <w:rPr>
          <w:rStyle w:val="FootnoteReference"/>
        </w:rPr>
        <w:footnoteRef/>
      </w:r>
      <w:r>
        <w:t xml:space="preserve"> </w:t>
      </w:r>
      <w:r w:rsidRPr="00BB69FA">
        <w:rPr>
          <w:iCs/>
        </w:rPr>
        <w:t>General Comment 24, Business</w:t>
      </w:r>
      <w:r w:rsidRPr="00BB69FA">
        <w:t xml:space="preserve">, n </w:t>
      </w:r>
      <w:r w:rsidRPr="00BB69FA">
        <w:fldChar w:fldCharType="begin"/>
      </w:r>
      <w:r w:rsidRPr="00BB69FA">
        <w:instrText xml:space="preserve"> NOTEREF _Ref27051343 \h </w:instrText>
      </w:r>
      <w:r w:rsidRPr="00BB69FA">
        <w:fldChar w:fldCharType="separate"/>
      </w:r>
      <w:r w:rsidR="001A0A81">
        <w:t>5</w:t>
      </w:r>
      <w:r w:rsidRPr="00BB69FA">
        <w:fldChar w:fldCharType="end"/>
      </w:r>
      <w:r w:rsidRPr="00BB69FA">
        <w:t xml:space="preserve">, </w:t>
      </w:r>
      <w:r>
        <w:t>para 22.</w:t>
      </w:r>
    </w:p>
  </w:footnote>
  <w:footnote w:id="84">
    <w:p w14:paraId="5DBEC98F" w14:textId="77777777" w:rsidR="00BD4452" w:rsidRPr="00EF0298" w:rsidRDefault="00BD4452" w:rsidP="00BD4452">
      <w:pPr>
        <w:pStyle w:val="FootnoteText"/>
      </w:pPr>
      <w:r>
        <w:rPr>
          <w:rStyle w:val="FootnoteReference"/>
        </w:rPr>
        <w:footnoteRef/>
      </w:r>
      <w:r>
        <w:t xml:space="preserve"> Al</w:t>
      </w:r>
      <w:r w:rsidRPr="00EF0298">
        <w:t>though this may breach the obligation to devote the maximum available r</w:t>
      </w:r>
      <w:r>
        <w:t>esources to all Covenant rights, see below.</w:t>
      </w:r>
    </w:p>
  </w:footnote>
  <w:footnote w:id="85">
    <w:p w14:paraId="7B4755DA" w14:textId="77777777" w:rsidR="00BD4452" w:rsidRPr="00957289" w:rsidRDefault="00BD4452" w:rsidP="00BD4452">
      <w:pPr>
        <w:pStyle w:val="FootnoteText"/>
      </w:pPr>
      <w:r>
        <w:rPr>
          <w:rStyle w:val="FootnoteReference"/>
        </w:rPr>
        <w:footnoteRef/>
      </w:r>
      <w:r>
        <w:t xml:space="preserve"> As with other state obligations, retrogressive acts are permitted when essential and when cohering to the standards laid out in:  </w:t>
      </w:r>
      <w:r w:rsidRPr="000C19E2">
        <w:rPr>
          <w:lang w:val="en-US"/>
        </w:rPr>
        <w:t>C</w:t>
      </w:r>
      <w:r>
        <w:rPr>
          <w:lang w:val="en-US"/>
        </w:rPr>
        <w:t>.</w:t>
      </w:r>
      <w:r w:rsidRPr="000C19E2">
        <w:rPr>
          <w:lang w:val="en-US"/>
        </w:rPr>
        <w:t xml:space="preserve"> </w:t>
      </w:r>
      <w:proofErr w:type="spellStart"/>
      <w:r w:rsidRPr="000C19E2">
        <w:rPr>
          <w:lang w:val="en-US"/>
        </w:rPr>
        <w:t>Courtis</w:t>
      </w:r>
      <w:proofErr w:type="spellEnd"/>
      <w:r w:rsidRPr="000C19E2">
        <w:rPr>
          <w:lang w:val="en-US"/>
        </w:rPr>
        <w:t>, N</w:t>
      </w:r>
      <w:r>
        <w:rPr>
          <w:lang w:val="en-US"/>
        </w:rPr>
        <w:t>.</w:t>
      </w:r>
      <w:r w:rsidRPr="000C19E2">
        <w:rPr>
          <w:lang w:val="en-US"/>
        </w:rPr>
        <w:t xml:space="preserve"> </w:t>
      </w:r>
      <w:proofErr w:type="spellStart"/>
      <w:r w:rsidRPr="000C19E2">
        <w:rPr>
          <w:lang w:val="en-US"/>
        </w:rPr>
        <w:t>Lusiani</w:t>
      </w:r>
      <w:proofErr w:type="spellEnd"/>
      <w:r w:rsidRPr="000C19E2">
        <w:rPr>
          <w:lang w:val="en-US"/>
        </w:rPr>
        <w:t xml:space="preserve"> and A</w:t>
      </w:r>
      <w:r>
        <w:rPr>
          <w:lang w:val="en-US"/>
        </w:rPr>
        <w:t>.</w:t>
      </w:r>
      <w:r w:rsidRPr="000C19E2">
        <w:rPr>
          <w:lang w:val="en-US"/>
        </w:rPr>
        <w:t xml:space="preserve"> Nolan, </w:t>
      </w:r>
      <w:r>
        <w:rPr>
          <w:lang w:val="en-US"/>
        </w:rPr>
        <w:t>‘</w:t>
      </w:r>
      <w:r w:rsidRPr="000C19E2">
        <w:rPr>
          <w:iCs/>
          <w:lang w:val="en-US"/>
        </w:rPr>
        <w:t xml:space="preserve">Two steps forward, no steps back? Evolving criteria on the prohibition of retrogression in economic and social </w:t>
      </w:r>
      <w:proofErr w:type="gramStart"/>
      <w:r w:rsidRPr="000C19E2">
        <w:rPr>
          <w:iCs/>
          <w:lang w:val="en-US"/>
        </w:rPr>
        <w:t>rights</w:t>
      </w:r>
      <w:r>
        <w:rPr>
          <w:iCs/>
          <w:lang w:val="en-US"/>
        </w:rPr>
        <w:t>’</w:t>
      </w:r>
      <w:proofErr w:type="gramEnd"/>
      <w:r w:rsidRPr="000C19E2">
        <w:rPr>
          <w:lang w:val="en-US"/>
        </w:rPr>
        <w:t xml:space="preserve"> in </w:t>
      </w:r>
      <w:r w:rsidRPr="000C19E2">
        <w:rPr>
          <w:i/>
          <w:lang w:val="en-US"/>
        </w:rPr>
        <w:t xml:space="preserve">Economic and social rights after the global financial crisis </w:t>
      </w:r>
      <w:r w:rsidRPr="000C19E2">
        <w:rPr>
          <w:lang w:val="en-US"/>
        </w:rPr>
        <w:t xml:space="preserve">121 (Aoife Nolan ed., 2014) [hereinafter </w:t>
      </w:r>
      <w:bookmarkStart w:id="19" w:name="_Hlk27137247"/>
      <w:proofErr w:type="spellStart"/>
      <w:r w:rsidRPr="000C19E2">
        <w:rPr>
          <w:lang w:val="en-US"/>
        </w:rPr>
        <w:t>Courtis</w:t>
      </w:r>
      <w:proofErr w:type="spellEnd"/>
      <w:r w:rsidRPr="000C19E2">
        <w:rPr>
          <w:lang w:val="en-US"/>
        </w:rPr>
        <w:t xml:space="preserve">, </w:t>
      </w:r>
      <w:proofErr w:type="spellStart"/>
      <w:r w:rsidRPr="000C19E2">
        <w:rPr>
          <w:lang w:val="en-US"/>
        </w:rPr>
        <w:t>Lusiani</w:t>
      </w:r>
      <w:proofErr w:type="spellEnd"/>
      <w:r w:rsidRPr="000C19E2">
        <w:rPr>
          <w:lang w:val="en-US"/>
        </w:rPr>
        <w:t xml:space="preserve"> and Nolan, </w:t>
      </w:r>
      <w:r w:rsidRPr="00997E34">
        <w:rPr>
          <w:iCs/>
          <w:lang w:val="en-US"/>
        </w:rPr>
        <w:t>Retrogression</w:t>
      </w:r>
      <w:bookmarkEnd w:id="19"/>
      <w:r w:rsidRPr="000C19E2">
        <w:rPr>
          <w:lang w:val="en-US"/>
        </w:rPr>
        <w:t>].</w:t>
      </w:r>
    </w:p>
  </w:footnote>
  <w:footnote w:id="86">
    <w:p w14:paraId="7AB58367" w14:textId="446309FF" w:rsidR="00BD4452" w:rsidRDefault="00BD4452" w:rsidP="00BD4452">
      <w:pPr>
        <w:pStyle w:val="FootnoteText"/>
      </w:pPr>
      <w:r>
        <w:rPr>
          <w:rStyle w:val="FootnoteReference"/>
        </w:rPr>
        <w:footnoteRef/>
      </w:r>
      <w:r>
        <w:t xml:space="preserve"> </w:t>
      </w:r>
      <w:r w:rsidR="00A74645">
        <w:t xml:space="preserve">I. </w:t>
      </w:r>
      <w:proofErr w:type="spellStart"/>
      <w:r w:rsidR="00A74645" w:rsidRPr="00A74645">
        <w:t>Yrigoy</w:t>
      </w:r>
      <w:proofErr w:type="spellEnd"/>
      <w:r w:rsidR="00A74645" w:rsidRPr="00A74645">
        <w:t xml:space="preserve">, </w:t>
      </w:r>
      <w:r w:rsidR="00A74645">
        <w:t>‘</w:t>
      </w:r>
      <w:r w:rsidR="00A74645" w:rsidRPr="00A74645">
        <w:t>The Political Economy of Rental Housing in Spain: The Dialectics of Exploitation (s) and Regulations</w:t>
      </w:r>
      <w:r w:rsidR="00A74645">
        <w:t>’,</w:t>
      </w:r>
      <w:r w:rsidR="00A74645" w:rsidRPr="00A74645">
        <w:t> </w:t>
      </w:r>
      <w:r w:rsidR="00A74645" w:rsidRPr="00A74645">
        <w:rPr>
          <w:i/>
          <w:iCs/>
        </w:rPr>
        <w:t>New Political Economy</w:t>
      </w:r>
      <w:r w:rsidR="00A74645" w:rsidRPr="00A74645">
        <w:t> (2020): 1</w:t>
      </w:r>
      <w:r w:rsidR="00A74645">
        <w:t>, 6-</w:t>
      </w:r>
      <w:r w:rsidR="00A74645" w:rsidRPr="00A74645">
        <w:t>7.</w:t>
      </w:r>
    </w:p>
  </w:footnote>
  <w:footnote w:id="87">
    <w:p w14:paraId="207F0653" w14:textId="73132C68" w:rsidR="00BD4452" w:rsidRDefault="00BD4452" w:rsidP="00BD4452">
      <w:pPr>
        <w:pStyle w:val="FootnoteText"/>
      </w:pPr>
      <w:r>
        <w:rPr>
          <w:rStyle w:val="FootnoteReference"/>
        </w:rPr>
        <w:footnoteRef/>
      </w:r>
      <w:r>
        <w:t xml:space="preserve"> </w:t>
      </w:r>
      <w:r w:rsidR="00E633F5">
        <w:t xml:space="preserve">F. </w:t>
      </w:r>
      <w:r w:rsidR="00E633F5" w:rsidRPr="00E633F5">
        <w:t>Macdonald, Fiona, E</w:t>
      </w:r>
      <w:r w:rsidR="00E633F5">
        <w:t xml:space="preserve">. </w:t>
      </w:r>
      <w:r w:rsidR="00E633F5" w:rsidRPr="00E633F5">
        <w:t>Bentham, and J</w:t>
      </w:r>
      <w:r w:rsidR="00E633F5">
        <w:t xml:space="preserve">. </w:t>
      </w:r>
      <w:r w:rsidR="00E633F5" w:rsidRPr="00E633F5">
        <w:t>Malone</w:t>
      </w:r>
      <w:r w:rsidR="00E633F5">
        <w:t>, ‘</w:t>
      </w:r>
      <w:r w:rsidR="00E633F5" w:rsidRPr="00E633F5">
        <w:t xml:space="preserve">Wage theft, underpayment and unpaid work in </w:t>
      </w:r>
      <w:proofErr w:type="spellStart"/>
      <w:r w:rsidR="00E633F5" w:rsidRPr="00E633F5">
        <w:t>marketised</w:t>
      </w:r>
      <w:proofErr w:type="spellEnd"/>
      <w:r w:rsidR="00E633F5" w:rsidRPr="00E633F5">
        <w:t xml:space="preserve"> social care</w:t>
      </w:r>
      <w:r w:rsidR="00E633F5">
        <w:t>’,</w:t>
      </w:r>
      <w:r w:rsidR="00E633F5" w:rsidRPr="00E633F5">
        <w:t> </w:t>
      </w:r>
      <w:r w:rsidR="00E633F5" w:rsidRPr="00E633F5">
        <w:rPr>
          <w:i/>
          <w:iCs/>
        </w:rPr>
        <w:t>The Economic and Labour Relations Review</w:t>
      </w:r>
      <w:r w:rsidR="00E633F5" w:rsidRPr="00E633F5">
        <w:t> 29.1 (2018)</w:t>
      </w:r>
      <w:r w:rsidR="00E633F5">
        <w:t>,</w:t>
      </w:r>
      <w:r w:rsidR="00E633F5" w:rsidRPr="00E633F5">
        <w:t xml:space="preserve"> 8</w:t>
      </w:r>
      <w:r w:rsidR="00E633F5">
        <w:t>0</w:t>
      </w:r>
      <w:r w:rsidR="00E633F5" w:rsidRPr="00E633F5">
        <w:t>.</w:t>
      </w:r>
    </w:p>
  </w:footnote>
  <w:footnote w:id="88">
    <w:p w14:paraId="44225407" w14:textId="0BDFD517" w:rsidR="00BD4452" w:rsidRDefault="00BD4452" w:rsidP="00BD4452">
      <w:pPr>
        <w:pStyle w:val="FootnoteText"/>
      </w:pPr>
      <w:r>
        <w:rPr>
          <w:rStyle w:val="FootnoteReference"/>
        </w:rPr>
        <w:footnoteRef/>
      </w:r>
      <w:r>
        <w:t xml:space="preserve"> </w:t>
      </w:r>
      <w:r w:rsidR="00252D78">
        <w:t xml:space="preserve">J. </w:t>
      </w:r>
      <w:r w:rsidR="00E633F5" w:rsidRPr="00E633F5">
        <w:t>O</w:t>
      </w:r>
      <w:r w:rsidR="00252D78">
        <w:t>pie</w:t>
      </w:r>
      <w:r w:rsidR="00E633F5">
        <w:t>, ‘</w:t>
      </w:r>
      <w:r w:rsidR="00E633F5" w:rsidRPr="00E633F5">
        <w:t>The right to reasonably limited working hours in the smartphone ERA</w:t>
      </w:r>
      <w:r w:rsidR="00E633F5">
        <w:t>’,</w:t>
      </w:r>
      <w:r w:rsidR="00E633F5" w:rsidRPr="00E633F5">
        <w:t> </w:t>
      </w:r>
      <w:r w:rsidR="00E633F5" w:rsidRPr="00E633F5">
        <w:rPr>
          <w:i/>
          <w:iCs/>
        </w:rPr>
        <w:t>New Zealand Journal of Employment Relations</w:t>
      </w:r>
      <w:r w:rsidR="00E633F5" w:rsidRPr="00E633F5">
        <w:t> 41.3 (2017)</w:t>
      </w:r>
      <w:r w:rsidR="00E633F5">
        <w:t xml:space="preserve">, </w:t>
      </w:r>
      <w:r w:rsidR="00E633F5" w:rsidRPr="00E633F5">
        <w:t>24.</w:t>
      </w:r>
    </w:p>
  </w:footnote>
  <w:footnote w:id="89">
    <w:p w14:paraId="73FE5B05" w14:textId="4987E25D" w:rsidR="00BD4452" w:rsidRPr="00970138" w:rsidRDefault="00BD4452" w:rsidP="00BD4452">
      <w:pPr>
        <w:pStyle w:val="FootnoteText"/>
      </w:pPr>
      <w:r>
        <w:rPr>
          <w:rStyle w:val="FootnoteReference"/>
        </w:rPr>
        <w:footnoteRef/>
      </w:r>
      <w:r>
        <w:t xml:space="preserve"> </w:t>
      </w:r>
      <w:r w:rsidR="000468C3">
        <w:t xml:space="preserve">G. </w:t>
      </w:r>
      <w:proofErr w:type="spellStart"/>
      <w:r w:rsidR="000468C3">
        <w:t>Topham</w:t>
      </w:r>
      <w:proofErr w:type="spellEnd"/>
      <w:r w:rsidR="000468C3">
        <w:t>, ‘</w:t>
      </w:r>
      <w:r w:rsidR="000468C3" w:rsidRPr="000468C3">
        <w:t>BA begins to carry out its 'fire and rehire' threat to jobs</w:t>
      </w:r>
      <w:r w:rsidR="000468C3">
        <w:t xml:space="preserve">’ </w:t>
      </w:r>
      <w:r w:rsidR="000468C3">
        <w:rPr>
          <w:i/>
          <w:iCs/>
        </w:rPr>
        <w:t>The Guardian</w:t>
      </w:r>
      <w:r w:rsidR="00970138">
        <w:rPr>
          <w:i/>
          <w:iCs/>
        </w:rPr>
        <w:t xml:space="preserve"> </w:t>
      </w:r>
      <w:r w:rsidR="00970138">
        <w:t xml:space="preserve">17 July 2020, </w:t>
      </w:r>
      <w:hyperlink r:id="rId14" w:history="1">
        <w:r w:rsidR="00970138" w:rsidRPr="001F132F">
          <w:rPr>
            <w:rStyle w:val="Hyperlink"/>
          </w:rPr>
          <w:t>https://www.theguardian.com/business/2020/jul/17/ba-begins-to-carry-out-its-fire-and-rehire-threat-to-jobs</w:t>
        </w:r>
      </w:hyperlink>
      <w:r w:rsidR="00970138">
        <w:t xml:space="preserve"> [last accessed 16 September 2020</w:t>
      </w:r>
      <w:r w:rsidR="003A2882">
        <w:t>].</w:t>
      </w:r>
    </w:p>
  </w:footnote>
  <w:footnote w:id="90">
    <w:p w14:paraId="7FF6BDC8" w14:textId="7DACF917" w:rsidR="00BD4452" w:rsidRDefault="00BD4452" w:rsidP="00BD4452">
      <w:pPr>
        <w:pStyle w:val="FootnoteText"/>
      </w:pPr>
      <w:r>
        <w:rPr>
          <w:rStyle w:val="FootnoteReference"/>
        </w:rPr>
        <w:footnoteRef/>
      </w:r>
      <w:r>
        <w:t xml:space="preserve"> </w:t>
      </w:r>
      <w:r w:rsidR="00855DD4">
        <w:t xml:space="preserve">A. </w:t>
      </w:r>
      <w:proofErr w:type="spellStart"/>
      <w:r w:rsidR="00855DD4" w:rsidRPr="00855DD4">
        <w:t>Spithoven</w:t>
      </w:r>
      <w:proofErr w:type="spellEnd"/>
      <w:r w:rsidR="00855DD4" w:rsidRPr="00855DD4">
        <w:t>, The influence of vested interests on healthcare legislation in the USA, 2009–2010</w:t>
      </w:r>
      <w:r w:rsidR="00252D78">
        <w:t>’,</w:t>
      </w:r>
      <w:r w:rsidR="00855DD4" w:rsidRPr="00855DD4">
        <w:t> </w:t>
      </w:r>
      <w:r w:rsidR="00855DD4" w:rsidRPr="00855DD4">
        <w:rPr>
          <w:i/>
          <w:iCs/>
        </w:rPr>
        <w:t>Journal of Economic Issues</w:t>
      </w:r>
      <w:r w:rsidR="00855DD4" w:rsidRPr="00855DD4">
        <w:t> 50.2 (2016)</w:t>
      </w:r>
      <w:r w:rsidR="00252D78">
        <w:t>, 630</w:t>
      </w:r>
      <w:r w:rsidR="00855DD4" w:rsidRPr="00855DD4">
        <w:t>.</w:t>
      </w:r>
    </w:p>
  </w:footnote>
  <w:footnote w:id="91">
    <w:p w14:paraId="3A737F3E" w14:textId="62E338E2" w:rsidR="008F6527" w:rsidRPr="00B97758" w:rsidRDefault="008F6527" w:rsidP="008F6527">
      <w:pPr>
        <w:pStyle w:val="FootnoteText"/>
        <w:rPr>
          <w:lang w:val="en-US"/>
        </w:rPr>
      </w:pPr>
      <w:r>
        <w:rPr>
          <w:rStyle w:val="FootnoteReference"/>
        </w:rPr>
        <w:footnoteRef/>
      </w:r>
      <w:r>
        <w:t xml:space="preserve"> </w:t>
      </w:r>
      <w:r w:rsidRPr="00C21DA4">
        <w:t xml:space="preserve">Eide, Report on Food, n </w:t>
      </w:r>
      <w:r>
        <w:fldChar w:fldCharType="begin"/>
      </w:r>
      <w:r>
        <w:instrText xml:space="preserve"> NOTEREF _Ref27468763 \h </w:instrText>
      </w:r>
      <w:r>
        <w:fldChar w:fldCharType="separate"/>
      </w:r>
      <w:r w:rsidR="001A0A81">
        <w:t>59</w:t>
      </w:r>
      <w:r>
        <w:fldChar w:fldCharType="end"/>
      </w:r>
      <w:r>
        <w:t>, para. 68</w:t>
      </w:r>
    </w:p>
  </w:footnote>
  <w:footnote w:id="92">
    <w:p w14:paraId="7BE54842" w14:textId="77777777" w:rsidR="008F6527" w:rsidRPr="00311166" w:rsidRDefault="008F6527" w:rsidP="008F6527">
      <w:pPr>
        <w:pStyle w:val="FootnoteText"/>
        <w:rPr>
          <w:lang w:val="en-US"/>
        </w:rPr>
      </w:pPr>
      <w:r>
        <w:rPr>
          <w:rStyle w:val="FootnoteReference"/>
        </w:rPr>
        <w:footnoteRef/>
      </w:r>
      <w:r>
        <w:t xml:space="preserve"> </w:t>
      </w:r>
      <w:r w:rsidRPr="00311166">
        <w:t>A</w:t>
      </w:r>
      <w:r>
        <w:t>. Eide, ‘</w:t>
      </w:r>
      <w:r w:rsidRPr="00311166">
        <w:t xml:space="preserve">Human rights </w:t>
      </w:r>
      <w:r>
        <w:t>and the elimination of poverty’ (1997)</w:t>
      </w:r>
      <w:r w:rsidRPr="00311166">
        <w:t> </w:t>
      </w:r>
      <w:r w:rsidRPr="00311166">
        <w:rPr>
          <w:i/>
          <w:iCs/>
        </w:rPr>
        <w:t>Law, Power and Poverty</w:t>
      </w:r>
      <w:r>
        <w:t>,</w:t>
      </w:r>
      <w:r w:rsidRPr="00311166">
        <w:t xml:space="preserve"> 117.</w:t>
      </w:r>
      <w:r>
        <w:t xml:space="preserve"> </w:t>
      </w:r>
    </w:p>
  </w:footnote>
  <w:footnote w:id="93">
    <w:p w14:paraId="26120AE8" w14:textId="77777777" w:rsidR="008F6527" w:rsidRPr="00C21DA4" w:rsidRDefault="008F6527" w:rsidP="008F6527">
      <w:pPr>
        <w:pStyle w:val="FootnoteText"/>
      </w:pPr>
      <w:r>
        <w:rPr>
          <w:rStyle w:val="FootnoteReference"/>
        </w:rPr>
        <w:footnoteRef/>
      </w:r>
      <w:r>
        <w:t xml:space="preserve"> </w:t>
      </w:r>
      <w:r>
        <w:rPr>
          <w:rFonts w:cs="Times New Roman"/>
        </w:rPr>
        <w:t xml:space="preserve">id. </w:t>
      </w:r>
    </w:p>
  </w:footnote>
  <w:footnote w:id="94">
    <w:p w14:paraId="1D3934BC" w14:textId="1AF2159C" w:rsidR="008F6527" w:rsidRPr="00A176A2" w:rsidRDefault="008F6527" w:rsidP="008F6527">
      <w:pPr>
        <w:pStyle w:val="FootnoteText"/>
        <w:rPr>
          <w:lang w:val="en-US"/>
        </w:rPr>
      </w:pPr>
      <w:r>
        <w:rPr>
          <w:rStyle w:val="FootnoteReference"/>
        </w:rPr>
        <w:footnoteRef/>
      </w:r>
      <w:r>
        <w:t xml:space="preserve"> </w:t>
      </w:r>
      <w:r w:rsidRPr="00313780">
        <w:t xml:space="preserve">Maastricht </w:t>
      </w:r>
      <w:r>
        <w:t>Guidelines</w:t>
      </w:r>
      <w:r>
        <w:rPr>
          <w:lang w:val="en-US"/>
        </w:rPr>
        <w:t xml:space="preserve">, n </w:t>
      </w:r>
      <w:r>
        <w:rPr>
          <w:lang w:val="en-US"/>
        </w:rPr>
        <w:fldChar w:fldCharType="begin"/>
      </w:r>
      <w:r>
        <w:rPr>
          <w:lang w:val="en-US"/>
        </w:rPr>
        <w:instrText xml:space="preserve"> NOTEREF _Ref27130967 \h </w:instrText>
      </w:r>
      <w:r>
        <w:rPr>
          <w:lang w:val="en-US"/>
        </w:rPr>
      </w:r>
      <w:r>
        <w:rPr>
          <w:lang w:val="en-US"/>
        </w:rPr>
        <w:fldChar w:fldCharType="separate"/>
      </w:r>
      <w:r w:rsidR="001A0A81">
        <w:rPr>
          <w:lang w:val="en-US"/>
        </w:rPr>
        <w:t>63</w:t>
      </w:r>
      <w:r>
        <w:rPr>
          <w:lang w:val="en-US"/>
        </w:rPr>
        <w:fldChar w:fldCharType="end"/>
      </w:r>
      <w:r>
        <w:rPr>
          <w:lang w:val="en-US"/>
        </w:rPr>
        <w:t>, para. 6.</w:t>
      </w:r>
    </w:p>
  </w:footnote>
  <w:footnote w:id="95">
    <w:p w14:paraId="5FC73F70" w14:textId="5E4EE943" w:rsidR="00D726FB" w:rsidRDefault="00D726FB" w:rsidP="00D726FB">
      <w:pPr>
        <w:pStyle w:val="FootnoteText"/>
        <w:rPr>
          <w:rFonts w:cs="Times New Roman"/>
        </w:rPr>
      </w:pPr>
      <w:r>
        <w:rPr>
          <w:rStyle w:val="FootnoteReference"/>
          <w:rFonts w:cs="Times New Roman"/>
        </w:rPr>
        <w:footnoteRef/>
      </w:r>
      <w:r>
        <w:rPr>
          <w:rFonts w:cs="Times New Roman"/>
        </w:rPr>
        <w:t xml:space="preserve"> </w:t>
      </w:r>
      <w:r w:rsidRPr="0065091F">
        <w:rPr>
          <w:iCs/>
        </w:rPr>
        <w:t>General Comment 24, Business</w:t>
      </w:r>
      <w:r w:rsidRPr="0065091F">
        <w:t xml:space="preserve">, n </w:t>
      </w:r>
      <w:r w:rsidRPr="0065091F">
        <w:fldChar w:fldCharType="begin"/>
      </w:r>
      <w:r w:rsidRPr="0065091F">
        <w:instrText xml:space="preserve"> NOTEREF _Ref27051343 \h </w:instrText>
      </w:r>
      <w:r w:rsidRPr="0065091F">
        <w:fldChar w:fldCharType="separate"/>
      </w:r>
      <w:r w:rsidR="001A0A81">
        <w:t>5</w:t>
      </w:r>
      <w:r w:rsidRPr="0065091F">
        <w:fldChar w:fldCharType="end"/>
      </w:r>
      <w:r w:rsidRPr="0065091F">
        <w:t xml:space="preserve">, </w:t>
      </w:r>
      <w:r>
        <w:t xml:space="preserve">para </w:t>
      </w:r>
      <w:r>
        <w:rPr>
          <w:rFonts w:cs="Times New Roman"/>
        </w:rPr>
        <w:t>21.</w:t>
      </w:r>
    </w:p>
  </w:footnote>
  <w:footnote w:id="96">
    <w:p w14:paraId="79D99B1A" w14:textId="7CFFDDD6" w:rsidR="00D726FB" w:rsidRPr="00C501C6" w:rsidRDefault="00D726FB" w:rsidP="00D726FB">
      <w:pPr>
        <w:pStyle w:val="FootnoteText"/>
        <w:rPr>
          <w:lang w:val="en-US"/>
        </w:rPr>
      </w:pPr>
      <w:r>
        <w:rPr>
          <w:rStyle w:val="FootnoteReference"/>
        </w:rPr>
        <w:footnoteRef/>
      </w:r>
      <w:r>
        <w:t xml:space="preserve"> Nolan, Privatization, n </w:t>
      </w:r>
      <w:r>
        <w:fldChar w:fldCharType="begin"/>
      </w:r>
      <w:r>
        <w:instrText xml:space="preserve"> NOTEREF _Ref27128569 \h </w:instrText>
      </w:r>
      <w:r>
        <w:fldChar w:fldCharType="separate"/>
      </w:r>
      <w:r w:rsidR="001A0A81">
        <w:t>26</w:t>
      </w:r>
      <w:r>
        <w:fldChar w:fldCharType="end"/>
      </w:r>
      <w:r>
        <w:t>, 833.</w:t>
      </w:r>
    </w:p>
  </w:footnote>
  <w:footnote w:id="97">
    <w:p w14:paraId="2C203878" w14:textId="77777777" w:rsidR="00D726FB" w:rsidRPr="00B97758" w:rsidRDefault="00D726FB" w:rsidP="00D726FB">
      <w:pPr>
        <w:pStyle w:val="FootnoteText"/>
        <w:rPr>
          <w:rFonts w:cs="Times New Roman"/>
        </w:rPr>
      </w:pPr>
      <w:r w:rsidRPr="00B97758">
        <w:rPr>
          <w:rStyle w:val="FootnoteReference"/>
          <w:rFonts w:cs="Times New Roman"/>
        </w:rPr>
        <w:footnoteRef/>
      </w:r>
      <w:r w:rsidRPr="00B97758">
        <w:rPr>
          <w:rFonts w:cs="Times New Roman"/>
        </w:rPr>
        <w:t xml:space="preserve"> </w:t>
      </w:r>
      <w:r>
        <w:t xml:space="preserve">id. </w:t>
      </w:r>
      <w:r w:rsidRPr="00B97758">
        <w:rPr>
          <w:rFonts w:cs="Times New Roman"/>
        </w:rPr>
        <w:t>833</w:t>
      </w:r>
      <w:r>
        <w:rPr>
          <w:rFonts w:cs="Times New Roman"/>
        </w:rPr>
        <w:t>.</w:t>
      </w:r>
    </w:p>
  </w:footnote>
  <w:footnote w:id="98">
    <w:p w14:paraId="6B232F87" w14:textId="77777777" w:rsidR="00D726FB" w:rsidRPr="00C501C6" w:rsidRDefault="00D726FB" w:rsidP="00D726FB">
      <w:pPr>
        <w:pStyle w:val="FootnoteText"/>
        <w:rPr>
          <w:lang w:val="en-US"/>
        </w:rPr>
      </w:pPr>
      <w:r>
        <w:rPr>
          <w:rStyle w:val="FootnoteReference"/>
        </w:rPr>
        <w:footnoteRef/>
      </w:r>
      <w:r>
        <w:t xml:space="preserve"> id. 834.</w:t>
      </w:r>
    </w:p>
  </w:footnote>
  <w:footnote w:id="99">
    <w:p w14:paraId="3FE34960" w14:textId="77777777" w:rsidR="00D726FB" w:rsidRPr="00C501C6" w:rsidRDefault="00D726FB" w:rsidP="00D726FB">
      <w:pPr>
        <w:pStyle w:val="FootnoteText"/>
        <w:rPr>
          <w:lang w:val="en-US"/>
        </w:rPr>
      </w:pPr>
      <w:r>
        <w:rPr>
          <w:rStyle w:val="FootnoteReference"/>
        </w:rPr>
        <w:footnoteRef/>
      </w:r>
      <w:r>
        <w:t xml:space="preserve"> id. 835.</w:t>
      </w:r>
    </w:p>
  </w:footnote>
  <w:footnote w:id="100">
    <w:p w14:paraId="2638A1B5" w14:textId="194EE5CC" w:rsidR="00BB271E" w:rsidRDefault="00BB271E" w:rsidP="00BB271E">
      <w:pPr>
        <w:pStyle w:val="FootnoteText"/>
      </w:pPr>
      <w:r>
        <w:rPr>
          <w:rStyle w:val="FootnoteReference"/>
        </w:rPr>
        <w:footnoteRef/>
      </w:r>
      <w:r w:rsidR="007511B6">
        <w:t xml:space="preserve"> </w:t>
      </w:r>
      <w:r w:rsidR="007511B6" w:rsidRPr="007511B6">
        <w:rPr>
          <w:iCs/>
        </w:rPr>
        <w:t>General Comment 24, Business</w:t>
      </w:r>
      <w:r w:rsidR="007511B6" w:rsidRPr="007511B6">
        <w:t xml:space="preserve">, n </w:t>
      </w:r>
      <w:r w:rsidR="007511B6" w:rsidRPr="007511B6">
        <w:fldChar w:fldCharType="begin"/>
      </w:r>
      <w:r w:rsidR="007511B6" w:rsidRPr="007511B6">
        <w:instrText xml:space="preserve"> NOTEREF _Ref27051343 \h </w:instrText>
      </w:r>
      <w:r w:rsidR="007511B6" w:rsidRPr="007511B6">
        <w:fldChar w:fldCharType="separate"/>
      </w:r>
      <w:r w:rsidR="001A0A81">
        <w:t>5</w:t>
      </w:r>
      <w:r w:rsidR="007511B6" w:rsidRPr="007511B6">
        <w:fldChar w:fldCharType="end"/>
      </w:r>
      <w:r w:rsidR="007511B6" w:rsidRPr="007511B6">
        <w:t>,</w:t>
      </w:r>
      <w:r>
        <w:t xml:space="preserve"> para. 24</w:t>
      </w:r>
      <w:r w:rsidR="007511B6">
        <w:t>.</w:t>
      </w:r>
    </w:p>
  </w:footnote>
  <w:footnote w:id="101">
    <w:p w14:paraId="65A06702" w14:textId="1506EDAC" w:rsidR="00BB271E" w:rsidRPr="00B97758" w:rsidRDefault="00BB271E" w:rsidP="00BB271E">
      <w:pPr>
        <w:pStyle w:val="FootnoteText"/>
        <w:rPr>
          <w:rFonts w:cs="Times New Roman"/>
        </w:rPr>
      </w:pPr>
      <w:r w:rsidRPr="00B97758">
        <w:rPr>
          <w:rStyle w:val="FootnoteReference"/>
          <w:rFonts w:cs="Times New Roman"/>
        </w:rPr>
        <w:footnoteRef/>
      </w:r>
      <w:r w:rsidRPr="00B97758">
        <w:rPr>
          <w:rFonts w:cs="Times New Roman"/>
        </w:rPr>
        <w:t xml:space="preserve"> </w:t>
      </w:r>
      <w:r>
        <w:rPr>
          <w:rFonts w:cs="Times New Roman"/>
        </w:rPr>
        <w:t>CESCR</w:t>
      </w:r>
      <w:r w:rsidRPr="00CE25B3">
        <w:rPr>
          <w:rFonts w:cs="Times New Roman"/>
        </w:rPr>
        <w:t xml:space="preserve"> General Comment No. 15: The Right to Water (Arts. 11 and 12 of the Covenant), 20 January 2003, E/C.12/2002/11, </w:t>
      </w:r>
      <w:r>
        <w:rPr>
          <w:rFonts w:cs="Times New Roman"/>
        </w:rPr>
        <w:t xml:space="preserve">para. 44(b) </w:t>
      </w:r>
      <w:r w:rsidRPr="00CE25B3">
        <w:rPr>
          <w:rFonts w:cs="Times New Roman"/>
        </w:rPr>
        <w:t xml:space="preserve">available at: </w:t>
      </w:r>
      <w:hyperlink r:id="rId15" w:history="1">
        <w:r w:rsidRPr="00B97758">
          <w:rPr>
            <w:rStyle w:val="Hyperlink"/>
            <w:rFonts w:cs="Times New Roman"/>
          </w:rPr>
          <w:t>https://www.refworld.org/docid/4538838d11.html</w:t>
        </w:r>
      </w:hyperlink>
      <w:r w:rsidRPr="00B97758">
        <w:rPr>
          <w:rFonts w:cs="Times New Roman"/>
        </w:rPr>
        <w:t xml:space="preserve"> </w:t>
      </w:r>
      <w:r w:rsidR="00D84ECF" w:rsidRPr="00D84ECF">
        <w:rPr>
          <w:rFonts w:cs="Times New Roman"/>
        </w:rPr>
        <w:t>(last accessed 26 September 2020).</w:t>
      </w:r>
    </w:p>
  </w:footnote>
  <w:footnote w:id="102">
    <w:p w14:paraId="559C91CA" w14:textId="77777777" w:rsidR="00BB271E" w:rsidRPr="00B97758" w:rsidRDefault="00BB271E" w:rsidP="00BB271E">
      <w:pPr>
        <w:pStyle w:val="FootnoteText"/>
        <w:rPr>
          <w:rFonts w:cs="Times New Roman"/>
        </w:rPr>
      </w:pPr>
      <w:r w:rsidRPr="00B97758">
        <w:rPr>
          <w:rStyle w:val="FootnoteReference"/>
          <w:rFonts w:cs="Times New Roman"/>
        </w:rPr>
        <w:footnoteRef/>
      </w:r>
      <w:r w:rsidRPr="00B97758">
        <w:rPr>
          <w:rFonts w:cs="Times New Roman"/>
        </w:rPr>
        <w:t xml:space="preserve"> </w:t>
      </w:r>
      <w:r w:rsidRPr="00CE25B3">
        <w:rPr>
          <w:rFonts w:cs="Times New Roman"/>
        </w:rPr>
        <w:t xml:space="preserve">id. para </w:t>
      </w:r>
      <w:r>
        <w:rPr>
          <w:rFonts w:cs="Times New Roman"/>
        </w:rPr>
        <w:t>44(c).</w:t>
      </w:r>
    </w:p>
  </w:footnote>
  <w:footnote w:id="103">
    <w:p w14:paraId="7291D8F5" w14:textId="5E58422A" w:rsidR="00BB271E" w:rsidRPr="00B97758" w:rsidRDefault="00BB271E" w:rsidP="00BB271E">
      <w:pPr>
        <w:pStyle w:val="FootnoteText"/>
        <w:rPr>
          <w:rFonts w:cs="Times New Roman"/>
        </w:rPr>
      </w:pPr>
      <w:r w:rsidRPr="00B97758">
        <w:rPr>
          <w:rStyle w:val="FootnoteReference"/>
          <w:rFonts w:cs="Times New Roman"/>
        </w:rPr>
        <w:footnoteRef/>
      </w:r>
      <w:r w:rsidRPr="00B97758">
        <w:rPr>
          <w:rFonts w:cs="Times New Roman"/>
        </w:rPr>
        <w:t xml:space="preserve"> </w:t>
      </w:r>
      <w:r>
        <w:rPr>
          <w:rFonts w:cs="Times New Roman"/>
        </w:rPr>
        <w:t>CESCR</w:t>
      </w:r>
      <w:r w:rsidRPr="00CE25B3">
        <w:rPr>
          <w:rFonts w:cs="Times New Roman"/>
        </w:rPr>
        <w:t>, </w:t>
      </w:r>
      <w:r>
        <w:rPr>
          <w:rFonts w:cs="Times New Roman"/>
          <w:iCs/>
        </w:rPr>
        <w:t>Ge</w:t>
      </w:r>
      <w:r w:rsidRPr="00CE25B3">
        <w:rPr>
          <w:rFonts w:cs="Times New Roman"/>
          <w:iCs/>
        </w:rPr>
        <w:t>neral Comment No. 19: The right to social security (Art. 9 of the Covenant)</w:t>
      </w:r>
      <w:r w:rsidRPr="00CE25B3">
        <w:rPr>
          <w:rFonts w:cs="Times New Roman"/>
        </w:rPr>
        <w:t>, 4 February 2008, E/C.12/GC/19, </w:t>
      </w:r>
      <w:r>
        <w:rPr>
          <w:rFonts w:cs="Times New Roman"/>
        </w:rPr>
        <w:t xml:space="preserve">paras. 45-6, </w:t>
      </w:r>
      <w:r w:rsidRPr="00CE25B3">
        <w:rPr>
          <w:rFonts w:cs="Times New Roman"/>
        </w:rPr>
        <w:t xml:space="preserve">available at: </w:t>
      </w:r>
      <w:hyperlink r:id="rId16" w:history="1">
        <w:r w:rsidRPr="00B97758">
          <w:rPr>
            <w:rStyle w:val="Hyperlink"/>
            <w:rFonts w:cs="Times New Roman"/>
          </w:rPr>
          <w:t>https://www.refworld.org/docid/47b17b5b39c.html</w:t>
        </w:r>
      </w:hyperlink>
      <w:r>
        <w:rPr>
          <w:rFonts w:cs="Times New Roman"/>
        </w:rPr>
        <w:t xml:space="preserve"> </w:t>
      </w:r>
      <w:r w:rsidR="00D84ECF" w:rsidRPr="00D84ECF">
        <w:rPr>
          <w:rFonts w:cs="Times New Roman"/>
        </w:rPr>
        <w:t>(last accessed 26 September 2020).</w:t>
      </w:r>
    </w:p>
  </w:footnote>
  <w:footnote w:id="104">
    <w:p w14:paraId="527864A4" w14:textId="63607905" w:rsidR="00592C00" w:rsidRDefault="00592C00">
      <w:pPr>
        <w:pStyle w:val="FootnoteText"/>
      </w:pPr>
      <w:r>
        <w:rPr>
          <w:rStyle w:val="FootnoteReference"/>
        </w:rPr>
        <w:footnoteRef/>
      </w:r>
      <w:r>
        <w:t xml:space="preserve"> </w:t>
      </w:r>
      <w:r w:rsidR="00120963" w:rsidRPr="00120963">
        <w:t xml:space="preserve">General Comment 23, n </w:t>
      </w:r>
      <w:r w:rsidR="00120963" w:rsidRPr="00120963">
        <w:fldChar w:fldCharType="begin"/>
      </w:r>
      <w:r w:rsidR="00120963" w:rsidRPr="00120963">
        <w:instrText xml:space="preserve"> NOTEREF _Ref51171980 \h </w:instrText>
      </w:r>
      <w:r w:rsidR="00120963" w:rsidRPr="00120963">
        <w:fldChar w:fldCharType="separate"/>
      </w:r>
      <w:r w:rsidR="001A0A81">
        <w:t>51</w:t>
      </w:r>
      <w:r w:rsidR="00120963" w:rsidRPr="00120963">
        <w:fldChar w:fldCharType="end"/>
      </w:r>
      <w:r w:rsidR="00120963" w:rsidRPr="00120963">
        <w:t>, para. 61.</w:t>
      </w:r>
    </w:p>
  </w:footnote>
  <w:footnote w:id="105">
    <w:p w14:paraId="2A3B032F" w14:textId="77777777" w:rsidR="00BB271E" w:rsidRPr="0010235B" w:rsidRDefault="00BB271E" w:rsidP="00BB271E">
      <w:pPr>
        <w:pStyle w:val="FootnoteText"/>
      </w:pPr>
      <w:r>
        <w:rPr>
          <w:rStyle w:val="FootnoteReference"/>
        </w:rPr>
        <w:footnoteRef/>
      </w:r>
      <w:r>
        <w:t xml:space="preserve"> </w:t>
      </w:r>
      <w:r>
        <w:rPr>
          <w:lang w:val="en-US"/>
        </w:rPr>
        <w:t>CESCR</w:t>
      </w:r>
      <w:r w:rsidRPr="004F378B">
        <w:rPr>
          <w:lang w:val="en-US"/>
        </w:rPr>
        <w:t xml:space="preserve">, </w:t>
      </w:r>
      <w:r w:rsidRPr="00A13859">
        <w:t>Concluding observations on the sixth periodic report of the United Kingdom of Great Britain and Northern Ireland</w:t>
      </w:r>
      <w:r>
        <w:t xml:space="preserve">, </w:t>
      </w:r>
      <w:r w:rsidRPr="00A13859">
        <w:t>E/C.12/GBR/CO/6</w:t>
      </w:r>
      <w:r>
        <w:t xml:space="preserve">, </w:t>
      </w:r>
      <w:r w:rsidRPr="00A13859">
        <w:t>14 July 2016</w:t>
      </w:r>
      <w:r>
        <w:t>, para. 37.</w:t>
      </w:r>
    </w:p>
  </w:footnote>
  <w:footnote w:id="106">
    <w:p w14:paraId="34F5FCF7" w14:textId="77777777" w:rsidR="00BB271E" w:rsidRDefault="00BB271E" w:rsidP="00BB271E">
      <w:pPr>
        <w:pStyle w:val="FootnoteText"/>
        <w:rPr>
          <w:rFonts w:cs="Times New Roman"/>
        </w:rPr>
      </w:pPr>
      <w:r>
        <w:rPr>
          <w:rStyle w:val="FootnoteReference"/>
        </w:rPr>
        <w:footnoteRef/>
      </w:r>
      <w:r>
        <w:t xml:space="preserve"> CESCR</w:t>
      </w:r>
      <w:r w:rsidRPr="0076224F">
        <w:t xml:space="preserve">, </w:t>
      </w:r>
      <w:proofErr w:type="gramStart"/>
      <w:r w:rsidRPr="0076224F">
        <w:t>Concluding</w:t>
      </w:r>
      <w:proofErr w:type="gramEnd"/>
      <w:r w:rsidRPr="0076224F">
        <w:t xml:space="preserve"> observations on the sixth periodic report of Canada, E/C.12/CAN/CO/6, 23 March 2016 </w:t>
      </w:r>
      <w:r>
        <w:rPr>
          <w:lang w:val="en-US"/>
        </w:rPr>
        <w:t>para. 40(c).</w:t>
      </w:r>
    </w:p>
  </w:footnote>
  <w:footnote w:id="107">
    <w:p w14:paraId="3ED78050" w14:textId="7BD7E095" w:rsidR="00AA5B17" w:rsidRDefault="00AA5B17" w:rsidP="00AA5B17">
      <w:pPr>
        <w:pStyle w:val="FootnoteText"/>
        <w:rPr>
          <w:rFonts w:cs="Times New Roman"/>
        </w:rPr>
      </w:pPr>
      <w:r>
        <w:rPr>
          <w:rStyle w:val="FootnoteReference"/>
          <w:rFonts w:cs="Times New Roman"/>
        </w:rPr>
        <w:footnoteRef/>
      </w:r>
      <w:r>
        <w:rPr>
          <w:rFonts w:cs="Times New Roman"/>
        </w:rPr>
        <w:t xml:space="preserve"> </w:t>
      </w:r>
      <w:r>
        <w:rPr>
          <w:lang w:val="en-US"/>
        </w:rPr>
        <w:t xml:space="preserve">General Comment, Health, n </w:t>
      </w:r>
      <w:r>
        <w:rPr>
          <w:lang w:val="en-US"/>
        </w:rPr>
        <w:fldChar w:fldCharType="begin"/>
      </w:r>
      <w:r>
        <w:rPr>
          <w:lang w:val="en-US"/>
        </w:rPr>
        <w:instrText xml:space="preserve"> NOTEREF _Ref27136791 \h </w:instrText>
      </w:r>
      <w:r>
        <w:rPr>
          <w:lang w:val="en-US"/>
        </w:rPr>
      </w:r>
      <w:r>
        <w:rPr>
          <w:lang w:val="en-US"/>
        </w:rPr>
        <w:fldChar w:fldCharType="separate"/>
      </w:r>
      <w:r w:rsidR="001A0A81">
        <w:rPr>
          <w:lang w:val="en-US"/>
        </w:rPr>
        <w:t>87</w:t>
      </w:r>
      <w:r>
        <w:rPr>
          <w:lang w:val="en-US"/>
        </w:rPr>
        <w:fldChar w:fldCharType="end"/>
      </w:r>
      <w:r>
        <w:rPr>
          <w:lang w:val="en-US"/>
        </w:rPr>
        <w:t>,</w:t>
      </w:r>
      <w:r>
        <w:rPr>
          <w:rFonts w:cs="Times New Roman"/>
        </w:rPr>
        <w:t xml:space="preserve"> para 36.</w:t>
      </w:r>
    </w:p>
  </w:footnote>
  <w:footnote w:id="108">
    <w:p w14:paraId="6C6254A7" w14:textId="6F7A32E6" w:rsidR="00AA5B17" w:rsidRDefault="00AA5B17" w:rsidP="00AA5B17">
      <w:pPr>
        <w:pStyle w:val="FootnoteText"/>
        <w:rPr>
          <w:rFonts w:cs="Times New Roman"/>
        </w:rPr>
      </w:pPr>
      <w:r>
        <w:rPr>
          <w:rStyle w:val="FootnoteReference"/>
          <w:rFonts w:cs="Times New Roman"/>
        </w:rPr>
        <w:footnoteRef/>
      </w:r>
      <w:r>
        <w:rPr>
          <w:rFonts w:cs="Times New Roman"/>
        </w:rPr>
        <w:t xml:space="preserve"> </w:t>
      </w:r>
      <w:r>
        <w:rPr>
          <w:lang w:val="en-US"/>
        </w:rPr>
        <w:t xml:space="preserve">Genera Comment, Sexual Health, n </w:t>
      </w:r>
      <w:r>
        <w:rPr>
          <w:lang w:val="en-US"/>
        </w:rPr>
        <w:fldChar w:fldCharType="begin"/>
      </w:r>
      <w:r>
        <w:rPr>
          <w:lang w:val="en-US"/>
        </w:rPr>
        <w:instrText xml:space="preserve"> NOTEREF _Ref27136838 \h </w:instrText>
      </w:r>
      <w:r>
        <w:rPr>
          <w:lang w:val="en-US"/>
        </w:rPr>
      </w:r>
      <w:r>
        <w:rPr>
          <w:lang w:val="en-US"/>
        </w:rPr>
        <w:fldChar w:fldCharType="separate"/>
      </w:r>
      <w:r w:rsidR="001A0A81">
        <w:rPr>
          <w:lang w:val="en-US"/>
        </w:rPr>
        <w:t>66</w:t>
      </w:r>
      <w:r>
        <w:rPr>
          <w:lang w:val="en-US"/>
        </w:rPr>
        <w:fldChar w:fldCharType="end"/>
      </w:r>
      <w:r>
        <w:rPr>
          <w:lang w:val="en-US"/>
        </w:rPr>
        <w:t>,</w:t>
      </w:r>
      <w:r>
        <w:rPr>
          <w:rFonts w:cs="Times New Roman"/>
        </w:rPr>
        <w:t xml:space="preserve"> para 17.</w:t>
      </w:r>
    </w:p>
  </w:footnote>
  <w:footnote w:id="109">
    <w:p w14:paraId="13567179" w14:textId="58F9438D" w:rsidR="00AA5B17" w:rsidRDefault="00AA5B17" w:rsidP="00AA5B17">
      <w:pPr>
        <w:pStyle w:val="FootnoteText"/>
      </w:pPr>
      <w:r>
        <w:rPr>
          <w:rStyle w:val="FootnoteReference"/>
        </w:rPr>
        <w:footnoteRef/>
      </w:r>
      <w:r>
        <w:t xml:space="preserve"> This bears a similarity to the functional approach to human rights jurisdiction</w:t>
      </w:r>
      <w:r w:rsidR="00383C4B">
        <w:t xml:space="preserve">, see: </w:t>
      </w:r>
      <w:r w:rsidR="00383C4B" w:rsidRPr="00383C4B">
        <w:t>Y</w:t>
      </w:r>
      <w:r w:rsidR="00383C4B">
        <w:t xml:space="preserve">. </w:t>
      </w:r>
      <w:proofErr w:type="spellStart"/>
      <w:r w:rsidR="00383C4B" w:rsidRPr="00383C4B">
        <w:t>Shany</w:t>
      </w:r>
      <w:proofErr w:type="spellEnd"/>
      <w:r w:rsidR="00383C4B" w:rsidRPr="00383C4B">
        <w:t xml:space="preserve">, </w:t>
      </w:r>
      <w:r w:rsidR="00383C4B">
        <w:t>‘</w:t>
      </w:r>
      <w:r w:rsidR="00383C4B" w:rsidRPr="00383C4B">
        <w:t>Taking Universality Seriously: A Functional Approach to Extraterritoriality in International Human Rights Law</w:t>
      </w:r>
      <w:r w:rsidR="00383C4B">
        <w:t>’</w:t>
      </w:r>
      <w:r w:rsidR="00383C4B" w:rsidRPr="00383C4B">
        <w:t>,</w:t>
      </w:r>
      <w:r w:rsidR="00383C4B">
        <w:t xml:space="preserve"> (2013)</w:t>
      </w:r>
      <w:r w:rsidR="00383C4B" w:rsidRPr="00383C4B">
        <w:t xml:space="preserve"> 7</w:t>
      </w:r>
      <w:r w:rsidR="00383C4B">
        <w:t xml:space="preserve">.1 </w:t>
      </w:r>
      <w:r w:rsidR="00383C4B">
        <w:rPr>
          <w:i/>
          <w:iCs/>
        </w:rPr>
        <w:t xml:space="preserve">Law and Ethics of Human Rights </w:t>
      </w:r>
      <w:r w:rsidR="00383C4B" w:rsidRPr="00383C4B">
        <w:t>47, 56</w:t>
      </w:r>
      <w:r w:rsidR="00383C4B">
        <w:t>.</w:t>
      </w:r>
    </w:p>
  </w:footnote>
  <w:footnote w:id="110">
    <w:p w14:paraId="764BEA86" w14:textId="65FA9A06" w:rsidR="00AA5B17" w:rsidRDefault="00AA5B17" w:rsidP="00AA5B17">
      <w:pPr>
        <w:pStyle w:val="FootnoteText"/>
      </w:pPr>
      <w:r>
        <w:rPr>
          <w:rStyle w:val="FootnoteReference"/>
        </w:rPr>
        <w:footnoteRef/>
      </w:r>
      <w:r>
        <w:t xml:space="preserve"> </w:t>
      </w:r>
      <w:r w:rsidR="000F1188">
        <w:t>In the UK, water suppliers are not permitted to shut off water for non-payment, suggesting an obligation to fulfil the right</w:t>
      </w:r>
      <w:r w:rsidR="00970784">
        <w:t>, Water Industry Act 1999,</w:t>
      </w:r>
      <w:r w:rsidR="005D7384">
        <w:t xml:space="preserve"> Article 61</w:t>
      </w:r>
      <w:r w:rsidR="00203065">
        <w:t>, S.4.A.</w:t>
      </w:r>
    </w:p>
  </w:footnote>
  <w:footnote w:id="111">
    <w:p w14:paraId="59710007" w14:textId="77777777" w:rsidR="00AA5B17" w:rsidRDefault="00AA5B17" w:rsidP="00AA5B17">
      <w:pPr>
        <w:pStyle w:val="FootnoteText"/>
      </w:pPr>
      <w:r>
        <w:rPr>
          <w:rStyle w:val="FootnoteReference"/>
        </w:rPr>
        <w:footnoteRef/>
      </w:r>
      <w:r>
        <w:t xml:space="preserve"> Discussed critically in N. </w:t>
      </w:r>
      <w:r w:rsidRPr="00997E34">
        <w:t xml:space="preserve">Hsieh, </w:t>
      </w:r>
      <w:r>
        <w:t>‘</w:t>
      </w:r>
      <w:r w:rsidRPr="00997E34">
        <w:t>Should business have human rights obligations?</w:t>
      </w:r>
      <w:r>
        <w:t>’ (2015) 14.2</w:t>
      </w:r>
      <w:r w:rsidRPr="00997E34">
        <w:t> </w:t>
      </w:r>
      <w:r w:rsidRPr="00997E34">
        <w:rPr>
          <w:i/>
          <w:iCs/>
        </w:rPr>
        <w:t>Journal of Human Rights</w:t>
      </w:r>
      <w:r w:rsidRPr="00997E34">
        <w:t> </w:t>
      </w:r>
      <w:r>
        <w:t xml:space="preserve">218. Positive obligations are supported in: F. </w:t>
      </w:r>
      <w:r w:rsidRPr="009C6A23">
        <w:t>Wettstein,</w:t>
      </w:r>
      <w:r>
        <w:t xml:space="preserve"> ‘</w:t>
      </w:r>
      <w:r w:rsidRPr="009C6A23">
        <w:t>From causality to capability: Towards a new understanding of the multinational corporation's enlarged global responsibilities</w:t>
      </w:r>
      <w:r>
        <w:t>’ (2005) 19</w:t>
      </w:r>
      <w:r w:rsidRPr="009C6A23">
        <w:t> </w:t>
      </w:r>
      <w:r w:rsidRPr="009C6A23">
        <w:rPr>
          <w:i/>
          <w:iCs/>
        </w:rPr>
        <w:t>Journal of Corporate Citizenship</w:t>
      </w:r>
      <w:r w:rsidRPr="009C6A23">
        <w:t> </w:t>
      </w:r>
      <w:r>
        <w:t xml:space="preserve">105; F. </w:t>
      </w:r>
      <w:r w:rsidRPr="009C6A23">
        <w:t xml:space="preserve">Wettstein, </w:t>
      </w:r>
      <w:r>
        <w:t>‘</w:t>
      </w:r>
      <w:r w:rsidRPr="009C6A23">
        <w:t>CSR and the debate on business and human rights: Bridging the great divide</w:t>
      </w:r>
      <w:r>
        <w:t>’ (2012) 22.4</w:t>
      </w:r>
      <w:r w:rsidRPr="009C6A23">
        <w:t> </w:t>
      </w:r>
      <w:r w:rsidRPr="009C6A23">
        <w:rPr>
          <w:i/>
          <w:iCs/>
        </w:rPr>
        <w:t>Business Ethics Quarterly</w:t>
      </w:r>
      <w:r w:rsidRPr="009C6A23">
        <w:t> </w:t>
      </w:r>
      <w:r>
        <w:t>739, 757-760.</w:t>
      </w:r>
    </w:p>
  </w:footnote>
  <w:footnote w:id="112">
    <w:p w14:paraId="2843F569" w14:textId="137FFAB5" w:rsidR="00AA5B17" w:rsidRDefault="00AA5B17" w:rsidP="00AA5B17">
      <w:pPr>
        <w:pStyle w:val="FootnoteText"/>
      </w:pPr>
      <w:r>
        <w:rPr>
          <w:rStyle w:val="FootnoteReference"/>
        </w:rPr>
        <w:footnoteRef/>
      </w:r>
      <w:r>
        <w:t xml:space="preserve"> See for the most ambitious attempt to do just this: </w:t>
      </w:r>
      <w:r w:rsidRPr="00624FE0">
        <w:t xml:space="preserve">Wettstein, Global Justice, n </w:t>
      </w:r>
      <w:r w:rsidRPr="00624FE0">
        <w:fldChar w:fldCharType="begin"/>
      </w:r>
      <w:r w:rsidRPr="00624FE0">
        <w:instrText xml:space="preserve"> NOTEREF _Ref27468255 \h </w:instrText>
      </w:r>
      <w:r w:rsidRPr="00624FE0">
        <w:fldChar w:fldCharType="separate"/>
      </w:r>
      <w:r w:rsidR="001A0A81">
        <w:t>19</w:t>
      </w:r>
      <w:r w:rsidRPr="00624FE0">
        <w:fldChar w:fldCharType="end"/>
      </w:r>
      <w:r w:rsidRPr="00624FE0">
        <w:t xml:space="preserve">, </w:t>
      </w:r>
      <w:r>
        <w:t xml:space="preserve">311-347, and particularly for the purposes herein: 322-3 on multinationals such as agribusiness; 325 on privatization; 328-333 on ‘global public </w:t>
      </w:r>
      <w:proofErr w:type="gramStart"/>
      <w:r>
        <w:t>goods’</w:t>
      </w:r>
      <w:proofErr w:type="gramEnd"/>
      <w:r>
        <w:t>.</w:t>
      </w:r>
    </w:p>
  </w:footnote>
  <w:footnote w:id="113">
    <w:p w14:paraId="2D028379" w14:textId="3231C283" w:rsidR="00C65B5E" w:rsidRDefault="00C65B5E">
      <w:pPr>
        <w:pStyle w:val="FootnoteText"/>
      </w:pPr>
      <w:r>
        <w:rPr>
          <w:rStyle w:val="FootnoteReference"/>
        </w:rPr>
        <w:footnoteRef/>
      </w:r>
      <w:r>
        <w:t xml:space="preserve"> </w:t>
      </w:r>
      <w:r w:rsidRPr="00E817DB">
        <w:t xml:space="preserve">CESCR General Comment No. 3: The Nature of States Parties’ Obligations (Art. 2, Para. </w:t>
      </w:r>
      <w:proofErr w:type="gramStart"/>
      <w:r w:rsidRPr="00E817DB">
        <w:t>1,</w:t>
      </w:r>
      <w:proofErr w:type="gramEnd"/>
      <w:r w:rsidRPr="00E817DB">
        <w:t xml:space="preserve"> of the Covenant),14 December 1990, E/1991/23, </w:t>
      </w:r>
      <w:r w:rsidRPr="00997E34">
        <w:t>para. 9</w:t>
      </w:r>
      <w:r>
        <w:t xml:space="preserve">; </w:t>
      </w:r>
      <w:proofErr w:type="spellStart"/>
      <w:r w:rsidRPr="00997E34">
        <w:rPr>
          <w:lang w:val="en-US"/>
        </w:rPr>
        <w:t>Courtis</w:t>
      </w:r>
      <w:proofErr w:type="spellEnd"/>
      <w:r w:rsidRPr="00997E34">
        <w:rPr>
          <w:lang w:val="en-US"/>
        </w:rPr>
        <w:t xml:space="preserve">, </w:t>
      </w:r>
      <w:proofErr w:type="spellStart"/>
      <w:r w:rsidRPr="00997E34">
        <w:rPr>
          <w:lang w:val="en-US"/>
        </w:rPr>
        <w:t>Lusiani</w:t>
      </w:r>
      <w:proofErr w:type="spellEnd"/>
      <w:r w:rsidRPr="00997E34">
        <w:rPr>
          <w:lang w:val="en-US"/>
        </w:rPr>
        <w:t xml:space="preserve"> and Nolan, </w:t>
      </w:r>
      <w:r w:rsidRPr="00997E34">
        <w:rPr>
          <w:iCs/>
          <w:lang w:val="en-US"/>
        </w:rPr>
        <w:t>Retrogression</w:t>
      </w:r>
      <w:r>
        <w:rPr>
          <w:iCs/>
          <w:lang w:val="en-US"/>
        </w:rPr>
        <w:t xml:space="preserve">, n </w:t>
      </w:r>
      <w:r>
        <w:rPr>
          <w:iCs/>
          <w:lang w:val="en-US"/>
        </w:rPr>
        <w:fldChar w:fldCharType="begin"/>
      </w:r>
      <w:r>
        <w:rPr>
          <w:iCs/>
          <w:lang w:val="en-US"/>
        </w:rPr>
        <w:instrText xml:space="preserve"> NOTEREF _Ref27137261 \h </w:instrText>
      </w:r>
      <w:r>
        <w:rPr>
          <w:iCs/>
          <w:lang w:val="en-US"/>
        </w:rPr>
      </w:r>
      <w:r>
        <w:rPr>
          <w:iCs/>
          <w:lang w:val="en-US"/>
        </w:rPr>
        <w:fldChar w:fldCharType="separate"/>
      </w:r>
      <w:r w:rsidR="001A0A81">
        <w:rPr>
          <w:iCs/>
          <w:lang w:val="en-US"/>
        </w:rPr>
        <w:t>90</w:t>
      </w:r>
      <w:r>
        <w:rPr>
          <w:iCs/>
          <w:lang w:val="en-US"/>
        </w:rPr>
        <w:fldChar w:fldCharType="end"/>
      </w:r>
      <w:r>
        <w:rPr>
          <w:iCs/>
          <w:lang w:val="en-US"/>
        </w:rPr>
        <w:t>, 123-4.</w:t>
      </w:r>
    </w:p>
  </w:footnote>
  <w:footnote w:id="114">
    <w:p w14:paraId="7DB0F16D" w14:textId="2B4C3093" w:rsidR="00B86C2F" w:rsidRDefault="00B86C2F" w:rsidP="00B86C2F">
      <w:pPr>
        <w:pStyle w:val="FootnoteText"/>
      </w:pPr>
      <w:r>
        <w:rPr>
          <w:rStyle w:val="FootnoteReference"/>
        </w:rPr>
        <w:footnoteRef/>
      </w:r>
      <w:r>
        <w:t xml:space="preserve"> </w:t>
      </w:r>
      <w:r w:rsidRPr="00563AD5">
        <w:t xml:space="preserve">Eide, Report on Food, n </w:t>
      </w:r>
      <w:r>
        <w:fldChar w:fldCharType="begin"/>
      </w:r>
      <w:r>
        <w:instrText xml:space="preserve"> NOTEREF _Ref27468763 \h </w:instrText>
      </w:r>
      <w:r>
        <w:fldChar w:fldCharType="separate"/>
      </w:r>
      <w:r w:rsidR="001A0A81">
        <w:t>59</w:t>
      </w:r>
      <w:r>
        <w:fldChar w:fldCharType="end"/>
      </w:r>
      <w:r>
        <w:t xml:space="preserve">, </w:t>
      </w:r>
      <w:r w:rsidRPr="00563AD5">
        <w:t>para. 71</w:t>
      </w:r>
      <w:r>
        <w:t>-72.</w:t>
      </w:r>
    </w:p>
  </w:footnote>
  <w:footnote w:id="115">
    <w:p w14:paraId="082AEBCC" w14:textId="77777777" w:rsidR="00B86C2F" w:rsidRDefault="00B86C2F" w:rsidP="00B86C2F">
      <w:pPr>
        <w:pStyle w:val="FootnoteText"/>
      </w:pPr>
      <w:r>
        <w:rPr>
          <w:rStyle w:val="FootnoteReference"/>
        </w:rPr>
        <w:footnoteRef/>
      </w:r>
      <w:r>
        <w:t xml:space="preserve"> Explored in distinctive ways in: </w:t>
      </w:r>
      <w:r w:rsidRPr="00033CEB">
        <w:t>A</w:t>
      </w:r>
      <w:r>
        <w:t>.</w:t>
      </w:r>
      <w:r w:rsidRPr="00033CEB">
        <w:t xml:space="preserve"> Sen, ‘Human rights and the limits of law’</w:t>
      </w:r>
      <w:r>
        <w:t xml:space="preserve"> (2005) 27</w:t>
      </w:r>
      <w:r w:rsidRPr="00033CEB">
        <w:t> </w:t>
      </w:r>
      <w:r w:rsidRPr="00033CEB">
        <w:rPr>
          <w:i/>
          <w:iCs/>
        </w:rPr>
        <w:t>Cardozo Law Review</w:t>
      </w:r>
      <w:r w:rsidRPr="00033CEB">
        <w:t xml:space="preserve"> 2913</w:t>
      </w:r>
      <w:r>
        <w:t xml:space="preserve">; M. </w:t>
      </w:r>
      <w:proofErr w:type="spellStart"/>
      <w:r w:rsidRPr="00033CEB">
        <w:t>Makau</w:t>
      </w:r>
      <w:proofErr w:type="spellEnd"/>
      <w:r w:rsidRPr="00033CEB">
        <w:t xml:space="preserve"> ‘Human rights and powerlessness: pathologies of choice and substance’</w:t>
      </w:r>
      <w:r>
        <w:t xml:space="preserve"> (2008) 56</w:t>
      </w:r>
      <w:r w:rsidRPr="00033CEB">
        <w:t> </w:t>
      </w:r>
      <w:r w:rsidRPr="00033CEB">
        <w:rPr>
          <w:i/>
          <w:iCs/>
        </w:rPr>
        <w:t>Buffalo Law Review</w:t>
      </w:r>
      <w:r w:rsidRPr="00033CEB">
        <w:t> 1027, 1028</w:t>
      </w:r>
      <w:r>
        <w:t xml:space="preserve">; </w:t>
      </w:r>
      <w:r w:rsidRPr="00033CEB">
        <w:t>J</w:t>
      </w:r>
      <w:r>
        <w:t>.</w:t>
      </w:r>
      <w:r w:rsidRPr="00033CEB">
        <w:t xml:space="preserve"> </w:t>
      </w:r>
      <w:proofErr w:type="spellStart"/>
      <w:r w:rsidRPr="00033CEB">
        <w:t>Dehm</w:t>
      </w:r>
      <w:proofErr w:type="spellEnd"/>
      <w:r w:rsidRPr="00033CEB">
        <w:t xml:space="preserve">, </w:t>
      </w:r>
      <w:proofErr w:type="gramStart"/>
      <w:r w:rsidRPr="00033CEB">
        <w:t>‘”A</w:t>
      </w:r>
      <w:proofErr w:type="gramEnd"/>
      <w:r w:rsidRPr="00033CEB">
        <w:t xml:space="preserve"> Pragmatic Compromise between the Ideal and the Realistic”: Debates over Human Rights, Global Distributive Justice and Minimum Core Obligations in the 1980s’ </w:t>
      </w:r>
      <w:r w:rsidRPr="00033CEB">
        <w:rPr>
          <w:i/>
          <w:iCs/>
        </w:rPr>
        <w:t>Histories of Global Inequality</w:t>
      </w:r>
      <w:r w:rsidRPr="00033CEB">
        <w:t xml:space="preserve"> </w:t>
      </w:r>
      <w:r>
        <w:t xml:space="preserve">(C. Christiansen ed. </w:t>
      </w:r>
      <w:r w:rsidRPr="00033CEB">
        <w:t>Palgrave Macmillan</w:t>
      </w:r>
      <w:r>
        <w:t>,</w:t>
      </w:r>
      <w:r w:rsidRPr="00033CEB">
        <w:t xml:space="preserve"> 2019) 157.</w:t>
      </w:r>
    </w:p>
  </w:footnote>
  <w:footnote w:id="116">
    <w:p w14:paraId="71A494B3" w14:textId="77777777" w:rsidR="00B86C2F" w:rsidRDefault="00B86C2F" w:rsidP="00B86C2F">
      <w:pPr>
        <w:pStyle w:val="FootnoteText"/>
      </w:pPr>
      <w:r>
        <w:rPr>
          <w:rStyle w:val="FootnoteReference"/>
        </w:rPr>
        <w:footnoteRef/>
      </w:r>
      <w:r>
        <w:t xml:space="preserve"> See below for a response to critics in this regard.</w:t>
      </w:r>
    </w:p>
  </w:footnote>
  <w:footnote w:id="117">
    <w:p w14:paraId="51E97B95" w14:textId="301C43B5" w:rsidR="00B86C2F" w:rsidRDefault="00B86C2F" w:rsidP="00B86C2F">
      <w:pPr>
        <w:pStyle w:val="FootnoteText"/>
      </w:pPr>
      <w:r>
        <w:rPr>
          <w:rStyle w:val="FootnoteReference"/>
        </w:rPr>
        <w:footnoteRef/>
      </w:r>
      <w:r>
        <w:t xml:space="preserve"> </w:t>
      </w:r>
      <w:r w:rsidRPr="00CD741B">
        <w:t>General Comment 3, Obligations, n</w:t>
      </w:r>
      <w:r w:rsidR="00A512E0">
        <w:t xml:space="preserve"> </w:t>
      </w:r>
      <w:r w:rsidR="00A512E0">
        <w:fldChar w:fldCharType="begin"/>
      </w:r>
      <w:r w:rsidR="00A512E0">
        <w:instrText xml:space="preserve"> NOTEREF _Ref51359440 \h </w:instrText>
      </w:r>
      <w:r w:rsidR="00A512E0">
        <w:fldChar w:fldCharType="separate"/>
      </w:r>
      <w:r w:rsidR="001A0A81">
        <w:t>118</w:t>
      </w:r>
      <w:r w:rsidR="00A512E0">
        <w:fldChar w:fldCharType="end"/>
      </w:r>
      <w:r w:rsidR="00E817DB">
        <w:t xml:space="preserve">, </w:t>
      </w:r>
      <w:r w:rsidRPr="00CD741B">
        <w:t>para. 9.</w:t>
      </w:r>
    </w:p>
  </w:footnote>
  <w:footnote w:id="118">
    <w:p w14:paraId="0536D3FB" w14:textId="3F38A4A9" w:rsidR="00B86C2F" w:rsidRPr="00844706" w:rsidRDefault="00B86C2F" w:rsidP="00B86C2F">
      <w:pPr>
        <w:pStyle w:val="FootnoteText"/>
        <w:rPr>
          <w:rFonts w:eastAsia="SimSun" w:cs="Times New Roman"/>
          <w:lang w:val="en-US" w:eastAsia="zh-CN"/>
        </w:rPr>
      </w:pPr>
      <w:r>
        <w:rPr>
          <w:rStyle w:val="FootnoteReference"/>
        </w:rPr>
        <w:footnoteRef/>
      </w:r>
      <w:r>
        <w:t xml:space="preserve"> </w:t>
      </w:r>
      <w:r w:rsidRPr="00AF7E76">
        <w:rPr>
          <w:rFonts w:eastAsia="SimSun" w:cs="Times New Roman"/>
          <w:lang w:val="en-GB" w:eastAsia="zh-CN"/>
        </w:rPr>
        <w:t>D</w:t>
      </w:r>
      <w:r>
        <w:rPr>
          <w:rFonts w:eastAsia="SimSun" w:cs="Times New Roman"/>
          <w:lang w:val="en-GB" w:eastAsia="zh-CN"/>
        </w:rPr>
        <w:t xml:space="preserve">. </w:t>
      </w:r>
      <w:r w:rsidRPr="00AF7E76">
        <w:rPr>
          <w:rFonts w:eastAsia="SimSun" w:cs="Times New Roman"/>
          <w:lang w:val="en-GB" w:eastAsia="zh-CN"/>
        </w:rPr>
        <w:t xml:space="preserve">Gayle, </w:t>
      </w:r>
      <w:r>
        <w:rPr>
          <w:rFonts w:eastAsia="SimSun" w:cs="Times New Roman"/>
          <w:lang w:val="en-GB" w:eastAsia="zh-CN"/>
        </w:rPr>
        <w:t>‘</w:t>
      </w:r>
      <w:r w:rsidRPr="00CC6F5F">
        <w:rPr>
          <w:rFonts w:eastAsia="SimSun" w:cs="Times New Roman"/>
          <w:lang w:val="en-US" w:eastAsia="zh-CN"/>
        </w:rPr>
        <w:t>Private landlords get £9.3bn in housing benefit from taxpayer, says report</w:t>
      </w:r>
      <w:r>
        <w:rPr>
          <w:rFonts w:eastAsia="SimSun" w:cs="Times New Roman"/>
          <w:lang w:val="en-US" w:eastAsia="zh-CN"/>
        </w:rPr>
        <w:t>’</w:t>
      </w:r>
      <w:r w:rsidRPr="00CC6F5F">
        <w:rPr>
          <w:rFonts w:eastAsia="SimSun" w:cs="Times New Roman"/>
          <w:lang w:val="en-US" w:eastAsia="zh-CN"/>
        </w:rPr>
        <w:t>,</w:t>
      </w:r>
      <w:r>
        <w:rPr>
          <w:rFonts w:eastAsia="SimSun" w:cs="Times New Roman"/>
          <w:i/>
          <w:iCs/>
          <w:lang w:val="en-US" w:eastAsia="zh-CN"/>
        </w:rPr>
        <w:t xml:space="preserve"> The Guardian, </w:t>
      </w:r>
      <w:r w:rsidRPr="00AF7E76">
        <w:rPr>
          <w:rFonts w:eastAsia="SimSun" w:cs="Times New Roman"/>
          <w:lang w:val="en-US" w:eastAsia="zh-CN"/>
        </w:rPr>
        <w:t xml:space="preserve">20 August 2016, at: </w:t>
      </w:r>
      <w:hyperlink r:id="rId17" w:history="1">
        <w:r w:rsidRPr="00AF7E76">
          <w:rPr>
            <w:rFonts w:eastAsia="SimSun" w:cs="Times New Roman"/>
            <w:color w:val="0563C1"/>
            <w:u w:val="single"/>
            <w:lang w:val="en-US" w:eastAsia="zh-CN"/>
          </w:rPr>
          <w:t>https://www.theguardian.com/society/2016/aug/20/private-landlords-9bn-housing-benefit-taxpayers-national-housing-federation-report</w:t>
        </w:r>
      </w:hyperlink>
      <w:r w:rsidRPr="00AF7E76">
        <w:rPr>
          <w:rFonts w:eastAsia="SimSun" w:cs="Times New Roman"/>
          <w:lang w:val="en-GB" w:eastAsia="zh-CN"/>
        </w:rPr>
        <w:t xml:space="preserve"> </w:t>
      </w:r>
      <w:r w:rsidRPr="002F1FBB">
        <w:rPr>
          <w:rFonts w:eastAsia="SimSun" w:cs="Times New Roman"/>
          <w:lang w:eastAsia="zh-CN"/>
        </w:rPr>
        <w:t xml:space="preserve">(last </w:t>
      </w:r>
      <w:r w:rsidR="000C3767">
        <w:rPr>
          <w:rFonts w:eastAsia="SimSun" w:cs="Times New Roman"/>
          <w:lang w:eastAsia="zh-CN"/>
        </w:rPr>
        <w:t>accessed</w:t>
      </w:r>
      <w:r w:rsidRPr="002F1FBB">
        <w:rPr>
          <w:rFonts w:eastAsia="SimSun" w:cs="Times New Roman"/>
          <w:lang w:eastAsia="zh-CN"/>
        </w:rPr>
        <w:t xml:space="preserve"> </w:t>
      </w:r>
      <w:r w:rsidR="000C3767">
        <w:rPr>
          <w:rFonts w:eastAsia="SimSun" w:cs="Times New Roman"/>
          <w:lang w:eastAsia="zh-CN"/>
        </w:rPr>
        <w:t>26 September 2020</w:t>
      </w:r>
      <w:r w:rsidRPr="002F1FBB">
        <w:rPr>
          <w:rFonts w:eastAsia="SimSun" w:cs="Times New Roman"/>
          <w:lang w:eastAsia="zh-CN"/>
        </w:rPr>
        <w:t>).</w:t>
      </w:r>
    </w:p>
  </w:footnote>
  <w:footnote w:id="119">
    <w:p w14:paraId="0D5C0414" w14:textId="77777777" w:rsidR="00371562" w:rsidRDefault="00371562" w:rsidP="00371562">
      <w:pPr>
        <w:pStyle w:val="FootnoteText"/>
      </w:pPr>
      <w:r>
        <w:rPr>
          <w:rStyle w:val="FootnoteReference"/>
        </w:rPr>
        <w:footnoteRef/>
      </w:r>
      <w:r>
        <w:t xml:space="preserve"> </w:t>
      </w:r>
      <w:r w:rsidRPr="00372722">
        <w:rPr>
          <w:lang w:val="en-US"/>
        </w:rPr>
        <w:t>T</w:t>
      </w:r>
      <w:r>
        <w:rPr>
          <w:lang w:val="en-US"/>
        </w:rPr>
        <w:t>.</w:t>
      </w:r>
      <w:r w:rsidRPr="00372722">
        <w:rPr>
          <w:lang w:val="en-US"/>
        </w:rPr>
        <w:t xml:space="preserve"> Campbell, </w:t>
      </w:r>
      <w:r w:rsidRPr="00372722">
        <w:rPr>
          <w:i/>
          <w:iCs/>
          <w:lang w:val="en-US"/>
        </w:rPr>
        <w:t>Rights: A critical introduction</w:t>
      </w:r>
      <w:r w:rsidRPr="00372722">
        <w:rPr>
          <w:lang w:val="en-US"/>
        </w:rPr>
        <w:t xml:space="preserve"> (Routledge, 2011)</w:t>
      </w:r>
      <w:r>
        <w:rPr>
          <w:lang w:val="en-US"/>
        </w:rPr>
        <w:t>,</w:t>
      </w:r>
      <w:r w:rsidRPr="00372722">
        <w:rPr>
          <w:lang w:val="en-US"/>
        </w:rPr>
        <w:t xml:space="preserve"> 16-18.</w:t>
      </w:r>
    </w:p>
  </w:footnote>
  <w:footnote w:id="120">
    <w:p w14:paraId="1E152D6A" w14:textId="77777777" w:rsidR="00371562" w:rsidRDefault="00371562" w:rsidP="00371562">
      <w:pPr>
        <w:pStyle w:val="FootnoteText"/>
      </w:pPr>
      <w:r>
        <w:rPr>
          <w:rStyle w:val="FootnoteReference"/>
        </w:rPr>
        <w:footnoteRef/>
      </w:r>
      <w:r>
        <w:t xml:space="preserve"> T. </w:t>
      </w:r>
      <w:r w:rsidRPr="00372722">
        <w:t>Evans, </w:t>
      </w:r>
      <w:r w:rsidRPr="00372722">
        <w:rPr>
          <w:i/>
          <w:iCs/>
        </w:rPr>
        <w:t>Human rights in the global political economy: critical processes</w:t>
      </w:r>
      <w:r w:rsidRPr="00372722">
        <w:t xml:space="preserve"> </w:t>
      </w:r>
      <w:r>
        <w:t>(</w:t>
      </w:r>
      <w:r w:rsidRPr="00372722">
        <w:t xml:space="preserve">Lynne </w:t>
      </w:r>
      <w:proofErr w:type="spellStart"/>
      <w:r w:rsidRPr="00372722">
        <w:t>Rienner</w:t>
      </w:r>
      <w:proofErr w:type="spellEnd"/>
      <w:r w:rsidRPr="00372722">
        <w:t xml:space="preserve"> Publishers, 2011</w:t>
      </w:r>
      <w:r>
        <w:t>), 11-14.</w:t>
      </w:r>
    </w:p>
  </w:footnote>
  <w:footnote w:id="121">
    <w:p w14:paraId="2D7C0431" w14:textId="77777777" w:rsidR="00371562" w:rsidRPr="00844706" w:rsidRDefault="00371562" w:rsidP="00371562">
      <w:pPr>
        <w:pStyle w:val="FootnoteText"/>
      </w:pPr>
      <w:r>
        <w:rPr>
          <w:rStyle w:val="FootnoteReference"/>
        </w:rPr>
        <w:footnoteRef/>
      </w:r>
      <w:r>
        <w:t xml:space="preserve"> P. </w:t>
      </w:r>
      <w:r w:rsidRPr="00774DB3">
        <w:t xml:space="preserve">McMichael, </w:t>
      </w:r>
      <w:r>
        <w:t>‘</w:t>
      </w:r>
      <w:r w:rsidRPr="00774DB3">
        <w:t>The land grab and corporate food regime restructuring</w:t>
      </w:r>
      <w:r>
        <w:t>’ (2012) 39.3</w:t>
      </w:r>
      <w:r w:rsidRPr="00774DB3">
        <w:t> </w:t>
      </w:r>
      <w:r w:rsidRPr="00774DB3">
        <w:rPr>
          <w:i/>
          <w:iCs/>
        </w:rPr>
        <w:t>The Journal of Peasant Studies</w:t>
      </w:r>
      <w:r w:rsidRPr="00774DB3">
        <w:t> </w:t>
      </w:r>
      <w:r>
        <w:t>681.</w:t>
      </w:r>
    </w:p>
  </w:footnote>
  <w:footnote w:id="122">
    <w:p w14:paraId="0A087C42" w14:textId="110D366F" w:rsidR="00A74CD2" w:rsidRDefault="00A74CD2">
      <w:pPr>
        <w:pStyle w:val="FootnoteText"/>
      </w:pPr>
      <w:r>
        <w:rPr>
          <w:rStyle w:val="FootnoteReference"/>
        </w:rPr>
        <w:footnoteRef/>
      </w:r>
      <w:r w:rsidR="00F05CBB">
        <w:rPr>
          <w:b/>
          <w:bCs/>
        </w:rPr>
        <w:t xml:space="preserve"> </w:t>
      </w:r>
      <w:r w:rsidR="00C80DE3">
        <w:t xml:space="preserve">I. </w:t>
      </w:r>
      <w:proofErr w:type="spellStart"/>
      <w:r w:rsidR="00C80DE3">
        <w:t>L</w:t>
      </w:r>
      <w:r w:rsidR="00F05CBB" w:rsidRPr="00F05CBB">
        <w:t>eijten</w:t>
      </w:r>
      <w:proofErr w:type="spellEnd"/>
      <w:r w:rsidR="00F05CBB" w:rsidRPr="00F05CBB">
        <w:t xml:space="preserve"> and </w:t>
      </w:r>
      <w:r w:rsidR="00F05CBB">
        <w:t>K.</w:t>
      </w:r>
      <w:r w:rsidR="00F05CBB" w:rsidRPr="00F05CBB">
        <w:t xml:space="preserve"> de Bel</w:t>
      </w:r>
      <w:r w:rsidR="00F05CBB">
        <w:t>, ‘</w:t>
      </w:r>
      <w:r w:rsidR="00F05CBB" w:rsidRPr="00F05CBB">
        <w:t>Facing financialization in the housing sector: A human right to adequate housing for all</w:t>
      </w:r>
      <w:r w:rsidR="00F05CBB">
        <w:t>’ (2020</w:t>
      </w:r>
      <w:r w:rsidR="00C80DE3">
        <w:t>) 38.2</w:t>
      </w:r>
      <w:r w:rsidR="00F05CBB" w:rsidRPr="00F05CBB">
        <w:t> </w:t>
      </w:r>
      <w:r w:rsidR="00F05CBB" w:rsidRPr="00F05CBB">
        <w:rPr>
          <w:i/>
          <w:iCs/>
        </w:rPr>
        <w:t>Netherlands Quarterly of Human Rights</w:t>
      </w:r>
      <w:r w:rsidR="00F05CBB" w:rsidRPr="00F05CBB">
        <w:t> 94.</w:t>
      </w:r>
    </w:p>
  </w:footnote>
  <w:footnote w:id="123">
    <w:p w14:paraId="09B986A0" w14:textId="0002D7EA" w:rsidR="00371562" w:rsidRDefault="00371562" w:rsidP="00371562">
      <w:pPr>
        <w:pStyle w:val="FootnoteText"/>
      </w:pPr>
      <w:r>
        <w:rPr>
          <w:rStyle w:val="FootnoteReference"/>
        </w:rPr>
        <w:footnoteRef/>
      </w:r>
      <w:r>
        <w:t xml:space="preserve"> </w:t>
      </w:r>
      <w:r w:rsidR="004F1266">
        <w:t xml:space="preserve">See </w:t>
      </w:r>
      <w:r w:rsidR="000E1423">
        <w:t xml:space="preserve">for various rejected </w:t>
      </w:r>
      <w:r w:rsidR="008D34A8">
        <w:t xml:space="preserve">recommendations: </w:t>
      </w:r>
      <w:r w:rsidR="004F1266" w:rsidRPr="004F1266">
        <w:t xml:space="preserve">Fourth Report of the Hong Kong Special Administrative Region of the People’s Republic of China under the International Covenant on Economic, Social and Cultural Rights, </w:t>
      </w:r>
      <w:r w:rsidR="004F1266" w:rsidRPr="004F1266">
        <w:rPr>
          <w:i/>
          <w:iCs/>
        </w:rPr>
        <w:t>Government of the HKSAR,</w:t>
      </w:r>
      <w:r w:rsidR="000E1423" w:rsidRPr="000E1423">
        <w:rPr>
          <w:sz w:val="24"/>
          <w:szCs w:val="22"/>
        </w:rPr>
        <w:t xml:space="preserve"> </w:t>
      </w:r>
      <w:r w:rsidR="000E1423" w:rsidRPr="000E1423">
        <w:t>Annex 11D, Appendix 2, 15</w:t>
      </w:r>
      <w:r w:rsidR="000E1423">
        <w:t>, at:</w:t>
      </w:r>
      <w:r w:rsidR="004F1266" w:rsidRPr="004F1266">
        <w:rPr>
          <w:i/>
          <w:iCs/>
        </w:rPr>
        <w:t xml:space="preserve"> </w:t>
      </w:r>
      <w:r w:rsidR="004F1266" w:rsidRPr="004F1266">
        <w:t xml:space="preserve"> </w:t>
      </w:r>
      <w:hyperlink r:id="rId18" w:history="1">
        <w:r w:rsidR="004F1266" w:rsidRPr="004F1266">
          <w:rPr>
            <w:rStyle w:val="Hyperlink"/>
          </w:rPr>
          <w:t>https://www.cmab.gov.hk/doc/en/documents/references/papers_reports_others/human_rights/FourthReport_PRC/FullReport-e.pdf</w:t>
        </w:r>
      </w:hyperlink>
      <w:r w:rsidR="004F1266" w:rsidRPr="004F1266">
        <w:rPr>
          <w:u w:val="single"/>
        </w:rPr>
        <w:t xml:space="preserve"> </w:t>
      </w:r>
      <w:r w:rsidR="004F1266" w:rsidRPr="004F1266">
        <w:t xml:space="preserve">[last accessed 12 </w:t>
      </w:r>
      <w:r w:rsidR="000E1423">
        <w:t>September</w:t>
      </w:r>
      <w:r w:rsidR="004F1266" w:rsidRPr="004F1266">
        <w:t xml:space="preserve"> 2020].</w:t>
      </w:r>
    </w:p>
  </w:footnote>
  <w:footnote w:id="124">
    <w:p w14:paraId="2D6E4BCB" w14:textId="30DF3032" w:rsidR="00371562" w:rsidRPr="002F1FBB" w:rsidRDefault="00371562" w:rsidP="00371562">
      <w:pPr>
        <w:pStyle w:val="FootnoteText"/>
        <w:rPr>
          <w:color w:val="0000FF"/>
          <w:u w:val="single"/>
        </w:rPr>
      </w:pPr>
      <w:r>
        <w:rPr>
          <w:rStyle w:val="FootnoteReference"/>
        </w:rPr>
        <w:footnoteRef/>
      </w:r>
      <w:r>
        <w:t xml:space="preserve"> Committee for a Responsible Federal Budget, </w:t>
      </w:r>
      <w:r w:rsidRPr="00C81B3F">
        <w:rPr>
          <w:i/>
        </w:rPr>
        <w:t>American Health Care: Health Spending and the Federal Budget</w:t>
      </w:r>
      <w:r>
        <w:rPr>
          <w:i/>
        </w:rPr>
        <w:t xml:space="preserve">, </w:t>
      </w:r>
      <w:r w:rsidRPr="00372722">
        <w:t>May 16, 2018</w:t>
      </w:r>
      <w:r>
        <w:t xml:space="preserve">, at: </w:t>
      </w:r>
      <w:hyperlink r:id="rId19" w:history="1">
        <w:r>
          <w:rPr>
            <w:rStyle w:val="Hyperlink"/>
          </w:rPr>
          <w:t>https://www.crfb.org/papers/american-health-care-health-spending-and-federal-budget</w:t>
        </w:r>
      </w:hyperlink>
      <w:r>
        <w:rPr>
          <w:rStyle w:val="Hyperlink"/>
        </w:rPr>
        <w:t xml:space="preserve"> </w:t>
      </w:r>
      <w:r w:rsidR="00DF712D">
        <w:t>(last accessed 26 September 2020).</w:t>
      </w:r>
    </w:p>
  </w:footnote>
  <w:footnote w:id="125">
    <w:p w14:paraId="7B5E6FE7" w14:textId="77777777" w:rsidR="00371562" w:rsidRPr="00C32E7C" w:rsidRDefault="00371562" w:rsidP="00371562">
      <w:pPr>
        <w:pStyle w:val="FootnoteText"/>
        <w:rPr>
          <w:lang w:val="en-US"/>
        </w:rPr>
      </w:pPr>
      <w:r>
        <w:rPr>
          <w:rStyle w:val="FootnoteReference"/>
        </w:rPr>
        <w:footnoteRef/>
      </w:r>
      <w:r>
        <w:t xml:space="preserve"> </w:t>
      </w:r>
      <w:r w:rsidRPr="00AE58A3">
        <w:t>J</w:t>
      </w:r>
      <w:r>
        <w:t>.</w:t>
      </w:r>
      <w:r w:rsidRPr="00AE58A3">
        <w:t xml:space="preserve"> E</w:t>
      </w:r>
      <w:r>
        <w:t>.</w:t>
      </w:r>
      <w:r w:rsidRPr="00AE58A3">
        <w:t xml:space="preserve"> </w:t>
      </w:r>
      <w:r>
        <w:t>Stiglitz, ‘Inequality and economic growth,’</w:t>
      </w:r>
      <w:r w:rsidRPr="00AE58A3">
        <w:t> </w:t>
      </w:r>
      <w:r w:rsidRPr="00AE58A3">
        <w:rPr>
          <w:i/>
          <w:iCs/>
        </w:rPr>
        <w:t>Rethinking Capitalism</w:t>
      </w:r>
      <w:r>
        <w:t>, 2016, 134, 140-1.</w:t>
      </w:r>
    </w:p>
  </w:footnote>
  <w:footnote w:id="126">
    <w:p w14:paraId="70F7E3DB" w14:textId="77777777" w:rsidR="00371562" w:rsidRPr="00AE58A3" w:rsidRDefault="00371562" w:rsidP="00371562">
      <w:pPr>
        <w:pStyle w:val="FootnoteText"/>
        <w:rPr>
          <w:lang w:val="en-US"/>
        </w:rPr>
      </w:pPr>
      <w:r>
        <w:rPr>
          <w:rStyle w:val="FootnoteReference"/>
        </w:rPr>
        <w:footnoteRef/>
      </w:r>
      <w:r>
        <w:t xml:space="preserve"> R. </w:t>
      </w:r>
      <w:proofErr w:type="spellStart"/>
      <w:r>
        <w:t>Neate</w:t>
      </w:r>
      <w:proofErr w:type="spellEnd"/>
      <w:r>
        <w:t>, ‘</w:t>
      </w:r>
      <w:r w:rsidRPr="00AE58A3">
        <w:rPr>
          <w:lang w:val="en-US"/>
        </w:rPr>
        <w:t>Outrage as help-to-buy boosts Persimmon profits to £1bn</w:t>
      </w:r>
      <w:r>
        <w:rPr>
          <w:lang w:val="en-US"/>
        </w:rPr>
        <w:t xml:space="preserve">,’ </w:t>
      </w:r>
      <w:r>
        <w:rPr>
          <w:i/>
          <w:lang w:val="en-US"/>
        </w:rPr>
        <w:t xml:space="preserve">The Guardian, </w:t>
      </w:r>
      <w:r>
        <w:rPr>
          <w:lang w:val="en-US"/>
        </w:rPr>
        <w:t>26 February 2019, at:</w:t>
      </w:r>
    </w:p>
    <w:p w14:paraId="70ED3AF9" w14:textId="69D4DB10" w:rsidR="00371562" w:rsidRPr="002F1FBB" w:rsidRDefault="003109F1" w:rsidP="00371562">
      <w:pPr>
        <w:pStyle w:val="FootnoteText"/>
        <w:rPr>
          <w:color w:val="0000FF"/>
          <w:u w:val="single"/>
        </w:rPr>
      </w:pPr>
      <w:hyperlink r:id="rId20" w:history="1">
        <w:r w:rsidR="00371562" w:rsidRPr="00C32E7C">
          <w:rPr>
            <w:rStyle w:val="Hyperlink"/>
          </w:rPr>
          <w:t>https://www.theguardian.com/business/2019/feb/26/persimmon-profits-help-to-buy-scheme</w:t>
        </w:r>
      </w:hyperlink>
      <w:r w:rsidR="00371562">
        <w:rPr>
          <w:rStyle w:val="Hyperlink"/>
        </w:rPr>
        <w:t xml:space="preserve"> </w:t>
      </w:r>
      <w:r w:rsidR="00DF712D">
        <w:t>(last accessed 26 September 2020).</w:t>
      </w:r>
    </w:p>
  </w:footnote>
  <w:footnote w:id="127">
    <w:p w14:paraId="57FC4A62" w14:textId="0855083F" w:rsidR="00371562" w:rsidRPr="00D55619" w:rsidRDefault="00371562" w:rsidP="00371562">
      <w:pPr>
        <w:pStyle w:val="FootnoteText"/>
      </w:pPr>
      <w:r>
        <w:rPr>
          <w:rStyle w:val="FootnoteReference"/>
        </w:rPr>
        <w:footnoteRef/>
      </w:r>
      <w:r>
        <w:t xml:space="preserve"> </w:t>
      </w:r>
      <w:r w:rsidRPr="00295876">
        <w:t xml:space="preserve">Blackstone Letter, n. </w:t>
      </w:r>
      <w:r w:rsidR="00E817DB">
        <w:fldChar w:fldCharType="begin"/>
      </w:r>
      <w:r w:rsidR="00E817DB">
        <w:instrText xml:space="preserve"> NOTEREF _Ref27129641 \h </w:instrText>
      </w:r>
      <w:r w:rsidR="00E817DB">
        <w:fldChar w:fldCharType="separate"/>
      </w:r>
      <w:r w:rsidR="001A0A81">
        <w:t>4</w:t>
      </w:r>
      <w:r w:rsidR="00E817DB">
        <w:fldChar w:fldCharType="end"/>
      </w:r>
      <w:r w:rsidR="00E817DB">
        <w:t>.</w:t>
      </w:r>
    </w:p>
  </w:footnote>
  <w:footnote w:id="128">
    <w:p w14:paraId="04BE690C" w14:textId="5862511C" w:rsidR="00371562" w:rsidRPr="00D02C70" w:rsidRDefault="00371562" w:rsidP="00371562">
      <w:pPr>
        <w:pStyle w:val="FootnoteText"/>
      </w:pPr>
      <w:r>
        <w:rPr>
          <w:rStyle w:val="FootnoteReference"/>
        </w:rPr>
        <w:footnoteRef/>
      </w:r>
      <w:r>
        <w:t xml:space="preserve"> </w:t>
      </w:r>
      <w:r w:rsidRPr="00786828">
        <w:t xml:space="preserve">Blackstone, ‘Blackstone Reports First Quarter 2019 Results and Announces Conversion to Corporation’, 2019, </w:t>
      </w:r>
      <w:r>
        <w:t xml:space="preserve">1 [Blackstone Report] </w:t>
      </w:r>
      <w:r w:rsidRPr="00786828">
        <w:t xml:space="preserve">at: </w:t>
      </w:r>
      <w:hyperlink r:id="rId21" w:history="1">
        <w:r w:rsidRPr="00786828">
          <w:rPr>
            <w:rStyle w:val="Hyperlink"/>
          </w:rPr>
          <w:t>https://s1.q4cdn.com/641657634/files/doc_financials/2019/q1/Blackstone1Q19EarningsPressRelease.pdf</w:t>
        </w:r>
      </w:hyperlink>
      <w:r>
        <w:t xml:space="preserve">, </w:t>
      </w:r>
      <w:r w:rsidR="00DF712D">
        <w:t>(last accessed 26 September 2020).</w:t>
      </w:r>
    </w:p>
  </w:footnote>
  <w:footnote w:id="129">
    <w:p w14:paraId="17D0A3DD" w14:textId="661B8AAF" w:rsidR="00371562" w:rsidRPr="008873C8" w:rsidRDefault="00371562" w:rsidP="00371562">
      <w:pPr>
        <w:pStyle w:val="FootnoteText"/>
        <w:rPr>
          <w:b/>
          <w:bCs/>
          <w:lang w:val="en-US"/>
        </w:rPr>
      </w:pPr>
      <w:r>
        <w:rPr>
          <w:rStyle w:val="FootnoteReference"/>
        </w:rPr>
        <w:footnoteRef/>
      </w:r>
      <w:r>
        <w:t xml:space="preserve"> Heather Perlberg, ‘</w:t>
      </w:r>
      <w:r w:rsidRPr="008873C8">
        <w:rPr>
          <w:bCs/>
          <w:lang w:val="en-US"/>
        </w:rPr>
        <w:t>Blackstone’s Assets Soar Above $500 Billion in Topping Peers’</w:t>
      </w:r>
      <w:r>
        <w:rPr>
          <w:bCs/>
          <w:lang w:val="en-US"/>
        </w:rPr>
        <w:t xml:space="preserve">, </w:t>
      </w:r>
      <w:r>
        <w:rPr>
          <w:bCs/>
          <w:i/>
          <w:lang w:val="en-US"/>
        </w:rPr>
        <w:t xml:space="preserve">Bloomberg, </w:t>
      </w:r>
      <w:r>
        <w:rPr>
          <w:bCs/>
          <w:lang w:val="en-US"/>
        </w:rPr>
        <w:t>18 April 2019, at:</w:t>
      </w:r>
      <w:r>
        <w:rPr>
          <w:bCs/>
          <w:i/>
          <w:lang w:val="en-US"/>
        </w:rPr>
        <w:t xml:space="preserve"> </w:t>
      </w:r>
      <w:hyperlink r:id="rId22" w:history="1">
        <w:r w:rsidRPr="00786828">
          <w:rPr>
            <w:rStyle w:val="Hyperlink"/>
          </w:rPr>
          <w:t>https://www.bloombergquint.com/business/blackstone-s-assets-soar-above-500-billion-in-outpacing-rivals</w:t>
        </w:r>
      </w:hyperlink>
      <w:r>
        <w:rPr>
          <w:rStyle w:val="Hyperlink"/>
        </w:rPr>
        <w:t xml:space="preserve"> </w:t>
      </w:r>
      <w:r w:rsidR="00DF712D">
        <w:t>(last accessed 26 September 2020).</w:t>
      </w:r>
    </w:p>
  </w:footnote>
  <w:footnote w:id="130">
    <w:p w14:paraId="5FBF7364" w14:textId="07C11F96" w:rsidR="00F95CB7" w:rsidRPr="00A26D60" w:rsidRDefault="00F95CB7" w:rsidP="00F95CB7">
      <w:pPr>
        <w:pStyle w:val="FootnoteText"/>
        <w:rPr>
          <w:lang w:val="en-US"/>
        </w:rPr>
      </w:pPr>
      <w:r>
        <w:rPr>
          <w:rStyle w:val="FootnoteReference"/>
        </w:rPr>
        <w:footnoteRef/>
      </w:r>
      <w:r>
        <w:t xml:space="preserve"> </w:t>
      </w:r>
      <w:r w:rsidRPr="006B6F4F">
        <w:rPr>
          <w:iCs/>
        </w:rPr>
        <w:t>General Comment 24, Business</w:t>
      </w:r>
      <w:r w:rsidRPr="006B6F4F">
        <w:t>, n</w:t>
      </w:r>
      <w:r w:rsidR="0097030C">
        <w:t xml:space="preserve"> </w:t>
      </w:r>
      <w:r w:rsidR="0097030C">
        <w:fldChar w:fldCharType="begin"/>
      </w:r>
      <w:r w:rsidR="0097030C">
        <w:instrText xml:space="preserve"> NOTEREF _Ref51170030 \h </w:instrText>
      </w:r>
      <w:r w:rsidR="0097030C">
        <w:fldChar w:fldCharType="separate"/>
      </w:r>
      <w:r w:rsidR="001A0A81">
        <w:t>3</w:t>
      </w:r>
      <w:r w:rsidR="0097030C">
        <w:fldChar w:fldCharType="end"/>
      </w:r>
      <w:r w:rsidRPr="006B6F4F">
        <w:t>,</w:t>
      </w:r>
      <w:r>
        <w:t xml:space="preserve"> para.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F4EE0"/>
    <w:multiLevelType w:val="hybridMultilevel"/>
    <w:tmpl w:val="DF704BE6"/>
    <w:lvl w:ilvl="0" w:tplc="531CC938">
      <w:start w:val="3"/>
      <w:numFmt w:val="bullet"/>
      <w:lvlText w:val="-"/>
      <w:lvlJc w:val="left"/>
      <w:pPr>
        <w:ind w:left="720" w:hanging="360"/>
      </w:pPr>
      <w:rPr>
        <w:rFonts w:ascii="Times New Roman" w:eastAsiaTheme="minorHAnsi"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20B614F6"/>
    <w:multiLevelType w:val="hybridMultilevel"/>
    <w:tmpl w:val="A888F0BC"/>
    <w:lvl w:ilvl="0" w:tplc="2ADC8ABE">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311E0BCB"/>
    <w:multiLevelType w:val="multilevel"/>
    <w:tmpl w:val="3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645B81"/>
    <w:multiLevelType w:val="multilevel"/>
    <w:tmpl w:val="3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4B1525"/>
    <w:multiLevelType w:val="hybridMultilevel"/>
    <w:tmpl w:val="3B9AD11A"/>
    <w:lvl w:ilvl="0" w:tplc="2ADC8ABE">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63587545"/>
    <w:multiLevelType w:val="hybridMultilevel"/>
    <w:tmpl w:val="4506573E"/>
    <w:lvl w:ilvl="0" w:tplc="3C09000F">
      <w:start w:val="1"/>
      <w:numFmt w:val="decimal"/>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69"/>
    <w:rsid w:val="00002712"/>
    <w:rsid w:val="00002841"/>
    <w:rsid w:val="00002CBE"/>
    <w:rsid w:val="000064DA"/>
    <w:rsid w:val="00012695"/>
    <w:rsid w:val="000166C8"/>
    <w:rsid w:val="00020604"/>
    <w:rsid w:val="000209CA"/>
    <w:rsid w:val="00024175"/>
    <w:rsid w:val="00026909"/>
    <w:rsid w:val="0002794D"/>
    <w:rsid w:val="00030E38"/>
    <w:rsid w:val="00033666"/>
    <w:rsid w:val="00036818"/>
    <w:rsid w:val="00040C88"/>
    <w:rsid w:val="00043088"/>
    <w:rsid w:val="00044625"/>
    <w:rsid w:val="000468C3"/>
    <w:rsid w:val="0005196F"/>
    <w:rsid w:val="00056FAA"/>
    <w:rsid w:val="000574B6"/>
    <w:rsid w:val="00064368"/>
    <w:rsid w:val="00067C99"/>
    <w:rsid w:val="0007577D"/>
    <w:rsid w:val="00076068"/>
    <w:rsid w:val="00077EC8"/>
    <w:rsid w:val="000815FA"/>
    <w:rsid w:val="00081FBB"/>
    <w:rsid w:val="000852AE"/>
    <w:rsid w:val="00086E0A"/>
    <w:rsid w:val="00096518"/>
    <w:rsid w:val="00096916"/>
    <w:rsid w:val="000A0546"/>
    <w:rsid w:val="000A330B"/>
    <w:rsid w:val="000A4A2D"/>
    <w:rsid w:val="000A50A9"/>
    <w:rsid w:val="000A6A7C"/>
    <w:rsid w:val="000B18F4"/>
    <w:rsid w:val="000B7FC4"/>
    <w:rsid w:val="000C1A79"/>
    <w:rsid w:val="000C3767"/>
    <w:rsid w:val="000C412F"/>
    <w:rsid w:val="000C503B"/>
    <w:rsid w:val="000C6FD3"/>
    <w:rsid w:val="000D27E2"/>
    <w:rsid w:val="000D4E38"/>
    <w:rsid w:val="000D6592"/>
    <w:rsid w:val="000D764D"/>
    <w:rsid w:val="000E1423"/>
    <w:rsid w:val="000E580A"/>
    <w:rsid w:val="000F1188"/>
    <w:rsid w:val="000F467F"/>
    <w:rsid w:val="000F581B"/>
    <w:rsid w:val="000F65D3"/>
    <w:rsid w:val="00101B3E"/>
    <w:rsid w:val="00112B90"/>
    <w:rsid w:val="00113881"/>
    <w:rsid w:val="00120963"/>
    <w:rsid w:val="00124D8A"/>
    <w:rsid w:val="00127A2A"/>
    <w:rsid w:val="001333E2"/>
    <w:rsid w:val="0014329D"/>
    <w:rsid w:val="00145A46"/>
    <w:rsid w:val="00150889"/>
    <w:rsid w:val="00151EE3"/>
    <w:rsid w:val="001539D4"/>
    <w:rsid w:val="00154EA3"/>
    <w:rsid w:val="0015513B"/>
    <w:rsid w:val="0016225F"/>
    <w:rsid w:val="00165ED5"/>
    <w:rsid w:val="00166CCD"/>
    <w:rsid w:val="00167A6A"/>
    <w:rsid w:val="00171D43"/>
    <w:rsid w:val="001744C5"/>
    <w:rsid w:val="001775D6"/>
    <w:rsid w:val="001775FC"/>
    <w:rsid w:val="00180DA0"/>
    <w:rsid w:val="00181540"/>
    <w:rsid w:val="0018674C"/>
    <w:rsid w:val="00187B33"/>
    <w:rsid w:val="00187D5B"/>
    <w:rsid w:val="0019177C"/>
    <w:rsid w:val="001950B6"/>
    <w:rsid w:val="00195543"/>
    <w:rsid w:val="001962F5"/>
    <w:rsid w:val="00196B36"/>
    <w:rsid w:val="00196FEF"/>
    <w:rsid w:val="001A0A81"/>
    <w:rsid w:val="001B25DF"/>
    <w:rsid w:val="001B4571"/>
    <w:rsid w:val="001C325B"/>
    <w:rsid w:val="001D00EA"/>
    <w:rsid w:val="001D43E9"/>
    <w:rsid w:val="001D6288"/>
    <w:rsid w:val="001D74E7"/>
    <w:rsid w:val="001E210E"/>
    <w:rsid w:val="001E529C"/>
    <w:rsid w:val="001E647D"/>
    <w:rsid w:val="001E74CB"/>
    <w:rsid w:val="001E7F99"/>
    <w:rsid w:val="001F1DD1"/>
    <w:rsid w:val="001F78E8"/>
    <w:rsid w:val="001F79AD"/>
    <w:rsid w:val="001F7DD2"/>
    <w:rsid w:val="00200197"/>
    <w:rsid w:val="0020076F"/>
    <w:rsid w:val="00200F80"/>
    <w:rsid w:val="00202030"/>
    <w:rsid w:val="00203065"/>
    <w:rsid w:val="002042C8"/>
    <w:rsid w:val="00206AEA"/>
    <w:rsid w:val="002077F2"/>
    <w:rsid w:val="00210327"/>
    <w:rsid w:val="00210461"/>
    <w:rsid w:val="002146B0"/>
    <w:rsid w:val="00220A17"/>
    <w:rsid w:val="00220D39"/>
    <w:rsid w:val="00234900"/>
    <w:rsid w:val="00235683"/>
    <w:rsid w:val="00237315"/>
    <w:rsid w:val="00237458"/>
    <w:rsid w:val="00237C78"/>
    <w:rsid w:val="00243484"/>
    <w:rsid w:val="00246351"/>
    <w:rsid w:val="00246A3B"/>
    <w:rsid w:val="00252A04"/>
    <w:rsid w:val="00252D78"/>
    <w:rsid w:val="00254A79"/>
    <w:rsid w:val="002600F7"/>
    <w:rsid w:val="00260226"/>
    <w:rsid w:val="00264418"/>
    <w:rsid w:val="00266391"/>
    <w:rsid w:val="00267E69"/>
    <w:rsid w:val="00273CE8"/>
    <w:rsid w:val="00274BC0"/>
    <w:rsid w:val="00274C00"/>
    <w:rsid w:val="002778E2"/>
    <w:rsid w:val="00277EA0"/>
    <w:rsid w:val="002832AE"/>
    <w:rsid w:val="002A04CE"/>
    <w:rsid w:val="002A06A5"/>
    <w:rsid w:val="002A57A5"/>
    <w:rsid w:val="002B50DE"/>
    <w:rsid w:val="002B556F"/>
    <w:rsid w:val="002B7FC4"/>
    <w:rsid w:val="002C5D8D"/>
    <w:rsid w:val="002C7062"/>
    <w:rsid w:val="002D2244"/>
    <w:rsid w:val="002D6552"/>
    <w:rsid w:val="002D7190"/>
    <w:rsid w:val="002D7CD9"/>
    <w:rsid w:val="002E1805"/>
    <w:rsid w:val="002E5685"/>
    <w:rsid w:val="002F0CB9"/>
    <w:rsid w:val="00302962"/>
    <w:rsid w:val="003109F1"/>
    <w:rsid w:val="00320627"/>
    <w:rsid w:val="00325CD9"/>
    <w:rsid w:val="00327A1F"/>
    <w:rsid w:val="0034032A"/>
    <w:rsid w:val="00345995"/>
    <w:rsid w:val="0034637B"/>
    <w:rsid w:val="00353559"/>
    <w:rsid w:val="00355E82"/>
    <w:rsid w:val="00360301"/>
    <w:rsid w:val="0036374C"/>
    <w:rsid w:val="003652F4"/>
    <w:rsid w:val="00366461"/>
    <w:rsid w:val="00367702"/>
    <w:rsid w:val="003701A5"/>
    <w:rsid w:val="00371562"/>
    <w:rsid w:val="00376024"/>
    <w:rsid w:val="00381AE9"/>
    <w:rsid w:val="0038207A"/>
    <w:rsid w:val="00383C4B"/>
    <w:rsid w:val="00384424"/>
    <w:rsid w:val="00384C0E"/>
    <w:rsid w:val="00385F20"/>
    <w:rsid w:val="003930BA"/>
    <w:rsid w:val="003930FC"/>
    <w:rsid w:val="0039674B"/>
    <w:rsid w:val="003977BA"/>
    <w:rsid w:val="003A2882"/>
    <w:rsid w:val="003A4D2F"/>
    <w:rsid w:val="003B3927"/>
    <w:rsid w:val="003C3440"/>
    <w:rsid w:val="003C3D30"/>
    <w:rsid w:val="003C5DBB"/>
    <w:rsid w:val="003D1FDD"/>
    <w:rsid w:val="003D47DE"/>
    <w:rsid w:val="003D674D"/>
    <w:rsid w:val="003D7919"/>
    <w:rsid w:val="003E4608"/>
    <w:rsid w:val="003E4683"/>
    <w:rsid w:val="003E5785"/>
    <w:rsid w:val="003E57A9"/>
    <w:rsid w:val="003F3AA5"/>
    <w:rsid w:val="004118DD"/>
    <w:rsid w:val="0041343C"/>
    <w:rsid w:val="00417FDD"/>
    <w:rsid w:val="00422444"/>
    <w:rsid w:val="004310D2"/>
    <w:rsid w:val="004317BF"/>
    <w:rsid w:val="0044127F"/>
    <w:rsid w:val="00453EB8"/>
    <w:rsid w:val="00454C31"/>
    <w:rsid w:val="00461868"/>
    <w:rsid w:val="004646D1"/>
    <w:rsid w:val="00465F3A"/>
    <w:rsid w:val="004662FC"/>
    <w:rsid w:val="00467E1C"/>
    <w:rsid w:val="004727F6"/>
    <w:rsid w:val="0047401F"/>
    <w:rsid w:val="00477C1E"/>
    <w:rsid w:val="00480096"/>
    <w:rsid w:val="00480541"/>
    <w:rsid w:val="00484F65"/>
    <w:rsid w:val="004860E9"/>
    <w:rsid w:val="00486A33"/>
    <w:rsid w:val="0049028B"/>
    <w:rsid w:val="00494F17"/>
    <w:rsid w:val="0049714D"/>
    <w:rsid w:val="004A4495"/>
    <w:rsid w:val="004A55B9"/>
    <w:rsid w:val="004A6B5E"/>
    <w:rsid w:val="004B5BDC"/>
    <w:rsid w:val="004B6607"/>
    <w:rsid w:val="004C15BE"/>
    <w:rsid w:val="004C1F06"/>
    <w:rsid w:val="004C2C58"/>
    <w:rsid w:val="004C3807"/>
    <w:rsid w:val="004C5F75"/>
    <w:rsid w:val="004C713C"/>
    <w:rsid w:val="004C782D"/>
    <w:rsid w:val="004D12C7"/>
    <w:rsid w:val="004D4133"/>
    <w:rsid w:val="004D41CA"/>
    <w:rsid w:val="004D5516"/>
    <w:rsid w:val="004D608C"/>
    <w:rsid w:val="004E1FB0"/>
    <w:rsid w:val="004E2FA9"/>
    <w:rsid w:val="004E368B"/>
    <w:rsid w:val="004E6CC3"/>
    <w:rsid w:val="004F1266"/>
    <w:rsid w:val="004F2EC4"/>
    <w:rsid w:val="00500376"/>
    <w:rsid w:val="0050044C"/>
    <w:rsid w:val="00500682"/>
    <w:rsid w:val="005103E0"/>
    <w:rsid w:val="00514CC4"/>
    <w:rsid w:val="005156C0"/>
    <w:rsid w:val="00516F13"/>
    <w:rsid w:val="005211C1"/>
    <w:rsid w:val="0052157E"/>
    <w:rsid w:val="00521B10"/>
    <w:rsid w:val="00531507"/>
    <w:rsid w:val="00533595"/>
    <w:rsid w:val="005351A1"/>
    <w:rsid w:val="005437AD"/>
    <w:rsid w:val="00543A1F"/>
    <w:rsid w:val="00544F77"/>
    <w:rsid w:val="00545912"/>
    <w:rsid w:val="00545975"/>
    <w:rsid w:val="0054636F"/>
    <w:rsid w:val="00547AAA"/>
    <w:rsid w:val="00550FD0"/>
    <w:rsid w:val="0055191B"/>
    <w:rsid w:val="005545A6"/>
    <w:rsid w:val="00556803"/>
    <w:rsid w:val="0055719F"/>
    <w:rsid w:val="005628B8"/>
    <w:rsid w:val="00563498"/>
    <w:rsid w:val="005636F6"/>
    <w:rsid w:val="00564818"/>
    <w:rsid w:val="0056542E"/>
    <w:rsid w:val="00566950"/>
    <w:rsid w:val="005671DD"/>
    <w:rsid w:val="005723F9"/>
    <w:rsid w:val="00574C2D"/>
    <w:rsid w:val="005756BB"/>
    <w:rsid w:val="005764D6"/>
    <w:rsid w:val="00576D14"/>
    <w:rsid w:val="005818EE"/>
    <w:rsid w:val="005846A1"/>
    <w:rsid w:val="005926C8"/>
    <w:rsid w:val="00592C00"/>
    <w:rsid w:val="005A0829"/>
    <w:rsid w:val="005A6237"/>
    <w:rsid w:val="005B1C8C"/>
    <w:rsid w:val="005B2D34"/>
    <w:rsid w:val="005B41D2"/>
    <w:rsid w:val="005B6EB3"/>
    <w:rsid w:val="005C035E"/>
    <w:rsid w:val="005C6255"/>
    <w:rsid w:val="005C6546"/>
    <w:rsid w:val="005D15B1"/>
    <w:rsid w:val="005D1AB8"/>
    <w:rsid w:val="005D38B5"/>
    <w:rsid w:val="005D3A4C"/>
    <w:rsid w:val="005D4C3A"/>
    <w:rsid w:val="005D6F88"/>
    <w:rsid w:val="005D7384"/>
    <w:rsid w:val="005E3C3E"/>
    <w:rsid w:val="005E42D1"/>
    <w:rsid w:val="005E487B"/>
    <w:rsid w:val="005E5E15"/>
    <w:rsid w:val="005E7185"/>
    <w:rsid w:val="005F364A"/>
    <w:rsid w:val="005F52F1"/>
    <w:rsid w:val="005F70A3"/>
    <w:rsid w:val="006039F3"/>
    <w:rsid w:val="0060433D"/>
    <w:rsid w:val="006064EC"/>
    <w:rsid w:val="006074D8"/>
    <w:rsid w:val="00607E6C"/>
    <w:rsid w:val="00612475"/>
    <w:rsid w:val="0062362C"/>
    <w:rsid w:val="00636556"/>
    <w:rsid w:val="00640FA4"/>
    <w:rsid w:val="00641455"/>
    <w:rsid w:val="00643648"/>
    <w:rsid w:val="006450FB"/>
    <w:rsid w:val="00650655"/>
    <w:rsid w:val="006515F0"/>
    <w:rsid w:val="00652F24"/>
    <w:rsid w:val="00653D75"/>
    <w:rsid w:val="00657C01"/>
    <w:rsid w:val="00660742"/>
    <w:rsid w:val="006700AA"/>
    <w:rsid w:val="0067137B"/>
    <w:rsid w:val="00671F03"/>
    <w:rsid w:val="00672C8B"/>
    <w:rsid w:val="00674152"/>
    <w:rsid w:val="00674947"/>
    <w:rsid w:val="00675A8B"/>
    <w:rsid w:val="00676F62"/>
    <w:rsid w:val="00677507"/>
    <w:rsid w:val="00682614"/>
    <w:rsid w:val="00682F83"/>
    <w:rsid w:val="00684495"/>
    <w:rsid w:val="00684A14"/>
    <w:rsid w:val="00684FAF"/>
    <w:rsid w:val="006879F3"/>
    <w:rsid w:val="006A06CF"/>
    <w:rsid w:val="006A6DF3"/>
    <w:rsid w:val="006B3003"/>
    <w:rsid w:val="006B3800"/>
    <w:rsid w:val="006B430F"/>
    <w:rsid w:val="006C32DA"/>
    <w:rsid w:val="006C44F0"/>
    <w:rsid w:val="006C6A5C"/>
    <w:rsid w:val="006D4E17"/>
    <w:rsid w:val="006D4FC4"/>
    <w:rsid w:val="006E0CAD"/>
    <w:rsid w:val="006E286E"/>
    <w:rsid w:val="006E42FB"/>
    <w:rsid w:val="006E69E8"/>
    <w:rsid w:val="00700B0B"/>
    <w:rsid w:val="00703D58"/>
    <w:rsid w:val="00703F0C"/>
    <w:rsid w:val="007045CD"/>
    <w:rsid w:val="00705945"/>
    <w:rsid w:val="0071010A"/>
    <w:rsid w:val="00711075"/>
    <w:rsid w:val="007204FE"/>
    <w:rsid w:val="0072411A"/>
    <w:rsid w:val="007273F4"/>
    <w:rsid w:val="007319BE"/>
    <w:rsid w:val="007329AB"/>
    <w:rsid w:val="007329D6"/>
    <w:rsid w:val="007374F5"/>
    <w:rsid w:val="007511B6"/>
    <w:rsid w:val="00751D4F"/>
    <w:rsid w:val="007527CB"/>
    <w:rsid w:val="00761480"/>
    <w:rsid w:val="00761A89"/>
    <w:rsid w:val="007655EE"/>
    <w:rsid w:val="00765710"/>
    <w:rsid w:val="00771421"/>
    <w:rsid w:val="00771C39"/>
    <w:rsid w:val="0077244C"/>
    <w:rsid w:val="00772463"/>
    <w:rsid w:val="00773EDA"/>
    <w:rsid w:val="00777492"/>
    <w:rsid w:val="00777ADB"/>
    <w:rsid w:val="00780079"/>
    <w:rsid w:val="0078095B"/>
    <w:rsid w:val="00784558"/>
    <w:rsid w:val="00784E08"/>
    <w:rsid w:val="00787887"/>
    <w:rsid w:val="007958DF"/>
    <w:rsid w:val="007A0609"/>
    <w:rsid w:val="007A49F6"/>
    <w:rsid w:val="007B3092"/>
    <w:rsid w:val="007B3E20"/>
    <w:rsid w:val="007B4E20"/>
    <w:rsid w:val="007C167A"/>
    <w:rsid w:val="007C36F2"/>
    <w:rsid w:val="007C4C46"/>
    <w:rsid w:val="007D5485"/>
    <w:rsid w:val="007D6779"/>
    <w:rsid w:val="007E0A24"/>
    <w:rsid w:val="007E2083"/>
    <w:rsid w:val="007E6247"/>
    <w:rsid w:val="007E66D0"/>
    <w:rsid w:val="00803502"/>
    <w:rsid w:val="00804BF4"/>
    <w:rsid w:val="00812C3D"/>
    <w:rsid w:val="0081403C"/>
    <w:rsid w:val="008238E0"/>
    <w:rsid w:val="00825B5B"/>
    <w:rsid w:val="0083235D"/>
    <w:rsid w:val="00837F19"/>
    <w:rsid w:val="00840266"/>
    <w:rsid w:val="00842950"/>
    <w:rsid w:val="0084298C"/>
    <w:rsid w:val="00842E12"/>
    <w:rsid w:val="00842F03"/>
    <w:rsid w:val="0084497E"/>
    <w:rsid w:val="00844E79"/>
    <w:rsid w:val="00850610"/>
    <w:rsid w:val="00851601"/>
    <w:rsid w:val="0085391D"/>
    <w:rsid w:val="00855DD4"/>
    <w:rsid w:val="00855E41"/>
    <w:rsid w:val="00861277"/>
    <w:rsid w:val="008648AB"/>
    <w:rsid w:val="00867B3C"/>
    <w:rsid w:val="00870567"/>
    <w:rsid w:val="008741F7"/>
    <w:rsid w:val="00877376"/>
    <w:rsid w:val="00880AB1"/>
    <w:rsid w:val="008822BD"/>
    <w:rsid w:val="00884403"/>
    <w:rsid w:val="00885E82"/>
    <w:rsid w:val="00887892"/>
    <w:rsid w:val="00896E1C"/>
    <w:rsid w:val="008A7533"/>
    <w:rsid w:val="008C07AF"/>
    <w:rsid w:val="008C26C2"/>
    <w:rsid w:val="008D1B1F"/>
    <w:rsid w:val="008D34A8"/>
    <w:rsid w:val="008D6208"/>
    <w:rsid w:val="008D7CFA"/>
    <w:rsid w:val="008E16AC"/>
    <w:rsid w:val="008E2B0D"/>
    <w:rsid w:val="008E3A5A"/>
    <w:rsid w:val="008E3DDB"/>
    <w:rsid w:val="008E49CA"/>
    <w:rsid w:val="008E5E78"/>
    <w:rsid w:val="008F0D94"/>
    <w:rsid w:val="008F4C1B"/>
    <w:rsid w:val="008F6527"/>
    <w:rsid w:val="008F672B"/>
    <w:rsid w:val="008F7678"/>
    <w:rsid w:val="00901480"/>
    <w:rsid w:val="00905558"/>
    <w:rsid w:val="009104C9"/>
    <w:rsid w:val="009170E0"/>
    <w:rsid w:val="00920357"/>
    <w:rsid w:val="00924B13"/>
    <w:rsid w:val="0092616D"/>
    <w:rsid w:val="00927492"/>
    <w:rsid w:val="00933181"/>
    <w:rsid w:val="00942AD3"/>
    <w:rsid w:val="00944B22"/>
    <w:rsid w:val="00950ED5"/>
    <w:rsid w:val="00951E0D"/>
    <w:rsid w:val="00954773"/>
    <w:rsid w:val="00963301"/>
    <w:rsid w:val="009657A7"/>
    <w:rsid w:val="0096616B"/>
    <w:rsid w:val="00966303"/>
    <w:rsid w:val="00967D1E"/>
    <w:rsid w:val="00970138"/>
    <w:rsid w:val="0097030C"/>
    <w:rsid w:val="00970784"/>
    <w:rsid w:val="00975FE3"/>
    <w:rsid w:val="0098314C"/>
    <w:rsid w:val="00991F92"/>
    <w:rsid w:val="00992C88"/>
    <w:rsid w:val="009953A0"/>
    <w:rsid w:val="00996F37"/>
    <w:rsid w:val="00997F0B"/>
    <w:rsid w:val="009A57AA"/>
    <w:rsid w:val="009B7364"/>
    <w:rsid w:val="009C22EE"/>
    <w:rsid w:val="009C2A60"/>
    <w:rsid w:val="009C4155"/>
    <w:rsid w:val="009D1FD6"/>
    <w:rsid w:val="009D2FDA"/>
    <w:rsid w:val="009D7925"/>
    <w:rsid w:val="009E16EB"/>
    <w:rsid w:val="009F4BED"/>
    <w:rsid w:val="009F63D5"/>
    <w:rsid w:val="009F6CB8"/>
    <w:rsid w:val="009F6DCE"/>
    <w:rsid w:val="00A032EE"/>
    <w:rsid w:val="00A068AC"/>
    <w:rsid w:val="00A07164"/>
    <w:rsid w:val="00A13CEE"/>
    <w:rsid w:val="00A15CDF"/>
    <w:rsid w:val="00A1724C"/>
    <w:rsid w:val="00A2059C"/>
    <w:rsid w:val="00A21050"/>
    <w:rsid w:val="00A22D71"/>
    <w:rsid w:val="00A24711"/>
    <w:rsid w:val="00A31EE4"/>
    <w:rsid w:val="00A368C6"/>
    <w:rsid w:val="00A37999"/>
    <w:rsid w:val="00A45054"/>
    <w:rsid w:val="00A512E0"/>
    <w:rsid w:val="00A546F3"/>
    <w:rsid w:val="00A56438"/>
    <w:rsid w:val="00A6013E"/>
    <w:rsid w:val="00A605D3"/>
    <w:rsid w:val="00A61BB8"/>
    <w:rsid w:val="00A61CC8"/>
    <w:rsid w:val="00A6360B"/>
    <w:rsid w:val="00A665A4"/>
    <w:rsid w:val="00A73489"/>
    <w:rsid w:val="00A74645"/>
    <w:rsid w:val="00A74CD2"/>
    <w:rsid w:val="00A76D63"/>
    <w:rsid w:val="00A7714B"/>
    <w:rsid w:val="00A83995"/>
    <w:rsid w:val="00A94DC6"/>
    <w:rsid w:val="00A971F2"/>
    <w:rsid w:val="00AA5B17"/>
    <w:rsid w:val="00AA7105"/>
    <w:rsid w:val="00AB02B3"/>
    <w:rsid w:val="00AB365E"/>
    <w:rsid w:val="00AB3B41"/>
    <w:rsid w:val="00AB4268"/>
    <w:rsid w:val="00AC145D"/>
    <w:rsid w:val="00AC1960"/>
    <w:rsid w:val="00AC1E93"/>
    <w:rsid w:val="00AC3AFD"/>
    <w:rsid w:val="00AC3C69"/>
    <w:rsid w:val="00AC7386"/>
    <w:rsid w:val="00AC770E"/>
    <w:rsid w:val="00AC7BFE"/>
    <w:rsid w:val="00AD1549"/>
    <w:rsid w:val="00AD5258"/>
    <w:rsid w:val="00AD62AE"/>
    <w:rsid w:val="00AE448B"/>
    <w:rsid w:val="00AE46E8"/>
    <w:rsid w:val="00AE4872"/>
    <w:rsid w:val="00AE625E"/>
    <w:rsid w:val="00AF69F7"/>
    <w:rsid w:val="00B03BD9"/>
    <w:rsid w:val="00B07304"/>
    <w:rsid w:val="00B13607"/>
    <w:rsid w:val="00B153CB"/>
    <w:rsid w:val="00B15E07"/>
    <w:rsid w:val="00B1621D"/>
    <w:rsid w:val="00B209B2"/>
    <w:rsid w:val="00B23E6B"/>
    <w:rsid w:val="00B30766"/>
    <w:rsid w:val="00B32973"/>
    <w:rsid w:val="00B32BE1"/>
    <w:rsid w:val="00B35D43"/>
    <w:rsid w:val="00B37804"/>
    <w:rsid w:val="00B42988"/>
    <w:rsid w:val="00B42B1E"/>
    <w:rsid w:val="00B45DD8"/>
    <w:rsid w:val="00B45FDB"/>
    <w:rsid w:val="00B471FA"/>
    <w:rsid w:val="00B47E76"/>
    <w:rsid w:val="00B525C0"/>
    <w:rsid w:val="00B52BB6"/>
    <w:rsid w:val="00B53CBA"/>
    <w:rsid w:val="00B5665A"/>
    <w:rsid w:val="00B57469"/>
    <w:rsid w:val="00B64481"/>
    <w:rsid w:val="00B6540A"/>
    <w:rsid w:val="00B72D3D"/>
    <w:rsid w:val="00B73D5A"/>
    <w:rsid w:val="00B7420A"/>
    <w:rsid w:val="00B77D7A"/>
    <w:rsid w:val="00B86378"/>
    <w:rsid w:val="00B86C2F"/>
    <w:rsid w:val="00B9057C"/>
    <w:rsid w:val="00BA2D4A"/>
    <w:rsid w:val="00BA30C8"/>
    <w:rsid w:val="00BA495F"/>
    <w:rsid w:val="00BA53EE"/>
    <w:rsid w:val="00BA5725"/>
    <w:rsid w:val="00BB0588"/>
    <w:rsid w:val="00BB0C07"/>
    <w:rsid w:val="00BB271E"/>
    <w:rsid w:val="00BB6338"/>
    <w:rsid w:val="00BB78A5"/>
    <w:rsid w:val="00BB7993"/>
    <w:rsid w:val="00BC20F4"/>
    <w:rsid w:val="00BC7F26"/>
    <w:rsid w:val="00BD077A"/>
    <w:rsid w:val="00BD0957"/>
    <w:rsid w:val="00BD2FD5"/>
    <w:rsid w:val="00BD4452"/>
    <w:rsid w:val="00BE2769"/>
    <w:rsid w:val="00BF1462"/>
    <w:rsid w:val="00BF17C5"/>
    <w:rsid w:val="00BF6C5B"/>
    <w:rsid w:val="00BF766E"/>
    <w:rsid w:val="00C0131E"/>
    <w:rsid w:val="00C02321"/>
    <w:rsid w:val="00C025D4"/>
    <w:rsid w:val="00C03398"/>
    <w:rsid w:val="00C2349B"/>
    <w:rsid w:val="00C25A90"/>
    <w:rsid w:val="00C32013"/>
    <w:rsid w:val="00C32AC9"/>
    <w:rsid w:val="00C37457"/>
    <w:rsid w:val="00C408C3"/>
    <w:rsid w:val="00C40ABA"/>
    <w:rsid w:val="00C507F1"/>
    <w:rsid w:val="00C51647"/>
    <w:rsid w:val="00C51BB8"/>
    <w:rsid w:val="00C55B58"/>
    <w:rsid w:val="00C56EF5"/>
    <w:rsid w:val="00C60D99"/>
    <w:rsid w:val="00C65B5E"/>
    <w:rsid w:val="00C70610"/>
    <w:rsid w:val="00C708F2"/>
    <w:rsid w:val="00C7134C"/>
    <w:rsid w:val="00C73C09"/>
    <w:rsid w:val="00C74481"/>
    <w:rsid w:val="00C77E8B"/>
    <w:rsid w:val="00C80DE3"/>
    <w:rsid w:val="00C81069"/>
    <w:rsid w:val="00C82618"/>
    <w:rsid w:val="00C83C5C"/>
    <w:rsid w:val="00C85496"/>
    <w:rsid w:val="00C94E8B"/>
    <w:rsid w:val="00C97D97"/>
    <w:rsid w:val="00CA5D98"/>
    <w:rsid w:val="00CA7D6D"/>
    <w:rsid w:val="00CB6FAF"/>
    <w:rsid w:val="00CC6167"/>
    <w:rsid w:val="00CC69A0"/>
    <w:rsid w:val="00CD184A"/>
    <w:rsid w:val="00CD2A44"/>
    <w:rsid w:val="00CD4257"/>
    <w:rsid w:val="00CD5338"/>
    <w:rsid w:val="00CE059F"/>
    <w:rsid w:val="00CE1553"/>
    <w:rsid w:val="00CE1AFF"/>
    <w:rsid w:val="00CE3D6D"/>
    <w:rsid w:val="00CE49E1"/>
    <w:rsid w:val="00CE4E99"/>
    <w:rsid w:val="00CE61FD"/>
    <w:rsid w:val="00CF09B6"/>
    <w:rsid w:val="00CF0E1A"/>
    <w:rsid w:val="00CF2B17"/>
    <w:rsid w:val="00CF4F9C"/>
    <w:rsid w:val="00CF6A04"/>
    <w:rsid w:val="00CF6B93"/>
    <w:rsid w:val="00CF7231"/>
    <w:rsid w:val="00D010D7"/>
    <w:rsid w:val="00D02D33"/>
    <w:rsid w:val="00D02F63"/>
    <w:rsid w:val="00D0324C"/>
    <w:rsid w:val="00D04AC0"/>
    <w:rsid w:val="00D075FB"/>
    <w:rsid w:val="00D13A54"/>
    <w:rsid w:val="00D144C2"/>
    <w:rsid w:val="00D17B09"/>
    <w:rsid w:val="00D21B91"/>
    <w:rsid w:val="00D270FB"/>
    <w:rsid w:val="00D30017"/>
    <w:rsid w:val="00D339B6"/>
    <w:rsid w:val="00D402B1"/>
    <w:rsid w:val="00D441CC"/>
    <w:rsid w:val="00D44A86"/>
    <w:rsid w:val="00D47EBC"/>
    <w:rsid w:val="00D52A6A"/>
    <w:rsid w:val="00D537BC"/>
    <w:rsid w:val="00D562B6"/>
    <w:rsid w:val="00D57723"/>
    <w:rsid w:val="00D60401"/>
    <w:rsid w:val="00D6136E"/>
    <w:rsid w:val="00D634B3"/>
    <w:rsid w:val="00D63E91"/>
    <w:rsid w:val="00D7007B"/>
    <w:rsid w:val="00D70A12"/>
    <w:rsid w:val="00D70CC0"/>
    <w:rsid w:val="00D72351"/>
    <w:rsid w:val="00D726FB"/>
    <w:rsid w:val="00D7295F"/>
    <w:rsid w:val="00D8350A"/>
    <w:rsid w:val="00D84ECF"/>
    <w:rsid w:val="00D87022"/>
    <w:rsid w:val="00D922A4"/>
    <w:rsid w:val="00D952D9"/>
    <w:rsid w:val="00D976B8"/>
    <w:rsid w:val="00D97854"/>
    <w:rsid w:val="00DA1138"/>
    <w:rsid w:val="00DA6980"/>
    <w:rsid w:val="00DA761B"/>
    <w:rsid w:val="00DC4CA2"/>
    <w:rsid w:val="00DC7784"/>
    <w:rsid w:val="00DD3D6C"/>
    <w:rsid w:val="00DD61FA"/>
    <w:rsid w:val="00DE218E"/>
    <w:rsid w:val="00DE2AC7"/>
    <w:rsid w:val="00DE2C7E"/>
    <w:rsid w:val="00DF712D"/>
    <w:rsid w:val="00E023E6"/>
    <w:rsid w:val="00E07FFA"/>
    <w:rsid w:val="00E12944"/>
    <w:rsid w:val="00E12D31"/>
    <w:rsid w:val="00E15381"/>
    <w:rsid w:val="00E20B5E"/>
    <w:rsid w:val="00E212B9"/>
    <w:rsid w:val="00E30747"/>
    <w:rsid w:val="00E30942"/>
    <w:rsid w:val="00E32C5B"/>
    <w:rsid w:val="00E33C4A"/>
    <w:rsid w:val="00E36EFB"/>
    <w:rsid w:val="00E400AD"/>
    <w:rsid w:val="00E44E4A"/>
    <w:rsid w:val="00E4551F"/>
    <w:rsid w:val="00E50353"/>
    <w:rsid w:val="00E53282"/>
    <w:rsid w:val="00E54326"/>
    <w:rsid w:val="00E553D9"/>
    <w:rsid w:val="00E55D64"/>
    <w:rsid w:val="00E56544"/>
    <w:rsid w:val="00E5750A"/>
    <w:rsid w:val="00E61557"/>
    <w:rsid w:val="00E633F5"/>
    <w:rsid w:val="00E6442C"/>
    <w:rsid w:val="00E66432"/>
    <w:rsid w:val="00E66D6D"/>
    <w:rsid w:val="00E715FB"/>
    <w:rsid w:val="00E74D2C"/>
    <w:rsid w:val="00E75BC7"/>
    <w:rsid w:val="00E80202"/>
    <w:rsid w:val="00E81469"/>
    <w:rsid w:val="00E817DB"/>
    <w:rsid w:val="00E830AD"/>
    <w:rsid w:val="00E83857"/>
    <w:rsid w:val="00E85184"/>
    <w:rsid w:val="00E87015"/>
    <w:rsid w:val="00E91E65"/>
    <w:rsid w:val="00E92778"/>
    <w:rsid w:val="00E97A7C"/>
    <w:rsid w:val="00EA05FB"/>
    <w:rsid w:val="00EA450E"/>
    <w:rsid w:val="00EB2670"/>
    <w:rsid w:val="00EB2AB3"/>
    <w:rsid w:val="00EB3563"/>
    <w:rsid w:val="00EB6797"/>
    <w:rsid w:val="00EC530A"/>
    <w:rsid w:val="00EC7758"/>
    <w:rsid w:val="00ED0D92"/>
    <w:rsid w:val="00ED47B3"/>
    <w:rsid w:val="00ED64A6"/>
    <w:rsid w:val="00EF0F4E"/>
    <w:rsid w:val="00EF5911"/>
    <w:rsid w:val="00EF7513"/>
    <w:rsid w:val="00F015CA"/>
    <w:rsid w:val="00F015EC"/>
    <w:rsid w:val="00F02C73"/>
    <w:rsid w:val="00F0321C"/>
    <w:rsid w:val="00F05CBB"/>
    <w:rsid w:val="00F06042"/>
    <w:rsid w:val="00F063CE"/>
    <w:rsid w:val="00F1468C"/>
    <w:rsid w:val="00F163D3"/>
    <w:rsid w:val="00F20399"/>
    <w:rsid w:val="00F2056D"/>
    <w:rsid w:val="00F21C6F"/>
    <w:rsid w:val="00F221ED"/>
    <w:rsid w:val="00F226D7"/>
    <w:rsid w:val="00F238C8"/>
    <w:rsid w:val="00F26494"/>
    <w:rsid w:val="00F3263F"/>
    <w:rsid w:val="00F34607"/>
    <w:rsid w:val="00F450CC"/>
    <w:rsid w:val="00F529E5"/>
    <w:rsid w:val="00F53B01"/>
    <w:rsid w:val="00F54D23"/>
    <w:rsid w:val="00F558B0"/>
    <w:rsid w:val="00F56424"/>
    <w:rsid w:val="00F5781F"/>
    <w:rsid w:val="00F65D58"/>
    <w:rsid w:val="00F701A8"/>
    <w:rsid w:val="00F709C3"/>
    <w:rsid w:val="00F83064"/>
    <w:rsid w:val="00F8314D"/>
    <w:rsid w:val="00F8346A"/>
    <w:rsid w:val="00F873C6"/>
    <w:rsid w:val="00F87888"/>
    <w:rsid w:val="00F90A01"/>
    <w:rsid w:val="00F95CB7"/>
    <w:rsid w:val="00F965A7"/>
    <w:rsid w:val="00FA28BB"/>
    <w:rsid w:val="00FB14AB"/>
    <w:rsid w:val="00FB31E5"/>
    <w:rsid w:val="00FC07DB"/>
    <w:rsid w:val="00FC2B74"/>
    <w:rsid w:val="00FC4553"/>
    <w:rsid w:val="00FC4775"/>
    <w:rsid w:val="00FC6B1D"/>
    <w:rsid w:val="00FD4EDB"/>
    <w:rsid w:val="00FD5270"/>
    <w:rsid w:val="00FE047B"/>
    <w:rsid w:val="00FE08E2"/>
    <w:rsid w:val="00FE5EA5"/>
    <w:rsid w:val="00FE6A08"/>
    <w:rsid w:val="00FE722E"/>
    <w:rsid w:val="00FF3BC1"/>
    <w:rsid w:val="00FF4845"/>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C987"/>
  <w15:chartTrackingRefBased/>
  <w15:docId w15:val="{6F3322CD-F8CE-4ECA-B43B-48B8DFD4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2,5_G,Footnotes,Note de bas de page2,fn,Fußnotentext RAXEN,Footnote Text Char2 Char,Footnote Text Char Char1 Char,Footnote Text Char2 Char Char Char,Footnote Text Char1 Char Char Char Char,footnotes,footnote text,FA Fu,f,ft,FA,Texto,ft1"/>
    <w:basedOn w:val="Normal"/>
    <w:link w:val="FootnoteTextChar"/>
    <w:uiPriority w:val="99"/>
    <w:unhideWhenUsed/>
    <w:qFormat/>
    <w:rsid w:val="000A330B"/>
    <w:pPr>
      <w:spacing w:after="0" w:line="240" w:lineRule="auto"/>
    </w:pPr>
    <w:rPr>
      <w:sz w:val="20"/>
      <w:szCs w:val="20"/>
    </w:rPr>
  </w:style>
  <w:style w:type="character" w:customStyle="1" w:styleId="FootnoteTextChar">
    <w:name w:val="Footnote Text Char"/>
    <w:aliases w:val="2 Char,5_G Char,Footnotes Char,Note de bas de page2 Char,fn Char,Fußnotentext RAXEN Char,Footnote Text Char2 Char Char,Footnote Text Char Char1 Char Char,Footnote Text Char2 Char Char Char Char,footnotes Char,footnote text Char,f Char"/>
    <w:basedOn w:val="DefaultParagraphFont"/>
    <w:link w:val="FootnoteText"/>
    <w:uiPriority w:val="99"/>
    <w:qFormat/>
    <w:rsid w:val="000A330B"/>
    <w:rPr>
      <w:sz w:val="20"/>
      <w:szCs w:val="20"/>
    </w:rPr>
  </w:style>
  <w:style w:type="paragraph" w:styleId="ListParagraph">
    <w:name w:val="List Paragraph"/>
    <w:basedOn w:val="Normal"/>
    <w:uiPriority w:val="34"/>
    <w:qFormat/>
    <w:rsid w:val="00AC3C69"/>
    <w:pPr>
      <w:ind w:left="720"/>
      <w:contextualSpacing/>
    </w:p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Footnote Ref,16 Point"/>
    <w:basedOn w:val="DefaultParagraphFont"/>
    <w:link w:val="FootnotesymbolCarZchnZchn"/>
    <w:uiPriority w:val="99"/>
    <w:unhideWhenUsed/>
    <w:qFormat/>
    <w:rsid w:val="00AC3C69"/>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
    <w:basedOn w:val="Normal"/>
    <w:link w:val="FootnoteReference"/>
    <w:uiPriority w:val="99"/>
    <w:rsid w:val="00AC3C69"/>
    <w:pPr>
      <w:suppressAutoHyphens/>
      <w:spacing w:line="240" w:lineRule="exact"/>
      <w:jc w:val="both"/>
    </w:pPr>
    <w:rPr>
      <w:vertAlign w:val="superscript"/>
    </w:rPr>
  </w:style>
  <w:style w:type="character" w:styleId="Hyperlink">
    <w:name w:val="Hyperlink"/>
    <w:basedOn w:val="DefaultParagraphFont"/>
    <w:uiPriority w:val="99"/>
    <w:unhideWhenUsed/>
    <w:rsid w:val="00AC3C69"/>
    <w:rPr>
      <w:color w:val="0000FF"/>
      <w:u w:val="single"/>
    </w:rPr>
  </w:style>
  <w:style w:type="paragraph" w:styleId="BalloonText">
    <w:name w:val="Balloon Text"/>
    <w:basedOn w:val="Normal"/>
    <w:link w:val="BalloonTextChar"/>
    <w:uiPriority w:val="99"/>
    <w:semiHidden/>
    <w:unhideWhenUsed/>
    <w:rsid w:val="00E8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015"/>
    <w:rPr>
      <w:rFonts w:ascii="Segoe UI" w:hAnsi="Segoe UI" w:cs="Segoe UI"/>
      <w:sz w:val="18"/>
      <w:szCs w:val="18"/>
    </w:rPr>
  </w:style>
  <w:style w:type="paragraph" w:styleId="Header">
    <w:name w:val="header"/>
    <w:basedOn w:val="Normal"/>
    <w:link w:val="HeaderChar"/>
    <w:uiPriority w:val="99"/>
    <w:unhideWhenUsed/>
    <w:rsid w:val="00CD1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84A"/>
  </w:style>
  <w:style w:type="paragraph" w:styleId="Footer">
    <w:name w:val="footer"/>
    <w:basedOn w:val="Normal"/>
    <w:link w:val="FooterChar"/>
    <w:uiPriority w:val="99"/>
    <w:unhideWhenUsed/>
    <w:rsid w:val="00CD1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84A"/>
  </w:style>
  <w:style w:type="character" w:styleId="FollowedHyperlink">
    <w:name w:val="FollowedHyperlink"/>
    <w:basedOn w:val="DefaultParagraphFont"/>
    <w:uiPriority w:val="99"/>
    <w:semiHidden/>
    <w:unhideWhenUsed/>
    <w:rsid w:val="00A22D71"/>
    <w:rPr>
      <w:color w:val="954F72" w:themeColor="followedHyperlink"/>
      <w:u w:val="single"/>
    </w:rPr>
  </w:style>
  <w:style w:type="character" w:styleId="UnresolvedMention">
    <w:name w:val="Unresolved Mention"/>
    <w:basedOn w:val="DefaultParagraphFont"/>
    <w:uiPriority w:val="99"/>
    <w:semiHidden/>
    <w:unhideWhenUsed/>
    <w:rsid w:val="0097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44406">
      <w:bodyDiv w:val="1"/>
      <w:marLeft w:val="0"/>
      <w:marRight w:val="0"/>
      <w:marTop w:val="0"/>
      <w:marBottom w:val="0"/>
      <w:divBdr>
        <w:top w:val="none" w:sz="0" w:space="0" w:color="auto"/>
        <w:left w:val="none" w:sz="0" w:space="0" w:color="auto"/>
        <w:bottom w:val="none" w:sz="0" w:space="0" w:color="auto"/>
        <w:right w:val="none" w:sz="0" w:space="0" w:color="auto"/>
      </w:divBdr>
    </w:div>
    <w:div w:id="900095324">
      <w:bodyDiv w:val="1"/>
      <w:marLeft w:val="0"/>
      <w:marRight w:val="0"/>
      <w:marTop w:val="0"/>
      <w:marBottom w:val="0"/>
      <w:divBdr>
        <w:top w:val="none" w:sz="0" w:space="0" w:color="auto"/>
        <w:left w:val="none" w:sz="0" w:space="0" w:color="auto"/>
        <w:bottom w:val="none" w:sz="0" w:space="0" w:color="auto"/>
        <w:right w:val="none" w:sz="0" w:space="0" w:color="auto"/>
      </w:divBdr>
    </w:div>
    <w:div w:id="1362440280">
      <w:bodyDiv w:val="1"/>
      <w:marLeft w:val="0"/>
      <w:marRight w:val="0"/>
      <w:marTop w:val="0"/>
      <w:marBottom w:val="0"/>
      <w:divBdr>
        <w:top w:val="none" w:sz="0" w:space="0" w:color="auto"/>
        <w:left w:val="none" w:sz="0" w:space="0" w:color="auto"/>
        <w:bottom w:val="none" w:sz="0" w:space="0" w:color="auto"/>
        <w:right w:val="none" w:sz="0" w:space="0" w:color="auto"/>
      </w:divBdr>
    </w:div>
    <w:div w:id="14624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fworld.org/docid/4415453b4.html" TargetMode="External"/><Relationship Id="rId13" Type="http://schemas.openxmlformats.org/officeDocument/2006/relationships/hyperlink" Target="https://www.refworld.org/pdfid/4538838d0.pdf" TargetMode="External"/><Relationship Id="rId18" Type="http://schemas.openxmlformats.org/officeDocument/2006/relationships/hyperlink" Target="https://www.cmab.gov.hk/doc/en/documents/references/papers_reports_others/human_rights/FourthReport_PRC/FullReport-e.pdf" TargetMode="External"/><Relationship Id="rId3" Type="http://schemas.openxmlformats.org/officeDocument/2006/relationships/hyperlink" Target="https://www.focusireland.ie/resource-hub/latest-figures-homelessness-ireland/" TargetMode="External"/><Relationship Id="rId21" Type="http://schemas.openxmlformats.org/officeDocument/2006/relationships/hyperlink" Target="https://s1.q4cdn.com/641657634/files/doc_financials/2019/q1/Blackstone1Q19EarningsPressRelease.pdf" TargetMode="External"/><Relationship Id="rId7" Type="http://schemas.openxmlformats.org/officeDocument/2006/relationships/hyperlink" Target="https://www.refworld.org/docid/5550a0b14.html" TargetMode="External"/><Relationship Id="rId12" Type="http://schemas.openxmlformats.org/officeDocument/2006/relationships/hyperlink" Target="http://www.respect.international/french-corporate-duty-of-vigilance-law-english-translation/" TargetMode="External"/><Relationship Id="rId17" Type="http://schemas.openxmlformats.org/officeDocument/2006/relationships/hyperlink" Target="https://www.theguardian.com/society/2016/aug/20/private-landlords-9bn-housing-benefit-taxpayers-national-housing-federation-report" TargetMode="External"/><Relationship Id="rId2" Type="http://schemas.openxmlformats.org/officeDocument/2006/relationships/hyperlink" Target="https://www.ifs.org.uk/publications/14154" TargetMode="External"/><Relationship Id="rId16" Type="http://schemas.openxmlformats.org/officeDocument/2006/relationships/hyperlink" Target="https://www.refworld.org/docid/47b17b5b39c.html" TargetMode="External"/><Relationship Id="rId20" Type="http://schemas.openxmlformats.org/officeDocument/2006/relationships/hyperlink" Target="https://www.theguardian.com/business/2019/feb/26/persimmon-profits-help-to-buy-scheme" TargetMode="External"/><Relationship Id="rId1" Type="http://schemas.openxmlformats.org/officeDocument/2006/relationships/hyperlink" Target="https://www.ohchr.org/EN/Issues/Housing/Pages/FinancializationHousing.aspx" TargetMode="External"/><Relationship Id="rId6" Type="http://schemas.openxmlformats.org/officeDocument/2006/relationships/hyperlink" Target="https://www.huduser.gov/portal/pdredge/pdr-edge-featd-article-081417.html" TargetMode="External"/><Relationship Id="rId11"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5" Type="http://schemas.openxmlformats.org/officeDocument/2006/relationships/hyperlink" Target="https://www.cmhc-schl.gc.ca/en/developing-and-renovating/develop-new-affordable-housing/programs-and-information/about-affordable-housing-in-canada" TargetMode="External"/><Relationship Id="rId15" Type="http://schemas.openxmlformats.org/officeDocument/2006/relationships/hyperlink" Target="https://www.refworld.org/docid/4538838d11.html" TargetMode="External"/><Relationship Id="rId10" Type="http://schemas.openxmlformats.org/officeDocument/2006/relationships/hyperlink" Target="https://www.refworld.org/pdfid/4538838c11.pdf" TargetMode="External"/><Relationship Id="rId19" Type="http://schemas.openxmlformats.org/officeDocument/2006/relationships/hyperlink" Target="https://www.crfb.org/papers/american-health-care-health-spending-and-federal-budget" TargetMode="External"/><Relationship Id="rId4" Type="http://schemas.openxmlformats.org/officeDocument/2006/relationships/hyperlink" Target="http://www.housingeurope.eu/resource-1323/the-state-of-housing-in-the-eu-2019" TargetMode="External"/><Relationship Id="rId9" Type="http://schemas.openxmlformats.org/officeDocument/2006/relationships/hyperlink" Target="http://hrlibrary.umn.edu/instree/Maastrichtguidelines_.html" TargetMode="External"/><Relationship Id="rId14" Type="http://schemas.openxmlformats.org/officeDocument/2006/relationships/hyperlink" Target="https://www.theguardian.com/business/2020/jul/17/ba-begins-to-carry-out-its-fire-and-rehire-threat-to-jobs" TargetMode="External"/><Relationship Id="rId22" Type="http://schemas.openxmlformats.org/officeDocument/2006/relationships/hyperlink" Target="https://www.bloombergquint.com/business/blackstone-s-assets-soar-above-500-billion-in-outpacing-ri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4766-3BB0-49E9-BCA6-2D459E59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8927</Words>
  <Characters>50884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Birchall</dc:creator>
  <cp:keywords/>
  <dc:description/>
  <cp:lastModifiedBy>David Birchall</cp:lastModifiedBy>
  <cp:revision>2</cp:revision>
  <cp:lastPrinted>2020-09-27T19:44:00Z</cp:lastPrinted>
  <dcterms:created xsi:type="dcterms:W3CDTF">2021-12-10T12:08:00Z</dcterms:created>
  <dcterms:modified xsi:type="dcterms:W3CDTF">2021-12-10T12:08:00Z</dcterms:modified>
</cp:coreProperties>
</file>