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7DB26" w14:textId="77777777" w:rsidR="004C57BA" w:rsidRDefault="004C57BA">
      <w:pPr>
        <w:sectPr w:rsidR="004C57BA">
          <w:headerReference w:type="even" r:id="rId7"/>
          <w:headerReference w:type="default" r:id="rId8"/>
          <w:footerReference w:type="even" r:id="rId9"/>
          <w:footerReference w:type="default" r:id="rId10"/>
          <w:headerReference w:type="first" r:id="rId11"/>
          <w:pgSz w:w="8617" w:h="14606"/>
          <w:pgMar w:top="1939" w:right="1071" w:bottom="2222" w:left="1326" w:header="10" w:footer="283" w:gutter="0"/>
          <w:cols w:space="720"/>
          <w:titlePg/>
        </w:sectPr>
      </w:pPr>
    </w:p>
    <w:p w14:paraId="689F0BF5" w14:textId="77777777" w:rsidR="004C57BA" w:rsidRDefault="004D4EAB">
      <w:pPr>
        <w:spacing w:after="413"/>
        <w:jc w:val="center"/>
      </w:pPr>
      <w:r>
        <w:rPr>
          <w:rFonts w:ascii="Times New Roman" w:eastAsia="Times New Roman" w:hAnsi="Times New Roman" w:cs="Times New Roman"/>
          <w:sz w:val="28"/>
        </w:rPr>
        <w:lastRenderedPageBreak/>
        <w:t>2</w:t>
      </w:r>
    </w:p>
    <w:p w14:paraId="389A96F6" w14:textId="77777777" w:rsidR="004C57BA" w:rsidRDefault="004D4EAB">
      <w:pPr>
        <w:spacing w:after="233" w:line="359" w:lineRule="auto"/>
        <w:ind w:left="592" w:right="240" w:hanging="353"/>
        <w:jc w:val="both"/>
      </w:pPr>
      <w:r>
        <w:rPr>
          <w:rFonts w:ascii="Times New Roman" w:eastAsia="Times New Roman" w:hAnsi="Times New Roman" w:cs="Times New Roman"/>
          <w:sz w:val="28"/>
        </w:rPr>
        <w:t xml:space="preserve">The relevance and application of empirical research methods to the study of international crimes </w:t>
      </w:r>
      <w:proofErr w:type="spellStart"/>
      <w:r>
        <w:rPr>
          <w:rFonts w:ascii="Times New Roman" w:eastAsia="Times New Roman" w:hAnsi="Times New Roman" w:cs="Times New Roman"/>
          <w:sz w:val="24"/>
        </w:rPr>
        <w:t>emmanouela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mylonaki</w:t>
      </w:r>
      <w:proofErr w:type="spellEnd"/>
    </w:p>
    <w:p w14:paraId="1D9E36DB" w14:textId="77777777" w:rsidR="004C57BA" w:rsidRDefault="004D4EAB">
      <w:pPr>
        <w:spacing w:after="93"/>
        <w:ind w:left="774" w:right="764" w:hanging="10"/>
        <w:jc w:val="center"/>
      </w:pPr>
      <w:r>
        <w:t>Introduction</w:t>
      </w:r>
    </w:p>
    <w:p w14:paraId="59AB4114" w14:textId="77777777" w:rsidR="004C57BA" w:rsidRDefault="004D4EAB">
      <w:pPr>
        <w:spacing w:after="2522" w:line="249" w:lineRule="auto"/>
        <w:ind w:left="-14"/>
        <w:jc w:val="both"/>
      </w:pPr>
      <w:r>
        <w:rPr>
          <w:rFonts w:ascii="Times New Roman" w:eastAsia="Times New Roman" w:hAnsi="Times New Roman" w:cs="Times New Roman"/>
          <w:sz w:val="21"/>
        </w:rPr>
        <w:t>The international criminalization of genocide, crimes against humanity and war crimes has been followed by a vast amount of pu</w:t>
      </w:r>
      <w:r>
        <w:rPr>
          <w:rFonts w:ascii="Times New Roman" w:eastAsia="Times New Roman" w:hAnsi="Times New Roman" w:cs="Times New Roman"/>
          <w:sz w:val="21"/>
        </w:rPr>
        <w:t>blished work on the legal instruments and institutions dealing with such crimes and the procedural aspects of their prosecution at national and international level. Most of the relevant work relies on secondary data analysis rather than the collection of p</w:t>
      </w:r>
      <w:r>
        <w:rPr>
          <w:rFonts w:ascii="Times New Roman" w:eastAsia="Times New Roman" w:hAnsi="Times New Roman" w:cs="Times New Roman"/>
          <w:sz w:val="21"/>
        </w:rPr>
        <w:t>rimary data and the use of criminological research methods. In fact, the discipline of criminology has traditionally excluded violations of international criminal law from its scope,</w:t>
      </w:r>
      <w:r>
        <w:rPr>
          <w:rFonts w:ascii="Times New Roman" w:eastAsia="Times New Roman" w:hAnsi="Times New Roman" w:cs="Times New Roman"/>
          <w:sz w:val="21"/>
          <w:vertAlign w:val="superscript"/>
        </w:rPr>
        <w:footnoteReference w:id="1"/>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 xml:space="preserve">restricting itself to common crime and violence such as homicide, gang </w:t>
      </w:r>
      <w:r>
        <w:rPr>
          <w:rFonts w:ascii="Times New Roman" w:eastAsia="Times New Roman" w:hAnsi="Times New Roman" w:cs="Times New Roman"/>
          <w:sz w:val="21"/>
        </w:rPr>
        <w:t>crime, domestic violence and other types of ordinary (national) criminal activity.</w:t>
      </w:r>
      <w:r>
        <w:rPr>
          <w:rFonts w:ascii="Times New Roman" w:eastAsia="Times New Roman" w:hAnsi="Times New Roman" w:cs="Times New Roman"/>
          <w:sz w:val="21"/>
          <w:vertAlign w:val="superscript"/>
        </w:rPr>
        <w:t xml:space="preserve">2 </w:t>
      </w:r>
      <w:r>
        <w:rPr>
          <w:rFonts w:ascii="Times New Roman" w:eastAsia="Times New Roman" w:hAnsi="Times New Roman" w:cs="Times New Roman"/>
          <w:sz w:val="21"/>
        </w:rPr>
        <w:t>It is only recently that criminologists have gradually started paying attention to international crimes and calling for the development of a new sub-branch of criminologica</w:t>
      </w:r>
      <w:r>
        <w:rPr>
          <w:rFonts w:ascii="Times New Roman" w:eastAsia="Times New Roman" w:hAnsi="Times New Roman" w:cs="Times New Roman"/>
          <w:sz w:val="21"/>
        </w:rPr>
        <w:t>l research, a so-called international criminology, with the aim of examining crime and justice beyond national boundaries.</w:t>
      </w:r>
      <w:r>
        <w:rPr>
          <w:rFonts w:ascii="Times New Roman" w:eastAsia="Times New Roman" w:hAnsi="Times New Roman" w:cs="Times New Roman"/>
          <w:sz w:val="21"/>
          <w:vertAlign w:val="superscript"/>
        </w:rPr>
        <w:footnoteReference w:id="2"/>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The examination of international crimes through criminological lenses has resulted in broadening the horizons of the research metho</w:t>
      </w:r>
      <w:r>
        <w:rPr>
          <w:rFonts w:ascii="Times New Roman" w:eastAsia="Times New Roman" w:hAnsi="Times New Roman" w:cs="Times New Roman"/>
          <w:sz w:val="21"/>
        </w:rPr>
        <w:t xml:space="preserve">ds employed in order to fully appreciate the nature of international crimes. This is evident </w:t>
      </w:r>
      <w:r>
        <w:rPr>
          <w:rFonts w:ascii="Times New Roman" w:eastAsia="Times New Roman" w:hAnsi="Times New Roman" w:cs="Times New Roman"/>
          <w:sz w:val="21"/>
        </w:rPr>
        <w:lastRenderedPageBreak/>
        <w:t xml:space="preserve">in the various studies conducted to address </w:t>
      </w:r>
      <w:r>
        <w:rPr>
          <w:sz w:val="21"/>
        </w:rPr>
        <w:t xml:space="preserve">– </w:t>
      </w:r>
      <w:r>
        <w:rPr>
          <w:rFonts w:ascii="Times New Roman" w:eastAsia="Times New Roman" w:hAnsi="Times New Roman" w:cs="Times New Roman"/>
          <w:sz w:val="21"/>
        </w:rPr>
        <w:t xml:space="preserve">on a quantitative level </w:t>
      </w:r>
      <w:r>
        <w:rPr>
          <w:sz w:val="21"/>
        </w:rPr>
        <w:t xml:space="preserve">– </w:t>
      </w:r>
      <w:r>
        <w:rPr>
          <w:rFonts w:ascii="Times New Roman" w:eastAsia="Times New Roman" w:hAnsi="Times New Roman" w:cs="Times New Roman"/>
          <w:sz w:val="21"/>
        </w:rPr>
        <w:t xml:space="preserve">the prevalence of international crimes, the </w:t>
      </w:r>
      <w:proofErr w:type="spellStart"/>
      <w:r>
        <w:rPr>
          <w:rFonts w:ascii="Times New Roman" w:eastAsia="Times New Roman" w:hAnsi="Times New Roman" w:cs="Times New Roman"/>
          <w:sz w:val="21"/>
        </w:rPr>
        <w:t>etiology</w:t>
      </w:r>
      <w:proofErr w:type="spellEnd"/>
      <w:r>
        <w:rPr>
          <w:rFonts w:ascii="Times New Roman" w:eastAsia="Times New Roman" w:hAnsi="Times New Roman" w:cs="Times New Roman"/>
          <w:sz w:val="21"/>
        </w:rPr>
        <w:t xml:space="preserve"> of</w:t>
      </w:r>
    </w:p>
    <w:p w14:paraId="19EC8E16" w14:textId="77777777" w:rsidR="004C57BA" w:rsidRDefault="004D4EAB">
      <w:pPr>
        <w:spacing w:after="0"/>
        <w:ind w:right="1"/>
        <w:jc w:val="center"/>
      </w:pPr>
      <w:r>
        <w:rPr>
          <w:rFonts w:ascii="Times New Roman" w:eastAsia="Times New Roman" w:hAnsi="Times New Roman" w:cs="Times New Roman"/>
          <w:sz w:val="21"/>
        </w:rPr>
        <w:t>50</w:t>
      </w:r>
    </w:p>
    <w:p w14:paraId="23139219" w14:textId="77777777" w:rsidR="004C57BA" w:rsidRDefault="004D4EAB">
      <w:pPr>
        <w:spacing w:after="40" w:line="249" w:lineRule="auto"/>
        <w:ind w:left="-14"/>
        <w:jc w:val="both"/>
      </w:pPr>
      <w:r>
        <w:rPr>
          <w:rFonts w:ascii="Times New Roman" w:eastAsia="Times New Roman" w:hAnsi="Times New Roman" w:cs="Times New Roman"/>
          <w:sz w:val="21"/>
        </w:rPr>
        <w:t>offending at a micro and macro l</w:t>
      </w:r>
      <w:r>
        <w:rPr>
          <w:rFonts w:ascii="Times New Roman" w:eastAsia="Times New Roman" w:hAnsi="Times New Roman" w:cs="Times New Roman"/>
          <w:sz w:val="21"/>
        </w:rPr>
        <w:t>evel,</w:t>
      </w:r>
      <w:r>
        <w:rPr>
          <w:rFonts w:ascii="Times New Roman" w:eastAsia="Times New Roman" w:hAnsi="Times New Roman" w:cs="Times New Roman"/>
          <w:sz w:val="21"/>
          <w:vertAlign w:val="superscript"/>
        </w:rPr>
        <w:footnoteReference w:id="3"/>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the impact of the offence on the victim and the legal reaction to international criminality.</w:t>
      </w:r>
      <w:r>
        <w:rPr>
          <w:rFonts w:ascii="Times New Roman" w:eastAsia="Times New Roman" w:hAnsi="Times New Roman" w:cs="Times New Roman"/>
          <w:sz w:val="21"/>
          <w:vertAlign w:val="superscript"/>
        </w:rPr>
        <w:t>5</w:t>
      </w:r>
    </w:p>
    <w:p w14:paraId="40D89416" w14:textId="77777777" w:rsidR="004C57BA" w:rsidRDefault="004D4EAB">
      <w:pPr>
        <w:spacing w:after="549" w:line="249" w:lineRule="auto"/>
        <w:ind w:left="-14" w:firstLine="205"/>
        <w:jc w:val="both"/>
      </w:pPr>
      <w:r>
        <w:rPr>
          <w:rFonts w:ascii="Times New Roman" w:eastAsia="Times New Roman" w:hAnsi="Times New Roman" w:cs="Times New Roman"/>
          <w:sz w:val="21"/>
        </w:rPr>
        <w:t>This chapter focuses on the application of criminological empirical research methods to the study of international crimes by providing insights into the different ways in which data can be collected for research thereto. It is not the aim of the chapter to</w:t>
      </w:r>
      <w:r>
        <w:rPr>
          <w:rFonts w:ascii="Times New Roman" w:eastAsia="Times New Roman" w:hAnsi="Times New Roman" w:cs="Times New Roman"/>
          <w:sz w:val="21"/>
        </w:rPr>
        <w:t xml:space="preserve"> produce a full account of the various social science research methods but only to identify particular problems potentially encountered by anyone conducting research on international crimes, especially as this relates to data collection for qualitative or </w:t>
      </w:r>
      <w:r>
        <w:rPr>
          <w:rFonts w:ascii="Times New Roman" w:eastAsia="Times New Roman" w:hAnsi="Times New Roman" w:cs="Times New Roman"/>
          <w:sz w:val="21"/>
        </w:rPr>
        <w:t xml:space="preserve">quantitative analysis. The chapter is divided into two principal sections. The </w:t>
      </w:r>
      <w:r>
        <w:rPr>
          <w:sz w:val="21"/>
        </w:rPr>
        <w:t>fi</w:t>
      </w:r>
      <w:r>
        <w:rPr>
          <w:rFonts w:ascii="Times New Roman" w:eastAsia="Times New Roman" w:hAnsi="Times New Roman" w:cs="Times New Roman"/>
          <w:sz w:val="21"/>
        </w:rPr>
        <w:t>rst highlights the relevance of the application of criminological research methods to the study of international crimes and gross violations of human rights and reinforces the</w:t>
      </w:r>
      <w:r>
        <w:rPr>
          <w:rFonts w:ascii="Times New Roman" w:eastAsia="Times New Roman" w:hAnsi="Times New Roman" w:cs="Times New Roman"/>
          <w:sz w:val="21"/>
        </w:rPr>
        <w:t xml:space="preserve"> arguments for the inclusion of the notion of international crimes within the realm of empirical research. The second demonstrates the practical application of quantitative and qualitative research methods in the study of international crimes and indicates</w:t>
      </w:r>
      <w:r>
        <w:rPr>
          <w:rFonts w:ascii="Times New Roman" w:eastAsia="Times New Roman" w:hAnsi="Times New Roman" w:cs="Times New Roman"/>
          <w:sz w:val="21"/>
        </w:rPr>
        <w:t xml:space="preserve"> the areas where empirical research is relevant. It should be stressed from the outset that the chapter is concerned with criminological empirical research methods </w:t>
      </w:r>
      <w:r>
        <w:rPr>
          <w:sz w:val="21"/>
        </w:rPr>
        <w:t xml:space="preserve">– </w:t>
      </w:r>
      <w:r>
        <w:rPr>
          <w:rFonts w:ascii="Times New Roman" w:eastAsia="Times New Roman" w:hAnsi="Times New Roman" w:cs="Times New Roman"/>
          <w:sz w:val="21"/>
        </w:rPr>
        <w:t xml:space="preserve">involving the systematic use of qualitative and quantitative methods </w:t>
      </w:r>
      <w:r>
        <w:rPr>
          <w:sz w:val="21"/>
        </w:rPr>
        <w:t xml:space="preserve">– </w:t>
      </w:r>
      <w:r>
        <w:rPr>
          <w:rFonts w:ascii="Times New Roman" w:eastAsia="Times New Roman" w:hAnsi="Times New Roman" w:cs="Times New Roman"/>
          <w:sz w:val="21"/>
        </w:rPr>
        <w:t>rather than crimino</w:t>
      </w:r>
      <w:r>
        <w:rPr>
          <w:rFonts w:ascii="Times New Roman" w:eastAsia="Times New Roman" w:hAnsi="Times New Roman" w:cs="Times New Roman"/>
          <w:sz w:val="21"/>
        </w:rPr>
        <w:t>logical research methodology which refers to a broader theoretical framework.</w:t>
      </w:r>
      <w:r>
        <w:rPr>
          <w:rFonts w:ascii="Times New Roman" w:eastAsia="Times New Roman" w:hAnsi="Times New Roman" w:cs="Times New Roman"/>
          <w:sz w:val="21"/>
          <w:vertAlign w:val="superscript"/>
        </w:rPr>
        <w:footnoteReference w:id="4"/>
      </w:r>
    </w:p>
    <w:p w14:paraId="4FB5E303" w14:textId="77777777" w:rsidR="004C57BA" w:rsidRDefault="004D4EAB">
      <w:pPr>
        <w:spacing w:after="93"/>
        <w:ind w:left="774" w:right="766" w:hanging="10"/>
        <w:jc w:val="center"/>
      </w:pPr>
      <w:r>
        <w:lastRenderedPageBreak/>
        <w:t>The relevance of criminological research methods to the study of international crimes</w:t>
      </w:r>
    </w:p>
    <w:p w14:paraId="0FD2CDD3" w14:textId="77777777" w:rsidR="004C57BA" w:rsidRDefault="004D4EAB">
      <w:pPr>
        <w:spacing w:after="4" w:line="249" w:lineRule="auto"/>
        <w:ind w:left="-14"/>
        <w:jc w:val="both"/>
      </w:pPr>
      <w:r>
        <w:rPr>
          <w:rFonts w:ascii="Times New Roman" w:eastAsia="Times New Roman" w:hAnsi="Times New Roman" w:cs="Times New Roman"/>
          <w:sz w:val="21"/>
        </w:rPr>
        <w:t>It is true that emanations of violence such as genocide and crimes against humanity establ</w:t>
      </w:r>
      <w:r>
        <w:rPr>
          <w:rFonts w:ascii="Times New Roman" w:eastAsia="Times New Roman" w:hAnsi="Times New Roman" w:cs="Times New Roman"/>
          <w:sz w:val="21"/>
        </w:rPr>
        <w:t>ish a variety of interesting prisms; political/international relations,</w:t>
      </w:r>
      <w:r>
        <w:rPr>
          <w:rFonts w:ascii="Times New Roman" w:eastAsia="Times New Roman" w:hAnsi="Times New Roman" w:cs="Times New Roman"/>
          <w:sz w:val="21"/>
          <w:vertAlign w:val="superscript"/>
        </w:rPr>
        <w:t xml:space="preserve">7 </w:t>
      </w:r>
      <w:r>
        <w:rPr>
          <w:rFonts w:ascii="Times New Roman" w:eastAsia="Times New Roman" w:hAnsi="Times New Roman" w:cs="Times New Roman"/>
          <w:sz w:val="21"/>
        </w:rPr>
        <w:t>legal and, with the plethora of current scienti</w:t>
      </w:r>
      <w:r>
        <w:rPr>
          <w:sz w:val="21"/>
        </w:rPr>
        <w:t>fi</w:t>
      </w:r>
      <w:r>
        <w:rPr>
          <w:rFonts w:ascii="Times New Roman" w:eastAsia="Times New Roman" w:hAnsi="Times New Roman" w:cs="Times New Roman"/>
          <w:sz w:val="21"/>
        </w:rPr>
        <w:t>c and social methods, many others. While political science and legal research are mostly concerned with analysing the various institut</w:t>
      </w:r>
      <w:r>
        <w:rPr>
          <w:rFonts w:ascii="Times New Roman" w:eastAsia="Times New Roman" w:hAnsi="Times New Roman" w:cs="Times New Roman"/>
          <w:sz w:val="21"/>
        </w:rPr>
        <w:t>ions and procedures set up to deal with international crimes, such as the creation of international criminal tribunals, the notion of the individual as perpetrator or as victim, the incidence of mass criminality and the number of offences committed are bet</w:t>
      </w:r>
      <w:r>
        <w:rPr>
          <w:rFonts w:ascii="Times New Roman" w:eastAsia="Times New Roman" w:hAnsi="Times New Roman" w:cs="Times New Roman"/>
          <w:sz w:val="21"/>
        </w:rPr>
        <w:t>ter addressed from a social science methodological perspective. It is only recently that the value of social science research methods has been appreciated for its ability to provide clearer insights into the realm of international crimes. Perhaps the delay</w:t>
      </w:r>
      <w:r>
        <w:rPr>
          <w:rFonts w:ascii="Times New Roman" w:eastAsia="Times New Roman" w:hAnsi="Times New Roman" w:cs="Times New Roman"/>
          <w:sz w:val="21"/>
        </w:rPr>
        <w:t xml:space="preserve"> is due to the arguments that have traditionally been put forward by criminologists against the inclusion of international crimes within the realm of criminological studies.</w:t>
      </w:r>
    </w:p>
    <w:p w14:paraId="252EC210" w14:textId="77777777" w:rsidR="004C57BA" w:rsidRDefault="004D4EAB">
      <w:pPr>
        <w:spacing w:after="4" w:line="249" w:lineRule="auto"/>
        <w:ind w:left="-14" w:firstLine="205"/>
        <w:jc w:val="both"/>
      </w:pPr>
      <w:r>
        <w:rPr>
          <w:rFonts w:ascii="Times New Roman" w:eastAsia="Times New Roman" w:hAnsi="Times New Roman" w:cs="Times New Roman"/>
          <w:sz w:val="21"/>
        </w:rPr>
        <w:t>The conceptual differences between traditional criminality and international crimi</w:t>
      </w:r>
      <w:r>
        <w:rPr>
          <w:rFonts w:ascii="Times New Roman" w:eastAsia="Times New Roman" w:hAnsi="Times New Roman" w:cs="Times New Roman"/>
          <w:sz w:val="21"/>
        </w:rPr>
        <w:t>nality rest at the heart of the arguments against the application of empirical research methods to the study of international crimes. The fact that mass offences against civilians perpetrated in war time are committed on most occasions under governmental c</w:t>
      </w:r>
      <w:r>
        <w:rPr>
          <w:rFonts w:ascii="Times New Roman" w:eastAsia="Times New Roman" w:hAnsi="Times New Roman" w:cs="Times New Roman"/>
          <w:sz w:val="21"/>
        </w:rPr>
        <w:t xml:space="preserve">ommand or, at least, some involvement by the state renders them not only an act of the individual perpetrator(s) </w:t>
      </w:r>
      <w:r>
        <w:rPr>
          <w:sz w:val="21"/>
        </w:rPr>
        <w:t xml:space="preserve">– </w:t>
      </w:r>
      <w:r>
        <w:rPr>
          <w:rFonts w:ascii="Times New Roman" w:eastAsia="Times New Roman" w:hAnsi="Times New Roman" w:cs="Times New Roman"/>
          <w:sz w:val="21"/>
        </w:rPr>
        <w:t>who becomes a prescribed deviant</w:t>
      </w:r>
      <w:r>
        <w:rPr>
          <w:rFonts w:ascii="Times New Roman" w:eastAsia="Times New Roman" w:hAnsi="Times New Roman" w:cs="Times New Roman"/>
          <w:sz w:val="21"/>
          <w:vertAlign w:val="superscript"/>
        </w:rPr>
        <w:t xml:space="preserve">8 </w:t>
      </w:r>
      <w:r>
        <w:rPr>
          <w:sz w:val="21"/>
        </w:rPr>
        <w:t xml:space="preserve">– </w:t>
      </w:r>
      <w:r>
        <w:rPr>
          <w:rFonts w:ascii="Times New Roman" w:eastAsia="Times New Roman" w:hAnsi="Times New Roman" w:cs="Times New Roman"/>
          <w:sz w:val="21"/>
        </w:rPr>
        <w:t>but also an act encompassed within the sphere of extraordinary international criminality. This new dimens</w:t>
      </w:r>
      <w:r>
        <w:rPr>
          <w:rFonts w:ascii="Times New Roman" w:eastAsia="Times New Roman" w:hAnsi="Times New Roman" w:cs="Times New Roman"/>
          <w:sz w:val="21"/>
        </w:rPr>
        <w:t>ion of criminal activity con</w:t>
      </w:r>
      <w:r>
        <w:rPr>
          <w:sz w:val="21"/>
        </w:rPr>
        <w:t>fl</w:t>
      </w:r>
      <w:r>
        <w:rPr>
          <w:rFonts w:ascii="Times New Roman" w:eastAsia="Times New Roman" w:hAnsi="Times New Roman" w:cs="Times New Roman"/>
          <w:sz w:val="21"/>
        </w:rPr>
        <w:t xml:space="preserve">icts with the traditional criminological view whereby the state as legislator prevents and punishes crime. Likewise, it has been argued that the discipline of criminology, which is concerned with the notion of </w:t>
      </w:r>
      <w:r>
        <w:rPr>
          <w:sz w:val="21"/>
        </w:rPr>
        <w:t>‘</w:t>
      </w:r>
      <w:r>
        <w:rPr>
          <w:rFonts w:ascii="Times New Roman" w:eastAsia="Times New Roman" w:hAnsi="Times New Roman" w:cs="Times New Roman"/>
          <w:sz w:val="21"/>
        </w:rPr>
        <w:t>common crime</w:t>
      </w:r>
      <w:r>
        <w:rPr>
          <w:sz w:val="21"/>
        </w:rPr>
        <w:t xml:space="preserve">’ </w:t>
      </w:r>
      <w:r>
        <w:rPr>
          <w:rFonts w:ascii="Times New Roman" w:eastAsia="Times New Roman" w:hAnsi="Times New Roman" w:cs="Times New Roman"/>
          <w:sz w:val="21"/>
        </w:rPr>
        <w:t>a</w:t>
      </w:r>
      <w:r>
        <w:rPr>
          <w:rFonts w:ascii="Times New Roman" w:eastAsia="Times New Roman" w:hAnsi="Times New Roman" w:cs="Times New Roman"/>
          <w:sz w:val="21"/>
        </w:rPr>
        <w:t>s this is clearly de</w:t>
      </w:r>
      <w:r>
        <w:rPr>
          <w:sz w:val="21"/>
        </w:rPr>
        <w:t>fi</w:t>
      </w:r>
      <w:r>
        <w:rPr>
          <w:rFonts w:ascii="Times New Roman" w:eastAsia="Times New Roman" w:hAnsi="Times New Roman" w:cs="Times New Roman"/>
          <w:sz w:val="21"/>
        </w:rPr>
        <w:t>ned in various jurisdictions, cannot examine concepts which are either non-de</w:t>
      </w:r>
      <w:r>
        <w:rPr>
          <w:sz w:val="21"/>
        </w:rPr>
        <w:t>fi</w:t>
      </w:r>
      <w:r>
        <w:rPr>
          <w:rFonts w:ascii="Times New Roman" w:eastAsia="Times New Roman" w:hAnsi="Times New Roman" w:cs="Times New Roman"/>
          <w:sz w:val="21"/>
        </w:rPr>
        <w:t>ned or contain political elements which make de</w:t>
      </w:r>
      <w:r>
        <w:rPr>
          <w:sz w:val="21"/>
        </w:rPr>
        <w:t>fi</w:t>
      </w:r>
      <w:r>
        <w:rPr>
          <w:rFonts w:ascii="Times New Roman" w:eastAsia="Times New Roman" w:hAnsi="Times New Roman" w:cs="Times New Roman"/>
          <w:sz w:val="21"/>
        </w:rPr>
        <w:t>nitions vague.</w:t>
      </w:r>
      <w:r>
        <w:rPr>
          <w:rFonts w:ascii="Times New Roman" w:eastAsia="Times New Roman" w:hAnsi="Times New Roman" w:cs="Times New Roman"/>
          <w:sz w:val="21"/>
          <w:vertAlign w:val="superscript"/>
        </w:rPr>
        <w:t>9</w:t>
      </w:r>
    </w:p>
    <w:p w14:paraId="0DD7B250" w14:textId="77777777" w:rsidR="004C57BA" w:rsidRDefault="004D4EAB">
      <w:pPr>
        <w:spacing w:after="112" w:line="249" w:lineRule="auto"/>
        <w:ind w:left="-14" w:firstLine="205"/>
        <w:jc w:val="both"/>
      </w:pPr>
      <w:r>
        <w:rPr>
          <w:rFonts w:ascii="Times New Roman" w:eastAsia="Times New Roman" w:hAnsi="Times New Roman" w:cs="Times New Roman"/>
          <w:sz w:val="21"/>
        </w:rPr>
        <w:t>These arguments notwithstanding, the concern of the international community with serious international crimes has led to the adoption of several multilateral treaties criminalizing said conduct and providing relevant de</w:t>
      </w:r>
      <w:r>
        <w:rPr>
          <w:sz w:val="21"/>
        </w:rPr>
        <w:t>fi</w:t>
      </w:r>
      <w:r>
        <w:rPr>
          <w:rFonts w:ascii="Times New Roman" w:eastAsia="Times New Roman" w:hAnsi="Times New Roman" w:cs="Times New Roman"/>
          <w:sz w:val="21"/>
        </w:rPr>
        <w:t>nitions. By way of illustration, th</w:t>
      </w:r>
      <w:r>
        <w:rPr>
          <w:rFonts w:ascii="Times New Roman" w:eastAsia="Times New Roman" w:hAnsi="Times New Roman" w:cs="Times New Roman"/>
          <w:sz w:val="21"/>
        </w:rPr>
        <w:t>e Regulations attached to Hague Convention IV of 1907 specify which conduct gives rise to war criminality and, in equal manner, Article 2 of the 1948 Genocide Convention de</w:t>
      </w:r>
      <w:r>
        <w:rPr>
          <w:sz w:val="21"/>
        </w:rPr>
        <w:t>fi</w:t>
      </w:r>
      <w:r>
        <w:rPr>
          <w:rFonts w:ascii="Times New Roman" w:eastAsia="Times New Roman" w:hAnsi="Times New Roman" w:cs="Times New Roman"/>
          <w:sz w:val="21"/>
        </w:rPr>
        <w:t>nes this offence as consisting of:</w:t>
      </w:r>
    </w:p>
    <w:p w14:paraId="26E05A04" w14:textId="77777777" w:rsidR="004C57BA" w:rsidRDefault="004D4EAB">
      <w:pPr>
        <w:spacing w:after="164" w:line="251" w:lineRule="auto"/>
        <w:ind w:left="479" w:right="480"/>
        <w:jc w:val="both"/>
      </w:pPr>
      <w:r>
        <w:rPr>
          <w:rFonts w:ascii="Times New Roman" w:eastAsia="Times New Roman" w:hAnsi="Times New Roman" w:cs="Times New Roman"/>
          <w:sz w:val="18"/>
        </w:rPr>
        <w:t>any of the following acts committed with intent</w:t>
      </w:r>
      <w:r>
        <w:rPr>
          <w:rFonts w:ascii="Times New Roman" w:eastAsia="Times New Roman" w:hAnsi="Times New Roman" w:cs="Times New Roman"/>
          <w:sz w:val="18"/>
        </w:rPr>
        <w:t xml:space="preserve"> to destroy, in whole or in part, a national, ethnical, racial or religious group, as such: killing </w:t>
      </w:r>
      <w:r>
        <w:rPr>
          <w:rFonts w:ascii="Times New Roman" w:eastAsia="Times New Roman" w:hAnsi="Times New Roman" w:cs="Times New Roman"/>
          <w:sz w:val="18"/>
        </w:rPr>
        <w:lastRenderedPageBreak/>
        <w:t>members of the group; causing serious bodily or mental harm to members of the group; deliberately in</w:t>
      </w:r>
      <w:r>
        <w:rPr>
          <w:sz w:val="18"/>
        </w:rPr>
        <w:t>fl</w:t>
      </w:r>
      <w:r>
        <w:rPr>
          <w:rFonts w:ascii="Times New Roman" w:eastAsia="Times New Roman" w:hAnsi="Times New Roman" w:cs="Times New Roman"/>
          <w:sz w:val="18"/>
        </w:rPr>
        <w:t>icting on the group conditions of life calculated to b</w:t>
      </w:r>
      <w:r>
        <w:rPr>
          <w:rFonts w:ascii="Times New Roman" w:eastAsia="Times New Roman" w:hAnsi="Times New Roman" w:cs="Times New Roman"/>
          <w:sz w:val="18"/>
        </w:rPr>
        <w:t>ring about its physical destruction in whole or in part; imposing measures intended to prevent births within the group; [and] forcibly transferring children of the group to another group.</w:t>
      </w:r>
    </w:p>
    <w:p w14:paraId="07EA12B7" w14:textId="77777777" w:rsidR="004C57BA" w:rsidRDefault="004D4EAB">
      <w:pPr>
        <w:spacing w:after="62" w:line="694" w:lineRule="auto"/>
        <w:ind w:left="-14"/>
        <w:jc w:val="both"/>
      </w:pPr>
      <w:r>
        <w:rPr>
          <w:rFonts w:ascii="Times New Roman" w:eastAsia="Times New Roman" w:hAnsi="Times New Roman" w:cs="Times New Roman"/>
          <w:sz w:val="21"/>
        </w:rPr>
        <w:t xml:space="preserve">Despite the shortcomings of this articulation of genocide, the mere </w:t>
      </w:r>
      <w:r>
        <w:rPr>
          <w:rFonts w:ascii="Times New Roman" w:eastAsia="Times New Roman" w:hAnsi="Times New Roman" w:cs="Times New Roman"/>
          <w:sz w:val="21"/>
        </w:rPr>
        <w:t xml:space="preserve">fact that the particular conduct is prescribed as a crime under the terms of </w:t>
      </w:r>
      <w:proofErr w:type="gramStart"/>
      <w:r>
        <w:rPr>
          <w:rFonts w:ascii="Times New Roman" w:eastAsia="Times New Roman" w:hAnsi="Times New Roman" w:cs="Times New Roman"/>
          <w:sz w:val="21"/>
        </w:rPr>
        <w:t>a</w:t>
      </w:r>
      <w:proofErr w:type="gramEnd"/>
      <w:r>
        <w:rPr>
          <w:rFonts w:ascii="Times New Roman" w:eastAsia="Times New Roman" w:hAnsi="Times New Roman" w:cs="Times New Roman"/>
          <w:sz w:val="21"/>
        </w:rPr>
        <w:t xml:space="preserve"> </w:t>
      </w:r>
      <w:r>
        <w:rPr>
          <w:rFonts w:ascii="Times New Roman" w:eastAsia="Times New Roman" w:hAnsi="Times New Roman" w:cs="Times New Roman"/>
          <w:sz w:val="17"/>
          <w:vertAlign w:val="superscript"/>
        </w:rPr>
        <w:t xml:space="preserve">8 </w:t>
      </w:r>
      <w:proofErr w:type="spellStart"/>
      <w:r>
        <w:rPr>
          <w:rFonts w:ascii="Times New Roman" w:eastAsia="Times New Roman" w:hAnsi="Times New Roman" w:cs="Times New Roman"/>
          <w:sz w:val="17"/>
        </w:rPr>
        <w:t>Smeulers</w:t>
      </w:r>
      <w:proofErr w:type="spellEnd"/>
      <w:r>
        <w:rPr>
          <w:rFonts w:ascii="Times New Roman" w:eastAsia="Times New Roman" w:hAnsi="Times New Roman" w:cs="Times New Roman"/>
          <w:sz w:val="17"/>
        </w:rPr>
        <w:t xml:space="preserve"> and </w:t>
      </w:r>
      <w:proofErr w:type="spellStart"/>
      <w:r>
        <w:rPr>
          <w:rFonts w:ascii="Times New Roman" w:eastAsia="Times New Roman" w:hAnsi="Times New Roman" w:cs="Times New Roman"/>
          <w:sz w:val="17"/>
        </w:rPr>
        <w:t>Haveman</w:t>
      </w:r>
      <w:proofErr w:type="spellEnd"/>
      <w:r>
        <w:rPr>
          <w:rFonts w:ascii="Times New Roman" w:eastAsia="Times New Roman" w:hAnsi="Times New Roman" w:cs="Times New Roman"/>
          <w:sz w:val="17"/>
        </w:rPr>
        <w:t>, above note 3, at 233</w:t>
      </w:r>
      <w:r>
        <w:rPr>
          <w:sz w:val="17"/>
        </w:rPr>
        <w:t>–</w:t>
      </w:r>
      <w:r>
        <w:rPr>
          <w:rFonts w:ascii="Times New Roman" w:eastAsia="Times New Roman" w:hAnsi="Times New Roman" w:cs="Times New Roman"/>
          <w:sz w:val="17"/>
        </w:rPr>
        <w:t xml:space="preserve">65. </w:t>
      </w:r>
      <w:r>
        <w:rPr>
          <w:rFonts w:ascii="Times New Roman" w:eastAsia="Times New Roman" w:hAnsi="Times New Roman" w:cs="Times New Roman"/>
          <w:sz w:val="17"/>
          <w:vertAlign w:val="superscript"/>
        </w:rPr>
        <w:t xml:space="preserve">9 </w:t>
      </w:r>
      <w:proofErr w:type="spellStart"/>
      <w:r>
        <w:rPr>
          <w:rFonts w:ascii="Times New Roman" w:eastAsia="Times New Roman" w:hAnsi="Times New Roman" w:cs="Times New Roman"/>
          <w:sz w:val="17"/>
        </w:rPr>
        <w:t>Yacoubin</w:t>
      </w:r>
      <w:proofErr w:type="spellEnd"/>
      <w:r>
        <w:rPr>
          <w:rFonts w:ascii="Times New Roman" w:eastAsia="Times New Roman" w:hAnsi="Times New Roman" w:cs="Times New Roman"/>
          <w:sz w:val="17"/>
        </w:rPr>
        <w:t xml:space="preserve">, above note 1, at 8. </w:t>
      </w:r>
      <w:r>
        <w:rPr>
          <w:rFonts w:ascii="Times New Roman" w:eastAsia="Times New Roman" w:hAnsi="Times New Roman" w:cs="Times New Roman"/>
          <w:sz w:val="21"/>
        </w:rPr>
        <w:t>binding treaty supports the argument for its inclusion in the criminological research agenda.</w:t>
      </w:r>
      <w:r>
        <w:rPr>
          <w:rFonts w:ascii="Times New Roman" w:eastAsia="Times New Roman" w:hAnsi="Times New Roman" w:cs="Times New Roman"/>
          <w:sz w:val="21"/>
          <w:vertAlign w:val="superscript"/>
        </w:rPr>
        <w:footnoteReference w:id="5"/>
      </w:r>
    </w:p>
    <w:p w14:paraId="39DC9FFE" w14:textId="77777777" w:rsidR="004C57BA" w:rsidRDefault="004D4EAB">
      <w:pPr>
        <w:spacing w:after="4" w:line="249" w:lineRule="auto"/>
        <w:ind w:left="-14" w:firstLine="205"/>
        <w:jc w:val="both"/>
      </w:pPr>
      <w:r>
        <w:rPr>
          <w:rFonts w:ascii="Times New Roman" w:eastAsia="Times New Roman" w:hAnsi="Times New Roman" w:cs="Times New Roman"/>
          <w:sz w:val="21"/>
        </w:rPr>
        <w:t>Similarly, the de</w:t>
      </w:r>
      <w:r>
        <w:rPr>
          <w:sz w:val="21"/>
        </w:rPr>
        <w:t>fi</w:t>
      </w:r>
      <w:r>
        <w:rPr>
          <w:rFonts w:ascii="Times New Roman" w:eastAsia="Times New Roman" w:hAnsi="Times New Roman" w:cs="Times New Roman"/>
          <w:sz w:val="21"/>
        </w:rPr>
        <w:t>nition of crimes against humanity is codi</w:t>
      </w:r>
      <w:r>
        <w:rPr>
          <w:sz w:val="21"/>
        </w:rPr>
        <w:t>fi</w:t>
      </w:r>
      <w:r>
        <w:rPr>
          <w:rFonts w:ascii="Times New Roman" w:eastAsia="Times New Roman" w:hAnsi="Times New Roman" w:cs="Times New Roman"/>
          <w:sz w:val="21"/>
        </w:rPr>
        <w:t>ed, among others, in Article 7 of the Rome Statute of the International Criminal Court (ICC). The notion encompasses crimes such as murder, extermination, rape, persecution and all other inhuman</w:t>
      </w:r>
      <w:r>
        <w:rPr>
          <w:rFonts w:ascii="Times New Roman" w:eastAsia="Times New Roman" w:hAnsi="Times New Roman" w:cs="Times New Roman"/>
          <w:sz w:val="21"/>
        </w:rPr>
        <w:t xml:space="preserve">e acts of a similar character (wilfully causing great suffering, or serious injury to body or to mental or physical health), committed </w:t>
      </w:r>
      <w:r>
        <w:rPr>
          <w:sz w:val="21"/>
        </w:rPr>
        <w:t>‘</w:t>
      </w:r>
      <w:r>
        <w:rPr>
          <w:rFonts w:ascii="Times New Roman" w:eastAsia="Times New Roman" w:hAnsi="Times New Roman" w:cs="Times New Roman"/>
          <w:sz w:val="21"/>
        </w:rPr>
        <w:t>as part of a widespread or systematic attack directed against any civilian population, with knowledge of the attack</w:t>
      </w:r>
      <w:r>
        <w:rPr>
          <w:sz w:val="21"/>
        </w:rPr>
        <w:t>’</w:t>
      </w:r>
      <w:r>
        <w:rPr>
          <w:rFonts w:ascii="Times New Roman" w:eastAsia="Times New Roman" w:hAnsi="Times New Roman" w:cs="Times New Roman"/>
          <w:sz w:val="21"/>
        </w:rPr>
        <w:t>. Th</w:t>
      </w:r>
      <w:r>
        <w:rPr>
          <w:rFonts w:ascii="Times New Roman" w:eastAsia="Times New Roman" w:hAnsi="Times New Roman" w:cs="Times New Roman"/>
          <w:sz w:val="21"/>
        </w:rPr>
        <w:t xml:space="preserve">e clear reference to murder, </w:t>
      </w:r>
      <w:proofErr w:type="gramStart"/>
      <w:r>
        <w:rPr>
          <w:rFonts w:ascii="Times New Roman" w:eastAsia="Times New Roman" w:hAnsi="Times New Roman" w:cs="Times New Roman"/>
          <w:sz w:val="21"/>
        </w:rPr>
        <w:t>rape</w:t>
      </w:r>
      <w:proofErr w:type="gramEnd"/>
      <w:r>
        <w:rPr>
          <w:rFonts w:ascii="Times New Roman" w:eastAsia="Times New Roman" w:hAnsi="Times New Roman" w:cs="Times New Roman"/>
          <w:sz w:val="21"/>
        </w:rPr>
        <w:t xml:space="preserve"> and violence </w:t>
      </w:r>
      <w:r>
        <w:rPr>
          <w:sz w:val="21"/>
        </w:rPr>
        <w:t xml:space="preserve">– </w:t>
      </w:r>
      <w:r>
        <w:rPr>
          <w:rFonts w:ascii="Times New Roman" w:eastAsia="Times New Roman" w:hAnsi="Times New Roman" w:cs="Times New Roman"/>
          <w:sz w:val="21"/>
        </w:rPr>
        <w:t xml:space="preserve">even of a large scale </w:t>
      </w:r>
      <w:r>
        <w:rPr>
          <w:sz w:val="21"/>
        </w:rPr>
        <w:t xml:space="preserve">– </w:t>
      </w:r>
      <w:r>
        <w:rPr>
          <w:rFonts w:ascii="Times New Roman" w:eastAsia="Times New Roman" w:hAnsi="Times New Roman" w:cs="Times New Roman"/>
          <w:sz w:val="21"/>
        </w:rPr>
        <w:t>which constitute traditional forms of criminality reinforces the aforementioned argument.</w:t>
      </w:r>
    </w:p>
    <w:p w14:paraId="5FF29EE0" w14:textId="77777777" w:rsidR="004C57BA" w:rsidRDefault="004D4EAB">
      <w:pPr>
        <w:spacing w:after="47" w:line="249" w:lineRule="auto"/>
        <w:ind w:left="-14" w:firstLine="205"/>
        <w:jc w:val="both"/>
      </w:pPr>
      <w:r>
        <w:rPr>
          <w:rFonts w:ascii="Times New Roman" w:eastAsia="Times New Roman" w:hAnsi="Times New Roman" w:cs="Times New Roman"/>
          <w:sz w:val="21"/>
        </w:rPr>
        <w:t xml:space="preserve">The traditional tools of criminological research have been regarded as inappropriate for the </w:t>
      </w:r>
      <w:r>
        <w:rPr>
          <w:rFonts w:ascii="Times New Roman" w:eastAsia="Times New Roman" w:hAnsi="Times New Roman" w:cs="Times New Roman"/>
          <w:sz w:val="21"/>
        </w:rPr>
        <w:t>study of international crimes due to the methodological challenges they typically pose.</w:t>
      </w:r>
      <w:r>
        <w:rPr>
          <w:rFonts w:ascii="Times New Roman" w:eastAsia="Times New Roman" w:hAnsi="Times New Roman" w:cs="Times New Roman"/>
          <w:sz w:val="21"/>
          <w:vertAlign w:val="superscript"/>
        </w:rPr>
        <w:footnoteReference w:id="6"/>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 xml:space="preserve">There are several major research tools available to criminologists, namely </w:t>
      </w:r>
      <w:r>
        <w:rPr>
          <w:sz w:val="21"/>
        </w:rPr>
        <w:t>fi</w:t>
      </w:r>
      <w:r>
        <w:rPr>
          <w:rFonts w:ascii="Times New Roman" w:eastAsia="Times New Roman" w:hAnsi="Times New Roman" w:cs="Times New Roman"/>
          <w:sz w:val="21"/>
        </w:rPr>
        <w:t>eld research, survey research and experiments.</w:t>
      </w:r>
      <w:r>
        <w:rPr>
          <w:rFonts w:ascii="Times New Roman" w:eastAsia="Times New Roman" w:hAnsi="Times New Roman" w:cs="Times New Roman"/>
          <w:sz w:val="21"/>
          <w:vertAlign w:val="superscript"/>
        </w:rPr>
        <w:t xml:space="preserve">12 </w:t>
      </w:r>
      <w:r>
        <w:rPr>
          <w:rFonts w:ascii="Times New Roman" w:eastAsia="Times New Roman" w:hAnsi="Times New Roman" w:cs="Times New Roman"/>
          <w:sz w:val="21"/>
        </w:rPr>
        <w:t xml:space="preserve">The physical dangers inherent in </w:t>
      </w:r>
      <w:r>
        <w:rPr>
          <w:sz w:val="21"/>
        </w:rPr>
        <w:t>fi</w:t>
      </w:r>
      <w:r>
        <w:rPr>
          <w:rFonts w:ascii="Times New Roman" w:eastAsia="Times New Roman" w:hAnsi="Times New Roman" w:cs="Times New Roman"/>
          <w:sz w:val="21"/>
        </w:rPr>
        <w:t>eld r</w:t>
      </w:r>
      <w:r>
        <w:rPr>
          <w:rFonts w:ascii="Times New Roman" w:eastAsia="Times New Roman" w:hAnsi="Times New Roman" w:cs="Times New Roman"/>
          <w:sz w:val="21"/>
        </w:rPr>
        <w:t xml:space="preserve">esearch </w:t>
      </w:r>
      <w:r>
        <w:rPr>
          <w:rFonts w:ascii="Times New Roman" w:eastAsia="Times New Roman" w:hAnsi="Times New Roman" w:cs="Times New Roman"/>
          <w:sz w:val="21"/>
        </w:rPr>
        <w:lastRenderedPageBreak/>
        <w:t>and the complex process of survey research have been suggested as the main arguments against the application of social science research in the case of international crimes. As the subsequent sections demonstrate these arguments are not supported by</w:t>
      </w:r>
      <w:r>
        <w:rPr>
          <w:rFonts w:ascii="Times New Roman" w:eastAsia="Times New Roman" w:hAnsi="Times New Roman" w:cs="Times New Roman"/>
          <w:sz w:val="21"/>
        </w:rPr>
        <w:t xml:space="preserve"> current research practice. Besides the use of experiments, which are not readily relevant to the study of international crimes, the application of qualitative and quantitative research methods </w:t>
      </w:r>
      <w:r>
        <w:rPr>
          <w:sz w:val="21"/>
        </w:rPr>
        <w:t xml:space="preserve">– </w:t>
      </w:r>
      <w:r>
        <w:rPr>
          <w:rFonts w:ascii="Times New Roman" w:eastAsia="Times New Roman" w:hAnsi="Times New Roman" w:cs="Times New Roman"/>
          <w:sz w:val="21"/>
        </w:rPr>
        <w:t>despite the dif</w:t>
      </w:r>
      <w:r>
        <w:rPr>
          <w:sz w:val="21"/>
        </w:rPr>
        <w:t>fi</w:t>
      </w:r>
      <w:r>
        <w:rPr>
          <w:rFonts w:ascii="Times New Roman" w:eastAsia="Times New Roman" w:hAnsi="Times New Roman" w:cs="Times New Roman"/>
          <w:sz w:val="21"/>
        </w:rPr>
        <w:t xml:space="preserve">culties involved </w:t>
      </w:r>
      <w:r>
        <w:rPr>
          <w:sz w:val="21"/>
        </w:rPr>
        <w:t xml:space="preserve">– </w:t>
      </w:r>
      <w:r>
        <w:rPr>
          <w:rFonts w:ascii="Times New Roman" w:eastAsia="Times New Roman" w:hAnsi="Times New Roman" w:cs="Times New Roman"/>
          <w:sz w:val="21"/>
        </w:rPr>
        <w:t>is not only possible but</w:t>
      </w:r>
      <w:r>
        <w:rPr>
          <w:rFonts w:ascii="Times New Roman" w:eastAsia="Times New Roman" w:hAnsi="Times New Roman" w:cs="Times New Roman"/>
          <w:sz w:val="21"/>
        </w:rPr>
        <w:t xml:space="preserve"> certainly worthwhile. No doubt, the recognition as to the relevance of criminology to the study of international crimes has encouraged legal scholars and social scientists gradually to employ social science research methodologies to the study of internati</w:t>
      </w:r>
      <w:r>
        <w:rPr>
          <w:rFonts w:ascii="Times New Roman" w:eastAsia="Times New Roman" w:hAnsi="Times New Roman" w:cs="Times New Roman"/>
          <w:sz w:val="21"/>
        </w:rPr>
        <w:t>onal crimes.</w:t>
      </w:r>
      <w:r>
        <w:rPr>
          <w:rFonts w:ascii="Times New Roman" w:eastAsia="Times New Roman" w:hAnsi="Times New Roman" w:cs="Times New Roman"/>
          <w:sz w:val="21"/>
          <w:vertAlign w:val="superscript"/>
        </w:rPr>
        <w:footnoteReference w:id="7"/>
      </w:r>
    </w:p>
    <w:p w14:paraId="79C5DBC7" w14:textId="77777777" w:rsidR="004C57BA" w:rsidRDefault="004D4EAB">
      <w:pPr>
        <w:spacing w:after="4" w:line="249" w:lineRule="auto"/>
        <w:ind w:left="-14" w:firstLine="205"/>
        <w:jc w:val="both"/>
      </w:pPr>
      <w:r>
        <w:rPr>
          <w:rFonts w:ascii="Times New Roman" w:eastAsia="Times New Roman" w:hAnsi="Times New Roman" w:cs="Times New Roman"/>
          <w:sz w:val="21"/>
        </w:rPr>
        <w:t xml:space="preserve">Of course, research on international crimes with </w:t>
      </w:r>
      <w:proofErr w:type="gramStart"/>
      <w:r>
        <w:rPr>
          <w:rFonts w:ascii="Times New Roman" w:eastAsia="Times New Roman" w:hAnsi="Times New Roman" w:cs="Times New Roman"/>
          <w:sz w:val="21"/>
        </w:rPr>
        <w:t>particular reference</w:t>
      </w:r>
      <w:proofErr w:type="gramEnd"/>
      <w:r>
        <w:rPr>
          <w:rFonts w:ascii="Times New Roman" w:eastAsia="Times New Roman" w:hAnsi="Times New Roman" w:cs="Times New Roman"/>
          <w:sz w:val="21"/>
        </w:rPr>
        <w:t xml:space="preserve"> to the measurement of offences has been conducted by epidemiologists using statistical methods to measure the number of casualties. However, as Hagan suggests, the majority of available </w:t>
      </w:r>
      <w:r>
        <w:rPr>
          <w:rFonts w:ascii="Times New Roman" w:eastAsia="Times New Roman" w:hAnsi="Times New Roman" w:cs="Times New Roman"/>
          <w:sz w:val="21"/>
        </w:rPr>
        <w:t>research is undertaken by public health workers rather than criminologists and evidence that a war crime has been committed is simply a by-product rather than the focus of relevant studies.</w:t>
      </w:r>
      <w:r>
        <w:rPr>
          <w:rFonts w:ascii="Times New Roman" w:eastAsia="Times New Roman" w:hAnsi="Times New Roman" w:cs="Times New Roman"/>
          <w:sz w:val="21"/>
          <w:vertAlign w:val="superscript"/>
        </w:rPr>
        <w:footnoteReference w:id="8"/>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 xml:space="preserve">There might very well be </w:t>
      </w:r>
      <w:r>
        <w:rPr>
          <w:sz w:val="21"/>
        </w:rPr>
        <w:t>‘</w:t>
      </w:r>
      <w:r>
        <w:rPr>
          <w:rFonts w:ascii="Times New Roman" w:eastAsia="Times New Roman" w:hAnsi="Times New Roman" w:cs="Times New Roman"/>
          <w:sz w:val="21"/>
        </w:rPr>
        <w:t xml:space="preserve">a tendency [among] </w:t>
      </w:r>
      <w:proofErr w:type="spellStart"/>
      <w:r>
        <w:rPr>
          <w:rFonts w:ascii="Times New Roman" w:eastAsia="Times New Roman" w:hAnsi="Times New Roman" w:cs="Times New Roman"/>
          <w:sz w:val="21"/>
        </w:rPr>
        <w:t>healthoriented</w:t>
      </w:r>
      <w:proofErr w:type="spellEnd"/>
      <w:r>
        <w:rPr>
          <w:rFonts w:ascii="Times New Roman" w:eastAsia="Times New Roman" w:hAnsi="Times New Roman" w:cs="Times New Roman"/>
          <w:sz w:val="21"/>
        </w:rPr>
        <w:t xml:space="preserve"> rese</w:t>
      </w:r>
      <w:r>
        <w:rPr>
          <w:rFonts w:ascii="Times New Roman" w:eastAsia="Times New Roman" w:hAnsi="Times New Roman" w:cs="Times New Roman"/>
          <w:sz w:val="21"/>
        </w:rPr>
        <w:t>archers to underreport violent deaths in what these researchers designate as complex humanitarian emergencies</w:t>
      </w:r>
      <w:r>
        <w:rPr>
          <w:sz w:val="21"/>
        </w:rPr>
        <w:t>’</w:t>
      </w:r>
      <w:r>
        <w:rPr>
          <w:rFonts w:ascii="Times New Roman" w:eastAsia="Times New Roman" w:hAnsi="Times New Roman" w:cs="Times New Roman"/>
          <w:sz w:val="21"/>
        </w:rPr>
        <w:t xml:space="preserve">. Therefore, there is a need for legal and criminology scholars to better adapt social science research methods to international crimes </w:t>
      </w:r>
      <w:proofErr w:type="gramStart"/>
      <w:r>
        <w:rPr>
          <w:rFonts w:ascii="Times New Roman" w:eastAsia="Times New Roman" w:hAnsi="Times New Roman" w:cs="Times New Roman"/>
          <w:sz w:val="21"/>
        </w:rPr>
        <w:t>in order t</w:t>
      </w:r>
      <w:r>
        <w:rPr>
          <w:rFonts w:ascii="Times New Roman" w:eastAsia="Times New Roman" w:hAnsi="Times New Roman" w:cs="Times New Roman"/>
          <w:sz w:val="21"/>
        </w:rPr>
        <w:t>o</w:t>
      </w:r>
      <w:proofErr w:type="gramEnd"/>
      <w:r>
        <w:rPr>
          <w:rFonts w:ascii="Times New Roman" w:eastAsia="Times New Roman" w:hAnsi="Times New Roman" w:cs="Times New Roman"/>
          <w:sz w:val="21"/>
        </w:rPr>
        <w:t xml:space="preserve"> synthesize and entrench four particular thematic areas.</w:t>
      </w:r>
      <w:r>
        <w:rPr>
          <w:rFonts w:ascii="Times New Roman" w:eastAsia="Times New Roman" w:hAnsi="Times New Roman" w:cs="Times New Roman"/>
          <w:sz w:val="21"/>
          <w:vertAlign w:val="superscript"/>
        </w:rPr>
        <w:footnoteReference w:id="9"/>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 xml:space="preserve">The </w:t>
      </w:r>
      <w:r>
        <w:rPr>
          <w:sz w:val="21"/>
        </w:rPr>
        <w:t>fi</w:t>
      </w:r>
      <w:r>
        <w:rPr>
          <w:rFonts w:ascii="Times New Roman" w:eastAsia="Times New Roman" w:hAnsi="Times New Roman" w:cs="Times New Roman"/>
          <w:sz w:val="21"/>
        </w:rPr>
        <w:t>rst concerns prevalence of crime. Finding out the number of offences committed in a speci</w:t>
      </w:r>
      <w:r>
        <w:rPr>
          <w:sz w:val="21"/>
        </w:rPr>
        <w:t>fi</w:t>
      </w:r>
      <w:r>
        <w:rPr>
          <w:rFonts w:ascii="Times New Roman" w:eastAsia="Times New Roman" w:hAnsi="Times New Roman" w:cs="Times New Roman"/>
          <w:sz w:val="21"/>
        </w:rPr>
        <w:t>c region and within a particular time frame is important for estimating the number of victims but a</w:t>
      </w:r>
      <w:r>
        <w:rPr>
          <w:rFonts w:ascii="Times New Roman" w:eastAsia="Times New Roman" w:hAnsi="Times New Roman" w:cs="Times New Roman"/>
          <w:sz w:val="21"/>
        </w:rPr>
        <w:t xml:space="preserve">lso the patterns of offending. Given that not all gross violations of human rights amount to international crimes it is important to investigate a particular case </w:t>
      </w:r>
      <w:proofErr w:type="gramStart"/>
      <w:r>
        <w:rPr>
          <w:rFonts w:ascii="Times New Roman" w:eastAsia="Times New Roman" w:hAnsi="Times New Roman" w:cs="Times New Roman"/>
          <w:sz w:val="21"/>
        </w:rPr>
        <w:t>in order to</w:t>
      </w:r>
      <w:proofErr w:type="gramEnd"/>
      <w:r>
        <w:rPr>
          <w:rFonts w:ascii="Times New Roman" w:eastAsia="Times New Roman" w:hAnsi="Times New Roman" w:cs="Times New Roman"/>
          <w:sz w:val="21"/>
        </w:rPr>
        <w:t xml:space="preserve"> reach the conclusion that genocide has actually taken place. Measuring patterns o</w:t>
      </w:r>
      <w:r>
        <w:rPr>
          <w:rFonts w:ascii="Times New Roman" w:eastAsia="Times New Roman" w:hAnsi="Times New Roman" w:cs="Times New Roman"/>
          <w:sz w:val="21"/>
        </w:rPr>
        <w:t>f violence and the scale of offending leads to an identi</w:t>
      </w:r>
      <w:r>
        <w:rPr>
          <w:sz w:val="21"/>
        </w:rPr>
        <w:t>fi</w:t>
      </w:r>
      <w:r>
        <w:rPr>
          <w:rFonts w:ascii="Times New Roman" w:eastAsia="Times New Roman" w:hAnsi="Times New Roman" w:cs="Times New Roman"/>
          <w:sz w:val="21"/>
        </w:rPr>
        <w:t>cation of patterns of offending which can satisfy the elements of several international crimes, such as genocide and crimes against humanity. By way of illustration, an investigation in the patterns</w:t>
      </w:r>
      <w:r>
        <w:rPr>
          <w:rFonts w:ascii="Times New Roman" w:eastAsia="Times New Roman" w:hAnsi="Times New Roman" w:cs="Times New Roman"/>
          <w:sz w:val="21"/>
        </w:rPr>
        <w:t xml:space="preserve"> of sexual violence during con</w:t>
      </w:r>
      <w:r>
        <w:rPr>
          <w:sz w:val="21"/>
        </w:rPr>
        <w:t>fl</w:t>
      </w:r>
      <w:r>
        <w:rPr>
          <w:rFonts w:ascii="Times New Roman" w:eastAsia="Times New Roman" w:hAnsi="Times New Roman" w:cs="Times New Roman"/>
          <w:sz w:val="21"/>
        </w:rPr>
        <w:t xml:space="preserve">ict can determine the extent to which rape and other forms of sexual violence can be termed widespread </w:t>
      </w:r>
      <w:r>
        <w:rPr>
          <w:rFonts w:ascii="Times New Roman" w:eastAsia="Times New Roman" w:hAnsi="Times New Roman" w:cs="Times New Roman"/>
          <w:sz w:val="21"/>
        </w:rPr>
        <w:lastRenderedPageBreak/>
        <w:t>or systematic or can be regarded as a deliberate and systematic plan to kill and destroy a group in whole or in part.</w:t>
      </w:r>
    </w:p>
    <w:p w14:paraId="368D4A6B" w14:textId="77777777" w:rsidR="004C57BA" w:rsidRDefault="004D4EAB">
      <w:pPr>
        <w:spacing w:after="4" w:line="249" w:lineRule="auto"/>
        <w:ind w:left="-14" w:firstLine="205"/>
        <w:jc w:val="both"/>
      </w:pPr>
      <w:r>
        <w:rPr>
          <w:rFonts w:ascii="Times New Roman" w:eastAsia="Times New Roman" w:hAnsi="Times New Roman" w:cs="Times New Roman"/>
          <w:sz w:val="21"/>
        </w:rPr>
        <w:t xml:space="preserve">In </w:t>
      </w:r>
      <w:r>
        <w:rPr>
          <w:rFonts w:ascii="Times New Roman" w:eastAsia="Times New Roman" w:hAnsi="Times New Roman" w:cs="Times New Roman"/>
          <w:sz w:val="21"/>
        </w:rPr>
        <w:t xml:space="preserve">the </w:t>
      </w:r>
      <w:proofErr w:type="spellStart"/>
      <w:r>
        <w:rPr>
          <w:rFonts w:ascii="Times New Roman" w:eastAsia="Times New Roman" w:hAnsi="Times New Roman" w:cs="Times New Roman"/>
          <w:sz w:val="21"/>
        </w:rPr>
        <w:t>Akayesu</w:t>
      </w:r>
      <w:proofErr w:type="spellEnd"/>
      <w:r>
        <w:rPr>
          <w:rFonts w:ascii="Times New Roman" w:eastAsia="Times New Roman" w:hAnsi="Times New Roman" w:cs="Times New Roman"/>
          <w:sz w:val="21"/>
        </w:rPr>
        <w:t xml:space="preserve"> case, the International Criminal Tribunal for Rwanda (ICTR) took the unprecedented step of holding that systematic rape committed with the intent to destroy a particular group is encompassed within the statutory de</w:t>
      </w:r>
      <w:r>
        <w:rPr>
          <w:sz w:val="21"/>
        </w:rPr>
        <w:t>fi</w:t>
      </w:r>
      <w:r>
        <w:rPr>
          <w:rFonts w:ascii="Times New Roman" w:eastAsia="Times New Roman" w:hAnsi="Times New Roman" w:cs="Times New Roman"/>
          <w:sz w:val="21"/>
        </w:rPr>
        <w:t xml:space="preserve">nition of </w:t>
      </w:r>
      <w:r>
        <w:rPr>
          <w:sz w:val="21"/>
        </w:rPr>
        <w:t>‘</w:t>
      </w:r>
      <w:r>
        <w:rPr>
          <w:rFonts w:ascii="Times New Roman" w:eastAsia="Times New Roman" w:hAnsi="Times New Roman" w:cs="Times New Roman"/>
          <w:sz w:val="21"/>
        </w:rPr>
        <w:t>genocide</w:t>
      </w:r>
      <w:r>
        <w:rPr>
          <w:sz w:val="21"/>
        </w:rPr>
        <w:t>’</w:t>
      </w:r>
      <w:r>
        <w:rPr>
          <w:rFonts w:ascii="Times New Roman" w:eastAsia="Times New Roman" w:hAnsi="Times New Roman" w:cs="Times New Roman"/>
          <w:sz w:val="21"/>
        </w:rPr>
        <w:t>.</w:t>
      </w:r>
      <w:r>
        <w:rPr>
          <w:rFonts w:ascii="Times New Roman" w:eastAsia="Times New Roman" w:hAnsi="Times New Roman" w:cs="Times New Roman"/>
          <w:sz w:val="21"/>
          <w:vertAlign w:val="superscript"/>
        </w:rPr>
        <w:footnoteReference w:id="10"/>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Meas</w:t>
      </w:r>
      <w:r>
        <w:rPr>
          <w:rFonts w:ascii="Times New Roman" w:eastAsia="Times New Roman" w:hAnsi="Times New Roman" w:cs="Times New Roman"/>
          <w:sz w:val="21"/>
        </w:rPr>
        <w:t>uring the scale of offending and the nature of the offence leads to an identi</w:t>
      </w:r>
      <w:r>
        <w:rPr>
          <w:sz w:val="21"/>
        </w:rPr>
        <w:t>fi</w:t>
      </w:r>
      <w:r>
        <w:rPr>
          <w:rFonts w:ascii="Times New Roman" w:eastAsia="Times New Roman" w:hAnsi="Times New Roman" w:cs="Times New Roman"/>
          <w:sz w:val="21"/>
        </w:rPr>
        <w:t>cation of patterns of offending which can be useful for linking offences to perpetrators and thus making effective prosecution possible.</w:t>
      </w:r>
      <w:r>
        <w:rPr>
          <w:rFonts w:ascii="Times New Roman" w:eastAsia="Times New Roman" w:hAnsi="Times New Roman" w:cs="Times New Roman"/>
          <w:sz w:val="21"/>
          <w:vertAlign w:val="superscript"/>
        </w:rPr>
        <w:t xml:space="preserve">17 </w:t>
      </w:r>
      <w:r>
        <w:rPr>
          <w:rFonts w:ascii="Times New Roman" w:eastAsia="Times New Roman" w:hAnsi="Times New Roman" w:cs="Times New Roman"/>
          <w:sz w:val="21"/>
        </w:rPr>
        <w:t>In fact, anonymous and con</w:t>
      </w:r>
      <w:r>
        <w:rPr>
          <w:sz w:val="21"/>
        </w:rPr>
        <w:t>fi</w:t>
      </w:r>
      <w:r>
        <w:rPr>
          <w:rFonts w:ascii="Times New Roman" w:eastAsia="Times New Roman" w:hAnsi="Times New Roman" w:cs="Times New Roman"/>
          <w:sz w:val="21"/>
        </w:rPr>
        <w:t>dential ev</w:t>
      </w:r>
      <w:r>
        <w:rPr>
          <w:rFonts w:ascii="Times New Roman" w:eastAsia="Times New Roman" w:hAnsi="Times New Roman" w:cs="Times New Roman"/>
          <w:sz w:val="21"/>
        </w:rPr>
        <w:t>idence can be employed in order to establish the scale and pattern of mass rape. Despite the legal objection against the use of survey evidence in international criminal trials due to its hearsay dimension, there is no generally accepted prohibition concer</w:t>
      </w:r>
      <w:r>
        <w:rPr>
          <w:rFonts w:ascii="Times New Roman" w:eastAsia="Times New Roman" w:hAnsi="Times New Roman" w:cs="Times New Roman"/>
          <w:sz w:val="21"/>
        </w:rPr>
        <w:t>ning the use of hearsay evidence. Likewise, hearsay evidence can produce reliable and valid sources of information, which is excluded only where it is assessed as unreliable.</w:t>
      </w:r>
    </w:p>
    <w:p w14:paraId="656CBEB7" w14:textId="77777777" w:rsidR="004C57BA" w:rsidRDefault="004D4EAB">
      <w:pPr>
        <w:spacing w:after="70" w:line="249" w:lineRule="auto"/>
        <w:ind w:left="-14" w:firstLine="205"/>
        <w:jc w:val="both"/>
      </w:pPr>
      <w:r>
        <w:rPr>
          <w:rFonts w:ascii="Times New Roman" w:eastAsia="Times New Roman" w:hAnsi="Times New Roman" w:cs="Times New Roman"/>
          <w:sz w:val="21"/>
        </w:rPr>
        <w:t>Besides its utility in studying the incidence of international crimes, social res</w:t>
      </w:r>
      <w:r>
        <w:rPr>
          <w:rFonts w:ascii="Times New Roman" w:eastAsia="Times New Roman" w:hAnsi="Times New Roman" w:cs="Times New Roman"/>
          <w:sz w:val="21"/>
        </w:rPr>
        <w:t xml:space="preserve">earch methods can advance our knowledge as to the </w:t>
      </w:r>
      <w:proofErr w:type="spellStart"/>
      <w:r>
        <w:rPr>
          <w:rFonts w:ascii="Times New Roman" w:eastAsia="Times New Roman" w:hAnsi="Times New Roman" w:cs="Times New Roman"/>
          <w:sz w:val="21"/>
        </w:rPr>
        <w:t>etiology</w:t>
      </w:r>
      <w:proofErr w:type="spellEnd"/>
      <w:r>
        <w:rPr>
          <w:rFonts w:ascii="Times New Roman" w:eastAsia="Times New Roman" w:hAnsi="Times New Roman" w:cs="Times New Roman"/>
          <w:sz w:val="21"/>
        </w:rPr>
        <w:t xml:space="preserve"> of offending at a micro level by allowing us to examine the motives of the offender and his or her pro</w:t>
      </w:r>
      <w:r>
        <w:rPr>
          <w:sz w:val="21"/>
        </w:rPr>
        <w:t>fi</w:t>
      </w:r>
      <w:r>
        <w:rPr>
          <w:rFonts w:ascii="Times New Roman" w:eastAsia="Times New Roman" w:hAnsi="Times New Roman" w:cs="Times New Roman"/>
          <w:sz w:val="21"/>
        </w:rPr>
        <w:t>le. This can be accomplished by conducting interviews with perpetrators or by using documents</w:t>
      </w:r>
      <w:r>
        <w:rPr>
          <w:rFonts w:ascii="Times New Roman" w:eastAsia="Times New Roman" w:hAnsi="Times New Roman" w:cs="Times New Roman"/>
          <w:sz w:val="21"/>
        </w:rPr>
        <w:t xml:space="preserve"> such as court </w:t>
      </w:r>
      <w:r>
        <w:rPr>
          <w:sz w:val="21"/>
        </w:rPr>
        <w:t>fi</w:t>
      </w:r>
      <w:r>
        <w:rPr>
          <w:rFonts w:ascii="Times New Roman" w:eastAsia="Times New Roman" w:hAnsi="Times New Roman" w:cs="Times New Roman"/>
          <w:sz w:val="21"/>
        </w:rPr>
        <w:t xml:space="preserve">les which provide insights on the motives of the perpetrators. Legal reactions or responses to international crimes constitute further areas of study allowing researchers to focus on procedural justice legal processes, legal </w:t>
      </w:r>
      <w:proofErr w:type="gramStart"/>
      <w:r>
        <w:rPr>
          <w:rFonts w:ascii="Times New Roman" w:eastAsia="Times New Roman" w:hAnsi="Times New Roman" w:cs="Times New Roman"/>
          <w:sz w:val="21"/>
        </w:rPr>
        <w:t>outcome</w:t>
      </w:r>
      <w:proofErr w:type="gramEnd"/>
      <w:r>
        <w:rPr>
          <w:rFonts w:ascii="Times New Roman" w:eastAsia="Times New Roman" w:hAnsi="Times New Roman" w:cs="Times New Roman"/>
          <w:sz w:val="21"/>
        </w:rPr>
        <w:t xml:space="preserve"> and th</w:t>
      </w:r>
      <w:r>
        <w:rPr>
          <w:rFonts w:ascii="Times New Roman" w:eastAsia="Times New Roman" w:hAnsi="Times New Roman" w:cs="Times New Roman"/>
          <w:sz w:val="21"/>
        </w:rPr>
        <w:t>e effectiveness of legal interventions.</w:t>
      </w:r>
      <w:r>
        <w:rPr>
          <w:rFonts w:ascii="Times New Roman" w:eastAsia="Times New Roman" w:hAnsi="Times New Roman" w:cs="Times New Roman"/>
          <w:sz w:val="21"/>
          <w:vertAlign w:val="superscript"/>
        </w:rPr>
        <w:t>18</w:t>
      </w:r>
    </w:p>
    <w:p w14:paraId="17DD5623" w14:textId="77777777" w:rsidR="004C57BA" w:rsidRDefault="004D4EAB">
      <w:pPr>
        <w:spacing w:after="549" w:line="249" w:lineRule="auto"/>
        <w:ind w:left="-14" w:firstLine="205"/>
        <w:jc w:val="both"/>
      </w:pPr>
      <w:r>
        <w:rPr>
          <w:rFonts w:ascii="Times New Roman" w:eastAsia="Times New Roman" w:hAnsi="Times New Roman" w:cs="Times New Roman"/>
          <w:sz w:val="21"/>
        </w:rPr>
        <w:t xml:space="preserve">It should </w:t>
      </w:r>
      <w:r>
        <w:rPr>
          <w:sz w:val="21"/>
        </w:rPr>
        <w:t>fi</w:t>
      </w:r>
      <w:r>
        <w:rPr>
          <w:rFonts w:ascii="Times New Roman" w:eastAsia="Times New Roman" w:hAnsi="Times New Roman" w:cs="Times New Roman"/>
          <w:sz w:val="21"/>
        </w:rPr>
        <w:t>nally be noted that in the aftermath of an armed con</w:t>
      </w:r>
      <w:r>
        <w:rPr>
          <w:sz w:val="21"/>
        </w:rPr>
        <w:t>fl</w:t>
      </w:r>
      <w:r>
        <w:rPr>
          <w:rFonts w:ascii="Times New Roman" w:eastAsia="Times New Roman" w:hAnsi="Times New Roman" w:cs="Times New Roman"/>
          <w:sz w:val="21"/>
        </w:rPr>
        <w:t xml:space="preserve">ict the number of individuals </w:t>
      </w:r>
      <w:proofErr w:type="gramStart"/>
      <w:r>
        <w:rPr>
          <w:rFonts w:ascii="Times New Roman" w:eastAsia="Times New Roman" w:hAnsi="Times New Roman" w:cs="Times New Roman"/>
          <w:sz w:val="21"/>
        </w:rPr>
        <w:t>involved</w:t>
      </w:r>
      <w:proofErr w:type="gramEnd"/>
      <w:r>
        <w:rPr>
          <w:rFonts w:ascii="Times New Roman" w:eastAsia="Times New Roman" w:hAnsi="Times New Roman" w:cs="Times New Roman"/>
          <w:sz w:val="21"/>
        </w:rPr>
        <w:t xml:space="preserve"> and the political outcomes usually give rise to demands for an accurate historical record. This process has b</w:t>
      </w:r>
      <w:r>
        <w:rPr>
          <w:rFonts w:ascii="Times New Roman" w:eastAsia="Times New Roman" w:hAnsi="Times New Roman" w:cs="Times New Roman"/>
          <w:sz w:val="21"/>
        </w:rPr>
        <w:t>een found to promote a signi</w:t>
      </w:r>
      <w:r>
        <w:rPr>
          <w:sz w:val="21"/>
        </w:rPr>
        <w:t>fi</w:t>
      </w:r>
      <w:r>
        <w:rPr>
          <w:rFonts w:ascii="Times New Roman" w:eastAsia="Times New Roman" w:hAnsi="Times New Roman" w:cs="Times New Roman"/>
          <w:sz w:val="21"/>
        </w:rPr>
        <w:t>cant degree of reconciliation.</w:t>
      </w:r>
      <w:r>
        <w:rPr>
          <w:rFonts w:ascii="Times New Roman" w:eastAsia="Times New Roman" w:hAnsi="Times New Roman" w:cs="Times New Roman"/>
          <w:sz w:val="21"/>
          <w:vertAlign w:val="superscript"/>
        </w:rPr>
        <w:t xml:space="preserve">19 </w:t>
      </w:r>
      <w:r>
        <w:rPr>
          <w:rFonts w:ascii="Times New Roman" w:eastAsia="Times New Roman" w:hAnsi="Times New Roman" w:cs="Times New Roman"/>
          <w:sz w:val="21"/>
        </w:rPr>
        <w:t xml:space="preserve">One of the key issues is the search for truth, i.e. to bring the facts about past crimes to the surface, or at least as many facts as possible. Reconciliation and truth </w:t>
      </w:r>
      <w:proofErr w:type="gramStart"/>
      <w:r>
        <w:rPr>
          <w:rFonts w:ascii="Times New Roman" w:eastAsia="Times New Roman" w:hAnsi="Times New Roman" w:cs="Times New Roman"/>
          <w:sz w:val="21"/>
        </w:rPr>
        <w:t>is</w:t>
      </w:r>
      <w:proofErr w:type="gramEnd"/>
      <w:r>
        <w:rPr>
          <w:rFonts w:ascii="Times New Roman" w:eastAsia="Times New Roman" w:hAnsi="Times New Roman" w:cs="Times New Roman"/>
          <w:sz w:val="21"/>
        </w:rPr>
        <w:t xml:space="preserve"> also crucial for soci</w:t>
      </w:r>
      <w:r>
        <w:rPr>
          <w:rFonts w:ascii="Times New Roman" w:eastAsia="Times New Roman" w:hAnsi="Times New Roman" w:cs="Times New Roman"/>
          <w:sz w:val="21"/>
        </w:rPr>
        <w:t xml:space="preserve">ety as a whole, since it shapes further political and social debates and transformations. </w:t>
      </w:r>
      <w:proofErr w:type="spellStart"/>
      <w:r>
        <w:rPr>
          <w:rFonts w:ascii="Times New Roman" w:eastAsia="Times New Roman" w:hAnsi="Times New Roman" w:cs="Times New Roman"/>
          <w:sz w:val="21"/>
        </w:rPr>
        <w:t>Orentlicher</w:t>
      </w:r>
      <w:proofErr w:type="spellEnd"/>
      <w:r>
        <w:rPr>
          <w:rFonts w:ascii="Times New Roman" w:eastAsia="Times New Roman" w:hAnsi="Times New Roman" w:cs="Times New Roman"/>
          <w:sz w:val="21"/>
        </w:rPr>
        <w:t xml:space="preserve"> argues in favour of </w:t>
      </w:r>
      <w:r>
        <w:rPr>
          <w:sz w:val="21"/>
        </w:rPr>
        <w:t>‘</w:t>
      </w:r>
      <w:r>
        <w:rPr>
          <w:rFonts w:ascii="Times New Roman" w:eastAsia="Times New Roman" w:hAnsi="Times New Roman" w:cs="Times New Roman"/>
          <w:sz w:val="21"/>
        </w:rPr>
        <w:t>the right to truth</w:t>
      </w:r>
      <w:r>
        <w:rPr>
          <w:sz w:val="21"/>
        </w:rPr>
        <w:t xml:space="preserve">’ </w:t>
      </w:r>
      <w:r>
        <w:rPr>
          <w:rFonts w:ascii="Times New Roman" w:eastAsia="Times New Roman" w:hAnsi="Times New Roman" w:cs="Times New Roman"/>
          <w:sz w:val="21"/>
        </w:rPr>
        <w:t>for victims in a manner that gives rise to legal implications.</w:t>
      </w:r>
      <w:r>
        <w:rPr>
          <w:rFonts w:ascii="Times New Roman" w:eastAsia="Times New Roman" w:hAnsi="Times New Roman" w:cs="Times New Roman"/>
          <w:sz w:val="21"/>
          <w:vertAlign w:val="superscript"/>
        </w:rPr>
        <w:t xml:space="preserve">20 </w:t>
      </w:r>
      <w:r>
        <w:rPr>
          <w:rFonts w:ascii="Times New Roman" w:eastAsia="Times New Roman" w:hAnsi="Times New Roman" w:cs="Times New Roman"/>
          <w:sz w:val="21"/>
        </w:rPr>
        <w:t xml:space="preserve">Several UN bodies, among others, have concluded </w:t>
      </w:r>
      <w:r>
        <w:rPr>
          <w:rFonts w:ascii="Times New Roman" w:eastAsia="Times New Roman" w:hAnsi="Times New Roman" w:cs="Times New Roman"/>
          <w:sz w:val="21"/>
        </w:rPr>
        <w:t xml:space="preserve">that the right to truth about gross or serious human rights violations is an inalienable and autonomous right that </w:t>
      </w:r>
      <w:r>
        <w:rPr>
          <w:rFonts w:ascii="Times New Roman" w:eastAsia="Times New Roman" w:hAnsi="Times New Roman" w:cs="Times New Roman"/>
          <w:sz w:val="21"/>
        </w:rPr>
        <w:lastRenderedPageBreak/>
        <w:t>is linked to the duty and obligation of the state to protect and guarantee human rights, to conduct effective investigations and to guarantee</w:t>
      </w:r>
      <w:r>
        <w:rPr>
          <w:rFonts w:ascii="Times New Roman" w:eastAsia="Times New Roman" w:hAnsi="Times New Roman" w:cs="Times New Roman"/>
          <w:sz w:val="21"/>
        </w:rPr>
        <w:t xml:space="preserve"> effective remedies and reparations.</w:t>
      </w:r>
      <w:r>
        <w:rPr>
          <w:rFonts w:ascii="Times New Roman" w:eastAsia="Times New Roman" w:hAnsi="Times New Roman" w:cs="Times New Roman"/>
          <w:sz w:val="21"/>
          <w:vertAlign w:val="superscript"/>
        </w:rPr>
        <w:t>21</w:t>
      </w:r>
    </w:p>
    <w:p w14:paraId="213E4685" w14:textId="77777777" w:rsidR="004C57BA" w:rsidRDefault="004D4EAB">
      <w:pPr>
        <w:spacing w:after="93"/>
        <w:ind w:left="774" w:right="765" w:hanging="10"/>
        <w:jc w:val="center"/>
      </w:pPr>
      <w:r>
        <w:t>Researching international crimes</w:t>
      </w:r>
    </w:p>
    <w:p w14:paraId="6D2432EE" w14:textId="77777777" w:rsidR="004C57BA" w:rsidRDefault="004D4EAB">
      <w:pPr>
        <w:spacing w:after="294" w:line="249" w:lineRule="auto"/>
        <w:ind w:left="-14"/>
        <w:jc w:val="both"/>
      </w:pPr>
      <w:r>
        <w:rPr>
          <w:rFonts w:ascii="Times New Roman" w:eastAsia="Times New Roman" w:hAnsi="Times New Roman" w:cs="Times New Roman"/>
          <w:sz w:val="21"/>
        </w:rPr>
        <w:t>Although the interest of the researcher and the question under investigation are the factors guiding the selection of one</w:t>
      </w:r>
      <w:r>
        <w:rPr>
          <w:sz w:val="21"/>
        </w:rPr>
        <w:t>’</w:t>
      </w:r>
      <w:r>
        <w:rPr>
          <w:rFonts w:ascii="Times New Roman" w:eastAsia="Times New Roman" w:hAnsi="Times New Roman" w:cs="Times New Roman"/>
          <w:sz w:val="21"/>
        </w:rPr>
        <w:t>s research method there are two main approaches for researchin</w:t>
      </w:r>
      <w:r>
        <w:rPr>
          <w:rFonts w:ascii="Times New Roman" w:eastAsia="Times New Roman" w:hAnsi="Times New Roman" w:cs="Times New Roman"/>
          <w:sz w:val="21"/>
        </w:rPr>
        <w:t>g international crimes and gross violations of human rights from a qualitative and quantitative</w:t>
      </w:r>
    </w:p>
    <w:p w14:paraId="20C2D3C4" w14:textId="77777777" w:rsidR="004C57BA" w:rsidRDefault="004D4EAB" w:rsidP="004D4EAB">
      <w:pPr>
        <w:numPr>
          <w:ilvl w:val="0"/>
          <w:numId w:val="1"/>
        </w:numPr>
        <w:spacing w:after="5" w:line="253" w:lineRule="auto"/>
        <w:ind w:right="2850" w:hanging="206"/>
        <w:jc w:val="both"/>
      </w:pPr>
      <w:r>
        <w:rPr>
          <w:rFonts w:ascii="Times New Roman" w:eastAsia="Times New Roman" w:hAnsi="Times New Roman" w:cs="Times New Roman"/>
          <w:sz w:val="17"/>
        </w:rPr>
        <w:t>Ibid.</w:t>
      </w:r>
    </w:p>
    <w:p w14:paraId="6D42D10E" w14:textId="77777777" w:rsidR="004C57BA" w:rsidRDefault="004D4EAB" w:rsidP="004D4EAB">
      <w:pPr>
        <w:numPr>
          <w:ilvl w:val="0"/>
          <w:numId w:val="1"/>
        </w:numPr>
        <w:spacing w:after="5" w:line="253" w:lineRule="auto"/>
        <w:ind w:right="2850" w:hanging="206"/>
        <w:jc w:val="both"/>
      </w:pPr>
      <w:r>
        <w:rPr>
          <w:rFonts w:ascii="Times New Roman" w:eastAsia="Times New Roman" w:hAnsi="Times New Roman" w:cs="Times New Roman"/>
          <w:sz w:val="17"/>
        </w:rPr>
        <w:t xml:space="preserve">S. </w:t>
      </w:r>
      <w:proofErr w:type="spellStart"/>
      <w:r>
        <w:rPr>
          <w:rFonts w:ascii="Times New Roman" w:eastAsia="Times New Roman" w:hAnsi="Times New Roman" w:cs="Times New Roman"/>
          <w:sz w:val="17"/>
        </w:rPr>
        <w:t>Parmentier</w:t>
      </w:r>
      <w:proofErr w:type="spellEnd"/>
      <w:r>
        <w:rPr>
          <w:rFonts w:ascii="Times New Roman" w:eastAsia="Times New Roman" w:hAnsi="Times New Roman" w:cs="Times New Roman"/>
          <w:sz w:val="17"/>
        </w:rPr>
        <w:t xml:space="preserve">, </w:t>
      </w:r>
      <w:r>
        <w:rPr>
          <w:sz w:val="17"/>
        </w:rPr>
        <w:t>‘</w:t>
      </w:r>
      <w:r>
        <w:rPr>
          <w:rFonts w:ascii="Times New Roman" w:eastAsia="Times New Roman" w:hAnsi="Times New Roman" w:cs="Times New Roman"/>
          <w:sz w:val="17"/>
        </w:rPr>
        <w:t>Global Justice in the Aftermath of Mass Violence: The Role of the International Criminal Court in Dealing with Political Crimes</w:t>
      </w:r>
      <w:r>
        <w:rPr>
          <w:sz w:val="17"/>
        </w:rPr>
        <w:t>’</w:t>
      </w:r>
      <w:r>
        <w:rPr>
          <w:rFonts w:ascii="Times New Roman" w:eastAsia="Times New Roman" w:hAnsi="Times New Roman" w:cs="Times New Roman"/>
          <w:sz w:val="17"/>
        </w:rPr>
        <w:t>, (2003) 41 International Annals of Criminology 203.</w:t>
      </w:r>
    </w:p>
    <w:p w14:paraId="375AF189" w14:textId="77777777" w:rsidR="004C57BA" w:rsidRDefault="004D4EAB">
      <w:pPr>
        <w:spacing w:after="0"/>
        <w:ind w:left="-5" w:hanging="10"/>
      </w:pPr>
      <w:r>
        <w:rPr>
          <w:rFonts w:ascii="Times New Roman" w:eastAsia="Times New Roman" w:hAnsi="Times New Roman" w:cs="Times New Roman"/>
          <w:sz w:val="11"/>
        </w:rPr>
        <w:t>20</w:t>
      </w:r>
    </w:p>
    <w:p w14:paraId="36F0DA87" w14:textId="77777777" w:rsidR="004C57BA" w:rsidRDefault="004D4EAB">
      <w:pPr>
        <w:spacing w:after="5" w:line="253" w:lineRule="auto"/>
        <w:ind w:left="-15" w:firstLine="206"/>
        <w:jc w:val="both"/>
      </w:pPr>
      <w:r>
        <w:rPr>
          <w:rFonts w:ascii="Times New Roman" w:eastAsia="Times New Roman" w:hAnsi="Times New Roman" w:cs="Times New Roman"/>
          <w:sz w:val="17"/>
        </w:rPr>
        <w:t xml:space="preserve">Report of the Independent Expert to Update the Set of Principles to Combat Impunity (Diane </w:t>
      </w:r>
      <w:proofErr w:type="spellStart"/>
      <w:r>
        <w:rPr>
          <w:rFonts w:ascii="Times New Roman" w:eastAsia="Times New Roman" w:hAnsi="Times New Roman" w:cs="Times New Roman"/>
          <w:sz w:val="17"/>
        </w:rPr>
        <w:t>Orentlicher</w:t>
      </w:r>
      <w:proofErr w:type="spellEnd"/>
      <w:r>
        <w:rPr>
          <w:rFonts w:ascii="Times New Roman" w:eastAsia="Times New Roman" w:hAnsi="Times New Roman" w:cs="Times New Roman"/>
          <w:sz w:val="17"/>
        </w:rPr>
        <w:t xml:space="preserve">), UN Doc. E/CN.4/2005/102 (18 February 2005). </w:t>
      </w:r>
      <w:r>
        <w:rPr>
          <w:rFonts w:ascii="Times New Roman" w:eastAsia="Times New Roman" w:hAnsi="Times New Roman" w:cs="Times New Roman"/>
          <w:sz w:val="11"/>
        </w:rPr>
        <w:t>21</w:t>
      </w:r>
    </w:p>
    <w:p w14:paraId="50FC4B01" w14:textId="77777777" w:rsidR="004C57BA" w:rsidRDefault="004D4EAB">
      <w:pPr>
        <w:spacing w:after="5" w:line="253" w:lineRule="auto"/>
        <w:ind w:left="217" w:hanging="10"/>
        <w:jc w:val="both"/>
      </w:pPr>
      <w:r>
        <w:rPr>
          <w:rFonts w:ascii="Times New Roman" w:eastAsia="Times New Roman" w:hAnsi="Times New Roman" w:cs="Times New Roman"/>
          <w:sz w:val="17"/>
        </w:rPr>
        <w:t>Human Rights Council Res A/HRC/RES/12/12 (12 October 2009) on the right to the truth; Report of the UNHC</w:t>
      </w:r>
      <w:r>
        <w:rPr>
          <w:rFonts w:ascii="Times New Roman" w:eastAsia="Times New Roman" w:hAnsi="Times New Roman" w:cs="Times New Roman"/>
          <w:sz w:val="17"/>
        </w:rPr>
        <w:t>HR on the Right to Truth, UN Doc. A/HRC/15/33 (28 July 2010); Report of the UNHCHR, Study on the Right to Truth, UN Doc. E/CN.4/2006/91 (8 February 2006).</w:t>
      </w:r>
    </w:p>
    <w:p w14:paraId="79D636A8" w14:textId="77777777" w:rsidR="004C57BA" w:rsidRDefault="004D4EAB">
      <w:pPr>
        <w:spacing w:after="4" w:line="249" w:lineRule="auto"/>
        <w:ind w:left="-14"/>
        <w:jc w:val="both"/>
      </w:pPr>
      <w:r>
        <w:rPr>
          <w:rFonts w:ascii="Times New Roman" w:eastAsia="Times New Roman" w:hAnsi="Times New Roman" w:cs="Times New Roman"/>
          <w:sz w:val="21"/>
        </w:rPr>
        <w:t>methodological perspective. Quantitative research aims at establishing the number of offences committ</w:t>
      </w:r>
      <w:r>
        <w:rPr>
          <w:rFonts w:ascii="Times New Roman" w:eastAsia="Times New Roman" w:hAnsi="Times New Roman" w:cs="Times New Roman"/>
          <w:sz w:val="21"/>
        </w:rPr>
        <w:t>ed in a certain place and at a speci</w:t>
      </w:r>
      <w:r>
        <w:rPr>
          <w:sz w:val="21"/>
        </w:rPr>
        <w:t>fi</w:t>
      </w:r>
      <w:r>
        <w:rPr>
          <w:rFonts w:ascii="Times New Roman" w:eastAsia="Times New Roman" w:hAnsi="Times New Roman" w:cs="Times New Roman"/>
          <w:sz w:val="21"/>
        </w:rPr>
        <w:t xml:space="preserve">c time and provides numerical data on the distribution of crime through the collection of a representative sample. The sample collection is produced </w:t>
      </w:r>
      <w:proofErr w:type="gramStart"/>
      <w:r>
        <w:rPr>
          <w:rFonts w:ascii="Times New Roman" w:eastAsia="Times New Roman" w:hAnsi="Times New Roman" w:cs="Times New Roman"/>
          <w:sz w:val="21"/>
        </w:rPr>
        <w:t>by the use of</w:t>
      </w:r>
      <w:proofErr w:type="gramEnd"/>
      <w:r>
        <w:rPr>
          <w:rFonts w:ascii="Times New Roman" w:eastAsia="Times New Roman" w:hAnsi="Times New Roman" w:cs="Times New Roman"/>
          <w:sz w:val="21"/>
        </w:rPr>
        <w:t xml:space="preserve"> victimization surveys and the use of data already obtai</w:t>
      </w:r>
      <w:r>
        <w:rPr>
          <w:rFonts w:ascii="Times New Roman" w:eastAsia="Times New Roman" w:hAnsi="Times New Roman" w:cs="Times New Roman"/>
          <w:sz w:val="21"/>
        </w:rPr>
        <w:t xml:space="preserve">ned. In the case of victimization surveys the researcher uses samples </w:t>
      </w:r>
      <w:proofErr w:type="gramStart"/>
      <w:r>
        <w:rPr>
          <w:rFonts w:ascii="Times New Roman" w:eastAsia="Times New Roman" w:hAnsi="Times New Roman" w:cs="Times New Roman"/>
          <w:sz w:val="21"/>
        </w:rPr>
        <w:t>in order to</w:t>
      </w:r>
      <w:proofErr w:type="gramEnd"/>
      <w:r>
        <w:rPr>
          <w:rFonts w:ascii="Times New Roman" w:eastAsia="Times New Roman" w:hAnsi="Times New Roman" w:cs="Times New Roman"/>
          <w:sz w:val="21"/>
        </w:rPr>
        <w:t xml:space="preserve"> draw conclusions in respect of the general population with a view to assessing the incidence of con</w:t>
      </w:r>
      <w:r>
        <w:rPr>
          <w:sz w:val="21"/>
        </w:rPr>
        <w:t>fl</w:t>
      </w:r>
      <w:r>
        <w:rPr>
          <w:rFonts w:ascii="Times New Roman" w:eastAsia="Times New Roman" w:hAnsi="Times New Roman" w:cs="Times New Roman"/>
          <w:sz w:val="21"/>
        </w:rPr>
        <w:t xml:space="preserve">ict and the number of offences committed. This is commonly used when the </w:t>
      </w:r>
      <w:r>
        <w:rPr>
          <w:rFonts w:ascii="Times New Roman" w:eastAsia="Times New Roman" w:hAnsi="Times New Roman" w:cs="Times New Roman"/>
          <w:sz w:val="21"/>
        </w:rPr>
        <w:t xml:space="preserve">researcher is interested in describing </w:t>
      </w:r>
      <w:proofErr w:type="gramStart"/>
      <w:r>
        <w:rPr>
          <w:rFonts w:ascii="Times New Roman" w:eastAsia="Times New Roman" w:hAnsi="Times New Roman" w:cs="Times New Roman"/>
          <w:sz w:val="21"/>
        </w:rPr>
        <w:t>particular occurrences</w:t>
      </w:r>
      <w:proofErr w:type="gramEnd"/>
      <w:r>
        <w:rPr>
          <w:rFonts w:ascii="Times New Roman" w:eastAsia="Times New Roman" w:hAnsi="Times New Roman" w:cs="Times New Roman"/>
          <w:sz w:val="21"/>
        </w:rPr>
        <w:t xml:space="preserve"> of international crimes.</w:t>
      </w:r>
    </w:p>
    <w:p w14:paraId="29FBCE4F" w14:textId="77777777" w:rsidR="004C57BA" w:rsidRDefault="004D4EAB">
      <w:pPr>
        <w:spacing w:after="384" w:line="249" w:lineRule="auto"/>
        <w:ind w:left="-14" w:firstLine="205"/>
        <w:jc w:val="both"/>
      </w:pPr>
      <w:r>
        <w:rPr>
          <w:rFonts w:ascii="Times New Roman" w:eastAsia="Times New Roman" w:hAnsi="Times New Roman" w:cs="Times New Roman"/>
          <w:sz w:val="21"/>
        </w:rPr>
        <w:t>On the other hand, non-statistical methods involve the collection of qualitative data through interviews with persons involved in international crimes whether as victims</w:t>
      </w:r>
      <w:r>
        <w:rPr>
          <w:rFonts w:ascii="Times New Roman" w:eastAsia="Times New Roman" w:hAnsi="Times New Roman" w:cs="Times New Roman"/>
          <w:sz w:val="21"/>
        </w:rPr>
        <w:t xml:space="preserve"> or perpetrators. The objective of data collection is to determine in the form of a narrative what really happened, who was involved and what were the consequences of one</w:t>
      </w:r>
      <w:r>
        <w:rPr>
          <w:sz w:val="21"/>
        </w:rPr>
        <w:t>’</w:t>
      </w:r>
      <w:r>
        <w:rPr>
          <w:rFonts w:ascii="Times New Roman" w:eastAsia="Times New Roman" w:hAnsi="Times New Roman" w:cs="Times New Roman"/>
          <w:sz w:val="21"/>
        </w:rPr>
        <w:t xml:space="preserve">s involvement. The collection of qualitative data poses </w:t>
      </w:r>
      <w:proofErr w:type="gramStart"/>
      <w:r>
        <w:rPr>
          <w:rFonts w:ascii="Times New Roman" w:eastAsia="Times New Roman" w:hAnsi="Times New Roman" w:cs="Times New Roman"/>
          <w:sz w:val="21"/>
        </w:rPr>
        <w:t>particular dif</w:t>
      </w:r>
      <w:r>
        <w:rPr>
          <w:sz w:val="21"/>
        </w:rPr>
        <w:t>fi</w:t>
      </w:r>
      <w:r>
        <w:rPr>
          <w:rFonts w:ascii="Times New Roman" w:eastAsia="Times New Roman" w:hAnsi="Times New Roman" w:cs="Times New Roman"/>
          <w:sz w:val="21"/>
        </w:rPr>
        <w:t>culties</w:t>
      </w:r>
      <w:proofErr w:type="gramEnd"/>
      <w:r>
        <w:rPr>
          <w:rFonts w:ascii="Times New Roman" w:eastAsia="Times New Roman" w:hAnsi="Times New Roman" w:cs="Times New Roman"/>
          <w:sz w:val="21"/>
        </w:rPr>
        <w:t>, part</w:t>
      </w:r>
      <w:r>
        <w:rPr>
          <w:rFonts w:ascii="Times New Roman" w:eastAsia="Times New Roman" w:hAnsi="Times New Roman" w:cs="Times New Roman"/>
          <w:sz w:val="21"/>
        </w:rPr>
        <w:t xml:space="preserve">icularly in terms of accessing people in order to conduct the interviews, in addition to </w:t>
      </w:r>
      <w:r>
        <w:rPr>
          <w:rFonts w:ascii="Times New Roman" w:eastAsia="Times New Roman" w:hAnsi="Times New Roman" w:cs="Times New Roman"/>
          <w:sz w:val="21"/>
        </w:rPr>
        <w:lastRenderedPageBreak/>
        <w:t>the emotive nature of international crimes.</w:t>
      </w:r>
      <w:r>
        <w:rPr>
          <w:rFonts w:ascii="Times New Roman" w:eastAsia="Times New Roman" w:hAnsi="Times New Roman" w:cs="Times New Roman"/>
          <w:sz w:val="21"/>
          <w:vertAlign w:val="superscript"/>
        </w:rPr>
        <w:footnoteReference w:id="11"/>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Interviews are (typically) structured conversations. Observation, involving an actual examination and breakdown of action</w:t>
      </w:r>
      <w:r>
        <w:rPr>
          <w:rFonts w:ascii="Times New Roman" w:eastAsia="Times New Roman" w:hAnsi="Times New Roman" w:cs="Times New Roman"/>
          <w:sz w:val="21"/>
        </w:rPr>
        <w:t>s and interactions among people, is an approach to data collection that seems rather straightforward but which is actually a very challenging method for gathering systematic information about individual conduct, social interaction, places and things.</w:t>
      </w:r>
      <w:r>
        <w:rPr>
          <w:rFonts w:ascii="Times New Roman" w:eastAsia="Times New Roman" w:hAnsi="Times New Roman" w:cs="Times New Roman"/>
          <w:sz w:val="21"/>
          <w:vertAlign w:val="superscript"/>
        </w:rPr>
        <w:footnoteReference w:id="12"/>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Let</w:t>
      </w:r>
      <w:r>
        <w:rPr>
          <w:rFonts w:ascii="Times New Roman" w:eastAsia="Times New Roman" w:hAnsi="Times New Roman" w:cs="Times New Roman"/>
          <w:sz w:val="21"/>
        </w:rPr>
        <w:t xml:space="preserve"> us now proceed to examine particular research methods that have been used in order to describe and document international human rights violations.</w:t>
      </w:r>
    </w:p>
    <w:p w14:paraId="3C26692B" w14:textId="77777777" w:rsidR="004C57BA" w:rsidRDefault="004D4EAB">
      <w:pPr>
        <w:spacing w:after="93"/>
        <w:ind w:left="774" w:right="764" w:hanging="10"/>
        <w:jc w:val="center"/>
      </w:pPr>
      <w:r>
        <w:t>Measuring international crime</w:t>
      </w:r>
    </w:p>
    <w:p w14:paraId="289D6081" w14:textId="77777777" w:rsidR="004C57BA" w:rsidRDefault="004D4EAB">
      <w:pPr>
        <w:spacing w:after="4" w:line="249" w:lineRule="auto"/>
        <w:ind w:left="-14"/>
        <w:jc w:val="both"/>
      </w:pPr>
      <w:r>
        <w:rPr>
          <w:rFonts w:ascii="Times New Roman" w:eastAsia="Times New Roman" w:hAnsi="Times New Roman" w:cs="Times New Roman"/>
          <w:sz w:val="21"/>
        </w:rPr>
        <w:t>As already mentioned, there are many reasons why knowing the precise number of</w:t>
      </w:r>
      <w:r>
        <w:rPr>
          <w:rFonts w:ascii="Times New Roman" w:eastAsia="Times New Roman" w:hAnsi="Times New Roman" w:cs="Times New Roman"/>
          <w:sz w:val="21"/>
        </w:rPr>
        <w:t xml:space="preserve"> victims is important. From a prosecutorial perspective it determines the classi</w:t>
      </w:r>
      <w:r>
        <w:rPr>
          <w:sz w:val="21"/>
        </w:rPr>
        <w:t>fi</w:t>
      </w:r>
      <w:r>
        <w:rPr>
          <w:rFonts w:ascii="Times New Roman" w:eastAsia="Times New Roman" w:hAnsi="Times New Roman" w:cs="Times New Roman"/>
          <w:sz w:val="21"/>
        </w:rPr>
        <w:t>cation of the conduct. Although none of the relevant genocide or crime against humanity provisions in the statutes of international tribunals speci</w:t>
      </w:r>
      <w:r>
        <w:rPr>
          <w:sz w:val="21"/>
        </w:rPr>
        <w:t>fi</w:t>
      </w:r>
      <w:r>
        <w:rPr>
          <w:rFonts w:ascii="Times New Roman" w:eastAsia="Times New Roman" w:hAnsi="Times New Roman" w:cs="Times New Roman"/>
          <w:sz w:val="21"/>
        </w:rPr>
        <w:t>es the number or proporti</w:t>
      </w:r>
      <w:r>
        <w:rPr>
          <w:rFonts w:ascii="Times New Roman" w:eastAsia="Times New Roman" w:hAnsi="Times New Roman" w:cs="Times New Roman"/>
          <w:sz w:val="21"/>
        </w:rPr>
        <w:t>on of victims required for a genocide charge, it is generally assumed that the number needs to be signi</w:t>
      </w:r>
      <w:r>
        <w:rPr>
          <w:sz w:val="21"/>
        </w:rPr>
        <w:t>fi</w:t>
      </w:r>
      <w:r>
        <w:rPr>
          <w:rFonts w:ascii="Times New Roman" w:eastAsia="Times New Roman" w:hAnsi="Times New Roman" w:cs="Times New Roman"/>
          <w:sz w:val="21"/>
        </w:rPr>
        <w:t>cant.</w:t>
      </w:r>
    </w:p>
    <w:p w14:paraId="388BEC16" w14:textId="77777777" w:rsidR="004C57BA" w:rsidRDefault="004D4EAB">
      <w:pPr>
        <w:spacing w:after="4" w:line="249" w:lineRule="auto"/>
        <w:ind w:left="-14" w:firstLine="205"/>
        <w:jc w:val="both"/>
      </w:pPr>
      <w:r>
        <w:rPr>
          <w:rFonts w:ascii="Times New Roman" w:eastAsia="Times New Roman" w:hAnsi="Times New Roman" w:cs="Times New Roman"/>
          <w:sz w:val="21"/>
        </w:rPr>
        <w:t>Perhaps more relevant to the study of international crimes in terms of understanding its nature and prevalence is the use of quantitative researc</w:t>
      </w:r>
      <w:r>
        <w:rPr>
          <w:rFonts w:ascii="Times New Roman" w:eastAsia="Times New Roman" w:hAnsi="Times New Roman" w:cs="Times New Roman"/>
          <w:sz w:val="21"/>
        </w:rPr>
        <w:t>h methods for assessing victimization. Studying the prevalence of international crimes requires detailed research on the mortality rates, which comprises both direct and indirect mortality, that is, deaths attributable to conditions generated by the con</w:t>
      </w:r>
      <w:r>
        <w:rPr>
          <w:sz w:val="21"/>
        </w:rPr>
        <w:t>fl</w:t>
      </w:r>
      <w:r>
        <w:rPr>
          <w:rFonts w:ascii="Times New Roman" w:eastAsia="Times New Roman" w:hAnsi="Times New Roman" w:cs="Times New Roman"/>
          <w:sz w:val="21"/>
        </w:rPr>
        <w:t>i</w:t>
      </w:r>
      <w:r>
        <w:rPr>
          <w:rFonts w:ascii="Times New Roman" w:eastAsia="Times New Roman" w:hAnsi="Times New Roman" w:cs="Times New Roman"/>
          <w:sz w:val="21"/>
        </w:rPr>
        <w:t>ct, such as breakdown of health services.</w:t>
      </w:r>
      <w:r>
        <w:rPr>
          <w:rFonts w:ascii="Times New Roman" w:eastAsia="Times New Roman" w:hAnsi="Times New Roman" w:cs="Times New Roman"/>
          <w:sz w:val="21"/>
          <w:vertAlign w:val="superscript"/>
        </w:rPr>
        <w:t xml:space="preserve">24 </w:t>
      </w:r>
      <w:r>
        <w:rPr>
          <w:rFonts w:ascii="Times New Roman" w:eastAsia="Times New Roman" w:hAnsi="Times New Roman" w:cs="Times New Roman"/>
          <w:sz w:val="21"/>
        </w:rPr>
        <w:t>The traditional tools for data collection on crime incidence(s) include of</w:t>
      </w:r>
      <w:r>
        <w:rPr>
          <w:sz w:val="21"/>
        </w:rPr>
        <w:t>fi</w:t>
      </w:r>
      <w:r>
        <w:rPr>
          <w:rFonts w:ascii="Times New Roman" w:eastAsia="Times New Roman" w:hAnsi="Times New Roman" w:cs="Times New Roman"/>
          <w:sz w:val="21"/>
        </w:rPr>
        <w:t>cial sources, census data, victim surveys or use of secondary data.</w:t>
      </w:r>
      <w:r>
        <w:rPr>
          <w:rFonts w:ascii="Times New Roman" w:eastAsia="Times New Roman" w:hAnsi="Times New Roman" w:cs="Times New Roman"/>
          <w:sz w:val="21"/>
          <w:vertAlign w:val="superscript"/>
        </w:rPr>
        <w:t xml:space="preserve">25 </w:t>
      </w:r>
      <w:r>
        <w:rPr>
          <w:rFonts w:ascii="Times New Roman" w:eastAsia="Times New Roman" w:hAnsi="Times New Roman" w:cs="Times New Roman"/>
          <w:sz w:val="21"/>
        </w:rPr>
        <w:t>The use of of</w:t>
      </w:r>
      <w:r>
        <w:rPr>
          <w:sz w:val="21"/>
        </w:rPr>
        <w:t>fi</w:t>
      </w:r>
      <w:r>
        <w:rPr>
          <w:rFonts w:ascii="Times New Roman" w:eastAsia="Times New Roman" w:hAnsi="Times New Roman" w:cs="Times New Roman"/>
          <w:sz w:val="21"/>
        </w:rPr>
        <w:t xml:space="preserve">cial sources is a common way of data collection in </w:t>
      </w:r>
      <w:r>
        <w:rPr>
          <w:rFonts w:ascii="Times New Roman" w:eastAsia="Times New Roman" w:hAnsi="Times New Roman" w:cs="Times New Roman"/>
          <w:sz w:val="21"/>
        </w:rPr>
        <w:t>order to measure crime at a national level. This is a method by which data are collected from of</w:t>
      </w:r>
      <w:r>
        <w:rPr>
          <w:sz w:val="21"/>
        </w:rPr>
        <w:t>fi</w:t>
      </w:r>
      <w:r>
        <w:rPr>
          <w:rFonts w:ascii="Times New Roman" w:eastAsia="Times New Roman" w:hAnsi="Times New Roman" w:cs="Times New Roman"/>
          <w:sz w:val="21"/>
        </w:rPr>
        <w:t>cial bodies such as the police which provide statistical information on crime occurrence. However, not all crimes are recorded by the police. This is known as</w:t>
      </w:r>
      <w:r>
        <w:rPr>
          <w:rFonts w:ascii="Times New Roman" w:eastAsia="Times New Roman" w:hAnsi="Times New Roman" w:cs="Times New Roman"/>
          <w:sz w:val="21"/>
        </w:rPr>
        <w:t xml:space="preserve"> the dark </w:t>
      </w:r>
      <w:r>
        <w:rPr>
          <w:sz w:val="21"/>
        </w:rPr>
        <w:t>fi</w:t>
      </w:r>
      <w:r>
        <w:rPr>
          <w:rFonts w:ascii="Times New Roman" w:eastAsia="Times New Roman" w:hAnsi="Times New Roman" w:cs="Times New Roman"/>
          <w:sz w:val="21"/>
        </w:rPr>
        <w:t>gure of crime, a term adopted by criminologists to describe the amount of unreported crime.</w:t>
      </w:r>
      <w:r>
        <w:rPr>
          <w:rFonts w:ascii="Times New Roman" w:eastAsia="Times New Roman" w:hAnsi="Times New Roman" w:cs="Times New Roman"/>
          <w:sz w:val="21"/>
          <w:vertAlign w:val="superscript"/>
        </w:rPr>
        <w:t xml:space="preserve">26 </w:t>
      </w:r>
      <w:r>
        <w:rPr>
          <w:rFonts w:ascii="Times New Roman" w:eastAsia="Times New Roman" w:hAnsi="Times New Roman" w:cs="Times New Roman"/>
          <w:sz w:val="21"/>
        </w:rPr>
        <w:t xml:space="preserve">The main problem with the dark </w:t>
      </w:r>
      <w:r>
        <w:rPr>
          <w:sz w:val="21"/>
        </w:rPr>
        <w:t>fi</w:t>
      </w:r>
      <w:r>
        <w:rPr>
          <w:rFonts w:ascii="Times New Roman" w:eastAsia="Times New Roman" w:hAnsi="Times New Roman" w:cs="Times New Roman"/>
          <w:sz w:val="21"/>
        </w:rPr>
        <w:t>gure is that it challenges the validity of of</w:t>
      </w:r>
      <w:r>
        <w:rPr>
          <w:sz w:val="21"/>
        </w:rPr>
        <w:t>fi</w:t>
      </w:r>
      <w:r>
        <w:rPr>
          <w:rFonts w:ascii="Times New Roman" w:eastAsia="Times New Roman" w:hAnsi="Times New Roman" w:cs="Times New Roman"/>
          <w:sz w:val="21"/>
        </w:rPr>
        <w:t>cial statistics. The challenges for recording international criminality are further compounded by the lack of a dedicated reporting body (this role is typically played by the police and dedicated statistical organizations in domestic criminal justice syste</w:t>
      </w:r>
      <w:r>
        <w:rPr>
          <w:rFonts w:ascii="Times New Roman" w:eastAsia="Times New Roman" w:hAnsi="Times New Roman" w:cs="Times New Roman"/>
          <w:sz w:val="21"/>
        </w:rPr>
        <w:t>ms) as well as by manipulation through of</w:t>
      </w:r>
      <w:r>
        <w:rPr>
          <w:sz w:val="21"/>
        </w:rPr>
        <w:t>fi</w:t>
      </w:r>
      <w:r>
        <w:rPr>
          <w:rFonts w:ascii="Times New Roman" w:eastAsia="Times New Roman" w:hAnsi="Times New Roman" w:cs="Times New Roman"/>
          <w:sz w:val="21"/>
        </w:rPr>
        <w:t xml:space="preserve">cial state reports (typically the territorial state) of relevant events and </w:t>
      </w:r>
      <w:r>
        <w:rPr>
          <w:rFonts w:ascii="Times New Roman" w:eastAsia="Times New Roman" w:hAnsi="Times New Roman" w:cs="Times New Roman"/>
          <w:sz w:val="21"/>
        </w:rPr>
        <w:lastRenderedPageBreak/>
        <w:t>numbers.</w:t>
      </w:r>
      <w:r>
        <w:rPr>
          <w:rFonts w:ascii="Times New Roman" w:eastAsia="Times New Roman" w:hAnsi="Times New Roman" w:cs="Times New Roman"/>
          <w:sz w:val="21"/>
          <w:vertAlign w:val="superscript"/>
        </w:rPr>
        <w:footnoteReference w:id="13"/>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In an attempt to escape prosecution for international criminal activity the state</w:t>
      </w:r>
      <w:r>
        <w:rPr>
          <w:sz w:val="21"/>
        </w:rPr>
        <w:t>’</w:t>
      </w:r>
      <w:r>
        <w:rPr>
          <w:rFonts w:ascii="Times New Roman" w:eastAsia="Times New Roman" w:hAnsi="Times New Roman" w:cs="Times New Roman"/>
          <w:sz w:val="21"/>
        </w:rPr>
        <w:t>s authorities may play a major role in hidin</w:t>
      </w:r>
      <w:r>
        <w:rPr>
          <w:rFonts w:ascii="Times New Roman" w:eastAsia="Times New Roman" w:hAnsi="Times New Roman" w:cs="Times New Roman"/>
          <w:sz w:val="21"/>
        </w:rPr>
        <w:t>g evidence of killings, rape and other acts of a criminal character.</w:t>
      </w:r>
      <w:r>
        <w:rPr>
          <w:rFonts w:ascii="Times New Roman" w:eastAsia="Times New Roman" w:hAnsi="Times New Roman" w:cs="Times New Roman"/>
          <w:sz w:val="21"/>
          <w:vertAlign w:val="superscript"/>
        </w:rPr>
        <w:t xml:space="preserve">28 </w:t>
      </w:r>
      <w:r>
        <w:rPr>
          <w:rFonts w:ascii="Times New Roman" w:eastAsia="Times New Roman" w:hAnsi="Times New Roman" w:cs="Times New Roman"/>
          <w:sz w:val="21"/>
        </w:rPr>
        <w:t>This notwithstanding, several commentators have argued that some states are willing to paint an accurate picture,</w:t>
      </w:r>
      <w:r>
        <w:rPr>
          <w:rFonts w:ascii="Times New Roman" w:eastAsia="Times New Roman" w:hAnsi="Times New Roman" w:cs="Times New Roman"/>
          <w:sz w:val="21"/>
          <w:vertAlign w:val="superscript"/>
        </w:rPr>
        <w:footnoteReference w:id="14"/>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but it is doubtful that this paradigm applies to countries in transit</w:t>
      </w:r>
      <w:r>
        <w:rPr>
          <w:rFonts w:ascii="Times New Roman" w:eastAsia="Times New Roman" w:hAnsi="Times New Roman" w:cs="Times New Roman"/>
          <w:sz w:val="21"/>
        </w:rPr>
        <w:t>ion from con</w:t>
      </w:r>
      <w:r>
        <w:rPr>
          <w:sz w:val="21"/>
        </w:rPr>
        <w:t>fl</w:t>
      </w:r>
      <w:r>
        <w:rPr>
          <w:rFonts w:ascii="Times New Roman" w:eastAsia="Times New Roman" w:hAnsi="Times New Roman" w:cs="Times New Roman"/>
          <w:sz w:val="21"/>
        </w:rPr>
        <w:t>ict, particularly where the incumbent government was a party to the con</w:t>
      </w:r>
      <w:r>
        <w:rPr>
          <w:sz w:val="21"/>
        </w:rPr>
        <w:t>fl</w:t>
      </w:r>
      <w:r>
        <w:rPr>
          <w:rFonts w:ascii="Times New Roman" w:eastAsia="Times New Roman" w:hAnsi="Times New Roman" w:cs="Times New Roman"/>
          <w:sz w:val="21"/>
        </w:rPr>
        <w:t>ict. One further way by which the researcher might collect data on the number of persons killed or disappeared is by reference to census data.</w:t>
      </w:r>
      <w:r>
        <w:rPr>
          <w:rFonts w:ascii="Times New Roman" w:eastAsia="Times New Roman" w:hAnsi="Times New Roman" w:cs="Times New Roman"/>
          <w:sz w:val="21"/>
          <w:vertAlign w:val="superscript"/>
        </w:rPr>
        <w:t xml:space="preserve">30 </w:t>
      </w:r>
      <w:r>
        <w:rPr>
          <w:rFonts w:ascii="Times New Roman" w:eastAsia="Times New Roman" w:hAnsi="Times New Roman" w:cs="Times New Roman"/>
          <w:sz w:val="21"/>
        </w:rPr>
        <w:t>A census is often constr</w:t>
      </w:r>
      <w:r>
        <w:rPr>
          <w:rFonts w:ascii="Times New Roman" w:eastAsia="Times New Roman" w:hAnsi="Times New Roman" w:cs="Times New Roman"/>
          <w:sz w:val="21"/>
        </w:rPr>
        <w:t>ued as being opposite to a sample as everyone is surveyed rather than a fraction.</w:t>
      </w:r>
      <w:r>
        <w:rPr>
          <w:rFonts w:ascii="Times New Roman" w:eastAsia="Times New Roman" w:hAnsi="Times New Roman" w:cs="Times New Roman"/>
          <w:sz w:val="21"/>
          <w:vertAlign w:val="superscript"/>
        </w:rPr>
        <w:t xml:space="preserve">31 </w:t>
      </w:r>
      <w:r>
        <w:rPr>
          <w:rFonts w:ascii="Times New Roman" w:eastAsia="Times New Roman" w:hAnsi="Times New Roman" w:cs="Times New Roman"/>
          <w:sz w:val="11"/>
        </w:rPr>
        <w:t xml:space="preserve">24 </w:t>
      </w:r>
      <w:r>
        <w:rPr>
          <w:rFonts w:ascii="Times New Roman" w:eastAsia="Times New Roman" w:hAnsi="Times New Roman" w:cs="Times New Roman"/>
          <w:sz w:val="17"/>
        </w:rPr>
        <w:t xml:space="preserve">A. </w:t>
      </w:r>
      <w:proofErr w:type="spellStart"/>
      <w:r>
        <w:rPr>
          <w:rFonts w:ascii="Times New Roman" w:eastAsia="Times New Roman" w:hAnsi="Times New Roman" w:cs="Times New Roman"/>
          <w:sz w:val="17"/>
        </w:rPr>
        <w:t>Smeulers</w:t>
      </w:r>
      <w:proofErr w:type="spellEnd"/>
      <w:r>
        <w:rPr>
          <w:rFonts w:ascii="Times New Roman" w:eastAsia="Times New Roman" w:hAnsi="Times New Roman" w:cs="Times New Roman"/>
          <w:sz w:val="17"/>
        </w:rPr>
        <w:t xml:space="preserve"> (ed.), Collective Violence and International Criminal Justice: An Interdisciplinary Approach (</w:t>
      </w:r>
      <w:proofErr w:type="spellStart"/>
      <w:r>
        <w:rPr>
          <w:rFonts w:ascii="Times New Roman" w:eastAsia="Times New Roman" w:hAnsi="Times New Roman" w:cs="Times New Roman"/>
          <w:sz w:val="17"/>
        </w:rPr>
        <w:t>Intersentia</w:t>
      </w:r>
      <w:proofErr w:type="spellEnd"/>
      <w:r>
        <w:rPr>
          <w:rFonts w:ascii="Times New Roman" w:eastAsia="Times New Roman" w:hAnsi="Times New Roman" w:cs="Times New Roman"/>
          <w:sz w:val="17"/>
        </w:rPr>
        <w:t>, 2010) at 283.</w:t>
      </w:r>
    </w:p>
    <w:p w14:paraId="6AECDCCF" w14:textId="77777777" w:rsidR="004C57BA" w:rsidRDefault="004D4EAB">
      <w:pPr>
        <w:tabs>
          <w:tab w:val="center" w:pos="667"/>
        </w:tabs>
        <w:spacing w:after="0"/>
        <w:ind w:left="-15"/>
      </w:pPr>
      <w:r>
        <w:rPr>
          <w:rFonts w:ascii="Times New Roman" w:eastAsia="Times New Roman" w:hAnsi="Times New Roman" w:cs="Times New Roman"/>
          <w:sz w:val="11"/>
        </w:rPr>
        <w:t>25</w:t>
      </w:r>
      <w:r>
        <w:rPr>
          <w:rFonts w:ascii="Times New Roman" w:eastAsia="Times New Roman" w:hAnsi="Times New Roman" w:cs="Times New Roman"/>
          <w:sz w:val="11"/>
        </w:rPr>
        <w:tab/>
        <w:t>26</w:t>
      </w:r>
    </w:p>
    <w:p w14:paraId="1BDFE2B8" w14:textId="77777777" w:rsidR="004C57BA" w:rsidRDefault="004D4EAB">
      <w:pPr>
        <w:tabs>
          <w:tab w:val="center" w:pos="968"/>
        </w:tabs>
        <w:spacing w:after="5" w:line="253" w:lineRule="auto"/>
      </w:pPr>
      <w:r>
        <w:rPr>
          <w:rFonts w:ascii="Times New Roman" w:eastAsia="Times New Roman" w:hAnsi="Times New Roman" w:cs="Times New Roman"/>
          <w:sz w:val="17"/>
        </w:rPr>
        <w:t>Ibid.</w:t>
      </w:r>
      <w:r>
        <w:rPr>
          <w:rFonts w:ascii="Times New Roman" w:eastAsia="Times New Roman" w:hAnsi="Times New Roman" w:cs="Times New Roman"/>
          <w:sz w:val="17"/>
        </w:rPr>
        <w:tab/>
        <w:t>Ibid.</w:t>
      </w:r>
    </w:p>
    <w:p w14:paraId="77096782" w14:textId="77777777" w:rsidR="004C57BA" w:rsidRDefault="004D4EAB">
      <w:pPr>
        <w:spacing w:after="48" w:line="249" w:lineRule="auto"/>
        <w:ind w:left="-14"/>
        <w:jc w:val="both"/>
      </w:pPr>
      <w:r>
        <w:rPr>
          <w:rFonts w:ascii="Times New Roman" w:eastAsia="Times New Roman" w:hAnsi="Times New Roman" w:cs="Times New Roman"/>
          <w:sz w:val="21"/>
        </w:rPr>
        <w:t xml:space="preserve">The problem is that many countries where gross violations of human rights are taking place do not possess proper census information. However, this is not overly crucial. For example, in a study conducted by </w:t>
      </w:r>
      <w:proofErr w:type="spellStart"/>
      <w:r>
        <w:rPr>
          <w:rFonts w:ascii="Times New Roman" w:eastAsia="Times New Roman" w:hAnsi="Times New Roman" w:cs="Times New Roman"/>
          <w:sz w:val="21"/>
        </w:rPr>
        <w:t>Verwimp</w:t>
      </w:r>
      <w:proofErr w:type="spellEnd"/>
      <w:r>
        <w:rPr>
          <w:rFonts w:ascii="Times New Roman" w:eastAsia="Times New Roman" w:hAnsi="Times New Roman" w:cs="Times New Roman"/>
          <w:sz w:val="21"/>
        </w:rPr>
        <w:t xml:space="preserve"> in 2004 on death and survival during the </w:t>
      </w:r>
      <w:r>
        <w:rPr>
          <w:rFonts w:ascii="Times New Roman" w:eastAsia="Times New Roman" w:hAnsi="Times New Roman" w:cs="Times New Roman"/>
          <w:sz w:val="21"/>
        </w:rPr>
        <w:t>1994 genocide in Rwanda,</w:t>
      </w:r>
      <w:r>
        <w:rPr>
          <w:rFonts w:ascii="Times New Roman" w:eastAsia="Times New Roman" w:hAnsi="Times New Roman" w:cs="Times New Roman"/>
          <w:sz w:val="21"/>
          <w:vertAlign w:val="superscript"/>
        </w:rPr>
        <w:footnoteReference w:id="15"/>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the target group</w:t>
      </w:r>
      <w:r>
        <w:rPr>
          <w:sz w:val="21"/>
        </w:rPr>
        <w:t>’</w:t>
      </w:r>
      <w:r>
        <w:rPr>
          <w:rFonts w:ascii="Times New Roman" w:eastAsia="Times New Roman" w:hAnsi="Times New Roman" w:cs="Times New Roman"/>
          <w:sz w:val="21"/>
        </w:rPr>
        <w:t>s situation was compared with data collected in a pre-genocide survey in Rwanda</w:t>
      </w:r>
      <w:r>
        <w:rPr>
          <w:sz w:val="21"/>
        </w:rPr>
        <w:t>’</w:t>
      </w:r>
      <w:r>
        <w:rPr>
          <w:rFonts w:ascii="Times New Roman" w:eastAsia="Times New Roman" w:hAnsi="Times New Roman" w:cs="Times New Roman"/>
          <w:sz w:val="21"/>
        </w:rPr>
        <w:t xml:space="preserve">s </w:t>
      </w:r>
      <w:proofErr w:type="spellStart"/>
      <w:r>
        <w:rPr>
          <w:rFonts w:ascii="Times New Roman" w:eastAsia="Times New Roman" w:hAnsi="Times New Roman" w:cs="Times New Roman"/>
          <w:sz w:val="21"/>
        </w:rPr>
        <w:t>Kibuye</w:t>
      </w:r>
      <w:proofErr w:type="spellEnd"/>
      <w:r>
        <w:rPr>
          <w:rFonts w:ascii="Times New Roman" w:eastAsia="Times New Roman" w:hAnsi="Times New Roman" w:cs="Times New Roman"/>
          <w:sz w:val="21"/>
        </w:rPr>
        <w:t xml:space="preserve"> province. In this manner, the researcher was able to draw a fairly accurate account of the mortality rates in that </w:t>
      </w:r>
      <w:proofErr w:type="gramStart"/>
      <w:r>
        <w:rPr>
          <w:rFonts w:ascii="Times New Roman" w:eastAsia="Times New Roman" w:hAnsi="Times New Roman" w:cs="Times New Roman"/>
          <w:sz w:val="21"/>
        </w:rPr>
        <w:t>particul</w:t>
      </w:r>
      <w:r>
        <w:rPr>
          <w:rFonts w:ascii="Times New Roman" w:eastAsia="Times New Roman" w:hAnsi="Times New Roman" w:cs="Times New Roman"/>
          <w:sz w:val="21"/>
        </w:rPr>
        <w:t>ar province</w:t>
      </w:r>
      <w:proofErr w:type="gram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Verwimp</w:t>
      </w:r>
      <w:proofErr w:type="spellEnd"/>
      <w:r>
        <w:rPr>
          <w:rFonts w:ascii="Times New Roman" w:eastAsia="Times New Roman" w:hAnsi="Times New Roman" w:cs="Times New Roman"/>
          <w:sz w:val="21"/>
        </w:rPr>
        <w:t xml:space="preserve"> used a database produced from a house-to-house survey of victims by the organization of genocide survivors, </w:t>
      </w:r>
      <w:proofErr w:type="spellStart"/>
      <w:r>
        <w:rPr>
          <w:rFonts w:ascii="Times New Roman" w:eastAsia="Times New Roman" w:hAnsi="Times New Roman" w:cs="Times New Roman"/>
          <w:sz w:val="21"/>
        </w:rPr>
        <w:t>Ibuka</w:t>
      </w:r>
      <w:proofErr w:type="spellEnd"/>
      <w:r>
        <w:rPr>
          <w:rFonts w:ascii="Times New Roman" w:eastAsia="Times New Roman" w:hAnsi="Times New Roman" w:cs="Times New Roman"/>
          <w:sz w:val="21"/>
        </w:rPr>
        <w:t>. From a total of 59,050 victims of the genocide, data were collected on age, sex, occupation, commune of residence before</w:t>
      </w:r>
      <w:r>
        <w:rPr>
          <w:rFonts w:ascii="Times New Roman" w:eastAsia="Times New Roman" w:hAnsi="Times New Roman" w:cs="Times New Roman"/>
          <w:sz w:val="21"/>
        </w:rPr>
        <w:t xml:space="preserve"> the genocide, as well as place and date of death.</w:t>
      </w:r>
      <w:r>
        <w:rPr>
          <w:rFonts w:ascii="Times New Roman" w:eastAsia="Times New Roman" w:hAnsi="Times New Roman" w:cs="Times New Roman"/>
          <w:sz w:val="21"/>
          <w:vertAlign w:val="superscript"/>
        </w:rPr>
        <w:footnoteReference w:id="16"/>
      </w:r>
    </w:p>
    <w:p w14:paraId="3ED4EF0C" w14:textId="77777777" w:rsidR="004C57BA" w:rsidRDefault="004D4EAB">
      <w:pPr>
        <w:spacing w:after="136" w:line="249" w:lineRule="auto"/>
        <w:ind w:left="-14" w:firstLine="205"/>
        <w:jc w:val="both"/>
      </w:pPr>
      <w:r>
        <w:rPr>
          <w:rFonts w:ascii="Times New Roman" w:eastAsia="Times New Roman" w:hAnsi="Times New Roman" w:cs="Times New Roman"/>
          <w:sz w:val="21"/>
        </w:rPr>
        <w:t xml:space="preserve">Likewise, someone trying to estimate the number of people who lost their life </w:t>
      </w:r>
      <w:proofErr w:type="gramStart"/>
      <w:r>
        <w:rPr>
          <w:rFonts w:ascii="Times New Roman" w:eastAsia="Times New Roman" w:hAnsi="Times New Roman" w:cs="Times New Roman"/>
          <w:sz w:val="21"/>
        </w:rPr>
        <w:t>as a result of</w:t>
      </w:r>
      <w:proofErr w:type="gramEnd"/>
      <w:r>
        <w:rPr>
          <w:rFonts w:ascii="Times New Roman" w:eastAsia="Times New Roman" w:hAnsi="Times New Roman" w:cs="Times New Roman"/>
          <w:sz w:val="21"/>
        </w:rPr>
        <w:t xml:space="preserve"> a particular con</w:t>
      </w:r>
      <w:r>
        <w:rPr>
          <w:sz w:val="21"/>
        </w:rPr>
        <w:t>fl</w:t>
      </w:r>
      <w:r>
        <w:rPr>
          <w:rFonts w:ascii="Times New Roman" w:eastAsia="Times New Roman" w:hAnsi="Times New Roman" w:cs="Times New Roman"/>
          <w:sz w:val="21"/>
        </w:rPr>
        <w:t>ict can:</w:t>
      </w:r>
    </w:p>
    <w:p w14:paraId="09E36CEA" w14:textId="77777777" w:rsidR="004C57BA" w:rsidRDefault="004D4EAB" w:rsidP="004D4EAB">
      <w:pPr>
        <w:numPr>
          <w:ilvl w:val="0"/>
          <w:numId w:val="2"/>
        </w:numPr>
        <w:spacing w:after="4" w:line="249" w:lineRule="auto"/>
        <w:ind w:hanging="357"/>
        <w:jc w:val="both"/>
      </w:pPr>
      <w:r>
        <w:rPr>
          <w:rFonts w:ascii="Times New Roman" w:eastAsia="Times New Roman" w:hAnsi="Times New Roman" w:cs="Times New Roman"/>
          <w:sz w:val="21"/>
        </w:rPr>
        <w:t xml:space="preserve">start from the size of the population before the </w:t>
      </w:r>
      <w:proofErr w:type="gramStart"/>
      <w:r>
        <w:rPr>
          <w:rFonts w:ascii="Times New Roman" w:eastAsia="Times New Roman" w:hAnsi="Times New Roman" w:cs="Times New Roman"/>
          <w:sz w:val="21"/>
        </w:rPr>
        <w:t>con</w:t>
      </w:r>
      <w:r>
        <w:rPr>
          <w:sz w:val="21"/>
        </w:rPr>
        <w:t>fl</w:t>
      </w:r>
      <w:r>
        <w:rPr>
          <w:rFonts w:ascii="Times New Roman" w:eastAsia="Times New Roman" w:hAnsi="Times New Roman" w:cs="Times New Roman"/>
          <w:sz w:val="21"/>
        </w:rPr>
        <w:t>ict;</w:t>
      </w:r>
      <w:proofErr w:type="gramEnd"/>
    </w:p>
    <w:p w14:paraId="74D60068" w14:textId="77777777" w:rsidR="004C57BA" w:rsidRDefault="004D4EAB" w:rsidP="004D4EAB">
      <w:pPr>
        <w:numPr>
          <w:ilvl w:val="0"/>
          <w:numId w:val="2"/>
        </w:numPr>
        <w:spacing w:after="4" w:line="249" w:lineRule="auto"/>
        <w:ind w:hanging="357"/>
        <w:jc w:val="both"/>
      </w:pPr>
      <w:r>
        <w:rPr>
          <w:rFonts w:ascii="Times New Roman" w:eastAsia="Times New Roman" w:hAnsi="Times New Roman" w:cs="Times New Roman"/>
          <w:sz w:val="21"/>
        </w:rPr>
        <w:lastRenderedPageBreak/>
        <w:t>estimate a counterfactua</w:t>
      </w:r>
      <w:r>
        <w:rPr>
          <w:rFonts w:ascii="Times New Roman" w:eastAsia="Times New Roman" w:hAnsi="Times New Roman" w:cs="Times New Roman"/>
          <w:sz w:val="21"/>
        </w:rPr>
        <w:t>l population size after the con</w:t>
      </w:r>
      <w:r>
        <w:rPr>
          <w:sz w:val="21"/>
        </w:rPr>
        <w:t>fl</w:t>
      </w:r>
      <w:r>
        <w:rPr>
          <w:rFonts w:ascii="Times New Roman" w:eastAsia="Times New Roman" w:hAnsi="Times New Roman" w:cs="Times New Roman"/>
          <w:sz w:val="21"/>
        </w:rPr>
        <w:t xml:space="preserve">ict has ended </w:t>
      </w:r>
      <w:proofErr w:type="gramStart"/>
      <w:r>
        <w:rPr>
          <w:rFonts w:ascii="Times New Roman" w:eastAsia="Times New Roman" w:hAnsi="Times New Roman" w:cs="Times New Roman"/>
          <w:sz w:val="21"/>
        </w:rPr>
        <w:t>on the basis of</w:t>
      </w:r>
      <w:proofErr w:type="gramEnd"/>
      <w:r>
        <w:rPr>
          <w:rFonts w:ascii="Times New Roman" w:eastAsia="Times New Roman" w:hAnsi="Times New Roman" w:cs="Times New Roman"/>
          <w:sz w:val="21"/>
        </w:rPr>
        <w:t xml:space="preserve"> the initial population and a population growth rate; and</w:t>
      </w:r>
    </w:p>
    <w:p w14:paraId="50DA86D9" w14:textId="77777777" w:rsidR="004C57BA" w:rsidRDefault="004D4EAB" w:rsidP="004D4EAB">
      <w:pPr>
        <w:numPr>
          <w:ilvl w:val="0"/>
          <w:numId w:val="2"/>
        </w:numPr>
        <w:spacing w:after="175" w:line="249" w:lineRule="auto"/>
        <w:ind w:hanging="357"/>
        <w:jc w:val="both"/>
      </w:pPr>
      <w:r>
        <w:rPr>
          <w:sz w:val="21"/>
        </w:rPr>
        <w:t>fi</w:t>
      </w:r>
      <w:r>
        <w:rPr>
          <w:rFonts w:ascii="Times New Roman" w:eastAsia="Times New Roman" w:hAnsi="Times New Roman" w:cs="Times New Roman"/>
          <w:sz w:val="21"/>
        </w:rPr>
        <w:t>nally, subtract from that the actual post-con</w:t>
      </w:r>
      <w:r>
        <w:rPr>
          <w:sz w:val="21"/>
        </w:rPr>
        <w:t>fl</w:t>
      </w:r>
      <w:r>
        <w:rPr>
          <w:rFonts w:ascii="Times New Roman" w:eastAsia="Times New Roman" w:hAnsi="Times New Roman" w:cs="Times New Roman"/>
          <w:sz w:val="21"/>
        </w:rPr>
        <w:t xml:space="preserve">ict population size </w:t>
      </w:r>
      <w:proofErr w:type="gramStart"/>
      <w:r>
        <w:rPr>
          <w:rFonts w:ascii="Times New Roman" w:eastAsia="Times New Roman" w:hAnsi="Times New Roman" w:cs="Times New Roman"/>
          <w:sz w:val="21"/>
        </w:rPr>
        <w:t>in order to</w:t>
      </w:r>
      <w:proofErr w:type="gramEnd"/>
      <w:r>
        <w:rPr>
          <w:rFonts w:ascii="Times New Roman" w:eastAsia="Times New Roman" w:hAnsi="Times New Roman" w:cs="Times New Roman"/>
          <w:sz w:val="21"/>
        </w:rPr>
        <w:t xml:space="preserve"> arrive at an estimate of overall mortality.</w:t>
      </w:r>
      <w:r>
        <w:rPr>
          <w:rFonts w:ascii="Times New Roman" w:eastAsia="Times New Roman" w:hAnsi="Times New Roman" w:cs="Times New Roman"/>
          <w:sz w:val="21"/>
          <w:vertAlign w:val="superscript"/>
        </w:rPr>
        <w:t>34</w:t>
      </w:r>
    </w:p>
    <w:p w14:paraId="6A74106A" w14:textId="77777777" w:rsidR="004C57BA" w:rsidRDefault="004D4EAB">
      <w:pPr>
        <w:spacing w:after="4" w:line="249" w:lineRule="auto"/>
        <w:ind w:left="-14" w:firstLine="205"/>
        <w:jc w:val="both"/>
      </w:pPr>
      <w:r>
        <w:rPr>
          <w:rFonts w:ascii="Times New Roman" w:eastAsia="Times New Roman" w:hAnsi="Times New Roman" w:cs="Times New Roman"/>
          <w:sz w:val="21"/>
        </w:rPr>
        <w:t xml:space="preserve">As </w:t>
      </w:r>
      <w:proofErr w:type="spellStart"/>
      <w:r>
        <w:rPr>
          <w:rFonts w:ascii="Times New Roman" w:eastAsia="Times New Roman" w:hAnsi="Times New Roman" w:cs="Times New Roman"/>
          <w:sz w:val="21"/>
        </w:rPr>
        <w:t>Bijlev</w:t>
      </w:r>
      <w:r>
        <w:rPr>
          <w:rFonts w:ascii="Times New Roman" w:eastAsia="Times New Roman" w:hAnsi="Times New Roman" w:cs="Times New Roman"/>
          <w:sz w:val="21"/>
        </w:rPr>
        <w:t>eld</w:t>
      </w:r>
      <w:proofErr w:type="spellEnd"/>
      <w:r>
        <w:rPr>
          <w:rFonts w:ascii="Times New Roman" w:eastAsia="Times New Roman" w:hAnsi="Times New Roman" w:cs="Times New Roman"/>
          <w:sz w:val="21"/>
        </w:rPr>
        <w:t xml:space="preserve"> notes, the problem arises when we lack reliable numbers for the starting population and the </w:t>
      </w:r>
      <w:r>
        <w:rPr>
          <w:sz w:val="21"/>
        </w:rPr>
        <w:t>fi</w:t>
      </w:r>
      <w:r>
        <w:rPr>
          <w:rFonts w:ascii="Times New Roman" w:eastAsia="Times New Roman" w:hAnsi="Times New Roman" w:cs="Times New Roman"/>
          <w:sz w:val="21"/>
        </w:rPr>
        <w:t xml:space="preserve">nal population size, suggesting that the researcher will have to resort to assumptions. According to </w:t>
      </w:r>
      <w:proofErr w:type="spellStart"/>
      <w:r>
        <w:rPr>
          <w:rFonts w:ascii="Times New Roman" w:eastAsia="Times New Roman" w:hAnsi="Times New Roman" w:cs="Times New Roman"/>
          <w:sz w:val="21"/>
        </w:rPr>
        <w:t>Bijleveld</w:t>
      </w:r>
      <w:proofErr w:type="spellEnd"/>
      <w:r>
        <w:rPr>
          <w:rFonts w:ascii="Times New Roman" w:eastAsia="Times New Roman" w:hAnsi="Times New Roman" w:cs="Times New Roman"/>
          <w:sz w:val="21"/>
        </w:rPr>
        <w:t>, one way the researcher might be able to deal w</w:t>
      </w:r>
      <w:r>
        <w:rPr>
          <w:rFonts w:ascii="Times New Roman" w:eastAsia="Times New Roman" w:hAnsi="Times New Roman" w:cs="Times New Roman"/>
          <w:sz w:val="21"/>
        </w:rPr>
        <w:t xml:space="preserve">ith the problem is to avoid </w:t>
      </w:r>
      <w:r>
        <w:rPr>
          <w:sz w:val="21"/>
        </w:rPr>
        <w:t>fi</w:t>
      </w:r>
      <w:r>
        <w:rPr>
          <w:rFonts w:ascii="Times New Roman" w:eastAsia="Times New Roman" w:hAnsi="Times New Roman" w:cs="Times New Roman"/>
          <w:sz w:val="21"/>
        </w:rPr>
        <w:t>xed point estimates and instead resort to intervals.</w:t>
      </w:r>
      <w:r>
        <w:rPr>
          <w:rFonts w:ascii="Times New Roman" w:eastAsia="Times New Roman" w:hAnsi="Times New Roman" w:cs="Times New Roman"/>
          <w:sz w:val="21"/>
          <w:vertAlign w:val="superscript"/>
        </w:rPr>
        <w:t xml:space="preserve">35 </w:t>
      </w:r>
      <w:r>
        <w:rPr>
          <w:rFonts w:ascii="Times New Roman" w:eastAsia="Times New Roman" w:hAnsi="Times New Roman" w:cs="Times New Roman"/>
          <w:sz w:val="21"/>
        </w:rPr>
        <w:t xml:space="preserve">The suggestion </w:t>
      </w:r>
      <w:r>
        <w:rPr>
          <w:sz w:val="21"/>
        </w:rPr>
        <w:t xml:space="preserve">– </w:t>
      </w:r>
      <w:r>
        <w:rPr>
          <w:rFonts w:ascii="Times New Roman" w:eastAsia="Times New Roman" w:hAnsi="Times New Roman" w:cs="Times New Roman"/>
          <w:sz w:val="21"/>
        </w:rPr>
        <w:t xml:space="preserve">somewhat arbitrarily conceived, according to this author </w:t>
      </w:r>
      <w:r>
        <w:rPr>
          <w:sz w:val="21"/>
        </w:rPr>
        <w:t xml:space="preserve">– </w:t>
      </w:r>
      <w:r>
        <w:rPr>
          <w:rFonts w:ascii="Times New Roman" w:eastAsia="Times New Roman" w:hAnsi="Times New Roman" w:cs="Times New Roman"/>
          <w:sz w:val="21"/>
        </w:rPr>
        <w:t xml:space="preserve">is that one may use the population data of a neighbouring country in order to estimate the </w:t>
      </w:r>
      <w:proofErr w:type="spellStart"/>
      <w:r>
        <w:rPr>
          <w:rFonts w:ascii="Times New Roman" w:eastAsia="Times New Roman" w:hAnsi="Times New Roman" w:cs="Times New Roman"/>
          <w:sz w:val="21"/>
        </w:rPr>
        <w:t>prec</w:t>
      </w:r>
      <w:r>
        <w:rPr>
          <w:rFonts w:ascii="Times New Roman" w:eastAsia="Times New Roman" w:hAnsi="Times New Roman" w:cs="Times New Roman"/>
          <w:sz w:val="21"/>
        </w:rPr>
        <w:t>on</w:t>
      </w:r>
      <w:r>
        <w:rPr>
          <w:sz w:val="21"/>
        </w:rPr>
        <w:t>fl</w:t>
      </w:r>
      <w:r>
        <w:rPr>
          <w:rFonts w:ascii="Times New Roman" w:eastAsia="Times New Roman" w:hAnsi="Times New Roman" w:cs="Times New Roman"/>
          <w:sz w:val="21"/>
        </w:rPr>
        <w:t>ict</w:t>
      </w:r>
      <w:proofErr w:type="spellEnd"/>
      <w:r>
        <w:rPr>
          <w:rFonts w:ascii="Times New Roman" w:eastAsia="Times New Roman" w:hAnsi="Times New Roman" w:cs="Times New Roman"/>
          <w:sz w:val="21"/>
        </w:rPr>
        <w:t xml:space="preserve"> and post-con</w:t>
      </w:r>
      <w:r>
        <w:rPr>
          <w:sz w:val="21"/>
        </w:rPr>
        <w:t>fl</w:t>
      </w:r>
      <w:r>
        <w:rPr>
          <w:rFonts w:ascii="Times New Roman" w:eastAsia="Times New Roman" w:hAnsi="Times New Roman" w:cs="Times New Roman"/>
          <w:sz w:val="21"/>
        </w:rPr>
        <w:t xml:space="preserve">ict population of the target nation and hence arrive at a probable mortality rate on account of the war. The </w:t>
      </w:r>
      <w:r>
        <w:rPr>
          <w:sz w:val="21"/>
        </w:rPr>
        <w:t>fi</w:t>
      </w:r>
      <w:r>
        <w:rPr>
          <w:rFonts w:ascii="Times New Roman" w:eastAsia="Times New Roman" w:hAnsi="Times New Roman" w:cs="Times New Roman"/>
          <w:sz w:val="21"/>
        </w:rPr>
        <w:t>nal tally will also take into consideration the neighbouring country</w:t>
      </w:r>
      <w:r>
        <w:rPr>
          <w:sz w:val="21"/>
        </w:rPr>
        <w:t>’</w:t>
      </w:r>
      <w:r>
        <w:rPr>
          <w:rFonts w:ascii="Times New Roman" w:eastAsia="Times New Roman" w:hAnsi="Times New Roman" w:cs="Times New Roman"/>
          <w:sz w:val="21"/>
        </w:rPr>
        <w:t>s population growth, which will naturally decline in the target state. This method is subject to several limitations, not least the absence of adequate censuses in developing nations, whe</w:t>
      </w:r>
      <w:r>
        <w:rPr>
          <w:rFonts w:ascii="Times New Roman" w:eastAsia="Times New Roman" w:hAnsi="Times New Roman" w:cs="Times New Roman"/>
          <w:sz w:val="21"/>
        </w:rPr>
        <w:t>rein most con</w:t>
      </w:r>
      <w:r>
        <w:rPr>
          <w:sz w:val="21"/>
        </w:rPr>
        <w:t>fl</w:t>
      </w:r>
      <w:r>
        <w:rPr>
          <w:rFonts w:ascii="Times New Roman" w:eastAsia="Times New Roman" w:hAnsi="Times New Roman" w:cs="Times New Roman"/>
          <w:sz w:val="21"/>
        </w:rPr>
        <w:t xml:space="preserve">icts take place, as well as the disparity in </w:t>
      </w:r>
      <w:r>
        <w:rPr>
          <w:sz w:val="21"/>
        </w:rPr>
        <w:t>fi</w:t>
      </w:r>
      <w:r>
        <w:rPr>
          <w:rFonts w:ascii="Times New Roman" w:eastAsia="Times New Roman" w:hAnsi="Times New Roman" w:cs="Times New Roman"/>
          <w:sz w:val="21"/>
        </w:rPr>
        <w:t>nancial, wellbeing and other indicators even across neighbouring nations. Such a methodology would also not sit well with international criminal tribunals, which would avoid using its results fo</w:t>
      </w:r>
      <w:r>
        <w:rPr>
          <w:rFonts w:ascii="Times New Roman" w:eastAsia="Times New Roman" w:hAnsi="Times New Roman" w:cs="Times New Roman"/>
          <w:sz w:val="21"/>
        </w:rPr>
        <w:t>r fear of being labelled illegitimate.</w:t>
      </w:r>
    </w:p>
    <w:p w14:paraId="01A6ADB2" w14:textId="77777777" w:rsidR="004C57BA" w:rsidRDefault="004D4EAB">
      <w:pPr>
        <w:spacing w:after="124" w:line="249" w:lineRule="auto"/>
        <w:ind w:left="-14" w:firstLine="205"/>
        <w:jc w:val="both"/>
      </w:pPr>
      <w:r>
        <w:rPr>
          <w:rFonts w:ascii="Times New Roman" w:eastAsia="Times New Roman" w:hAnsi="Times New Roman" w:cs="Times New Roman"/>
          <w:sz w:val="21"/>
        </w:rPr>
        <w:t xml:space="preserve">An additional method to estimate physical harm (and implicitly mortality) is </w:t>
      </w:r>
      <w:proofErr w:type="gramStart"/>
      <w:r>
        <w:rPr>
          <w:rFonts w:ascii="Times New Roman" w:eastAsia="Times New Roman" w:hAnsi="Times New Roman" w:cs="Times New Roman"/>
          <w:sz w:val="21"/>
        </w:rPr>
        <w:t>through the use of</w:t>
      </w:r>
      <w:proofErr w:type="gramEnd"/>
      <w:r>
        <w:rPr>
          <w:rFonts w:ascii="Times New Roman" w:eastAsia="Times New Roman" w:hAnsi="Times New Roman" w:cs="Times New Roman"/>
          <w:sz w:val="21"/>
        </w:rPr>
        <w:t xml:space="preserve"> victim surveys which ask people whether they have been the victim of a crime. This method has various advantages. Victimi</w:t>
      </w:r>
      <w:r>
        <w:rPr>
          <w:rFonts w:ascii="Times New Roman" w:eastAsia="Times New Roman" w:hAnsi="Times New Roman" w:cs="Times New Roman"/>
          <w:sz w:val="21"/>
        </w:rPr>
        <w:t>zation surveys can obtain information on crimes which have not been reported to the police (or monitored by intergovernmental bodies in the case of international crimes) or which have not been recorded by the authorities. Many studies have examined mortali</w:t>
      </w:r>
      <w:r>
        <w:rPr>
          <w:rFonts w:ascii="Times New Roman" w:eastAsia="Times New Roman" w:hAnsi="Times New Roman" w:cs="Times New Roman"/>
          <w:sz w:val="21"/>
        </w:rPr>
        <w:t>ty rates using victim surveys. Victim surveys typically encompass questions on the respondents</w:t>
      </w:r>
      <w:r>
        <w:rPr>
          <w:sz w:val="21"/>
        </w:rPr>
        <w:t xml:space="preserve">’ </w:t>
      </w:r>
      <w:r>
        <w:rPr>
          <w:rFonts w:ascii="Times New Roman" w:eastAsia="Times New Roman" w:hAnsi="Times New Roman" w:cs="Times New Roman"/>
          <w:sz w:val="21"/>
        </w:rPr>
        <w:t>personal victimization as well as that of family members.</w:t>
      </w:r>
      <w:r>
        <w:rPr>
          <w:rFonts w:ascii="Times New Roman" w:eastAsia="Times New Roman" w:hAnsi="Times New Roman" w:cs="Times New Roman"/>
          <w:sz w:val="21"/>
          <w:vertAlign w:val="superscript"/>
        </w:rPr>
        <w:footnoteReference w:id="17"/>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 xml:space="preserve">In a survey with a nationwide character, </w:t>
      </w:r>
      <w:proofErr w:type="spellStart"/>
      <w:r>
        <w:rPr>
          <w:rFonts w:ascii="Times New Roman" w:eastAsia="Times New Roman" w:hAnsi="Times New Roman" w:cs="Times New Roman"/>
          <w:sz w:val="21"/>
        </w:rPr>
        <w:t>Deportere</w:t>
      </w:r>
      <w:proofErr w:type="spellEnd"/>
      <w:r>
        <w:rPr>
          <w:rFonts w:ascii="Times New Roman" w:eastAsia="Times New Roman" w:hAnsi="Times New Roman" w:cs="Times New Roman"/>
          <w:sz w:val="21"/>
        </w:rPr>
        <w:t xml:space="preserve"> reported the </w:t>
      </w:r>
      <w:r>
        <w:rPr>
          <w:sz w:val="21"/>
        </w:rPr>
        <w:t>fi</w:t>
      </w:r>
      <w:r>
        <w:rPr>
          <w:rFonts w:ascii="Times New Roman" w:eastAsia="Times New Roman" w:hAnsi="Times New Roman" w:cs="Times New Roman"/>
          <w:sz w:val="21"/>
        </w:rPr>
        <w:t>ndings of a mortality survey in We</w:t>
      </w:r>
      <w:r>
        <w:rPr>
          <w:rFonts w:ascii="Times New Roman" w:eastAsia="Times New Roman" w:hAnsi="Times New Roman" w:cs="Times New Roman"/>
          <w:sz w:val="21"/>
        </w:rPr>
        <w:t>st Darfur, Sudan, for the period between 2003 and 2004, demonstrating that the mortality rates were much higher than the emergency benchmark.</w:t>
      </w:r>
      <w:r>
        <w:rPr>
          <w:rFonts w:ascii="Times New Roman" w:eastAsia="Times New Roman" w:hAnsi="Times New Roman" w:cs="Times New Roman"/>
          <w:sz w:val="21"/>
          <w:vertAlign w:val="superscript"/>
        </w:rPr>
        <w:footnoteReference w:id="18"/>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 xml:space="preserve">The researcher gathered data from four internally displaced persons (IDP) camps in Darfur, namely Zalingei, </w:t>
      </w:r>
      <w:proofErr w:type="spellStart"/>
      <w:r>
        <w:rPr>
          <w:rFonts w:ascii="Times New Roman" w:eastAsia="Times New Roman" w:hAnsi="Times New Roman" w:cs="Times New Roman"/>
          <w:sz w:val="21"/>
        </w:rPr>
        <w:t>Murn</w:t>
      </w:r>
      <w:r>
        <w:rPr>
          <w:rFonts w:ascii="Times New Roman" w:eastAsia="Times New Roman" w:hAnsi="Times New Roman" w:cs="Times New Roman"/>
          <w:sz w:val="21"/>
        </w:rPr>
        <w:t>ei</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Niertiti</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sz w:val="21"/>
        </w:rPr>
        <w:lastRenderedPageBreak/>
        <w:t xml:space="preserve">and El </w:t>
      </w:r>
      <w:proofErr w:type="spellStart"/>
      <w:r>
        <w:rPr>
          <w:rFonts w:ascii="Times New Roman" w:eastAsia="Times New Roman" w:hAnsi="Times New Roman" w:cs="Times New Roman"/>
          <w:sz w:val="21"/>
        </w:rPr>
        <w:t>Geneina</w:t>
      </w:r>
      <w:proofErr w:type="spellEnd"/>
      <w:r>
        <w:rPr>
          <w:rFonts w:ascii="Times New Roman" w:eastAsia="Times New Roman" w:hAnsi="Times New Roman" w:cs="Times New Roman"/>
          <w:sz w:val="21"/>
        </w:rPr>
        <w:t xml:space="preserve"> by using a two-stage cluster sampling method to identify households within the camp. He then interviewed the head of the household </w:t>
      </w:r>
      <w:proofErr w:type="gramStart"/>
      <w:r>
        <w:rPr>
          <w:rFonts w:ascii="Times New Roman" w:eastAsia="Times New Roman" w:hAnsi="Times New Roman" w:cs="Times New Roman"/>
          <w:sz w:val="21"/>
        </w:rPr>
        <w:t>in order to</w:t>
      </w:r>
      <w:proofErr w:type="gramEnd"/>
      <w:r>
        <w:rPr>
          <w:rFonts w:ascii="Times New Roman" w:eastAsia="Times New Roman" w:hAnsi="Times New Roman" w:cs="Times New Roman"/>
          <w:sz w:val="21"/>
        </w:rPr>
        <w:t xml:space="preserve"> gather information on:</w:t>
      </w:r>
    </w:p>
    <w:p w14:paraId="72622A73" w14:textId="77777777" w:rsidR="004C57BA" w:rsidRDefault="004D4EAB" w:rsidP="004D4EAB">
      <w:pPr>
        <w:numPr>
          <w:ilvl w:val="0"/>
          <w:numId w:val="3"/>
        </w:numPr>
        <w:spacing w:after="4" w:line="249" w:lineRule="auto"/>
        <w:ind w:hanging="356"/>
        <w:jc w:val="both"/>
      </w:pPr>
      <w:r>
        <w:rPr>
          <w:rFonts w:ascii="Times New Roman" w:eastAsia="Times New Roman" w:hAnsi="Times New Roman" w:cs="Times New Roman"/>
          <w:sz w:val="21"/>
        </w:rPr>
        <w:t xml:space="preserve">deaths that had occurred during the recall </w:t>
      </w:r>
      <w:proofErr w:type="gramStart"/>
      <w:r>
        <w:rPr>
          <w:rFonts w:ascii="Times New Roman" w:eastAsia="Times New Roman" w:hAnsi="Times New Roman" w:cs="Times New Roman"/>
          <w:sz w:val="21"/>
        </w:rPr>
        <w:t>period;</w:t>
      </w:r>
      <w:proofErr w:type="gramEnd"/>
    </w:p>
    <w:p w14:paraId="3B03851A" w14:textId="77777777" w:rsidR="004C57BA" w:rsidRDefault="004D4EAB" w:rsidP="004D4EAB">
      <w:pPr>
        <w:numPr>
          <w:ilvl w:val="0"/>
          <w:numId w:val="3"/>
        </w:numPr>
        <w:spacing w:after="4" w:line="249" w:lineRule="auto"/>
        <w:ind w:hanging="356"/>
        <w:jc w:val="both"/>
      </w:pPr>
      <w:r>
        <w:rPr>
          <w:rFonts w:ascii="Times New Roman" w:eastAsia="Times New Roman" w:hAnsi="Times New Roman" w:cs="Times New Roman"/>
          <w:sz w:val="21"/>
        </w:rPr>
        <w:t>the age, ti</w:t>
      </w:r>
      <w:r>
        <w:rPr>
          <w:rFonts w:ascii="Times New Roman" w:eastAsia="Times New Roman" w:hAnsi="Times New Roman" w:cs="Times New Roman"/>
          <w:sz w:val="21"/>
        </w:rPr>
        <w:t xml:space="preserve">me of year (month), location, cause of </w:t>
      </w:r>
      <w:proofErr w:type="gramStart"/>
      <w:r>
        <w:rPr>
          <w:rFonts w:ascii="Times New Roman" w:eastAsia="Times New Roman" w:hAnsi="Times New Roman" w:cs="Times New Roman"/>
          <w:sz w:val="21"/>
        </w:rPr>
        <w:t>death;</w:t>
      </w:r>
      <w:proofErr w:type="gramEnd"/>
    </w:p>
    <w:p w14:paraId="1115F71D" w14:textId="77777777" w:rsidR="004C57BA" w:rsidRDefault="004D4EAB" w:rsidP="004D4EAB">
      <w:pPr>
        <w:numPr>
          <w:ilvl w:val="0"/>
          <w:numId w:val="3"/>
        </w:numPr>
        <w:spacing w:after="4" w:line="249" w:lineRule="auto"/>
        <w:ind w:hanging="356"/>
        <w:jc w:val="both"/>
      </w:pPr>
      <w:r>
        <w:rPr>
          <w:rFonts w:ascii="Times New Roman" w:eastAsia="Times New Roman" w:hAnsi="Times New Roman" w:cs="Times New Roman"/>
          <w:sz w:val="21"/>
        </w:rPr>
        <w:t xml:space="preserve">month of arrival at the </w:t>
      </w:r>
      <w:proofErr w:type="gramStart"/>
      <w:r>
        <w:rPr>
          <w:rFonts w:ascii="Times New Roman" w:eastAsia="Times New Roman" w:hAnsi="Times New Roman" w:cs="Times New Roman"/>
          <w:sz w:val="21"/>
        </w:rPr>
        <w:t>camp;</w:t>
      </w:r>
      <w:proofErr w:type="gramEnd"/>
    </w:p>
    <w:p w14:paraId="12B5BDA6" w14:textId="77777777" w:rsidR="004C57BA" w:rsidRDefault="004D4EAB" w:rsidP="004D4EAB">
      <w:pPr>
        <w:numPr>
          <w:ilvl w:val="0"/>
          <w:numId w:val="3"/>
        </w:numPr>
        <w:spacing w:after="4" w:line="249" w:lineRule="auto"/>
        <w:ind w:hanging="356"/>
        <w:jc w:val="both"/>
      </w:pPr>
      <w:r>
        <w:rPr>
          <w:rFonts w:ascii="Times New Roman" w:eastAsia="Times New Roman" w:hAnsi="Times New Roman" w:cs="Times New Roman"/>
          <w:sz w:val="21"/>
        </w:rPr>
        <w:t>reasons for leaving the village; and</w:t>
      </w:r>
    </w:p>
    <w:p w14:paraId="61393FED" w14:textId="77777777" w:rsidR="004C57BA" w:rsidRDefault="004D4EAB" w:rsidP="004D4EAB">
      <w:pPr>
        <w:numPr>
          <w:ilvl w:val="0"/>
          <w:numId w:val="3"/>
        </w:numPr>
        <w:spacing w:after="130" w:line="249" w:lineRule="auto"/>
        <w:ind w:hanging="356"/>
        <w:jc w:val="both"/>
      </w:pPr>
      <w:r>
        <w:rPr>
          <w:rFonts w:ascii="Times New Roman" w:eastAsia="Times New Roman" w:hAnsi="Times New Roman" w:cs="Times New Roman"/>
          <w:sz w:val="21"/>
        </w:rPr>
        <w:t>the age and sex of the household members.</w:t>
      </w:r>
      <w:r>
        <w:rPr>
          <w:rFonts w:ascii="Times New Roman" w:eastAsia="Times New Roman" w:hAnsi="Times New Roman" w:cs="Times New Roman"/>
          <w:sz w:val="21"/>
          <w:vertAlign w:val="superscript"/>
        </w:rPr>
        <w:t>38</w:t>
      </w:r>
    </w:p>
    <w:p w14:paraId="6C5650E5" w14:textId="77777777" w:rsidR="004C57BA" w:rsidRDefault="004D4EAB">
      <w:pPr>
        <w:spacing w:after="127" w:line="249" w:lineRule="auto"/>
        <w:ind w:left="-14" w:firstLine="205"/>
        <w:jc w:val="both"/>
      </w:pPr>
      <w:r>
        <w:rPr>
          <w:rFonts w:ascii="Times New Roman" w:eastAsia="Times New Roman" w:hAnsi="Times New Roman" w:cs="Times New Roman"/>
          <w:sz w:val="21"/>
        </w:rPr>
        <w:t xml:space="preserve">By using this sampling strategy the researcher then interviewed the following number of subjects from each camp: 460 households at Zalingei (representing 2,386 people); 912 households in </w:t>
      </w:r>
      <w:proofErr w:type="spellStart"/>
      <w:r>
        <w:rPr>
          <w:rFonts w:ascii="Times New Roman" w:eastAsia="Times New Roman" w:hAnsi="Times New Roman" w:cs="Times New Roman"/>
          <w:sz w:val="21"/>
        </w:rPr>
        <w:t>Murnei</w:t>
      </w:r>
      <w:proofErr w:type="spellEnd"/>
      <w:r>
        <w:rPr>
          <w:rFonts w:ascii="Times New Roman" w:eastAsia="Times New Roman" w:hAnsi="Times New Roman" w:cs="Times New Roman"/>
          <w:sz w:val="21"/>
        </w:rPr>
        <w:t xml:space="preserve"> (representing 4,754 people); 903 households in </w:t>
      </w:r>
      <w:proofErr w:type="spellStart"/>
      <w:r>
        <w:rPr>
          <w:rFonts w:ascii="Times New Roman" w:eastAsia="Times New Roman" w:hAnsi="Times New Roman" w:cs="Times New Roman"/>
          <w:sz w:val="21"/>
        </w:rPr>
        <w:t>Niertiti</w:t>
      </w:r>
      <w:proofErr w:type="spellEnd"/>
      <w:r>
        <w:rPr>
          <w:rFonts w:ascii="Times New Roman" w:eastAsia="Times New Roman" w:hAnsi="Times New Roman" w:cs="Times New Roman"/>
          <w:sz w:val="21"/>
        </w:rPr>
        <w:t xml:space="preserve"> (repre</w:t>
      </w:r>
      <w:r>
        <w:rPr>
          <w:rFonts w:ascii="Times New Roman" w:eastAsia="Times New Roman" w:hAnsi="Times New Roman" w:cs="Times New Roman"/>
          <w:sz w:val="21"/>
        </w:rPr>
        <w:t xml:space="preserve">senting 5,188 people); and 900 households in El </w:t>
      </w:r>
      <w:proofErr w:type="spellStart"/>
      <w:r>
        <w:rPr>
          <w:rFonts w:ascii="Times New Roman" w:eastAsia="Times New Roman" w:hAnsi="Times New Roman" w:cs="Times New Roman"/>
          <w:sz w:val="21"/>
        </w:rPr>
        <w:t>Geneina</w:t>
      </w:r>
      <w:proofErr w:type="spellEnd"/>
      <w:r>
        <w:rPr>
          <w:rFonts w:ascii="Times New Roman" w:eastAsia="Times New Roman" w:hAnsi="Times New Roman" w:cs="Times New Roman"/>
          <w:sz w:val="21"/>
        </w:rPr>
        <w:t xml:space="preserve"> (representing 5,191 people). Once data were collected the researcher carried out two types of analysis:</w:t>
      </w:r>
    </w:p>
    <w:p w14:paraId="466A4D50" w14:textId="77777777" w:rsidR="004C57BA" w:rsidRDefault="004D4EAB" w:rsidP="004D4EAB">
      <w:pPr>
        <w:numPr>
          <w:ilvl w:val="0"/>
          <w:numId w:val="4"/>
        </w:numPr>
        <w:spacing w:after="4" w:line="249" w:lineRule="auto"/>
        <w:ind w:hanging="356"/>
        <w:jc w:val="both"/>
      </w:pPr>
      <w:r>
        <w:rPr>
          <w:rFonts w:ascii="Times New Roman" w:eastAsia="Times New Roman" w:hAnsi="Times New Roman" w:cs="Times New Roman"/>
          <w:sz w:val="21"/>
        </w:rPr>
        <w:t>mortality rate: the number of deaths per day, per 10,000 people; and</w:t>
      </w:r>
    </w:p>
    <w:p w14:paraId="7724D418" w14:textId="77777777" w:rsidR="004C57BA" w:rsidRDefault="004D4EAB" w:rsidP="004D4EAB">
      <w:pPr>
        <w:numPr>
          <w:ilvl w:val="0"/>
          <w:numId w:val="4"/>
        </w:numPr>
        <w:spacing w:after="82" w:line="249" w:lineRule="auto"/>
        <w:ind w:hanging="356"/>
        <w:jc w:val="both"/>
      </w:pPr>
      <w:r>
        <w:rPr>
          <w:rFonts w:ascii="Times New Roman" w:eastAsia="Times New Roman" w:hAnsi="Times New Roman" w:cs="Times New Roman"/>
          <w:sz w:val="21"/>
        </w:rPr>
        <w:t>risk of violent death of ad</w:t>
      </w:r>
      <w:r>
        <w:rPr>
          <w:rFonts w:ascii="Times New Roman" w:eastAsia="Times New Roman" w:hAnsi="Times New Roman" w:cs="Times New Roman"/>
          <w:sz w:val="21"/>
        </w:rPr>
        <w:t xml:space="preserve">ult men and women relative to children under </w:t>
      </w:r>
      <w:r>
        <w:rPr>
          <w:sz w:val="21"/>
        </w:rPr>
        <w:t>fi</w:t>
      </w:r>
      <w:r>
        <w:rPr>
          <w:rFonts w:ascii="Times New Roman" w:eastAsia="Times New Roman" w:hAnsi="Times New Roman" w:cs="Times New Roman"/>
          <w:sz w:val="21"/>
        </w:rPr>
        <w:t>fteen years old.</w:t>
      </w:r>
    </w:p>
    <w:p w14:paraId="5AE99B59" w14:textId="77777777" w:rsidR="004C57BA" w:rsidRDefault="004D4EAB">
      <w:pPr>
        <w:spacing w:after="36" w:line="249" w:lineRule="auto"/>
        <w:ind w:left="-14" w:firstLine="205"/>
        <w:jc w:val="both"/>
      </w:pPr>
      <w:r>
        <w:rPr>
          <w:rFonts w:ascii="Times New Roman" w:eastAsia="Times New Roman" w:hAnsi="Times New Roman" w:cs="Times New Roman"/>
          <w:sz w:val="21"/>
        </w:rPr>
        <w:t>Surveys such as the above have important and well-described limitations. When mortality rates are high entire households may disappear (survival bias) leading to underestimates. Likewise, surv</w:t>
      </w:r>
      <w:r>
        <w:rPr>
          <w:rFonts w:ascii="Times New Roman" w:eastAsia="Times New Roman" w:hAnsi="Times New Roman" w:cs="Times New Roman"/>
          <w:sz w:val="21"/>
        </w:rPr>
        <w:t xml:space="preserve">ivor bias is a limitation of victim surveys as entire households might have disappeared. In order to overcome this </w:t>
      </w:r>
      <w:proofErr w:type="gramStart"/>
      <w:r>
        <w:rPr>
          <w:rFonts w:ascii="Times New Roman" w:eastAsia="Times New Roman" w:hAnsi="Times New Roman" w:cs="Times New Roman"/>
          <w:sz w:val="21"/>
        </w:rPr>
        <w:t>problem</w:t>
      </w:r>
      <w:proofErr w:type="gramEnd"/>
      <w:r>
        <w:rPr>
          <w:rFonts w:ascii="Times New Roman" w:eastAsia="Times New Roman" w:hAnsi="Times New Roman" w:cs="Times New Roman"/>
          <w:sz w:val="21"/>
        </w:rPr>
        <w:t xml:space="preserve"> the researcher needs to employ a cluster sampling design.</w:t>
      </w:r>
      <w:r>
        <w:rPr>
          <w:rFonts w:ascii="Times New Roman" w:eastAsia="Times New Roman" w:hAnsi="Times New Roman" w:cs="Times New Roman"/>
          <w:sz w:val="21"/>
          <w:vertAlign w:val="superscript"/>
        </w:rPr>
        <w:footnoteReference w:id="19"/>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Research has shown that it is important to include a large number of clus</w:t>
      </w:r>
      <w:r>
        <w:rPr>
          <w:rFonts w:ascii="Times New Roman" w:eastAsia="Times New Roman" w:hAnsi="Times New Roman" w:cs="Times New Roman"/>
          <w:sz w:val="21"/>
        </w:rPr>
        <w:t>ters.</w:t>
      </w:r>
      <w:r>
        <w:rPr>
          <w:rFonts w:ascii="Times New Roman" w:eastAsia="Times New Roman" w:hAnsi="Times New Roman" w:cs="Times New Roman"/>
          <w:sz w:val="21"/>
          <w:vertAlign w:val="superscript"/>
        </w:rPr>
        <w:t>40</w:t>
      </w:r>
    </w:p>
    <w:p w14:paraId="4EF97E45" w14:textId="77777777" w:rsidR="004C57BA" w:rsidRDefault="004D4EAB">
      <w:pPr>
        <w:spacing w:after="4" w:line="249" w:lineRule="auto"/>
        <w:ind w:left="-14" w:firstLine="205"/>
        <w:jc w:val="both"/>
      </w:pPr>
      <w:r>
        <w:rPr>
          <w:rFonts w:ascii="Times New Roman" w:eastAsia="Times New Roman" w:hAnsi="Times New Roman" w:cs="Times New Roman"/>
          <w:sz w:val="21"/>
        </w:rPr>
        <w:t xml:space="preserve">Of course, collecting the numbers of casualties might not in itself seem an interesting task for a socio-legal researcher. However, knowing the number of deaths can lead to the conceptualization of a particular case of international criminality by </w:t>
      </w:r>
      <w:r>
        <w:rPr>
          <w:rFonts w:ascii="Times New Roman" w:eastAsia="Times New Roman" w:hAnsi="Times New Roman" w:cs="Times New Roman"/>
          <w:sz w:val="21"/>
        </w:rPr>
        <w:t xml:space="preserve">identifying patterns of offending. Likewise, survey research can contribute to the contextualization of international crimes. The research conducted by Hagan and </w:t>
      </w:r>
      <w:proofErr w:type="spellStart"/>
      <w:r>
        <w:rPr>
          <w:rFonts w:ascii="Times New Roman" w:eastAsia="Times New Roman" w:hAnsi="Times New Roman" w:cs="Times New Roman"/>
          <w:sz w:val="21"/>
        </w:rPr>
        <w:t>Rymond</w:t>
      </w:r>
      <w:proofErr w:type="spellEnd"/>
      <w:r>
        <w:rPr>
          <w:rFonts w:ascii="Times New Roman" w:eastAsia="Times New Roman" w:hAnsi="Times New Roman" w:cs="Times New Roman"/>
          <w:sz w:val="21"/>
        </w:rPr>
        <w:t>-Richmond in 2009 is an example of the use of survey data demonstrating how collective a</w:t>
      </w:r>
      <w:r>
        <w:rPr>
          <w:rFonts w:ascii="Times New Roman" w:eastAsia="Times New Roman" w:hAnsi="Times New Roman" w:cs="Times New Roman"/>
          <w:sz w:val="21"/>
        </w:rPr>
        <w:t>ction may be incited on racial grounds, con</w:t>
      </w:r>
      <w:r>
        <w:rPr>
          <w:sz w:val="21"/>
        </w:rPr>
        <w:t>fi</w:t>
      </w:r>
      <w:r>
        <w:rPr>
          <w:rFonts w:ascii="Times New Roman" w:eastAsia="Times New Roman" w:hAnsi="Times New Roman" w:cs="Times New Roman"/>
          <w:sz w:val="21"/>
        </w:rPr>
        <w:t>rming that the events in Darfur demonstrate a pattern of genocide, assuming that the victims are found to constitute a distinct racial group, or at least are viewed as such by the perpetrators.</w:t>
      </w:r>
      <w:r>
        <w:rPr>
          <w:rFonts w:ascii="Times New Roman" w:eastAsia="Times New Roman" w:hAnsi="Times New Roman" w:cs="Times New Roman"/>
          <w:sz w:val="21"/>
          <w:vertAlign w:val="superscript"/>
        </w:rPr>
        <w:footnoteReference w:id="20"/>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 xml:space="preserve">In fact, Hagan </w:t>
      </w:r>
      <w:r>
        <w:rPr>
          <w:rFonts w:ascii="Times New Roman" w:eastAsia="Times New Roman" w:hAnsi="Times New Roman" w:cs="Times New Roman"/>
          <w:sz w:val="21"/>
        </w:rPr>
        <w:t xml:space="preserve">and </w:t>
      </w:r>
      <w:proofErr w:type="spellStart"/>
      <w:r>
        <w:rPr>
          <w:rFonts w:ascii="Times New Roman" w:eastAsia="Times New Roman" w:hAnsi="Times New Roman" w:cs="Times New Roman"/>
          <w:sz w:val="21"/>
        </w:rPr>
        <w:t>Rymond</w:t>
      </w:r>
      <w:proofErr w:type="spellEnd"/>
      <w:r>
        <w:rPr>
          <w:rFonts w:ascii="Times New Roman" w:eastAsia="Times New Roman" w:hAnsi="Times New Roman" w:cs="Times New Roman"/>
          <w:sz w:val="21"/>
        </w:rPr>
        <w:t>-Richmond</w:t>
      </w:r>
      <w:r>
        <w:rPr>
          <w:sz w:val="21"/>
        </w:rPr>
        <w:t>’</w:t>
      </w:r>
      <w:r>
        <w:rPr>
          <w:rFonts w:ascii="Times New Roman" w:eastAsia="Times New Roman" w:hAnsi="Times New Roman" w:cs="Times New Roman"/>
          <w:sz w:val="21"/>
        </w:rPr>
        <w:t xml:space="preserve">s analysis of the data </w:t>
      </w:r>
      <w:r>
        <w:rPr>
          <w:rFonts w:ascii="Times New Roman" w:eastAsia="Times New Roman" w:hAnsi="Times New Roman" w:cs="Times New Roman"/>
          <w:sz w:val="21"/>
        </w:rPr>
        <w:lastRenderedPageBreak/>
        <w:t>allowed them to argue that the timing, location and circumstances surrounding attacks on hundreds of thousands of Darfuri villagers since 2003, as well as the speci</w:t>
      </w:r>
      <w:r>
        <w:rPr>
          <w:sz w:val="21"/>
        </w:rPr>
        <w:t>fi</w:t>
      </w:r>
      <w:r>
        <w:rPr>
          <w:rFonts w:ascii="Times New Roman" w:eastAsia="Times New Roman" w:hAnsi="Times New Roman" w:cs="Times New Roman"/>
          <w:sz w:val="21"/>
        </w:rPr>
        <w:t xml:space="preserve">c nature and scale of those attacks, involving </w:t>
      </w:r>
      <w:r>
        <w:rPr>
          <w:rFonts w:ascii="Times New Roman" w:eastAsia="Times New Roman" w:hAnsi="Times New Roman" w:cs="Times New Roman"/>
          <w:sz w:val="21"/>
        </w:rPr>
        <w:t>killings, rape, other forms of sexual violence, racial insults and con</w:t>
      </w:r>
      <w:r>
        <w:rPr>
          <w:sz w:val="21"/>
        </w:rPr>
        <w:t>fi</w:t>
      </w:r>
      <w:r>
        <w:rPr>
          <w:rFonts w:ascii="Times New Roman" w:eastAsia="Times New Roman" w:hAnsi="Times New Roman" w:cs="Times New Roman"/>
          <w:sz w:val="21"/>
        </w:rPr>
        <w:t>scation or contamination of property and natural resources, amounted to an intentional state-sponsored genocide.</w:t>
      </w:r>
      <w:r>
        <w:rPr>
          <w:rFonts w:ascii="Times New Roman" w:eastAsia="Times New Roman" w:hAnsi="Times New Roman" w:cs="Times New Roman"/>
          <w:sz w:val="21"/>
          <w:vertAlign w:val="superscript"/>
        </w:rPr>
        <w:t xml:space="preserve">42 </w:t>
      </w:r>
      <w:r>
        <w:rPr>
          <w:rFonts w:ascii="Times New Roman" w:eastAsia="Times New Roman" w:hAnsi="Times New Roman" w:cs="Times New Roman"/>
          <w:sz w:val="21"/>
        </w:rPr>
        <w:t xml:space="preserve">For Hagan and </w:t>
      </w:r>
      <w:proofErr w:type="spellStart"/>
      <w:r>
        <w:rPr>
          <w:rFonts w:ascii="Times New Roman" w:eastAsia="Times New Roman" w:hAnsi="Times New Roman" w:cs="Times New Roman"/>
          <w:sz w:val="21"/>
        </w:rPr>
        <w:t>Rymond</w:t>
      </w:r>
      <w:proofErr w:type="spellEnd"/>
      <w:r>
        <w:rPr>
          <w:rFonts w:ascii="Times New Roman" w:eastAsia="Times New Roman" w:hAnsi="Times New Roman" w:cs="Times New Roman"/>
          <w:sz w:val="21"/>
        </w:rPr>
        <w:t>-Richmond, the evidence of collective racial inte</w:t>
      </w:r>
      <w:r>
        <w:rPr>
          <w:rFonts w:ascii="Times New Roman" w:eastAsia="Times New Roman" w:hAnsi="Times New Roman" w:cs="Times New Roman"/>
          <w:sz w:val="21"/>
        </w:rPr>
        <w:t>nt is the missing piece for de</w:t>
      </w:r>
      <w:r>
        <w:rPr>
          <w:sz w:val="21"/>
        </w:rPr>
        <w:t>fi</w:t>
      </w:r>
      <w:r>
        <w:rPr>
          <w:rFonts w:ascii="Times New Roman" w:eastAsia="Times New Roman" w:hAnsi="Times New Roman" w:cs="Times New Roman"/>
          <w:sz w:val="21"/>
        </w:rPr>
        <w:t xml:space="preserve">ning the atrocities of Darfur as genocide: the individual and collective (including government) racial intent constitutes genocidal </w:t>
      </w:r>
      <w:proofErr w:type="spellStart"/>
      <w:r>
        <w:rPr>
          <w:rFonts w:ascii="Times New Roman" w:eastAsia="Times New Roman" w:hAnsi="Times New Roman" w:cs="Times New Roman"/>
          <w:sz w:val="21"/>
        </w:rPr>
        <w:t>mens</w:t>
      </w:r>
      <w:proofErr w:type="spellEnd"/>
      <w:r>
        <w:rPr>
          <w:rFonts w:ascii="Times New Roman" w:eastAsia="Times New Roman" w:hAnsi="Times New Roman" w:cs="Times New Roman"/>
          <w:sz w:val="21"/>
        </w:rPr>
        <w:t xml:space="preserve"> rea on the part of the Sudanese government and Janjaweed militia.</w:t>
      </w:r>
    </w:p>
    <w:p w14:paraId="546E0E35" w14:textId="77777777" w:rsidR="004C57BA" w:rsidRDefault="004D4EAB">
      <w:pPr>
        <w:spacing w:after="4" w:line="249" w:lineRule="auto"/>
        <w:ind w:left="-14" w:firstLine="205"/>
        <w:jc w:val="both"/>
      </w:pPr>
      <w:r>
        <w:rPr>
          <w:rFonts w:ascii="Times New Roman" w:eastAsia="Times New Roman" w:hAnsi="Times New Roman" w:cs="Times New Roman"/>
          <w:sz w:val="21"/>
        </w:rPr>
        <w:t>Such research can pro</w:t>
      </w:r>
      <w:r>
        <w:rPr>
          <w:rFonts w:ascii="Times New Roman" w:eastAsia="Times New Roman" w:hAnsi="Times New Roman" w:cs="Times New Roman"/>
          <w:sz w:val="21"/>
        </w:rPr>
        <w:t>vide the basis for ascertaining traces or fully-</w:t>
      </w:r>
      <w:r>
        <w:rPr>
          <w:sz w:val="21"/>
        </w:rPr>
        <w:t>fl</w:t>
      </w:r>
      <w:r>
        <w:rPr>
          <w:rFonts w:ascii="Times New Roman" w:eastAsia="Times New Roman" w:hAnsi="Times New Roman" w:cs="Times New Roman"/>
          <w:sz w:val="21"/>
        </w:rPr>
        <w:t xml:space="preserve">edged evidence of genocide as it occurs, clearing the way for prosecution in the interest of international justice. The main data source was the atrocities documentation survey commission in 2004 by the US </w:t>
      </w:r>
      <w:r>
        <w:rPr>
          <w:rFonts w:ascii="Times New Roman" w:eastAsia="Times New Roman" w:hAnsi="Times New Roman" w:cs="Times New Roman"/>
          <w:sz w:val="21"/>
        </w:rPr>
        <w:t xml:space="preserve">Department of State, which interviewed randomly chosen Darfuri refugees in Chad. From interviews with 1,136 refugees </w:t>
      </w:r>
      <w:r>
        <w:rPr>
          <w:sz w:val="21"/>
        </w:rPr>
        <w:t xml:space="preserve">– </w:t>
      </w:r>
      <w:r>
        <w:rPr>
          <w:rFonts w:ascii="Times New Roman" w:eastAsia="Times New Roman" w:hAnsi="Times New Roman" w:cs="Times New Roman"/>
          <w:sz w:val="21"/>
        </w:rPr>
        <w:t xml:space="preserve">a statistically valid sample of the 2.2 million Darfuris affected by the violence </w:t>
      </w:r>
      <w:r>
        <w:rPr>
          <w:sz w:val="21"/>
        </w:rPr>
        <w:t xml:space="preserve">– </w:t>
      </w:r>
      <w:r>
        <w:rPr>
          <w:rFonts w:ascii="Times New Roman" w:eastAsia="Times New Roman" w:hAnsi="Times New Roman" w:cs="Times New Roman"/>
          <w:sz w:val="21"/>
        </w:rPr>
        <w:t>interviewers coded up to twenty crime incidents per h</w:t>
      </w:r>
      <w:r>
        <w:rPr>
          <w:rFonts w:ascii="Times New Roman" w:eastAsia="Times New Roman" w:hAnsi="Times New Roman" w:cs="Times New Roman"/>
          <w:sz w:val="21"/>
        </w:rPr>
        <w:t>ousehold in suf</w:t>
      </w:r>
      <w:r>
        <w:rPr>
          <w:sz w:val="21"/>
        </w:rPr>
        <w:t>fi</w:t>
      </w:r>
      <w:r>
        <w:rPr>
          <w:rFonts w:ascii="Times New Roman" w:eastAsia="Times New Roman" w:hAnsi="Times New Roman" w:cs="Times New Roman"/>
          <w:sz w:val="21"/>
        </w:rPr>
        <w:t>cient detail to support potential courtroom claims. The atrocities documentation survey (ADS) refugee interviews showed that: 81 per cent of respondents reported that their village was destroyed; 80 per cent that their livestock was stolen</w:t>
      </w:r>
      <w:r>
        <w:rPr>
          <w:rFonts w:ascii="Times New Roman" w:eastAsia="Times New Roman" w:hAnsi="Times New Roman" w:cs="Times New Roman"/>
          <w:sz w:val="21"/>
        </w:rPr>
        <w:t xml:space="preserve">; 67 per cent had witnessed or experienced aerial bombing, 61 per cent reported the killing of a family member and 33 per cent reported hearing racial epithets during attacks. Hagan performed a statistical analysis on the ADS interviews. By using research </w:t>
      </w:r>
      <w:r>
        <w:rPr>
          <w:rFonts w:ascii="Times New Roman" w:eastAsia="Times New Roman" w:hAnsi="Times New Roman" w:cs="Times New Roman"/>
          <w:sz w:val="21"/>
        </w:rPr>
        <w:t xml:space="preserve">tools standard in sociology and criminology (such as survey research, </w:t>
      </w:r>
      <w:r>
        <w:rPr>
          <w:sz w:val="21"/>
        </w:rPr>
        <w:t>fi</w:t>
      </w:r>
      <w:r>
        <w:rPr>
          <w:rFonts w:ascii="Times New Roman" w:eastAsia="Times New Roman" w:hAnsi="Times New Roman" w:cs="Times New Roman"/>
          <w:sz w:val="21"/>
        </w:rPr>
        <w:t>eld research) he extracted and quanti</w:t>
      </w:r>
      <w:r>
        <w:rPr>
          <w:sz w:val="21"/>
        </w:rPr>
        <w:t>fi</w:t>
      </w:r>
      <w:r>
        <w:rPr>
          <w:rFonts w:ascii="Times New Roman" w:eastAsia="Times New Roman" w:hAnsi="Times New Roman" w:cs="Times New Roman"/>
          <w:sz w:val="21"/>
        </w:rPr>
        <w:t xml:space="preserve">ed data from the interviews allowing him to identify patterns of violence. By performing hierarchical linear modelling on these </w:t>
      </w:r>
      <w:proofErr w:type="gramStart"/>
      <w:r>
        <w:rPr>
          <w:rFonts w:ascii="Times New Roman" w:eastAsia="Times New Roman" w:hAnsi="Times New Roman" w:cs="Times New Roman"/>
          <w:sz w:val="21"/>
        </w:rPr>
        <w:t>statistics</w:t>
      </w:r>
      <w:proofErr w:type="gramEnd"/>
      <w:r>
        <w:rPr>
          <w:rFonts w:ascii="Times New Roman" w:eastAsia="Times New Roman" w:hAnsi="Times New Roman" w:cs="Times New Roman"/>
          <w:sz w:val="21"/>
        </w:rPr>
        <w:t xml:space="preserve"> the researcher was able to document the nature, timing and circumstances of the attacks and most importantly to deter</w:t>
      </w:r>
      <w:r>
        <w:rPr>
          <w:rFonts w:ascii="Times New Roman" w:eastAsia="Times New Roman" w:hAnsi="Times New Roman" w:cs="Times New Roman"/>
          <w:sz w:val="21"/>
        </w:rPr>
        <w:t>mine the intent of the attackers. The statistical analysis revealed that racial epithets were more likely to be heard when government militia leaders were present at the attacks. The identi</w:t>
      </w:r>
      <w:r>
        <w:rPr>
          <w:sz w:val="21"/>
        </w:rPr>
        <w:t>fi</w:t>
      </w:r>
      <w:r>
        <w:rPr>
          <w:rFonts w:ascii="Times New Roman" w:eastAsia="Times New Roman" w:hAnsi="Times New Roman" w:cs="Times New Roman"/>
          <w:sz w:val="21"/>
        </w:rPr>
        <w:t>cation of intent is central to determining the occurrence of geno</w:t>
      </w:r>
      <w:r>
        <w:rPr>
          <w:rFonts w:ascii="Times New Roman" w:eastAsia="Times New Roman" w:hAnsi="Times New Roman" w:cs="Times New Roman"/>
          <w:sz w:val="21"/>
        </w:rPr>
        <w:t>cide and in the eventual prosecution of those responsible.</w:t>
      </w:r>
    </w:p>
    <w:p w14:paraId="1D23EBBC" w14:textId="77777777" w:rsidR="004C57BA" w:rsidRDefault="004D4EAB">
      <w:pPr>
        <w:spacing w:after="142" w:line="249" w:lineRule="auto"/>
        <w:ind w:left="-14" w:firstLine="205"/>
        <w:jc w:val="both"/>
      </w:pPr>
      <w:r>
        <w:rPr>
          <w:rFonts w:ascii="Times New Roman" w:eastAsia="Times New Roman" w:hAnsi="Times New Roman" w:cs="Times New Roman"/>
          <w:sz w:val="21"/>
        </w:rPr>
        <w:t>The estimation of mortality rates was equally key in the aftermath of the Kosovo con</w:t>
      </w:r>
      <w:r>
        <w:rPr>
          <w:sz w:val="21"/>
        </w:rPr>
        <w:t>fl</w:t>
      </w:r>
      <w:r>
        <w:rPr>
          <w:rFonts w:ascii="Times New Roman" w:eastAsia="Times New Roman" w:hAnsi="Times New Roman" w:cs="Times New Roman"/>
          <w:sz w:val="21"/>
        </w:rPr>
        <w:t>ict. Ball and Asher employed a method known as multiple systems analysis in order to ascertain the number who h</w:t>
      </w:r>
      <w:r>
        <w:rPr>
          <w:rFonts w:ascii="Times New Roman" w:eastAsia="Times New Roman" w:hAnsi="Times New Roman" w:cs="Times New Roman"/>
          <w:sz w:val="21"/>
        </w:rPr>
        <w:t>ad died between March and June 1999, at the height of oppression.</w:t>
      </w:r>
      <w:r>
        <w:rPr>
          <w:rFonts w:ascii="Times New Roman" w:eastAsia="Times New Roman" w:hAnsi="Times New Roman" w:cs="Times New Roman"/>
          <w:sz w:val="21"/>
          <w:vertAlign w:val="superscript"/>
        </w:rPr>
        <w:footnoteReference w:id="21"/>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 xml:space="preserve">Their work was in fact </w:t>
      </w:r>
      <w:r>
        <w:rPr>
          <w:rFonts w:ascii="Times New Roman" w:eastAsia="Times New Roman" w:hAnsi="Times New Roman" w:cs="Times New Roman"/>
          <w:sz w:val="21"/>
        </w:rPr>
        <w:lastRenderedPageBreak/>
        <w:t>part of an effort to determine whether the regime of Slobodan Milosevic had orchestrated the alleged forced migration and killings of ethnic Albanians during the cru</w:t>
      </w:r>
      <w:r>
        <w:rPr>
          <w:rFonts w:ascii="Times New Roman" w:eastAsia="Times New Roman" w:hAnsi="Times New Roman" w:cs="Times New Roman"/>
          <w:sz w:val="21"/>
        </w:rPr>
        <w:t>cial time. The idea was that they would be called in as expert witnesses in the prosecution</w:t>
      </w:r>
      <w:r>
        <w:rPr>
          <w:sz w:val="21"/>
        </w:rPr>
        <w:t>’</w:t>
      </w:r>
      <w:r>
        <w:rPr>
          <w:rFonts w:ascii="Times New Roman" w:eastAsia="Times New Roman" w:hAnsi="Times New Roman" w:cs="Times New Roman"/>
          <w:sz w:val="21"/>
        </w:rPr>
        <w:t>s case against the former Yugoslav leader. Their study consisted of a statistical survey measuring patterns of death and migration in relation to NATO airstrikes an</w:t>
      </w:r>
      <w:r>
        <w:rPr>
          <w:rFonts w:ascii="Times New Roman" w:eastAsia="Times New Roman" w:hAnsi="Times New Roman" w:cs="Times New Roman"/>
          <w:sz w:val="21"/>
        </w:rPr>
        <w:t>d the military activities of the Kosovo Liberation Army. This was assessed against similar data from the ethnic Albanian community. The researchers employed multiple system estimation to decipher their data. Much of this was readily available from a pletho</w:t>
      </w:r>
      <w:r>
        <w:rPr>
          <w:rFonts w:ascii="Times New Roman" w:eastAsia="Times New Roman" w:hAnsi="Times New Roman" w:cs="Times New Roman"/>
          <w:sz w:val="21"/>
        </w:rPr>
        <w:t>ra of sources, namely:</w:t>
      </w:r>
    </w:p>
    <w:p w14:paraId="06175508" w14:textId="77777777" w:rsidR="004C57BA" w:rsidRDefault="004D4EAB" w:rsidP="004D4EAB">
      <w:pPr>
        <w:numPr>
          <w:ilvl w:val="0"/>
          <w:numId w:val="5"/>
        </w:numPr>
        <w:spacing w:after="44" w:line="249" w:lineRule="auto"/>
        <w:ind w:hanging="357"/>
        <w:jc w:val="both"/>
      </w:pPr>
      <w:r>
        <w:rPr>
          <w:rFonts w:ascii="Times New Roman" w:eastAsia="Times New Roman" w:hAnsi="Times New Roman" w:cs="Times New Roman"/>
          <w:sz w:val="21"/>
        </w:rPr>
        <w:t>an ABA survey with 1,674 interviews with ethnic Albanian refugees;</w:t>
      </w:r>
      <w:r>
        <w:rPr>
          <w:rFonts w:ascii="Times New Roman" w:eastAsia="Times New Roman" w:hAnsi="Times New Roman" w:cs="Times New Roman"/>
          <w:sz w:val="21"/>
          <w:vertAlign w:val="superscript"/>
        </w:rPr>
        <w:footnoteReference w:id="22"/>
      </w:r>
    </w:p>
    <w:p w14:paraId="4825BD31" w14:textId="77777777" w:rsidR="004C57BA" w:rsidRDefault="004D4EAB" w:rsidP="004D4EAB">
      <w:pPr>
        <w:numPr>
          <w:ilvl w:val="0"/>
          <w:numId w:val="5"/>
        </w:numPr>
        <w:spacing w:after="4" w:line="249" w:lineRule="auto"/>
        <w:ind w:hanging="357"/>
        <w:jc w:val="both"/>
      </w:pPr>
      <w:r>
        <w:rPr>
          <w:rFonts w:ascii="Times New Roman" w:eastAsia="Times New Roman" w:hAnsi="Times New Roman" w:cs="Times New Roman"/>
          <w:sz w:val="21"/>
        </w:rPr>
        <w:t xml:space="preserve">exhumations carried out on behalf of the International Criminal Tribunal for the former Yugoslavia (ICTY) by multinational forces using the latest forensic </w:t>
      </w:r>
      <w:proofErr w:type="gramStart"/>
      <w:r>
        <w:rPr>
          <w:rFonts w:ascii="Times New Roman" w:eastAsia="Times New Roman" w:hAnsi="Times New Roman" w:cs="Times New Roman"/>
          <w:sz w:val="21"/>
        </w:rPr>
        <w:t>technology;</w:t>
      </w:r>
      <w:proofErr w:type="gramEnd"/>
    </w:p>
    <w:p w14:paraId="6AD7DDDC" w14:textId="77777777" w:rsidR="004C57BA" w:rsidRDefault="004D4EAB" w:rsidP="004D4EAB">
      <w:pPr>
        <w:numPr>
          <w:ilvl w:val="0"/>
          <w:numId w:val="5"/>
        </w:numPr>
        <w:spacing w:after="4" w:line="249" w:lineRule="auto"/>
        <w:ind w:hanging="357"/>
        <w:jc w:val="both"/>
      </w:pPr>
      <w:r>
        <w:rPr>
          <w:rFonts w:ascii="Times New Roman" w:eastAsia="Times New Roman" w:hAnsi="Times New Roman" w:cs="Times New Roman"/>
          <w:sz w:val="21"/>
        </w:rPr>
        <w:t>surveys by non-governmental organizations (NGOs), again through narrative-based question</w:t>
      </w:r>
      <w:r>
        <w:rPr>
          <w:rFonts w:ascii="Times New Roman" w:eastAsia="Times New Roman" w:hAnsi="Times New Roman" w:cs="Times New Roman"/>
          <w:sz w:val="21"/>
        </w:rPr>
        <w:t xml:space="preserve">naires whose purpose clearly is not to elicit the kind of information that would be useful to the prosecutorial authorities. A Human Rights Watch survey covered 337 interviews and a total of 1,717 </w:t>
      </w:r>
      <w:proofErr w:type="gramStart"/>
      <w:r>
        <w:rPr>
          <w:rFonts w:ascii="Times New Roman" w:eastAsia="Times New Roman" w:hAnsi="Times New Roman" w:cs="Times New Roman"/>
          <w:sz w:val="21"/>
        </w:rPr>
        <w:t>incidents;</w:t>
      </w:r>
      <w:proofErr w:type="gramEnd"/>
      <w:r>
        <w:rPr>
          <w:rFonts w:ascii="Times New Roman" w:eastAsia="Times New Roman" w:hAnsi="Times New Roman" w:cs="Times New Roman"/>
          <w:sz w:val="21"/>
        </w:rPr>
        <w:t xml:space="preserve"> and</w:t>
      </w:r>
    </w:p>
    <w:p w14:paraId="766731B0" w14:textId="77777777" w:rsidR="004C57BA" w:rsidRDefault="004D4EAB" w:rsidP="004D4EAB">
      <w:pPr>
        <w:numPr>
          <w:ilvl w:val="0"/>
          <w:numId w:val="5"/>
        </w:numPr>
        <w:spacing w:after="526" w:line="249" w:lineRule="auto"/>
        <w:ind w:hanging="357"/>
        <w:jc w:val="both"/>
      </w:pPr>
      <w:r>
        <w:rPr>
          <w:rFonts w:ascii="Times New Roman" w:eastAsia="Times New Roman" w:hAnsi="Times New Roman" w:cs="Times New Roman"/>
          <w:sz w:val="21"/>
        </w:rPr>
        <w:t>surveys by intergovernmental organizations.</w:t>
      </w:r>
      <w:r>
        <w:rPr>
          <w:rFonts w:ascii="Times New Roman" w:eastAsia="Times New Roman" w:hAnsi="Times New Roman" w:cs="Times New Roman"/>
          <w:sz w:val="21"/>
          <w:vertAlign w:val="superscript"/>
        </w:rPr>
        <w:footnoteReference w:id="23"/>
      </w:r>
    </w:p>
    <w:p w14:paraId="6FEA1503" w14:textId="77777777" w:rsidR="004C57BA" w:rsidRDefault="004D4EAB">
      <w:pPr>
        <w:spacing w:after="93"/>
        <w:ind w:left="774" w:right="764" w:hanging="10"/>
        <w:jc w:val="center"/>
      </w:pPr>
      <w:r>
        <w:t>Studying perpetrators</w:t>
      </w:r>
    </w:p>
    <w:p w14:paraId="0234F979" w14:textId="77777777" w:rsidR="004C57BA" w:rsidRDefault="004D4EAB">
      <w:pPr>
        <w:spacing w:after="51" w:line="249" w:lineRule="auto"/>
        <w:ind w:left="-14"/>
        <w:jc w:val="both"/>
      </w:pPr>
      <w:r>
        <w:rPr>
          <w:rFonts w:ascii="Times New Roman" w:eastAsia="Times New Roman" w:hAnsi="Times New Roman" w:cs="Times New Roman"/>
          <w:sz w:val="21"/>
        </w:rPr>
        <w:t xml:space="preserve">Studies on perpetrators attempt to explain why certain people offend, what are their individual characteristics, all with a view to understanding why ordinary people commit gross violations of human rights. Studying the </w:t>
      </w:r>
      <w:proofErr w:type="spellStart"/>
      <w:r>
        <w:rPr>
          <w:rFonts w:ascii="Times New Roman" w:eastAsia="Times New Roman" w:hAnsi="Times New Roman" w:cs="Times New Roman"/>
          <w:sz w:val="21"/>
        </w:rPr>
        <w:t>etiology</w:t>
      </w:r>
      <w:proofErr w:type="spellEnd"/>
      <w:r>
        <w:rPr>
          <w:rFonts w:ascii="Times New Roman" w:eastAsia="Times New Roman" w:hAnsi="Times New Roman" w:cs="Times New Roman"/>
          <w:sz w:val="21"/>
        </w:rPr>
        <w:t xml:space="preserve"> of </w:t>
      </w:r>
      <w:r>
        <w:rPr>
          <w:rFonts w:ascii="Times New Roman" w:eastAsia="Times New Roman" w:hAnsi="Times New Roman" w:cs="Times New Roman"/>
          <w:sz w:val="21"/>
        </w:rPr>
        <w:t>international crimes can reveal motives and background characteristics of the perpetrators and it is an area where both qualitative and quantitative research may be relevant. In social science research this can be done by conducting offender interviews, or</w:t>
      </w:r>
      <w:r>
        <w:rPr>
          <w:rFonts w:ascii="Times New Roman" w:eastAsia="Times New Roman" w:hAnsi="Times New Roman" w:cs="Times New Roman"/>
          <w:sz w:val="21"/>
        </w:rPr>
        <w:t xml:space="preserve"> collecting information from court </w:t>
      </w:r>
      <w:r>
        <w:rPr>
          <w:sz w:val="21"/>
        </w:rPr>
        <w:t>fi</w:t>
      </w:r>
      <w:r>
        <w:rPr>
          <w:rFonts w:ascii="Times New Roman" w:eastAsia="Times New Roman" w:hAnsi="Times New Roman" w:cs="Times New Roman"/>
          <w:sz w:val="21"/>
        </w:rPr>
        <w:t xml:space="preserve">les. For example, </w:t>
      </w:r>
      <w:proofErr w:type="spellStart"/>
      <w:r>
        <w:rPr>
          <w:rFonts w:ascii="Times New Roman" w:eastAsia="Times New Roman" w:hAnsi="Times New Roman" w:cs="Times New Roman"/>
          <w:sz w:val="21"/>
        </w:rPr>
        <w:t>Verwimp</w:t>
      </w:r>
      <w:r>
        <w:rPr>
          <w:sz w:val="21"/>
        </w:rPr>
        <w:t>’</w:t>
      </w:r>
      <w:r>
        <w:rPr>
          <w:rFonts w:ascii="Times New Roman" w:eastAsia="Times New Roman" w:hAnsi="Times New Roman" w:cs="Times New Roman"/>
          <w:sz w:val="21"/>
        </w:rPr>
        <w:t>s</w:t>
      </w:r>
      <w:proofErr w:type="spellEnd"/>
      <w:r>
        <w:rPr>
          <w:rFonts w:ascii="Times New Roman" w:eastAsia="Times New Roman" w:hAnsi="Times New Roman" w:cs="Times New Roman"/>
          <w:sz w:val="21"/>
        </w:rPr>
        <w:t xml:space="preserve"> research regarding the pro</w:t>
      </w:r>
      <w:r>
        <w:rPr>
          <w:sz w:val="21"/>
        </w:rPr>
        <w:t>fi</w:t>
      </w:r>
      <w:r>
        <w:rPr>
          <w:rFonts w:ascii="Times New Roman" w:eastAsia="Times New Roman" w:hAnsi="Times New Roman" w:cs="Times New Roman"/>
          <w:sz w:val="21"/>
        </w:rPr>
        <w:t>le of perpetrators in Rwanda was a quantitative study of the economic pro</w:t>
      </w:r>
      <w:r>
        <w:rPr>
          <w:sz w:val="21"/>
        </w:rPr>
        <w:t>fi</w:t>
      </w:r>
      <w:r>
        <w:rPr>
          <w:rFonts w:ascii="Times New Roman" w:eastAsia="Times New Roman" w:hAnsi="Times New Roman" w:cs="Times New Roman"/>
          <w:sz w:val="21"/>
        </w:rPr>
        <w:t xml:space="preserve">le of </w:t>
      </w:r>
      <w:r>
        <w:rPr>
          <w:rFonts w:ascii="Times New Roman" w:eastAsia="Times New Roman" w:hAnsi="Times New Roman" w:cs="Times New Roman"/>
          <w:sz w:val="21"/>
        </w:rPr>
        <w:lastRenderedPageBreak/>
        <w:t>perpetrators based on administrative records and using multivariate analysis techn</w:t>
      </w:r>
      <w:r>
        <w:rPr>
          <w:rFonts w:ascii="Times New Roman" w:eastAsia="Times New Roman" w:hAnsi="Times New Roman" w:cs="Times New Roman"/>
          <w:sz w:val="21"/>
        </w:rPr>
        <w:t>iques.</w:t>
      </w:r>
      <w:r>
        <w:rPr>
          <w:rFonts w:ascii="Times New Roman" w:eastAsia="Times New Roman" w:hAnsi="Times New Roman" w:cs="Times New Roman"/>
          <w:sz w:val="21"/>
          <w:vertAlign w:val="superscript"/>
        </w:rPr>
        <w:footnoteReference w:id="24"/>
      </w:r>
    </w:p>
    <w:p w14:paraId="4553414B" w14:textId="77777777" w:rsidR="004C57BA" w:rsidRDefault="004D4EAB">
      <w:pPr>
        <w:spacing w:after="51" w:line="249" w:lineRule="auto"/>
        <w:ind w:left="-14" w:firstLine="205"/>
        <w:jc w:val="both"/>
      </w:pPr>
      <w:r>
        <w:rPr>
          <w:rFonts w:ascii="Times New Roman" w:eastAsia="Times New Roman" w:hAnsi="Times New Roman" w:cs="Times New Roman"/>
          <w:sz w:val="21"/>
        </w:rPr>
        <w:t>Qualitative studies are also relevant in researching perpetrators and, despite the dif</w:t>
      </w:r>
      <w:r>
        <w:rPr>
          <w:sz w:val="21"/>
        </w:rPr>
        <w:t>fi</w:t>
      </w:r>
      <w:r>
        <w:rPr>
          <w:rFonts w:ascii="Times New Roman" w:eastAsia="Times New Roman" w:hAnsi="Times New Roman" w:cs="Times New Roman"/>
          <w:sz w:val="21"/>
        </w:rPr>
        <w:t>culties involved in conducting ethnographic research on international crimes, it is a method that has proven to produce valuable results. Ethnographic research</w:t>
      </w:r>
      <w:r>
        <w:rPr>
          <w:rFonts w:ascii="Times New Roman" w:eastAsia="Times New Roman" w:hAnsi="Times New Roman" w:cs="Times New Roman"/>
          <w:sz w:val="21"/>
        </w:rPr>
        <w:t xml:space="preserve"> means that the researcher </w:t>
      </w:r>
      <w:r>
        <w:rPr>
          <w:sz w:val="21"/>
        </w:rPr>
        <w:t>‘</w:t>
      </w:r>
      <w:r>
        <w:rPr>
          <w:rFonts w:ascii="Times New Roman" w:eastAsia="Times New Roman" w:hAnsi="Times New Roman" w:cs="Times New Roman"/>
          <w:sz w:val="21"/>
        </w:rPr>
        <w:t>gets close</w:t>
      </w:r>
      <w:r>
        <w:rPr>
          <w:sz w:val="21"/>
        </w:rPr>
        <w:t xml:space="preserve">’ </w:t>
      </w:r>
      <w:r>
        <w:rPr>
          <w:rFonts w:ascii="Times New Roman" w:eastAsia="Times New Roman" w:hAnsi="Times New Roman" w:cs="Times New Roman"/>
          <w:sz w:val="21"/>
        </w:rPr>
        <w:t>to people</w:t>
      </w:r>
      <w:r>
        <w:rPr>
          <w:sz w:val="21"/>
        </w:rPr>
        <w:t>’</w:t>
      </w:r>
      <w:r>
        <w:rPr>
          <w:rFonts w:ascii="Times New Roman" w:eastAsia="Times New Roman" w:hAnsi="Times New Roman" w:cs="Times New Roman"/>
          <w:sz w:val="21"/>
        </w:rPr>
        <w:t xml:space="preserve">s everyday experiences </w:t>
      </w:r>
      <w:r>
        <w:rPr>
          <w:sz w:val="21"/>
        </w:rPr>
        <w:t>‘</w:t>
      </w:r>
      <w:r>
        <w:rPr>
          <w:rFonts w:ascii="Times New Roman" w:eastAsia="Times New Roman" w:hAnsi="Times New Roman" w:cs="Times New Roman"/>
          <w:sz w:val="21"/>
        </w:rPr>
        <w:t>through exposure to or involvement in the day-to-day or routine activities of participants in the research setting</w:t>
      </w:r>
      <w:r>
        <w:rPr>
          <w:sz w:val="21"/>
        </w:rPr>
        <w:t>’</w:t>
      </w:r>
      <w:r>
        <w:rPr>
          <w:rFonts w:ascii="Times New Roman" w:eastAsia="Times New Roman" w:hAnsi="Times New Roman" w:cs="Times New Roman"/>
          <w:sz w:val="21"/>
        </w:rPr>
        <w:t>.</w:t>
      </w:r>
      <w:r>
        <w:rPr>
          <w:rFonts w:ascii="Times New Roman" w:eastAsia="Times New Roman" w:hAnsi="Times New Roman" w:cs="Times New Roman"/>
          <w:sz w:val="21"/>
          <w:vertAlign w:val="superscript"/>
        </w:rPr>
        <w:footnoteReference w:id="25"/>
      </w:r>
      <w:r>
        <w:rPr>
          <w:rFonts w:ascii="Times New Roman" w:eastAsia="Times New Roman" w:hAnsi="Times New Roman" w:cs="Times New Roman"/>
          <w:sz w:val="21"/>
        </w:rPr>
        <w:t>A study conducted by Peters used semi-structured interviews in o</w:t>
      </w:r>
      <w:r>
        <w:rPr>
          <w:rFonts w:ascii="Times New Roman" w:eastAsia="Times New Roman" w:hAnsi="Times New Roman" w:cs="Times New Roman"/>
          <w:sz w:val="21"/>
        </w:rPr>
        <w:t xml:space="preserve">rder to examine child soldiers in Sierra Leone. The researcher lived with his subjects and engaged in activities such as soccer and likewise used a nonquantitative ethnographic research. He conducted interviews in more quiet periods and in areas where the </w:t>
      </w:r>
      <w:r>
        <w:rPr>
          <w:rFonts w:ascii="Times New Roman" w:eastAsia="Times New Roman" w:hAnsi="Times New Roman" w:cs="Times New Roman"/>
          <w:sz w:val="21"/>
        </w:rPr>
        <w:t>con</w:t>
      </w:r>
      <w:r>
        <w:rPr>
          <w:sz w:val="21"/>
        </w:rPr>
        <w:t>fl</w:t>
      </w:r>
      <w:r>
        <w:rPr>
          <w:rFonts w:ascii="Times New Roman" w:eastAsia="Times New Roman" w:hAnsi="Times New Roman" w:cs="Times New Roman"/>
          <w:sz w:val="21"/>
        </w:rPr>
        <w:t>ict was ongoing, as well as after it had ended.</w:t>
      </w:r>
      <w:r>
        <w:rPr>
          <w:rFonts w:ascii="Times New Roman" w:eastAsia="Times New Roman" w:hAnsi="Times New Roman" w:cs="Times New Roman"/>
          <w:sz w:val="21"/>
          <w:vertAlign w:val="superscript"/>
        </w:rPr>
        <w:t xml:space="preserve">48 </w:t>
      </w:r>
      <w:r>
        <w:rPr>
          <w:rFonts w:ascii="Times New Roman" w:eastAsia="Times New Roman" w:hAnsi="Times New Roman" w:cs="Times New Roman"/>
          <w:sz w:val="21"/>
        </w:rPr>
        <w:t xml:space="preserve">This approach provided more details and rich data and as Peters pointed out qualitative data should preferably be gauged against quantitative representative </w:t>
      </w:r>
      <w:r>
        <w:rPr>
          <w:sz w:val="21"/>
        </w:rPr>
        <w:t>fi</w:t>
      </w:r>
      <w:r>
        <w:rPr>
          <w:rFonts w:ascii="Times New Roman" w:eastAsia="Times New Roman" w:hAnsi="Times New Roman" w:cs="Times New Roman"/>
          <w:sz w:val="21"/>
        </w:rPr>
        <w:t>ndings if these are available.</w:t>
      </w:r>
      <w:r>
        <w:rPr>
          <w:rFonts w:ascii="Times New Roman" w:eastAsia="Times New Roman" w:hAnsi="Times New Roman" w:cs="Times New Roman"/>
          <w:sz w:val="21"/>
          <w:vertAlign w:val="superscript"/>
        </w:rPr>
        <w:t xml:space="preserve">49 </w:t>
      </w:r>
      <w:r>
        <w:rPr>
          <w:rFonts w:ascii="Times New Roman" w:eastAsia="Times New Roman" w:hAnsi="Times New Roman" w:cs="Times New Roman"/>
          <w:sz w:val="21"/>
        </w:rPr>
        <w:t>Peters fu</w:t>
      </w:r>
      <w:r>
        <w:rPr>
          <w:rFonts w:ascii="Times New Roman" w:eastAsia="Times New Roman" w:hAnsi="Times New Roman" w:cs="Times New Roman"/>
          <w:sz w:val="21"/>
        </w:rPr>
        <w:t xml:space="preserve">rther noted several pitfalls associated with this type of </w:t>
      </w:r>
      <w:r>
        <w:rPr>
          <w:sz w:val="21"/>
        </w:rPr>
        <w:t>fi</w:t>
      </w:r>
      <w:r>
        <w:rPr>
          <w:rFonts w:ascii="Times New Roman" w:eastAsia="Times New Roman" w:hAnsi="Times New Roman" w:cs="Times New Roman"/>
          <w:sz w:val="21"/>
        </w:rPr>
        <w:t>eldwork, questioning whether the researcher can be certain that the subjects are telling the truth. Quantitative gauging may safeguard against such risks, with a possible option being the techniqu</w:t>
      </w:r>
      <w:r>
        <w:rPr>
          <w:rFonts w:ascii="Times New Roman" w:eastAsia="Times New Roman" w:hAnsi="Times New Roman" w:cs="Times New Roman"/>
          <w:sz w:val="21"/>
        </w:rPr>
        <w:t>e of triangulation, whereby the sincerity of an informant, even if ultimately prosecuted, is guaranteed by offering him or her complete anonymity using repeat interviewing and covering topics from different angles.</w:t>
      </w:r>
      <w:r>
        <w:rPr>
          <w:rFonts w:ascii="Times New Roman" w:eastAsia="Times New Roman" w:hAnsi="Times New Roman" w:cs="Times New Roman"/>
          <w:sz w:val="21"/>
          <w:vertAlign w:val="superscript"/>
        </w:rPr>
        <w:t>50</w:t>
      </w:r>
    </w:p>
    <w:p w14:paraId="25FCA5C7" w14:textId="77777777" w:rsidR="004C57BA" w:rsidRDefault="004D4EAB">
      <w:pPr>
        <w:spacing w:after="41" w:line="249" w:lineRule="auto"/>
        <w:ind w:left="-14" w:firstLine="205"/>
        <w:jc w:val="both"/>
      </w:pPr>
      <w:r>
        <w:rPr>
          <w:rFonts w:ascii="Times New Roman" w:eastAsia="Times New Roman" w:hAnsi="Times New Roman" w:cs="Times New Roman"/>
          <w:sz w:val="21"/>
        </w:rPr>
        <w:t xml:space="preserve">Qualitative research methods offer the </w:t>
      </w:r>
      <w:r>
        <w:rPr>
          <w:rFonts w:ascii="Times New Roman" w:eastAsia="Times New Roman" w:hAnsi="Times New Roman" w:cs="Times New Roman"/>
          <w:sz w:val="21"/>
        </w:rPr>
        <w:t xml:space="preserve">advantage of paying closer attention to dynamic social contexts through the medium of interviews. One challenge is that the </w:t>
      </w:r>
      <w:r>
        <w:rPr>
          <w:sz w:val="21"/>
        </w:rPr>
        <w:t>fi</w:t>
      </w:r>
      <w:r>
        <w:rPr>
          <w:rFonts w:ascii="Times New Roman" w:eastAsia="Times New Roman" w:hAnsi="Times New Roman" w:cs="Times New Roman"/>
          <w:sz w:val="21"/>
        </w:rPr>
        <w:t>ndings from qualitative work tend to be less generalizable because they are context speci</w:t>
      </w:r>
      <w:r>
        <w:rPr>
          <w:sz w:val="21"/>
        </w:rPr>
        <w:t>fi</w:t>
      </w:r>
      <w:r>
        <w:rPr>
          <w:rFonts w:ascii="Times New Roman" w:eastAsia="Times New Roman" w:hAnsi="Times New Roman" w:cs="Times New Roman"/>
          <w:sz w:val="21"/>
        </w:rPr>
        <w:t>c. In addition, qualitative work may be</w:t>
      </w:r>
      <w:r>
        <w:rPr>
          <w:rFonts w:ascii="Times New Roman" w:eastAsia="Times New Roman" w:hAnsi="Times New Roman" w:cs="Times New Roman"/>
          <w:sz w:val="21"/>
        </w:rPr>
        <w:t xml:space="preserve"> viewed as untrustworthy because it re</w:t>
      </w:r>
      <w:r>
        <w:rPr>
          <w:sz w:val="21"/>
        </w:rPr>
        <w:t>fl</w:t>
      </w:r>
      <w:r>
        <w:rPr>
          <w:rFonts w:ascii="Times New Roman" w:eastAsia="Times New Roman" w:hAnsi="Times New Roman" w:cs="Times New Roman"/>
          <w:sz w:val="21"/>
        </w:rPr>
        <w:t>ects the normative predispositions of the observer or of the people interviewed by the researcher.</w:t>
      </w:r>
      <w:r>
        <w:rPr>
          <w:rFonts w:ascii="Times New Roman" w:eastAsia="Times New Roman" w:hAnsi="Times New Roman" w:cs="Times New Roman"/>
          <w:sz w:val="21"/>
          <w:vertAlign w:val="superscript"/>
        </w:rPr>
        <w:t xml:space="preserve">51 </w:t>
      </w:r>
      <w:r>
        <w:rPr>
          <w:rFonts w:ascii="Times New Roman" w:eastAsia="Times New Roman" w:hAnsi="Times New Roman" w:cs="Times New Roman"/>
          <w:sz w:val="21"/>
        </w:rPr>
        <w:t>The dif</w:t>
      </w:r>
      <w:r>
        <w:rPr>
          <w:sz w:val="21"/>
        </w:rPr>
        <w:t>fi</w:t>
      </w:r>
      <w:r>
        <w:rPr>
          <w:rFonts w:ascii="Times New Roman" w:eastAsia="Times New Roman" w:hAnsi="Times New Roman" w:cs="Times New Roman"/>
          <w:sz w:val="21"/>
        </w:rPr>
        <w:t>culties in collecting empirical data in terms of accessing people in order to conduct interviews,</w:t>
      </w:r>
      <w:r>
        <w:rPr>
          <w:rFonts w:ascii="Times New Roman" w:eastAsia="Times New Roman" w:hAnsi="Times New Roman" w:cs="Times New Roman"/>
          <w:sz w:val="21"/>
          <w:vertAlign w:val="superscript"/>
        </w:rPr>
        <w:t xml:space="preserve">52 </w:t>
      </w:r>
      <w:r>
        <w:rPr>
          <w:rFonts w:ascii="Times New Roman" w:eastAsia="Times New Roman" w:hAnsi="Times New Roman" w:cs="Times New Roman"/>
          <w:sz w:val="21"/>
        </w:rPr>
        <w:t>and the emotive nature of international crimes, have been suggested as the main obstacles in conducting primary research and ultimately relying on qualitati</w:t>
      </w:r>
      <w:r>
        <w:rPr>
          <w:rFonts w:ascii="Times New Roman" w:eastAsia="Times New Roman" w:hAnsi="Times New Roman" w:cs="Times New Roman"/>
          <w:sz w:val="21"/>
        </w:rPr>
        <w:t xml:space="preserve">ve data. Ideological constraints on international crimes research relate to preconceptions rooted in the demonization of international crimes, </w:t>
      </w:r>
      <w:r>
        <w:rPr>
          <w:rFonts w:ascii="Times New Roman" w:eastAsia="Times New Roman" w:hAnsi="Times New Roman" w:cs="Times New Roman"/>
          <w:sz w:val="21"/>
        </w:rPr>
        <w:lastRenderedPageBreak/>
        <w:t>whereby those committing mass atrocities may be viewed as not being worthy to be heard, under the assumption that</w:t>
      </w:r>
      <w:r>
        <w:rPr>
          <w:rFonts w:ascii="Times New Roman" w:eastAsia="Times New Roman" w:hAnsi="Times New Roman" w:cs="Times New Roman"/>
          <w:sz w:val="21"/>
        </w:rPr>
        <w:t xml:space="preserve"> they will be disposed to lie and so the argument goes that it is preferable to hear what the government and its representatives, such as the police, have to say. This position is no doubt questioned in that interviews give a voice to real actors, allowing</w:t>
      </w:r>
      <w:r>
        <w:rPr>
          <w:rFonts w:ascii="Times New Roman" w:eastAsia="Times New Roman" w:hAnsi="Times New Roman" w:cs="Times New Roman"/>
          <w:sz w:val="21"/>
        </w:rPr>
        <w:t xml:space="preserve"> them to speak freely from their own experiences and convey their conceptions in their own words.</w:t>
      </w:r>
      <w:r>
        <w:rPr>
          <w:rFonts w:ascii="Times New Roman" w:eastAsia="Times New Roman" w:hAnsi="Times New Roman" w:cs="Times New Roman"/>
          <w:sz w:val="21"/>
          <w:vertAlign w:val="superscript"/>
        </w:rPr>
        <w:t xml:space="preserve">53 </w:t>
      </w:r>
      <w:r>
        <w:rPr>
          <w:rFonts w:ascii="Times New Roman" w:eastAsia="Times New Roman" w:hAnsi="Times New Roman" w:cs="Times New Roman"/>
          <w:sz w:val="21"/>
        </w:rPr>
        <w:t>The perpetrators of international crimes may differ in their motives and the roles they play in a particular case. Qualitative research methods may assist i</w:t>
      </w:r>
      <w:r>
        <w:rPr>
          <w:rFonts w:ascii="Times New Roman" w:eastAsia="Times New Roman" w:hAnsi="Times New Roman" w:cs="Times New Roman"/>
          <w:sz w:val="21"/>
        </w:rPr>
        <w:t>n creating a typology of perpetrators, which is a pre-requisite to administering justice fairly and imposing fair sentences that match the blameworthiness of the individual.</w:t>
      </w:r>
      <w:r>
        <w:rPr>
          <w:rFonts w:ascii="Times New Roman" w:eastAsia="Times New Roman" w:hAnsi="Times New Roman" w:cs="Times New Roman"/>
          <w:sz w:val="21"/>
          <w:vertAlign w:val="superscript"/>
        </w:rPr>
        <w:t xml:space="preserve">54 </w:t>
      </w:r>
      <w:r>
        <w:rPr>
          <w:rFonts w:ascii="Times New Roman" w:eastAsia="Times New Roman" w:hAnsi="Times New Roman" w:cs="Times New Roman"/>
          <w:sz w:val="21"/>
        </w:rPr>
        <w:t xml:space="preserve">There are </w:t>
      </w:r>
      <w:r>
        <w:rPr>
          <w:rFonts w:ascii="Times New Roman" w:eastAsia="Times New Roman" w:hAnsi="Times New Roman" w:cs="Times New Roman"/>
          <w:sz w:val="11"/>
        </w:rPr>
        <w:t>49</w:t>
      </w:r>
    </w:p>
    <w:p w14:paraId="6870915E" w14:textId="77777777" w:rsidR="004C57BA" w:rsidRDefault="004D4EAB">
      <w:pPr>
        <w:spacing w:after="35" w:line="216" w:lineRule="auto"/>
        <w:ind w:left="-15" w:right="-14" w:firstLine="206"/>
        <w:jc w:val="both"/>
      </w:pPr>
      <w:r>
        <w:rPr>
          <w:rFonts w:ascii="Times New Roman" w:eastAsia="Times New Roman" w:hAnsi="Times New Roman" w:cs="Times New Roman"/>
          <w:sz w:val="17"/>
        </w:rPr>
        <w:t>K. Peters, Footprints to Reintegration: Armed Con</w:t>
      </w:r>
      <w:r>
        <w:rPr>
          <w:sz w:val="17"/>
        </w:rPr>
        <w:t>fl</w:t>
      </w:r>
      <w:r>
        <w:rPr>
          <w:rFonts w:ascii="Times New Roman" w:eastAsia="Times New Roman" w:hAnsi="Times New Roman" w:cs="Times New Roman"/>
          <w:sz w:val="17"/>
        </w:rPr>
        <w:t xml:space="preserve">ict, </w:t>
      </w:r>
      <w:proofErr w:type="gramStart"/>
      <w:r>
        <w:rPr>
          <w:rFonts w:ascii="Times New Roman" w:eastAsia="Times New Roman" w:hAnsi="Times New Roman" w:cs="Times New Roman"/>
          <w:sz w:val="17"/>
        </w:rPr>
        <w:t>Youth</w:t>
      </w:r>
      <w:proofErr w:type="gramEnd"/>
      <w:r>
        <w:rPr>
          <w:rFonts w:ascii="Times New Roman" w:eastAsia="Times New Roman" w:hAnsi="Times New Roman" w:cs="Times New Roman"/>
          <w:sz w:val="17"/>
        </w:rPr>
        <w:t xml:space="preserve"> and t</w:t>
      </w:r>
      <w:r>
        <w:rPr>
          <w:rFonts w:ascii="Times New Roman" w:eastAsia="Times New Roman" w:hAnsi="Times New Roman" w:cs="Times New Roman"/>
          <w:sz w:val="17"/>
        </w:rPr>
        <w:t xml:space="preserve">he Rural Crisis in Sierra Leone (Wageningen University Press, 2006). </w:t>
      </w:r>
      <w:r>
        <w:rPr>
          <w:rFonts w:ascii="Times New Roman" w:eastAsia="Times New Roman" w:hAnsi="Times New Roman" w:cs="Times New Roman"/>
          <w:sz w:val="11"/>
        </w:rPr>
        <w:t xml:space="preserve">50 </w:t>
      </w:r>
      <w:r>
        <w:rPr>
          <w:rFonts w:ascii="Times New Roman" w:eastAsia="Times New Roman" w:hAnsi="Times New Roman" w:cs="Times New Roman"/>
          <w:sz w:val="17"/>
        </w:rPr>
        <w:t>Ibid.</w:t>
      </w:r>
    </w:p>
    <w:p w14:paraId="4185A754" w14:textId="77777777" w:rsidR="004C57BA" w:rsidRDefault="004D4EAB">
      <w:pPr>
        <w:spacing w:after="5" w:line="253" w:lineRule="auto"/>
        <w:ind w:left="-5" w:hanging="10"/>
        <w:jc w:val="both"/>
      </w:pPr>
      <w:r>
        <w:rPr>
          <w:rFonts w:ascii="Times New Roman" w:eastAsia="Times New Roman" w:hAnsi="Times New Roman" w:cs="Times New Roman"/>
          <w:sz w:val="17"/>
          <w:vertAlign w:val="superscript"/>
        </w:rPr>
        <w:t xml:space="preserve">51 </w:t>
      </w:r>
      <w:r>
        <w:rPr>
          <w:rFonts w:ascii="Times New Roman" w:eastAsia="Times New Roman" w:hAnsi="Times New Roman" w:cs="Times New Roman"/>
          <w:sz w:val="17"/>
        </w:rPr>
        <w:t xml:space="preserve">G. Shaffer and T. Ginsburg, </w:t>
      </w:r>
      <w:r>
        <w:rPr>
          <w:sz w:val="17"/>
        </w:rPr>
        <w:t>‘</w:t>
      </w:r>
      <w:r>
        <w:rPr>
          <w:rFonts w:ascii="Times New Roman" w:eastAsia="Times New Roman" w:hAnsi="Times New Roman" w:cs="Times New Roman"/>
          <w:sz w:val="17"/>
        </w:rPr>
        <w:t>The Empirical Turn in International Legal Scholarship</w:t>
      </w:r>
      <w:r>
        <w:rPr>
          <w:sz w:val="17"/>
        </w:rPr>
        <w:t>’</w:t>
      </w:r>
      <w:r>
        <w:rPr>
          <w:rFonts w:ascii="Times New Roman" w:eastAsia="Times New Roman" w:hAnsi="Times New Roman" w:cs="Times New Roman"/>
          <w:sz w:val="17"/>
        </w:rPr>
        <w:t xml:space="preserve">, (2012) 106 American Journal of International Law 3. </w:t>
      </w:r>
      <w:r>
        <w:rPr>
          <w:rFonts w:ascii="Times New Roman" w:eastAsia="Times New Roman" w:hAnsi="Times New Roman" w:cs="Times New Roman"/>
          <w:sz w:val="11"/>
        </w:rPr>
        <w:t>52</w:t>
      </w:r>
    </w:p>
    <w:p w14:paraId="3F7115BC" w14:textId="77777777" w:rsidR="004C57BA" w:rsidRDefault="004D4EAB">
      <w:pPr>
        <w:spacing w:after="5" w:line="253" w:lineRule="auto"/>
        <w:ind w:left="217" w:hanging="10"/>
        <w:jc w:val="both"/>
      </w:pPr>
      <w:r>
        <w:rPr>
          <w:rFonts w:ascii="Times New Roman" w:eastAsia="Times New Roman" w:hAnsi="Times New Roman" w:cs="Times New Roman"/>
          <w:sz w:val="17"/>
        </w:rPr>
        <w:t xml:space="preserve">Kleinman and </w:t>
      </w:r>
      <w:proofErr w:type="spellStart"/>
      <w:r>
        <w:rPr>
          <w:rFonts w:ascii="Times New Roman" w:eastAsia="Times New Roman" w:hAnsi="Times New Roman" w:cs="Times New Roman"/>
          <w:sz w:val="17"/>
        </w:rPr>
        <w:t>Copp</w:t>
      </w:r>
      <w:proofErr w:type="spellEnd"/>
      <w:r>
        <w:rPr>
          <w:rFonts w:ascii="Times New Roman" w:eastAsia="Times New Roman" w:hAnsi="Times New Roman" w:cs="Times New Roman"/>
          <w:sz w:val="17"/>
        </w:rPr>
        <w:t>, above note 22.</w:t>
      </w:r>
    </w:p>
    <w:p w14:paraId="705BAD6D" w14:textId="77777777" w:rsidR="004C57BA" w:rsidRDefault="004D4EAB">
      <w:pPr>
        <w:spacing w:after="0"/>
        <w:ind w:left="-5" w:hanging="10"/>
      </w:pPr>
      <w:r>
        <w:rPr>
          <w:rFonts w:ascii="Times New Roman" w:eastAsia="Times New Roman" w:hAnsi="Times New Roman" w:cs="Times New Roman"/>
          <w:sz w:val="11"/>
        </w:rPr>
        <w:t>53</w:t>
      </w:r>
    </w:p>
    <w:p w14:paraId="08193087" w14:textId="77777777" w:rsidR="004C57BA" w:rsidRDefault="004D4EAB">
      <w:pPr>
        <w:spacing w:after="35" w:line="216" w:lineRule="auto"/>
        <w:ind w:left="217" w:right="-14" w:hanging="10"/>
        <w:jc w:val="both"/>
      </w:pPr>
      <w:r>
        <w:rPr>
          <w:rFonts w:ascii="Times New Roman" w:eastAsia="Times New Roman" w:hAnsi="Times New Roman" w:cs="Times New Roman"/>
          <w:sz w:val="17"/>
        </w:rPr>
        <w:t xml:space="preserve">S. </w:t>
      </w:r>
      <w:proofErr w:type="spellStart"/>
      <w:r>
        <w:rPr>
          <w:rFonts w:ascii="Times New Roman" w:eastAsia="Times New Roman" w:hAnsi="Times New Roman" w:cs="Times New Roman"/>
          <w:sz w:val="17"/>
        </w:rPr>
        <w:t>Kvale</w:t>
      </w:r>
      <w:proofErr w:type="spellEnd"/>
      <w:r>
        <w:rPr>
          <w:rFonts w:ascii="Times New Roman" w:eastAsia="Times New Roman" w:hAnsi="Times New Roman" w:cs="Times New Roman"/>
          <w:sz w:val="17"/>
        </w:rPr>
        <w:t xml:space="preserve"> and S. Brinkmann, Interviews: Learning the Craft of Qualitative Research Interviewing (Sage, 2009).</w:t>
      </w:r>
    </w:p>
    <w:p w14:paraId="49675D52" w14:textId="77777777" w:rsidR="004C57BA" w:rsidRDefault="004D4EAB">
      <w:pPr>
        <w:spacing w:after="0"/>
        <w:ind w:left="-5" w:hanging="10"/>
      </w:pPr>
      <w:r>
        <w:rPr>
          <w:rFonts w:ascii="Times New Roman" w:eastAsia="Times New Roman" w:hAnsi="Times New Roman" w:cs="Times New Roman"/>
          <w:sz w:val="11"/>
        </w:rPr>
        <w:t>54</w:t>
      </w:r>
    </w:p>
    <w:p w14:paraId="1D73E80F" w14:textId="77777777" w:rsidR="004C57BA" w:rsidRDefault="004D4EAB">
      <w:pPr>
        <w:spacing w:after="5" w:line="253" w:lineRule="auto"/>
        <w:ind w:left="217" w:hanging="10"/>
        <w:jc w:val="both"/>
      </w:pPr>
      <w:proofErr w:type="spellStart"/>
      <w:r>
        <w:rPr>
          <w:rFonts w:ascii="Times New Roman" w:eastAsia="Times New Roman" w:hAnsi="Times New Roman" w:cs="Times New Roman"/>
          <w:sz w:val="17"/>
        </w:rPr>
        <w:t>Smeulers</w:t>
      </w:r>
      <w:proofErr w:type="spellEnd"/>
      <w:r>
        <w:rPr>
          <w:rFonts w:ascii="Times New Roman" w:eastAsia="Times New Roman" w:hAnsi="Times New Roman" w:cs="Times New Roman"/>
          <w:sz w:val="17"/>
        </w:rPr>
        <w:t xml:space="preserve"> and </w:t>
      </w:r>
      <w:proofErr w:type="spellStart"/>
      <w:r>
        <w:rPr>
          <w:rFonts w:ascii="Times New Roman" w:eastAsia="Times New Roman" w:hAnsi="Times New Roman" w:cs="Times New Roman"/>
          <w:sz w:val="17"/>
        </w:rPr>
        <w:t>Haveman</w:t>
      </w:r>
      <w:proofErr w:type="spellEnd"/>
      <w:r>
        <w:rPr>
          <w:rFonts w:ascii="Times New Roman" w:eastAsia="Times New Roman" w:hAnsi="Times New Roman" w:cs="Times New Roman"/>
          <w:sz w:val="17"/>
        </w:rPr>
        <w:t>, above note 3, at 233.</w:t>
      </w:r>
    </w:p>
    <w:p w14:paraId="029A560E" w14:textId="77777777" w:rsidR="004C57BA" w:rsidRDefault="004D4EAB">
      <w:pPr>
        <w:spacing w:after="47" w:line="249" w:lineRule="auto"/>
        <w:ind w:left="-14"/>
        <w:jc w:val="both"/>
      </w:pPr>
      <w:r>
        <w:rPr>
          <w:rFonts w:ascii="Times New Roman" w:eastAsia="Times New Roman" w:hAnsi="Times New Roman" w:cs="Times New Roman"/>
          <w:sz w:val="21"/>
        </w:rPr>
        <w:t>several high pro</w:t>
      </w:r>
      <w:r>
        <w:rPr>
          <w:sz w:val="21"/>
        </w:rPr>
        <w:t>fi</w:t>
      </w:r>
      <w:r>
        <w:rPr>
          <w:rFonts w:ascii="Times New Roman" w:eastAsia="Times New Roman" w:hAnsi="Times New Roman" w:cs="Times New Roman"/>
          <w:sz w:val="21"/>
        </w:rPr>
        <w:t>le examples whereby perpetrators such as head</w:t>
      </w:r>
      <w:r>
        <w:rPr>
          <w:rFonts w:ascii="Times New Roman" w:eastAsia="Times New Roman" w:hAnsi="Times New Roman" w:cs="Times New Roman"/>
          <w:sz w:val="21"/>
        </w:rPr>
        <w:t xml:space="preserve">s of state, leaders and other notable </w:t>
      </w:r>
      <w:r>
        <w:rPr>
          <w:sz w:val="21"/>
        </w:rPr>
        <w:t>fi</w:t>
      </w:r>
      <w:r>
        <w:rPr>
          <w:rFonts w:ascii="Times New Roman" w:eastAsia="Times New Roman" w:hAnsi="Times New Roman" w:cs="Times New Roman"/>
          <w:sz w:val="21"/>
        </w:rPr>
        <w:t xml:space="preserve">gures, admitted their guilt and repented their crimes, such as the leader of the Bosnian Serbs, Biljana </w:t>
      </w:r>
      <w:proofErr w:type="spellStart"/>
      <w:r>
        <w:rPr>
          <w:rFonts w:ascii="Times New Roman" w:eastAsia="Times New Roman" w:hAnsi="Times New Roman" w:cs="Times New Roman"/>
          <w:sz w:val="21"/>
        </w:rPr>
        <w:t>Plavsic</w:t>
      </w:r>
      <w:proofErr w:type="spellEnd"/>
      <w:r>
        <w:rPr>
          <w:rFonts w:ascii="Times New Roman" w:eastAsia="Times New Roman" w:hAnsi="Times New Roman" w:cs="Times New Roman"/>
          <w:sz w:val="21"/>
        </w:rPr>
        <w:t>, with such cases being seen as the benchmark for reconciliation offered by international tribunals. In o</w:t>
      </w:r>
      <w:r>
        <w:rPr>
          <w:rFonts w:ascii="Times New Roman" w:eastAsia="Times New Roman" w:hAnsi="Times New Roman" w:cs="Times New Roman"/>
          <w:sz w:val="21"/>
        </w:rPr>
        <w:t>ther cases, such as that of Radovan Karadzic, it is possible for the criminal justice process to reveal hidden political agendas and the roles of states in brokering peace deals behind the scenes.</w:t>
      </w:r>
      <w:r>
        <w:rPr>
          <w:rFonts w:ascii="Times New Roman" w:eastAsia="Times New Roman" w:hAnsi="Times New Roman" w:cs="Times New Roman"/>
          <w:sz w:val="21"/>
          <w:vertAlign w:val="superscript"/>
        </w:rPr>
        <w:footnoteReference w:id="26"/>
      </w:r>
    </w:p>
    <w:p w14:paraId="75E3F8F3" w14:textId="77777777" w:rsidR="004C57BA" w:rsidRDefault="004D4EAB">
      <w:pPr>
        <w:spacing w:after="43" w:line="249" w:lineRule="auto"/>
        <w:ind w:left="-14" w:firstLine="205"/>
        <w:jc w:val="both"/>
      </w:pPr>
      <w:r>
        <w:rPr>
          <w:rFonts w:ascii="Times New Roman" w:eastAsia="Times New Roman" w:hAnsi="Times New Roman" w:cs="Times New Roman"/>
          <w:sz w:val="21"/>
        </w:rPr>
        <w:t>Not surprisingly, in most cases it will be dif</w:t>
      </w:r>
      <w:r>
        <w:rPr>
          <w:sz w:val="21"/>
        </w:rPr>
        <w:t>fi</w:t>
      </w:r>
      <w:r>
        <w:rPr>
          <w:rFonts w:ascii="Times New Roman" w:eastAsia="Times New Roman" w:hAnsi="Times New Roman" w:cs="Times New Roman"/>
          <w:sz w:val="21"/>
        </w:rPr>
        <w:t>cult to o</w:t>
      </w:r>
      <w:r>
        <w:rPr>
          <w:rFonts w:ascii="Times New Roman" w:eastAsia="Times New Roman" w:hAnsi="Times New Roman" w:cs="Times New Roman"/>
          <w:sz w:val="21"/>
        </w:rPr>
        <w:t>btain perpetrator surveys. An alternative may be to rely on research conducted on other persons who have already been prosecuted or arrested and who are largely representative of the object</w:t>
      </w:r>
      <w:r>
        <w:rPr>
          <w:sz w:val="21"/>
        </w:rPr>
        <w:t>’</w:t>
      </w:r>
      <w:r>
        <w:rPr>
          <w:rFonts w:ascii="Times New Roman" w:eastAsia="Times New Roman" w:hAnsi="Times New Roman" w:cs="Times New Roman"/>
          <w:sz w:val="21"/>
        </w:rPr>
        <w:t>s characteristics (e.g., members of the same ethnic or other group</w:t>
      </w:r>
      <w:r>
        <w:rPr>
          <w:rFonts w:ascii="Times New Roman" w:eastAsia="Times New Roman" w:hAnsi="Times New Roman" w:cs="Times New Roman"/>
          <w:sz w:val="21"/>
        </w:rPr>
        <w:t>, similar af</w:t>
      </w:r>
      <w:r>
        <w:rPr>
          <w:sz w:val="21"/>
        </w:rPr>
        <w:t>fi</w:t>
      </w:r>
      <w:r>
        <w:rPr>
          <w:rFonts w:ascii="Times New Roman" w:eastAsia="Times New Roman" w:hAnsi="Times New Roman" w:cs="Times New Roman"/>
          <w:sz w:val="21"/>
        </w:rPr>
        <w:t>liations, similar age, possibly rank and status). What will obviously be lacking in such comparative analyses are the particular character traits of each perpetrator, but since one</w:t>
      </w:r>
      <w:r>
        <w:rPr>
          <w:sz w:val="21"/>
        </w:rPr>
        <w:t>’</w:t>
      </w:r>
      <w:r>
        <w:rPr>
          <w:rFonts w:ascii="Times New Roman" w:eastAsia="Times New Roman" w:hAnsi="Times New Roman" w:cs="Times New Roman"/>
          <w:sz w:val="21"/>
        </w:rPr>
        <w:t>s study is general rather than speci</w:t>
      </w:r>
      <w:r>
        <w:rPr>
          <w:sz w:val="21"/>
        </w:rPr>
        <w:t>fi</w:t>
      </w:r>
      <w:r>
        <w:rPr>
          <w:rFonts w:ascii="Times New Roman" w:eastAsia="Times New Roman" w:hAnsi="Times New Roman" w:cs="Times New Roman"/>
          <w:sz w:val="21"/>
        </w:rPr>
        <w:t xml:space="preserve">c </w:t>
      </w:r>
      <w:r>
        <w:rPr>
          <w:sz w:val="21"/>
        </w:rPr>
        <w:t xml:space="preserve">– </w:t>
      </w:r>
      <w:r>
        <w:rPr>
          <w:rFonts w:ascii="Times New Roman" w:eastAsia="Times New Roman" w:hAnsi="Times New Roman" w:cs="Times New Roman"/>
          <w:sz w:val="21"/>
        </w:rPr>
        <w:t>that is, the aim is</w:t>
      </w:r>
      <w:r>
        <w:rPr>
          <w:rFonts w:ascii="Times New Roman" w:eastAsia="Times New Roman" w:hAnsi="Times New Roman" w:cs="Times New Roman"/>
          <w:sz w:val="21"/>
        </w:rPr>
        <w:t xml:space="preserve"> not to undertake a psychological analysis </w:t>
      </w:r>
      <w:r>
        <w:rPr>
          <w:sz w:val="21"/>
        </w:rPr>
        <w:t xml:space="preserve">– </w:t>
      </w:r>
      <w:r>
        <w:rPr>
          <w:rFonts w:ascii="Times New Roman" w:eastAsia="Times New Roman" w:hAnsi="Times New Roman" w:cs="Times New Roman"/>
          <w:sz w:val="21"/>
        </w:rPr>
        <w:t xml:space="preserve">but to assess broader patterns of criminality through the eyes of perpetrators, this is a method that provides some potential. Such a sample, however, has inherent limitations, with size and </w:t>
      </w:r>
      <w:r>
        <w:rPr>
          <w:rFonts w:ascii="Times New Roman" w:eastAsia="Times New Roman" w:hAnsi="Times New Roman" w:cs="Times New Roman"/>
          <w:sz w:val="21"/>
        </w:rPr>
        <w:lastRenderedPageBreak/>
        <w:t>representativeness b</w:t>
      </w:r>
      <w:r>
        <w:rPr>
          <w:rFonts w:ascii="Times New Roman" w:eastAsia="Times New Roman" w:hAnsi="Times New Roman" w:cs="Times New Roman"/>
          <w:sz w:val="21"/>
        </w:rPr>
        <w:t xml:space="preserve">eing key issues, given that it will not take into consideration those that have yet to be apprehended or those who have escaped. Moreover, it is probably rather optimistic to think that somebody who has been prosecuted will </w:t>
      </w:r>
      <w:proofErr w:type="gramStart"/>
      <w:r>
        <w:rPr>
          <w:rFonts w:ascii="Times New Roman" w:eastAsia="Times New Roman" w:hAnsi="Times New Roman" w:cs="Times New Roman"/>
          <w:sz w:val="21"/>
        </w:rPr>
        <w:t>actually speak</w:t>
      </w:r>
      <w:proofErr w:type="gramEnd"/>
      <w:r>
        <w:rPr>
          <w:rFonts w:ascii="Times New Roman" w:eastAsia="Times New Roman" w:hAnsi="Times New Roman" w:cs="Times New Roman"/>
          <w:sz w:val="21"/>
        </w:rPr>
        <w:t xml:space="preserve"> about the atrocit</w:t>
      </w:r>
      <w:r>
        <w:rPr>
          <w:rFonts w:ascii="Times New Roman" w:eastAsia="Times New Roman" w:hAnsi="Times New Roman" w:cs="Times New Roman"/>
          <w:sz w:val="21"/>
        </w:rPr>
        <w:t xml:space="preserve">ies he or she has committed. It comes as no surprise that no self-report surveys for rape have been obtained in Rwanda </w:t>
      </w:r>
      <w:proofErr w:type="gramStart"/>
      <w:r>
        <w:rPr>
          <w:rFonts w:ascii="Times New Roman" w:eastAsia="Times New Roman" w:hAnsi="Times New Roman" w:cs="Times New Roman"/>
          <w:sz w:val="21"/>
        </w:rPr>
        <w:t>as yet</w:t>
      </w:r>
      <w:proofErr w:type="gramEnd"/>
      <w:r>
        <w:rPr>
          <w:rFonts w:ascii="Times New Roman" w:eastAsia="Times New Roman" w:hAnsi="Times New Roman" w:cs="Times New Roman"/>
          <w:sz w:val="21"/>
        </w:rPr>
        <w:t>. With an estimated 200,000</w:t>
      </w:r>
      <w:r>
        <w:rPr>
          <w:rFonts w:ascii="Times New Roman" w:eastAsia="Times New Roman" w:hAnsi="Times New Roman" w:cs="Times New Roman"/>
          <w:sz w:val="21"/>
          <w:vertAlign w:val="superscript"/>
        </w:rPr>
        <w:footnoteReference w:id="27"/>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to 800,000</w:t>
      </w:r>
      <w:r>
        <w:rPr>
          <w:rFonts w:ascii="Times New Roman" w:eastAsia="Times New Roman" w:hAnsi="Times New Roman" w:cs="Times New Roman"/>
          <w:sz w:val="21"/>
          <w:vertAlign w:val="superscript"/>
        </w:rPr>
        <w:footnoteReference w:id="28"/>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surviving perpetrators, and given that the con</w:t>
      </w:r>
      <w:r>
        <w:rPr>
          <w:sz w:val="21"/>
        </w:rPr>
        <w:t>fl</w:t>
      </w:r>
      <w:r>
        <w:rPr>
          <w:rFonts w:ascii="Times New Roman" w:eastAsia="Times New Roman" w:hAnsi="Times New Roman" w:cs="Times New Roman"/>
          <w:sz w:val="21"/>
        </w:rPr>
        <w:t xml:space="preserve">ict has </w:t>
      </w:r>
      <w:r>
        <w:rPr>
          <w:sz w:val="21"/>
        </w:rPr>
        <w:t>fi</w:t>
      </w:r>
      <w:r>
        <w:rPr>
          <w:rFonts w:ascii="Times New Roman" w:eastAsia="Times New Roman" w:hAnsi="Times New Roman" w:cs="Times New Roman"/>
          <w:sz w:val="21"/>
        </w:rPr>
        <w:t xml:space="preserve">zzled out on the territory of Rwanda, at least, </w:t>
      </w:r>
      <w:proofErr w:type="spellStart"/>
      <w:r>
        <w:rPr>
          <w:rFonts w:ascii="Times New Roman" w:eastAsia="Times New Roman" w:hAnsi="Times New Roman" w:cs="Times New Roman"/>
          <w:sz w:val="21"/>
        </w:rPr>
        <w:t>selfreporting</w:t>
      </w:r>
      <w:proofErr w:type="spellEnd"/>
      <w:r>
        <w:rPr>
          <w:rFonts w:ascii="Times New Roman" w:eastAsia="Times New Roman" w:hAnsi="Times New Roman" w:cs="Times New Roman"/>
          <w:sz w:val="21"/>
        </w:rPr>
        <w:t xml:space="preserve"> surveys may be possible </w:t>
      </w:r>
      <w:r>
        <w:rPr>
          <w:sz w:val="21"/>
        </w:rPr>
        <w:t xml:space="preserve">– </w:t>
      </w:r>
      <w:r>
        <w:rPr>
          <w:rFonts w:ascii="Times New Roman" w:eastAsia="Times New Roman" w:hAnsi="Times New Roman" w:cs="Times New Roman"/>
          <w:sz w:val="21"/>
        </w:rPr>
        <w:t xml:space="preserve">at least for assessing the incidence of rape and other sexual offences </w:t>
      </w:r>
      <w:r>
        <w:rPr>
          <w:sz w:val="21"/>
        </w:rPr>
        <w:t xml:space="preserve">– </w:t>
      </w:r>
      <w:r>
        <w:rPr>
          <w:rFonts w:ascii="Times New Roman" w:eastAsia="Times New Roman" w:hAnsi="Times New Roman" w:cs="Times New Roman"/>
          <w:sz w:val="21"/>
        </w:rPr>
        <w:t>in the form of a tailored format amon</w:t>
      </w:r>
      <w:r>
        <w:rPr>
          <w:rFonts w:ascii="Times New Roman" w:eastAsia="Times New Roman" w:hAnsi="Times New Roman" w:cs="Times New Roman"/>
          <w:sz w:val="21"/>
        </w:rPr>
        <w:t>g particular groups. It goes without saying that one-size-</w:t>
      </w:r>
      <w:r>
        <w:rPr>
          <w:sz w:val="21"/>
        </w:rPr>
        <w:t>fi</w:t>
      </w:r>
      <w:r>
        <w:rPr>
          <w:rFonts w:ascii="Times New Roman" w:eastAsia="Times New Roman" w:hAnsi="Times New Roman" w:cs="Times New Roman"/>
          <w:sz w:val="21"/>
        </w:rPr>
        <w:t xml:space="preserve">ts-all surveys are redundant in </w:t>
      </w:r>
      <w:r>
        <w:rPr>
          <w:sz w:val="21"/>
        </w:rPr>
        <w:t>fi</w:t>
      </w:r>
      <w:r>
        <w:rPr>
          <w:rFonts w:ascii="Times New Roman" w:eastAsia="Times New Roman" w:hAnsi="Times New Roman" w:cs="Times New Roman"/>
          <w:sz w:val="21"/>
        </w:rPr>
        <w:t>eld research of this nature and just because contact with a particular group fails to produce any visible results, it does not mean that adaptation of one</w:t>
      </w:r>
      <w:r>
        <w:rPr>
          <w:sz w:val="21"/>
        </w:rPr>
        <w:t>’</w:t>
      </w:r>
      <w:r>
        <w:rPr>
          <w:rFonts w:ascii="Times New Roman" w:eastAsia="Times New Roman" w:hAnsi="Times New Roman" w:cs="Times New Roman"/>
          <w:sz w:val="21"/>
        </w:rPr>
        <w:t>s appro</w:t>
      </w:r>
      <w:r>
        <w:rPr>
          <w:rFonts w:ascii="Times New Roman" w:eastAsia="Times New Roman" w:hAnsi="Times New Roman" w:cs="Times New Roman"/>
          <w:sz w:val="21"/>
        </w:rPr>
        <w:t>ach and questions to a neighbouring group is also destined to fail. There have been several, admittedly few, cases at the ICTY where the perpetrators were eager to provide a full account of atrocities and their participation therein, principally as a resul</w:t>
      </w:r>
      <w:r>
        <w:rPr>
          <w:rFonts w:ascii="Times New Roman" w:eastAsia="Times New Roman" w:hAnsi="Times New Roman" w:cs="Times New Roman"/>
          <w:sz w:val="21"/>
        </w:rPr>
        <w:t xml:space="preserve">t of a severe sense of guilt and a desire for closure. The case of </w:t>
      </w:r>
      <w:proofErr w:type="spellStart"/>
      <w:r>
        <w:rPr>
          <w:rFonts w:ascii="Times New Roman" w:eastAsia="Times New Roman" w:hAnsi="Times New Roman" w:cs="Times New Roman"/>
          <w:sz w:val="21"/>
        </w:rPr>
        <w:t>Erdemovi</w:t>
      </w:r>
      <w:r>
        <w:rPr>
          <w:sz w:val="21"/>
        </w:rPr>
        <w:t>ć</w:t>
      </w:r>
      <w:proofErr w:type="spellEnd"/>
      <w:r>
        <w:rPr>
          <w:rFonts w:ascii="Times New Roman" w:eastAsia="Times New Roman" w:hAnsi="Times New Roman" w:cs="Times New Roman"/>
          <w:sz w:val="21"/>
        </w:rPr>
        <w:t>, who confessed in minute detail his role in the Srebrenica massacre, is emblematic of the potential offered by perpetrator surveys.</w:t>
      </w:r>
      <w:r>
        <w:rPr>
          <w:rFonts w:ascii="Times New Roman" w:eastAsia="Times New Roman" w:hAnsi="Times New Roman" w:cs="Times New Roman"/>
          <w:sz w:val="21"/>
          <w:vertAlign w:val="superscript"/>
        </w:rPr>
        <w:footnoteReference w:id="29"/>
      </w:r>
    </w:p>
    <w:p w14:paraId="45D28661" w14:textId="77777777" w:rsidR="004C57BA" w:rsidRDefault="004D4EAB">
      <w:pPr>
        <w:spacing w:after="4" w:line="249" w:lineRule="auto"/>
        <w:ind w:left="-14" w:firstLine="205"/>
        <w:jc w:val="both"/>
      </w:pPr>
      <w:r>
        <w:rPr>
          <w:rFonts w:ascii="Times New Roman" w:eastAsia="Times New Roman" w:hAnsi="Times New Roman" w:cs="Times New Roman"/>
          <w:sz w:val="21"/>
        </w:rPr>
        <w:t>Conducting qualitative research on perpetrato</w:t>
      </w:r>
      <w:r>
        <w:rPr>
          <w:rFonts w:ascii="Times New Roman" w:eastAsia="Times New Roman" w:hAnsi="Times New Roman" w:cs="Times New Roman"/>
          <w:sz w:val="21"/>
        </w:rPr>
        <w:t>rs might be particularly relevant in the context of empirical transitional justice where the perpetrators</w:t>
      </w:r>
      <w:r>
        <w:rPr>
          <w:sz w:val="21"/>
        </w:rPr>
        <w:t xml:space="preserve">’ </w:t>
      </w:r>
      <w:r>
        <w:rPr>
          <w:rFonts w:ascii="Times New Roman" w:eastAsia="Times New Roman" w:hAnsi="Times New Roman" w:cs="Times New Roman"/>
          <w:sz w:val="21"/>
        </w:rPr>
        <w:t>perception of international justice, particularly before international tribunals, contributes to a better understanding of international criminal jus</w:t>
      </w:r>
      <w:r>
        <w:rPr>
          <w:rFonts w:ascii="Times New Roman" w:eastAsia="Times New Roman" w:hAnsi="Times New Roman" w:cs="Times New Roman"/>
          <w:sz w:val="21"/>
        </w:rPr>
        <w:t>tice</w:t>
      </w:r>
      <w:r>
        <w:rPr>
          <w:sz w:val="21"/>
        </w:rPr>
        <w:t>’</w:t>
      </w:r>
      <w:r>
        <w:rPr>
          <w:rFonts w:ascii="Times New Roman" w:eastAsia="Times New Roman" w:hAnsi="Times New Roman" w:cs="Times New Roman"/>
          <w:sz w:val="21"/>
        </w:rPr>
        <w:t>s pursuit of deterrence and non-recurrence of crimes.</w:t>
      </w:r>
      <w:r>
        <w:rPr>
          <w:rFonts w:ascii="Times New Roman" w:eastAsia="Times New Roman" w:hAnsi="Times New Roman" w:cs="Times New Roman"/>
          <w:sz w:val="21"/>
          <w:vertAlign w:val="superscript"/>
        </w:rPr>
        <w:footnoteReference w:id="30"/>
      </w:r>
      <w:r>
        <w:rPr>
          <w:rFonts w:ascii="Times New Roman" w:eastAsia="Times New Roman" w:hAnsi="Times New Roman" w:cs="Times New Roman"/>
          <w:sz w:val="21"/>
        </w:rPr>
        <w:t>The opposite is also true, namely that as international trials progress the initial potency of the perpetrator</w:t>
      </w:r>
      <w:r>
        <w:rPr>
          <w:sz w:val="21"/>
        </w:rPr>
        <w:t>’</w:t>
      </w:r>
      <w:r>
        <w:rPr>
          <w:rFonts w:ascii="Times New Roman" w:eastAsia="Times New Roman" w:hAnsi="Times New Roman" w:cs="Times New Roman"/>
          <w:sz w:val="21"/>
        </w:rPr>
        <w:t>s voice becomes increasingly muted as the relevant civilian population become aware o</w:t>
      </w:r>
      <w:r>
        <w:rPr>
          <w:rFonts w:ascii="Times New Roman" w:eastAsia="Times New Roman" w:hAnsi="Times New Roman" w:cs="Times New Roman"/>
          <w:sz w:val="21"/>
        </w:rPr>
        <w:t xml:space="preserve">f the facts and the </w:t>
      </w:r>
      <w:r>
        <w:rPr>
          <w:rFonts w:ascii="Times New Roman" w:eastAsia="Times New Roman" w:hAnsi="Times New Roman" w:cs="Times New Roman"/>
          <w:sz w:val="21"/>
        </w:rPr>
        <w:lastRenderedPageBreak/>
        <w:t>atrocities.</w:t>
      </w:r>
      <w:r>
        <w:rPr>
          <w:rFonts w:ascii="Times New Roman" w:eastAsia="Times New Roman" w:hAnsi="Times New Roman" w:cs="Times New Roman"/>
          <w:sz w:val="21"/>
          <w:vertAlign w:val="superscript"/>
        </w:rPr>
        <w:footnoteReference w:id="31"/>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This was evident in the context of the former Yugoslavia where the initial overwhelming support for the war and the perception of the perpetrators as heroes gave way to an indifference which even culminated in the surrende</w:t>
      </w:r>
      <w:r>
        <w:rPr>
          <w:rFonts w:ascii="Times New Roman" w:eastAsia="Times New Roman" w:hAnsi="Times New Roman" w:cs="Times New Roman"/>
          <w:sz w:val="21"/>
        </w:rPr>
        <w:t>r of the war</w:t>
      </w:r>
      <w:r>
        <w:rPr>
          <w:sz w:val="21"/>
        </w:rPr>
        <w:t>’</w:t>
      </w:r>
      <w:r>
        <w:rPr>
          <w:rFonts w:ascii="Times New Roman" w:eastAsia="Times New Roman" w:hAnsi="Times New Roman" w:cs="Times New Roman"/>
          <w:sz w:val="21"/>
        </w:rPr>
        <w:t>s architect, Slobodan Milosevic.</w:t>
      </w:r>
    </w:p>
    <w:p w14:paraId="387A0AA2" w14:textId="77777777" w:rsidR="004C57BA" w:rsidRDefault="004D4EAB">
      <w:pPr>
        <w:spacing w:after="4" w:line="249" w:lineRule="auto"/>
        <w:ind w:left="-14" w:firstLine="205"/>
        <w:jc w:val="both"/>
      </w:pPr>
      <w:r>
        <w:rPr>
          <w:rFonts w:ascii="Times New Roman" w:eastAsia="Times New Roman" w:hAnsi="Times New Roman" w:cs="Times New Roman"/>
          <w:sz w:val="21"/>
        </w:rPr>
        <w:t>A recent study of perpetrators</w:t>
      </w:r>
      <w:r>
        <w:rPr>
          <w:sz w:val="21"/>
        </w:rPr>
        <w:t xml:space="preserve">’ </w:t>
      </w:r>
      <w:r>
        <w:rPr>
          <w:rFonts w:ascii="Times New Roman" w:eastAsia="Times New Roman" w:hAnsi="Times New Roman" w:cs="Times New Roman"/>
          <w:sz w:val="21"/>
        </w:rPr>
        <w:t xml:space="preserve">perception as to the legitimacy of international criminal justice demonstrated that in-depth interviews may contribute to our understanding of the impact of transitional justice </w:t>
      </w:r>
      <w:r>
        <w:rPr>
          <w:rFonts w:ascii="Times New Roman" w:eastAsia="Times New Roman" w:hAnsi="Times New Roman" w:cs="Times New Roman"/>
          <w:sz w:val="21"/>
        </w:rPr>
        <w:t>mechanisms.</w:t>
      </w:r>
      <w:r>
        <w:rPr>
          <w:rFonts w:ascii="Times New Roman" w:eastAsia="Times New Roman" w:hAnsi="Times New Roman" w:cs="Times New Roman"/>
          <w:sz w:val="21"/>
          <w:vertAlign w:val="superscript"/>
        </w:rPr>
        <w:t xml:space="preserve">61 </w:t>
      </w:r>
      <w:r>
        <w:rPr>
          <w:rFonts w:ascii="Times New Roman" w:eastAsia="Times New Roman" w:hAnsi="Times New Roman" w:cs="Times New Roman"/>
          <w:sz w:val="21"/>
        </w:rPr>
        <w:t>The study used a discourse analysis to interpret the interviews, which used questions centred on the perception of the perpetrators as to their own responsibility for the crimes committed and equally their perception of the trials. The interv</w:t>
      </w:r>
      <w:r>
        <w:rPr>
          <w:rFonts w:ascii="Times New Roman" w:eastAsia="Times New Roman" w:hAnsi="Times New Roman" w:cs="Times New Roman"/>
          <w:sz w:val="21"/>
        </w:rPr>
        <w:t>iews revealed that the respondents perceived themselves as compelled to react to external forces and revealed that the interviewees</w:t>
      </w:r>
      <w:r>
        <w:rPr>
          <w:sz w:val="21"/>
        </w:rPr>
        <w:t xml:space="preserve">’ </w:t>
      </w:r>
      <w:r>
        <w:rPr>
          <w:rFonts w:ascii="Times New Roman" w:eastAsia="Times New Roman" w:hAnsi="Times New Roman" w:cs="Times New Roman"/>
          <w:sz w:val="21"/>
        </w:rPr>
        <w:t>perception of the crimes resonates with uncertainty and chaos, lack of agency and acting within the group, raising challeng</w:t>
      </w:r>
      <w:r>
        <w:rPr>
          <w:rFonts w:ascii="Times New Roman" w:eastAsia="Times New Roman" w:hAnsi="Times New Roman" w:cs="Times New Roman"/>
          <w:sz w:val="21"/>
        </w:rPr>
        <w:t>es to the current assumption about elite participation and the individual</w:t>
      </w:r>
      <w:r>
        <w:rPr>
          <w:sz w:val="21"/>
        </w:rPr>
        <w:t>’</w:t>
      </w:r>
      <w:r>
        <w:rPr>
          <w:rFonts w:ascii="Times New Roman" w:eastAsia="Times New Roman" w:hAnsi="Times New Roman" w:cs="Times New Roman"/>
          <w:sz w:val="21"/>
        </w:rPr>
        <w:t xml:space="preserve">s power and control in genocide and mass violence that underpins international prosecutions. The study followed a qualitative approach </w:t>
      </w:r>
      <w:proofErr w:type="gramStart"/>
      <w:r>
        <w:rPr>
          <w:rFonts w:ascii="Times New Roman" w:eastAsia="Times New Roman" w:hAnsi="Times New Roman" w:cs="Times New Roman"/>
          <w:sz w:val="21"/>
        </w:rPr>
        <w:t>in order to</w:t>
      </w:r>
      <w:proofErr w:type="gramEnd"/>
      <w:r>
        <w:rPr>
          <w:rFonts w:ascii="Times New Roman" w:eastAsia="Times New Roman" w:hAnsi="Times New Roman" w:cs="Times New Roman"/>
          <w:sz w:val="21"/>
        </w:rPr>
        <w:t xml:space="preserve"> demonstrate how the method is set i</w:t>
      </w:r>
      <w:r>
        <w:rPr>
          <w:rFonts w:ascii="Times New Roman" w:eastAsia="Times New Roman" w:hAnsi="Times New Roman" w:cs="Times New Roman"/>
          <w:sz w:val="21"/>
        </w:rPr>
        <w:t xml:space="preserve">n researching the impact of transitional justice practices. It applied an iterative approach by which the researcher goes back and forth between his own interpretation and the accounts of the respondents </w:t>
      </w:r>
      <w:proofErr w:type="gramStart"/>
      <w:r>
        <w:rPr>
          <w:rFonts w:ascii="Times New Roman" w:eastAsia="Times New Roman" w:hAnsi="Times New Roman" w:cs="Times New Roman"/>
          <w:sz w:val="21"/>
        </w:rPr>
        <w:t>in order to</w:t>
      </w:r>
      <w:proofErr w:type="gramEnd"/>
      <w:r>
        <w:rPr>
          <w:rFonts w:ascii="Times New Roman" w:eastAsia="Times New Roman" w:hAnsi="Times New Roman" w:cs="Times New Roman"/>
          <w:sz w:val="21"/>
        </w:rPr>
        <w:t xml:space="preserve"> develop a holistic and coherent narrativ</w:t>
      </w:r>
      <w:r>
        <w:rPr>
          <w:rFonts w:ascii="Times New Roman" w:eastAsia="Times New Roman" w:hAnsi="Times New Roman" w:cs="Times New Roman"/>
          <w:sz w:val="21"/>
        </w:rPr>
        <w:t>e of the interviews. The methodological problems encountered in conducting qualitative research were highlighted by the researcher, including the ethical considerations related to the research impact on the respondents.</w:t>
      </w:r>
      <w:r>
        <w:rPr>
          <w:rFonts w:ascii="Times New Roman" w:eastAsia="Times New Roman" w:hAnsi="Times New Roman" w:cs="Times New Roman"/>
          <w:sz w:val="21"/>
          <w:vertAlign w:val="superscript"/>
        </w:rPr>
        <w:footnoteReference w:id="32"/>
      </w:r>
      <w:r>
        <w:rPr>
          <w:rFonts w:ascii="Times New Roman" w:eastAsia="Times New Roman" w:hAnsi="Times New Roman" w:cs="Times New Roman"/>
          <w:sz w:val="21"/>
          <w:vertAlign w:val="superscript"/>
        </w:rPr>
        <w:t xml:space="preserve"> </w:t>
      </w:r>
      <w:r>
        <w:rPr>
          <w:rFonts w:ascii="Times New Roman" w:eastAsia="Times New Roman" w:hAnsi="Times New Roman" w:cs="Times New Roman"/>
          <w:sz w:val="21"/>
        </w:rPr>
        <w:t>However, the respondents</w:t>
      </w:r>
      <w:r>
        <w:rPr>
          <w:sz w:val="21"/>
        </w:rPr>
        <w:t xml:space="preserve">’ </w:t>
      </w:r>
      <w:r>
        <w:rPr>
          <w:rFonts w:ascii="Times New Roman" w:eastAsia="Times New Roman" w:hAnsi="Times New Roman" w:cs="Times New Roman"/>
          <w:sz w:val="21"/>
        </w:rPr>
        <w:t>anonymit</w:t>
      </w:r>
      <w:r>
        <w:rPr>
          <w:rFonts w:ascii="Times New Roman" w:eastAsia="Times New Roman" w:hAnsi="Times New Roman" w:cs="Times New Roman"/>
          <w:sz w:val="21"/>
        </w:rPr>
        <w:t>y was crucial to building a trust-based relationship by stating the objectives of the project from the outset. In fact, it has been demonstrated that quantitative research has been more tailored and suitable for the study of international crimes.</w:t>
      </w:r>
    </w:p>
    <w:p w14:paraId="3CF6C90F" w14:textId="77777777" w:rsidR="004C57BA" w:rsidRDefault="004D4EAB">
      <w:pPr>
        <w:spacing w:after="4" w:line="249" w:lineRule="auto"/>
        <w:ind w:left="-14" w:firstLine="205"/>
        <w:jc w:val="both"/>
      </w:pPr>
      <w:r>
        <w:rPr>
          <w:rFonts w:ascii="Times New Roman" w:eastAsia="Times New Roman" w:hAnsi="Times New Roman" w:cs="Times New Roman"/>
          <w:sz w:val="21"/>
        </w:rPr>
        <w:t>It may be</w:t>
      </w:r>
      <w:r>
        <w:rPr>
          <w:rFonts w:ascii="Times New Roman" w:eastAsia="Times New Roman" w:hAnsi="Times New Roman" w:cs="Times New Roman"/>
          <w:sz w:val="21"/>
        </w:rPr>
        <w:t xml:space="preserve"> said that the goals anticipated from perpetrator surveys may equally be achieved by reference to quasi-judicial processes, such as truth commissions. In fact, the practice of truth commissions during the phase of transitional justice highlights the need t</w:t>
      </w:r>
      <w:r>
        <w:rPr>
          <w:rFonts w:ascii="Times New Roman" w:eastAsia="Times New Roman" w:hAnsi="Times New Roman" w:cs="Times New Roman"/>
          <w:sz w:val="21"/>
        </w:rPr>
        <w:t>o make the most of the perpetrators</w:t>
      </w:r>
      <w:r>
        <w:rPr>
          <w:sz w:val="21"/>
        </w:rPr>
        <w:t xml:space="preserve">’ </w:t>
      </w:r>
      <w:r>
        <w:rPr>
          <w:rFonts w:ascii="Times New Roman" w:eastAsia="Times New Roman" w:hAnsi="Times New Roman" w:cs="Times New Roman"/>
          <w:sz w:val="21"/>
        </w:rPr>
        <w:t xml:space="preserve">desire to return to normality </w:t>
      </w:r>
      <w:r>
        <w:rPr>
          <w:sz w:val="21"/>
        </w:rPr>
        <w:t xml:space="preserve">– </w:t>
      </w:r>
      <w:r>
        <w:rPr>
          <w:rFonts w:ascii="Times New Roman" w:eastAsia="Times New Roman" w:hAnsi="Times New Roman" w:cs="Times New Roman"/>
          <w:sz w:val="21"/>
        </w:rPr>
        <w:t xml:space="preserve">at least for the majority of them </w:t>
      </w:r>
      <w:r>
        <w:rPr>
          <w:sz w:val="21"/>
        </w:rPr>
        <w:t xml:space="preserve">– </w:t>
      </w:r>
      <w:r>
        <w:rPr>
          <w:rFonts w:ascii="Times New Roman" w:eastAsia="Times New Roman" w:hAnsi="Times New Roman" w:cs="Times New Roman"/>
          <w:sz w:val="21"/>
        </w:rPr>
        <w:t xml:space="preserve">without necessarily equating truth commissions with impunity. It is precisely because of the independence of truth commissions from relevant </w:t>
      </w:r>
      <w:r>
        <w:rPr>
          <w:rFonts w:ascii="Times New Roman" w:eastAsia="Times New Roman" w:hAnsi="Times New Roman" w:cs="Times New Roman"/>
          <w:sz w:val="21"/>
        </w:rPr>
        <w:lastRenderedPageBreak/>
        <w:t>criminal j</w:t>
      </w:r>
      <w:r>
        <w:rPr>
          <w:rFonts w:ascii="Times New Roman" w:eastAsia="Times New Roman" w:hAnsi="Times New Roman" w:cs="Times New Roman"/>
          <w:sz w:val="21"/>
        </w:rPr>
        <w:t>ustice processes that the evidence submitted therein may subsequently be used for assessing patterns of criminal behaviour; ultimately, in order to prosecute those not falling within the broader umbrella of amnesties. It has also been shown that truth comm</w:t>
      </w:r>
      <w:r>
        <w:rPr>
          <w:rFonts w:ascii="Times New Roman" w:eastAsia="Times New Roman" w:hAnsi="Times New Roman" w:cs="Times New Roman"/>
          <w:sz w:val="21"/>
        </w:rPr>
        <w:t>issions provide a forum for political discourse because of the absence of a hierarchy (i.e., judges and prosecutors versus defendants) or compulsion; as a result, high-ranking individuals may feel that such commissions are a much better platform within whi</w:t>
      </w:r>
      <w:r>
        <w:rPr>
          <w:rFonts w:ascii="Times New Roman" w:eastAsia="Times New Roman" w:hAnsi="Times New Roman" w:cs="Times New Roman"/>
          <w:sz w:val="21"/>
        </w:rPr>
        <w:t>ch to communicate a political/personal message as opposed to a courtroom where the daily routine of testimony and cross-examination exhausts the civilian audience, which stops paying attention after a while. This is probably what drove a prominent Sierra L</w:t>
      </w:r>
      <w:r>
        <w:rPr>
          <w:rFonts w:ascii="Times New Roman" w:eastAsia="Times New Roman" w:hAnsi="Times New Roman" w:cs="Times New Roman"/>
          <w:sz w:val="21"/>
        </w:rPr>
        <w:t>eonian politician, already under trial before the Sierra Leone Special Court, to give evidence to the country</w:t>
      </w:r>
      <w:r>
        <w:rPr>
          <w:sz w:val="21"/>
        </w:rPr>
        <w:t>’</w:t>
      </w:r>
      <w:r>
        <w:rPr>
          <w:rFonts w:ascii="Times New Roman" w:eastAsia="Times New Roman" w:hAnsi="Times New Roman" w:cs="Times New Roman"/>
          <w:sz w:val="21"/>
        </w:rPr>
        <w:t xml:space="preserve">s truth commission, even though this evidence was potentially </w:t>
      </w:r>
      <w:proofErr w:type="gramStart"/>
      <w:r>
        <w:rPr>
          <w:rFonts w:ascii="Times New Roman" w:eastAsia="Times New Roman" w:hAnsi="Times New Roman" w:cs="Times New Roman"/>
          <w:sz w:val="21"/>
        </w:rPr>
        <w:t>damning</w:t>
      </w:r>
      <w:proofErr w:type="gramEnd"/>
      <w:r>
        <w:rPr>
          <w:rFonts w:ascii="Times New Roman" w:eastAsia="Times New Roman" w:hAnsi="Times New Roman" w:cs="Times New Roman"/>
          <w:sz w:val="21"/>
        </w:rPr>
        <w:t xml:space="preserve"> to his criminal trial.</w:t>
      </w:r>
      <w:r>
        <w:rPr>
          <w:rFonts w:ascii="Times New Roman" w:eastAsia="Times New Roman" w:hAnsi="Times New Roman" w:cs="Times New Roman"/>
          <w:sz w:val="21"/>
          <w:vertAlign w:val="superscript"/>
        </w:rPr>
        <w:footnoteReference w:id="33"/>
      </w:r>
    </w:p>
    <w:p w14:paraId="628C26FA" w14:textId="77777777" w:rsidR="004C57BA" w:rsidRDefault="004D4EAB">
      <w:pPr>
        <w:spacing w:after="93"/>
        <w:ind w:left="774" w:right="765" w:hanging="10"/>
        <w:jc w:val="center"/>
      </w:pPr>
      <w:r>
        <w:t>Conclusion</w:t>
      </w:r>
    </w:p>
    <w:p w14:paraId="35C03F8E" w14:textId="77777777" w:rsidR="004C57BA" w:rsidRDefault="004D4EAB">
      <w:pPr>
        <w:spacing w:after="4" w:line="249" w:lineRule="auto"/>
        <w:ind w:left="-14"/>
        <w:jc w:val="both"/>
      </w:pPr>
      <w:r>
        <w:rPr>
          <w:rFonts w:ascii="Times New Roman" w:eastAsia="Times New Roman" w:hAnsi="Times New Roman" w:cs="Times New Roman"/>
          <w:sz w:val="21"/>
        </w:rPr>
        <w:t>The purpose of this chapter was not to provide an in-depth analysis of how one should conduct an analysis of a particular case involving one or more international crimes; rather, the expectation was that the reader, especially those with few or no insights</w:t>
      </w:r>
      <w:r>
        <w:rPr>
          <w:rFonts w:ascii="Times New Roman" w:eastAsia="Times New Roman" w:hAnsi="Times New Roman" w:cs="Times New Roman"/>
          <w:sz w:val="21"/>
        </w:rPr>
        <w:t xml:space="preserve"> into social science research methods, would come to realize that non-legal methods have a crucial role to play in our understanding of the context of criminal conduct, particularly criminal conduct committed on a mass scale, while at the same it should be</w:t>
      </w:r>
      <w:r>
        <w:rPr>
          <w:rFonts w:ascii="Times New Roman" w:eastAsia="Times New Roman" w:hAnsi="Times New Roman" w:cs="Times New Roman"/>
          <w:sz w:val="21"/>
        </w:rPr>
        <w:t>come clear that said research methods can assist us in the phases of prosecution as well as in transitional justice. As a result, this author considered it prudent to present a sample of a variety of research methods that are commonly used by criminologist</w:t>
      </w:r>
      <w:r>
        <w:rPr>
          <w:rFonts w:ascii="Times New Roman" w:eastAsia="Times New Roman" w:hAnsi="Times New Roman" w:cs="Times New Roman"/>
          <w:sz w:val="21"/>
        </w:rPr>
        <w:t xml:space="preserve">s and other social sciences in respect of ordinary crime with a view to demonstrating how these may be applied to international crimes. The idea was to introduce these methods and their potential to the large body of lawyers working in the broader </w:t>
      </w:r>
      <w:r>
        <w:rPr>
          <w:sz w:val="21"/>
        </w:rPr>
        <w:t>fi</w:t>
      </w:r>
      <w:r>
        <w:rPr>
          <w:rFonts w:ascii="Times New Roman" w:eastAsia="Times New Roman" w:hAnsi="Times New Roman" w:cs="Times New Roman"/>
          <w:sz w:val="21"/>
        </w:rPr>
        <w:t>eld of</w:t>
      </w:r>
      <w:r>
        <w:rPr>
          <w:rFonts w:ascii="Times New Roman" w:eastAsia="Times New Roman" w:hAnsi="Times New Roman" w:cs="Times New Roman"/>
          <w:sz w:val="21"/>
        </w:rPr>
        <w:t xml:space="preserve"> international criminal justice. Most defence counsel before international criminal tribunals, especially those appointed for the </w:t>
      </w:r>
      <w:r>
        <w:rPr>
          <w:sz w:val="21"/>
        </w:rPr>
        <w:t>fi</w:t>
      </w:r>
      <w:r>
        <w:rPr>
          <w:rFonts w:ascii="Times New Roman" w:eastAsia="Times New Roman" w:hAnsi="Times New Roman" w:cs="Times New Roman"/>
          <w:sz w:val="21"/>
        </w:rPr>
        <w:t>rst time, are confronted with a multiplicity of criminal conduct and perpetrators as well as with an abundance of data, some</w:t>
      </w:r>
      <w:r>
        <w:rPr>
          <w:rFonts w:ascii="Times New Roman" w:eastAsia="Times New Roman" w:hAnsi="Times New Roman" w:cs="Times New Roman"/>
          <w:sz w:val="21"/>
        </w:rPr>
        <w:t xml:space="preserve"> from NGOs, others from more of</w:t>
      </w:r>
      <w:r>
        <w:rPr>
          <w:sz w:val="21"/>
        </w:rPr>
        <w:t>fi</w:t>
      </w:r>
      <w:r>
        <w:rPr>
          <w:rFonts w:ascii="Times New Roman" w:eastAsia="Times New Roman" w:hAnsi="Times New Roman" w:cs="Times New Roman"/>
          <w:sz w:val="21"/>
        </w:rPr>
        <w:t>cial sources, without a clear understanding of how such data may be used for the bene</w:t>
      </w:r>
      <w:r>
        <w:rPr>
          <w:sz w:val="21"/>
        </w:rPr>
        <w:t>fi</w:t>
      </w:r>
      <w:r>
        <w:rPr>
          <w:rFonts w:ascii="Times New Roman" w:eastAsia="Times New Roman" w:hAnsi="Times New Roman" w:cs="Times New Roman"/>
          <w:sz w:val="21"/>
        </w:rPr>
        <w:t xml:space="preserve">t of their clients. The same is equally true for those lawyers working on behalf of the prosecution and to a large extent all </w:t>
      </w:r>
      <w:proofErr w:type="gramStart"/>
      <w:r>
        <w:rPr>
          <w:rFonts w:ascii="Times New Roman" w:eastAsia="Times New Roman" w:hAnsi="Times New Roman" w:cs="Times New Roman"/>
          <w:sz w:val="21"/>
        </w:rPr>
        <w:t>have to</w:t>
      </w:r>
      <w:proofErr w:type="gramEnd"/>
      <w:r>
        <w:rPr>
          <w:rFonts w:ascii="Times New Roman" w:eastAsia="Times New Roman" w:hAnsi="Times New Roman" w:cs="Times New Roman"/>
          <w:sz w:val="21"/>
        </w:rPr>
        <w:t xml:space="preserve"> rely on social scientists to provide clues and directions. The situation is </w:t>
      </w:r>
      <w:r>
        <w:rPr>
          <w:rFonts w:ascii="Times New Roman" w:eastAsia="Times New Roman" w:hAnsi="Times New Roman" w:cs="Times New Roman"/>
          <w:sz w:val="21"/>
        </w:rPr>
        <w:lastRenderedPageBreak/>
        <w:t>compounded further when no data exist and wher</w:t>
      </w:r>
      <w:r>
        <w:rPr>
          <w:rFonts w:ascii="Times New Roman" w:eastAsia="Times New Roman" w:hAnsi="Times New Roman" w:cs="Times New Roman"/>
          <w:sz w:val="21"/>
        </w:rPr>
        <w:t xml:space="preserve">e there is a need to construct solid patterns of criminality and/or assess why mass conduct occurred one way and not another. There is no substitute for imagination in this work and this chapter has not even begun to touch upon the myriad combinations and </w:t>
      </w:r>
      <w:r>
        <w:rPr>
          <w:rFonts w:ascii="Times New Roman" w:eastAsia="Times New Roman" w:hAnsi="Times New Roman" w:cs="Times New Roman"/>
          <w:sz w:val="21"/>
        </w:rPr>
        <w:t xml:space="preserve">possibilities that are open to observation. It must also be highlighted that a study is only as good as its depth, </w:t>
      </w:r>
      <w:proofErr w:type="gramStart"/>
      <w:r>
        <w:rPr>
          <w:rFonts w:ascii="Times New Roman" w:eastAsia="Times New Roman" w:hAnsi="Times New Roman" w:cs="Times New Roman"/>
          <w:sz w:val="21"/>
        </w:rPr>
        <w:t>accuracy</w:t>
      </w:r>
      <w:proofErr w:type="gramEnd"/>
      <w:r>
        <w:rPr>
          <w:rFonts w:ascii="Times New Roman" w:eastAsia="Times New Roman" w:hAnsi="Times New Roman" w:cs="Times New Roman"/>
          <w:sz w:val="21"/>
        </w:rPr>
        <w:t xml:space="preserve"> and the manner by which it eliminates inherent limitations, including ethical, substantial and procedural limitations.</w:t>
      </w:r>
    </w:p>
    <w:p w14:paraId="2825FA91" w14:textId="32EF6E9A" w:rsidR="004C57BA" w:rsidRDefault="004D4EAB" w:rsidP="00C80488">
      <w:pPr>
        <w:spacing w:after="4" w:line="249" w:lineRule="auto"/>
        <w:ind w:left="-14" w:firstLine="205"/>
        <w:jc w:val="both"/>
        <w:sectPr w:rsidR="004C57BA">
          <w:headerReference w:type="even" r:id="rId12"/>
          <w:headerReference w:type="default" r:id="rId13"/>
          <w:footerReference w:type="even" r:id="rId14"/>
          <w:footerReference w:type="default" r:id="rId15"/>
          <w:headerReference w:type="first" r:id="rId16"/>
          <w:footerReference w:type="first" r:id="rId17"/>
          <w:pgSz w:w="8617" w:h="14606"/>
          <w:pgMar w:top="1941" w:right="1072" w:bottom="2175" w:left="1326" w:header="10" w:footer="283" w:gutter="0"/>
          <w:cols w:space="720"/>
          <w:titlePg/>
        </w:sectPr>
      </w:pPr>
      <w:r>
        <w:rPr>
          <w:rFonts w:ascii="Times New Roman" w:eastAsia="Times New Roman" w:hAnsi="Times New Roman" w:cs="Times New Roman"/>
          <w:sz w:val="21"/>
        </w:rPr>
        <w:t>Finally, it s</w:t>
      </w:r>
      <w:r>
        <w:rPr>
          <w:rFonts w:ascii="Times New Roman" w:eastAsia="Times New Roman" w:hAnsi="Times New Roman" w:cs="Times New Roman"/>
          <w:sz w:val="21"/>
        </w:rPr>
        <w:t xml:space="preserve">hould be noted, as the author has hopefully made it clear throughout, that the research methods and ideas presented in this chapter are not only useful to professionals prosecuting or defending persons before domestic and international criminal tribunals. </w:t>
      </w:r>
      <w:r>
        <w:rPr>
          <w:rFonts w:ascii="Times New Roman" w:eastAsia="Times New Roman" w:hAnsi="Times New Roman" w:cs="Times New Roman"/>
          <w:sz w:val="21"/>
        </w:rPr>
        <w:t>Rather, it is important that researchers engaged in the academic study of international crimes and international criminal law realize the signi</w:t>
      </w:r>
      <w:r>
        <w:rPr>
          <w:sz w:val="21"/>
        </w:rPr>
        <w:t>fi</w:t>
      </w:r>
      <w:r>
        <w:rPr>
          <w:rFonts w:ascii="Times New Roman" w:eastAsia="Times New Roman" w:hAnsi="Times New Roman" w:cs="Times New Roman"/>
          <w:sz w:val="21"/>
        </w:rPr>
        <w:t>cance of primary research. Whereas a good understanding of the law is important, its application without a soli</w:t>
      </w:r>
      <w:r>
        <w:rPr>
          <w:rFonts w:ascii="Times New Roman" w:eastAsia="Times New Roman" w:hAnsi="Times New Roman" w:cs="Times New Roman"/>
          <w:sz w:val="21"/>
        </w:rPr>
        <w:t>d understanding of context, the perceptions of victims and perpetrators, the numbers of dead, wounded or otherwise victimized and what these patterns actually demonstrate only paints part of the stor</w:t>
      </w:r>
      <w:r>
        <w:rPr>
          <w:rFonts w:ascii="Times New Roman" w:eastAsia="Times New Roman" w:hAnsi="Times New Roman" w:cs="Times New Roman"/>
          <w:sz w:val="21"/>
        </w:rPr>
        <w:t>y</w:t>
      </w:r>
      <w:r>
        <w:rPr>
          <w:rFonts w:ascii="Times New Roman" w:eastAsia="Times New Roman" w:hAnsi="Times New Roman" w:cs="Times New Roman"/>
          <w:sz w:val="21"/>
        </w:rPr>
        <w:t>.</w:t>
      </w:r>
      <w:r w:rsidR="00C80488">
        <w:rPr>
          <w:rFonts w:ascii="Times New Roman" w:eastAsia="Times New Roman" w:hAnsi="Times New Roman" w:cs="Times New Roman"/>
          <w:sz w:val="21"/>
        </w:rPr>
        <w:t xml:space="preserve"> </w:t>
      </w:r>
    </w:p>
    <w:p w14:paraId="670130F5" w14:textId="2C3BE78F" w:rsidR="004C57BA" w:rsidRDefault="004C57BA" w:rsidP="00C80488">
      <w:pPr>
        <w:spacing w:after="5" w:line="247" w:lineRule="auto"/>
        <w:ind w:right="11"/>
      </w:pPr>
    </w:p>
    <w:sectPr w:rsidR="004C57BA">
      <w:headerReference w:type="even" r:id="rId18"/>
      <w:headerReference w:type="default" r:id="rId19"/>
      <w:footerReference w:type="even" r:id="rId20"/>
      <w:footerReference w:type="default" r:id="rId21"/>
      <w:headerReference w:type="first" r:id="rId22"/>
      <w:footerReference w:type="first" r:id="rId23"/>
      <w:pgSz w:w="8617" w:h="14606"/>
      <w:pgMar w:top="1947" w:right="1325" w:bottom="2557" w:left="1075" w:header="10" w:footer="283" w:gutter="0"/>
      <w:cols w:num="2" w:space="720" w:equalWidth="0">
        <w:col w:w="2825" w:space="414"/>
        <w:col w:w="29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F4D1D" w14:textId="77777777" w:rsidR="004D4EAB" w:rsidRDefault="004D4EAB">
      <w:pPr>
        <w:spacing w:after="0" w:line="240" w:lineRule="auto"/>
      </w:pPr>
      <w:r>
        <w:separator/>
      </w:r>
    </w:p>
  </w:endnote>
  <w:endnote w:type="continuationSeparator" w:id="0">
    <w:p w14:paraId="7C50F6E8" w14:textId="77777777" w:rsidR="004D4EAB" w:rsidRDefault="004D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7722" w14:textId="77777777" w:rsidR="004C57BA" w:rsidRDefault="004D4EAB">
    <w:pPr>
      <w:spacing w:after="0"/>
      <w:ind w:right="255"/>
      <w:jc w:val="center"/>
    </w:pPr>
    <w:r>
      <w:rPr>
        <w:noProof/>
      </w:rPr>
      <mc:AlternateContent>
        <mc:Choice Requires="wpg">
          <w:drawing>
            <wp:anchor distT="0" distB="0" distL="114300" distR="114300" simplePos="0" relativeHeight="251692032" behindDoc="0" locked="0" layoutInCell="1" allowOverlap="1" wp14:anchorId="65E7145D" wp14:editId="6D0514D1">
              <wp:simplePos x="0" y="0"/>
              <wp:positionH relativeFrom="page">
                <wp:posOffset>8683</wp:posOffset>
              </wp:positionH>
              <wp:positionV relativeFrom="page">
                <wp:posOffset>8851806</wp:posOffset>
              </wp:positionV>
              <wp:extent cx="5463316" cy="17366"/>
              <wp:effectExtent l="0" t="0" r="0" b="0"/>
              <wp:wrapNone/>
              <wp:docPr id="366339" name="Group 366339"/>
              <wp:cNvGraphicFramePr/>
              <a:graphic xmlns:a="http://schemas.openxmlformats.org/drawingml/2006/main">
                <a:graphicData uri="http://schemas.microsoft.com/office/word/2010/wordprocessingGroup">
                  <wpg:wgp>
                    <wpg:cNvGrpSpPr/>
                    <wpg:grpSpPr>
                      <a:xfrm>
                        <a:off x="0" y="0"/>
                        <a:ext cx="5463316" cy="17366"/>
                        <a:chOff x="0" y="0"/>
                        <a:chExt cx="5463316" cy="17366"/>
                      </a:xfrm>
                    </wpg:grpSpPr>
                    <wps:wsp>
                      <wps:cNvPr id="366340" name="Shape 366340"/>
                      <wps:cNvSpPr/>
                      <wps:spPr>
                        <a:xfrm>
                          <a:off x="0" y="0"/>
                          <a:ext cx="5463316" cy="0"/>
                        </a:xfrm>
                        <a:custGeom>
                          <a:avLst/>
                          <a:gdLst/>
                          <a:ahLst/>
                          <a:cxnLst/>
                          <a:rect l="0" t="0" r="0" b="0"/>
                          <a:pathLst>
                            <a:path w="5463316">
                              <a:moveTo>
                                <a:pt x="5463316" y="0"/>
                              </a:moveTo>
                              <a:lnTo>
                                <a:pt x="0" y="0"/>
                              </a:lnTo>
                            </a:path>
                          </a:pathLst>
                        </a:custGeom>
                        <a:ln w="17366" cap="sq">
                          <a:miter lim="127000"/>
                        </a:ln>
                      </wps:spPr>
                      <wps:style>
                        <a:lnRef idx="1">
                          <a:srgbClr val="115F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6339" style="width:430.182pt;height:1.36737pt;position:absolute;z-index:23;mso-position-horizontal-relative:page;mso-position-horizontal:absolute;margin-left:0.68368pt;mso-position-vertical-relative:page;margin-top:696.993pt;" coordsize="54633,173">
              <v:shape id="Shape 366340" style="position:absolute;width:54633;height:0;left:0;top:0;" coordsize="5463316,0" path="m5463316,0l0,0">
                <v:stroke weight="1.36737pt" endcap="square" joinstyle="miter" miterlimit="10" on="true" color="#115fa4"/>
                <v:fill on="false" color="#000000" opacity="0"/>
              </v:shape>
            </v:group>
          </w:pict>
        </mc:Fallback>
      </mc:AlternateContent>
    </w:r>
    <w:proofErr w:type="spellStart"/>
    <w:r>
      <w:rPr>
        <w:rFonts w:ascii="Arial" w:eastAsia="Arial" w:hAnsi="Arial" w:cs="Arial"/>
        <w:sz w:val="32"/>
      </w:rPr>
      <w:t>Ilias</w:t>
    </w:r>
    <w:proofErr w:type="spellEnd"/>
    <w:r>
      <w:rPr>
        <w:rFonts w:ascii="Arial" w:eastAsia="Arial" w:hAnsi="Arial" w:cs="Arial"/>
        <w:sz w:val="32"/>
      </w:rPr>
      <w:t xml:space="preserve"> </w:t>
    </w:r>
    <w:proofErr w:type="spellStart"/>
    <w:r>
      <w:rPr>
        <w:rFonts w:ascii="Arial" w:eastAsia="Arial" w:hAnsi="Arial" w:cs="Arial"/>
        <w:sz w:val="32"/>
      </w:rPr>
      <w:t>Bantekas</w:t>
    </w:r>
    <w:proofErr w:type="spellEnd"/>
  </w:p>
  <w:p w14:paraId="1A935594" w14:textId="77777777" w:rsidR="004C57BA" w:rsidRDefault="004D4EAB">
    <w:pPr>
      <w:tabs>
        <w:tab w:val="right" w:pos="6898"/>
      </w:tabs>
      <w:spacing w:after="0"/>
      <w:ind w:left="-976" w:right="-677"/>
    </w:pPr>
    <w:r>
      <w:rPr>
        <w:rFonts w:ascii="Georgia" w:eastAsia="Georgia" w:hAnsi="Georgia" w:cs="Georgia"/>
        <w:color w:val="115FA4"/>
        <w:sz w:val="18"/>
      </w:rPr>
      <w:t>© Cambridge University Press</w:t>
    </w:r>
    <w:r>
      <w:rPr>
        <w:rFonts w:ascii="Georgia" w:eastAsia="Georgia" w:hAnsi="Georgia" w:cs="Georgia"/>
        <w:color w:val="115FA4"/>
        <w:sz w:val="18"/>
      </w:rPr>
      <w:tab/>
      <w:t>www.cambridge.org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5E828" w14:textId="77777777" w:rsidR="004C57BA" w:rsidRDefault="004D4EAB">
    <w:pPr>
      <w:spacing w:after="0"/>
      <w:ind w:right="255"/>
      <w:jc w:val="center"/>
    </w:pPr>
    <w:r>
      <w:rPr>
        <w:noProof/>
      </w:rPr>
      <mc:AlternateContent>
        <mc:Choice Requires="wpg">
          <w:drawing>
            <wp:anchor distT="0" distB="0" distL="114300" distR="114300" simplePos="0" relativeHeight="251693056" behindDoc="0" locked="0" layoutInCell="1" allowOverlap="1" wp14:anchorId="76FC7861" wp14:editId="4EA31527">
              <wp:simplePos x="0" y="0"/>
              <wp:positionH relativeFrom="page">
                <wp:posOffset>8683</wp:posOffset>
              </wp:positionH>
              <wp:positionV relativeFrom="page">
                <wp:posOffset>8851806</wp:posOffset>
              </wp:positionV>
              <wp:extent cx="5463316" cy="17366"/>
              <wp:effectExtent l="0" t="0" r="0" b="0"/>
              <wp:wrapNone/>
              <wp:docPr id="366314" name="Group 366314"/>
              <wp:cNvGraphicFramePr/>
              <a:graphic xmlns:a="http://schemas.openxmlformats.org/drawingml/2006/main">
                <a:graphicData uri="http://schemas.microsoft.com/office/word/2010/wordprocessingGroup">
                  <wpg:wgp>
                    <wpg:cNvGrpSpPr/>
                    <wpg:grpSpPr>
                      <a:xfrm>
                        <a:off x="0" y="0"/>
                        <a:ext cx="5463316" cy="17366"/>
                        <a:chOff x="0" y="0"/>
                        <a:chExt cx="5463316" cy="17366"/>
                      </a:xfrm>
                    </wpg:grpSpPr>
                    <wps:wsp>
                      <wps:cNvPr id="366315" name="Shape 366315"/>
                      <wps:cNvSpPr/>
                      <wps:spPr>
                        <a:xfrm>
                          <a:off x="0" y="0"/>
                          <a:ext cx="5463316" cy="0"/>
                        </a:xfrm>
                        <a:custGeom>
                          <a:avLst/>
                          <a:gdLst/>
                          <a:ahLst/>
                          <a:cxnLst/>
                          <a:rect l="0" t="0" r="0" b="0"/>
                          <a:pathLst>
                            <a:path w="5463316">
                              <a:moveTo>
                                <a:pt x="5463316" y="0"/>
                              </a:moveTo>
                              <a:lnTo>
                                <a:pt x="0" y="0"/>
                              </a:lnTo>
                            </a:path>
                          </a:pathLst>
                        </a:custGeom>
                        <a:ln w="17366" cap="sq">
                          <a:miter lim="127000"/>
                        </a:ln>
                      </wps:spPr>
                      <wps:style>
                        <a:lnRef idx="1">
                          <a:srgbClr val="115F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6314" style="width:430.182pt;height:1.36737pt;position:absolute;z-index:23;mso-position-horizontal-relative:page;mso-position-horizontal:absolute;margin-left:0.68368pt;mso-position-vertical-relative:page;margin-top:696.993pt;" coordsize="54633,173">
              <v:shape id="Shape 366315" style="position:absolute;width:54633;height:0;left:0;top:0;" coordsize="5463316,0" path="m5463316,0l0,0">
                <v:stroke weight="1.36737pt" endcap="square" joinstyle="miter" miterlimit="10" on="true" color="#115fa4"/>
                <v:fill on="false" color="#000000" opacity="0"/>
              </v:shape>
            </v:group>
          </w:pict>
        </mc:Fallback>
      </mc:AlternateContent>
    </w:r>
    <w:proofErr w:type="spellStart"/>
    <w:r>
      <w:rPr>
        <w:rFonts w:ascii="Arial" w:eastAsia="Arial" w:hAnsi="Arial" w:cs="Arial"/>
        <w:sz w:val="32"/>
      </w:rPr>
      <w:t>Ilias</w:t>
    </w:r>
    <w:proofErr w:type="spellEnd"/>
    <w:r>
      <w:rPr>
        <w:rFonts w:ascii="Arial" w:eastAsia="Arial" w:hAnsi="Arial" w:cs="Arial"/>
        <w:sz w:val="32"/>
      </w:rPr>
      <w:t xml:space="preserve"> </w:t>
    </w:r>
    <w:proofErr w:type="spellStart"/>
    <w:r>
      <w:rPr>
        <w:rFonts w:ascii="Arial" w:eastAsia="Arial" w:hAnsi="Arial" w:cs="Arial"/>
        <w:sz w:val="32"/>
      </w:rPr>
      <w:t>Bantekas</w:t>
    </w:r>
    <w:proofErr w:type="spellEnd"/>
  </w:p>
  <w:p w14:paraId="2FF816A2" w14:textId="77777777" w:rsidR="004C57BA" w:rsidRDefault="004D4EAB">
    <w:pPr>
      <w:tabs>
        <w:tab w:val="right" w:pos="6898"/>
      </w:tabs>
      <w:spacing w:after="0"/>
      <w:ind w:left="-976" w:right="-677"/>
    </w:pPr>
    <w:r>
      <w:rPr>
        <w:rFonts w:ascii="Georgia" w:eastAsia="Georgia" w:hAnsi="Georgia" w:cs="Georgia"/>
        <w:color w:val="115FA4"/>
        <w:sz w:val="18"/>
      </w:rPr>
      <w:t>© Cambridge University Press</w:t>
    </w:r>
    <w:r>
      <w:rPr>
        <w:rFonts w:ascii="Georgia" w:eastAsia="Georgia" w:hAnsi="Georgia" w:cs="Georgia"/>
        <w:color w:val="115FA4"/>
        <w:sz w:val="18"/>
      </w:rPr>
      <w:tab/>
      <w:t>www.cambridge.org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0E777" w14:textId="112F2767" w:rsidR="004C57BA" w:rsidRPr="009F179F" w:rsidRDefault="004C57BA" w:rsidP="009F17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67F95" w14:textId="590754B6" w:rsidR="004C57BA" w:rsidRPr="009F179F" w:rsidRDefault="004C57BA" w:rsidP="009F17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B946D" w14:textId="29A2DFEB" w:rsidR="004C57BA" w:rsidRPr="00C80488" w:rsidRDefault="004C57BA" w:rsidP="00C804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347D9" w14:textId="77777777" w:rsidR="004C57BA" w:rsidRDefault="004D4EAB">
    <w:pPr>
      <w:spacing w:after="0"/>
      <w:ind w:left="250"/>
      <w:jc w:val="center"/>
    </w:pPr>
    <w:r>
      <w:rPr>
        <w:noProof/>
      </w:rPr>
      <mc:AlternateContent>
        <mc:Choice Requires="wpg">
          <w:drawing>
            <wp:anchor distT="0" distB="0" distL="114300" distR="114300" simplePos="0" relativeHeight="251778048" behindDoc="0" locked="0" layoutInCell="1" allowOverlap="1" wp14:anchorId="1D8D2C83" wp14:editId="4BF15376">
              <wp:simplePos x="0" y="0"/>
              <wp:positionH relativeFrom="page">
                <wp:posOffset>8683</wp:posOffset>
              </wp:positionH>
              <wp:positionV relativeFrom="page">
                <wp:posOffset>8851806</wp:posOffset>
              </wp:positionV>
              <wp:extent cx="5463316" cy="17366"/>
              <wp:effectExtent l="0" t="0" r="0" b="0"/>
              <wp:wrapNone/>
              <wp:docPr id="367351" name="Group 367351"/>
              <wp:cNvGraphicFramePr/>
              <a:graphic xmlns:a="http://schemas.openxmlformats.org/drawingml/2006/main">
                <a:graphicData uri="http://schemas.microsoft.com/office/word/2010/wordprocessingGroup">
                  <wpg:wgp>
                    <wpg:cNvGrpSpPr/>
                    <wpg:grpSpPr>
                      <a:xfrm>
                        <a:off x="0" y="0"/>
                        <a:ext cx="5463316" cy="17366"/>
                        <a:chOff x="0" y="0"/>
                        <a:chExt cx="5463316" cy="17366"/>
                      </a:xfrm>
                    </wpg:grpSpPr>
                    <wps:wsp>
                      <wps:cNvPr id="367352" name="Shape 367352"/>
                      <wps:cNvSpPr/>
                      <wps:spPr>
                        <a:xfrm>
                          <a:off x="0" y="0"/>
                          <a:ext cx="5463316" cy="0"/>
                        </a:xfrm>
                        <a:custGeom>
                          <a:avLst/>
                          <a:gdLst/>
                          <a:ahLst/>
                          <a:cxnLst/>
                          <a:rect l="0" t="0" r="0" b="0"/>
                          <a:pathLst>
                            <a:path w="5463316">
                              <a:moveTo>
                                <a:pt x="5463316" y="0"/>
                              </a:moveTo>
                              <a:lnTo>
                                <a:pt x="0" y="0"/>
                              </a:lnTo>
                            </a:path>
                          </a:pathLst>
                        </a:custGeom>
                        <a:ln w="17366" cap="sq">
                          <a:miter lim="127000"/>
                        </a:ln>
                      </wps:spPr>
                      <wps:style>
                        <a:lnRef idx="1">
                          <a:srgbClr val="115F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351" style="width:430.182pt;height:1.36737pt;position:absolute;z-index:23;mso-position-horizontal-relative:page;mso-position-horizontal:absolute;margin-left:0.68368pt;mso-position-vertical-relative:page;margin-top:696.993pt;" coordsize="54633,173">
              <v:shape id="Shape 367352" style="position:absolute;width:54633;height:0;left:0;top:0;" coordsize="5463316,0" path="m5463316,0l0,0">
                <v:stroke weight="1.36737pt" endcap="square" joinstyle="miter" miterlimit="10" on="true" color="#115fa4"/>
                <v:fill on="false" color="#000000" opacity="0"/>
              </v:shape>
            </v:group>
          </w:pict>
        </mc:Fallback>
      </mc:AlternateContent>
    </w:r>
    <w:proofErr w:type="spellStart"/>
    <w:r>
      <w:rPr>
        <w:rFonts w:ascii="Arial" w:eastAsia="Arial" w:hAnsi="Arial" w:cs="Arial"/>
        <w:sz w:val="32"/>
      </w:rPr>
      <w:t>Ilias</w:t>
    </w:r>
    <w:proofErr w:type="spellEnd"/>
    <w:r>
      <w:rPr>
        <w:rFonts w:ascii="Arial" w:eastAsia="Arial" w:hAnsi="Arial" w:cs="Arial"/>
        <w:sz w:val="32"/>
      </w:rPr>
      <w:t xml:space="preserve"> </w:t>
    </w:r>
    <w:proofErr w:type="spellStart"/>
    <w:r>
      <w:rPr>
        <w:rFonts w:ascii="Arial" w:eastAsia="Arial" w:hAnsi="Arial" w:cs="Arial"/>
        <w:sz w:val="32"/>
      </w:rPr>
      <w:t>Bantekas</w:t>
    </w:r>
    <w:proofErr w:type="spellEnd"/>
  </w:p>
  <w:p w14:paraId="4047FE96" w14:textId="77777777" w:rsidR="004C57BA" w:rsidRDefault="004D4EAB">
    <w:pPr>
      <w:tabs>
        <w:tab w:val="center" w:pos="1563"/>
        <w:tab w:val="center" w:pos="7425"/>
      </w:tabs>
      <w:spacing w:after="0"/>
      <w:ind w:left="-725" w:right="-931"/>
    </w:pPr>
    <w:r>
      <w:tab/>
    </w:r>
    <w:r>
      <w:rPr>
        <w:rFonts w:ascii="Georgia" w:eastAsia="Georgia" w:hAnsi="Georgia" w:cs="Georgia"/>
        <w:color w:val="115FA4"/>
        <w:sz w:val="18"/>
      </w:rPr>
      <w:t>© Cambridge University Press</w:t>
    </w:r>
    <w:r>
      <w:rPr>
        <w:rFonts w:ascii="Georgia" w:eastAsia="Georgia" w:hAnsi="Georgia" w:cs="Georgia"/>
        <w:color w:val="115FA4"/>
        <w:sz w:val="18"/>
      </w:rPr>
      <w:tab/>
      <w:t>www.cambridge.org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475E" w14:textId="157F1239" w:rsidR="004C57BA" w:rsidRPr="00C80488" w:rsidRDefault="004C57BA" w:rsidP="00C804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5259A" w14:textId="77777777" w:rsidR="004C57BA" w:rsidRDefault="004D4EAB">
    <w:pPr>
      <w:spacing w:after="0"/>
      <w:ind w:left="250"/>
      <w:jc w:val="center"/>
    </w:pPr>
    <w:r>
      <w:rPr>
        <w:noProof/>
      </w:rPr>
      <mc:AlternateContent>
        <mc:Choice Requires="wpg">
          <w:drawing>
            <wp:anchor distT="0" distB="0" distL="114300" distR="114300" simplePos="0" relativeHeight="251780096" behindDoc="0" locked="0" layoutInCell="1" allowOverlap="1" wp14:anchorId="5AA2DABF" wp14:editId="34AEC7D9">
              <wp:simplePos x="0" y="0"/>
              <wp:positionH relativeFrom="page">
                <wp:posOffset>8683</wp:posOffset>
              </wp:positionH>
              <wp:positionV relativeFrom="page">
                <wp:posOffset>8851806</wp:posOffset>
              </wp:positionV>
              <wp:extent cx="5463316" cy="17366"/>
              <wp:effectExtent l="0" t="0" r="0" b="0"/>
              <wp:wrapNone/>
              <wp:docPr id="367301" name="Group 367301"/>
              <wp:cNvGraphicFramePr/>
              <a:graphic xmlns:a="http://schemas.openxmlformats.org/drawingml/2006/main">
                <a:graphicData uri="http://schemas.microsoft.com/office/word/2010/wordprocessingGroup">
                  <wpg:wgp>
                    <wpg:cNvGrpSpPr/>
                    <wpg:grpSpPr>
                      <a:xfrm>
                        <a:off x="0" y="0"/>
                        <a:ext cx="5463316" cy="17366"/>
                        <a:chOff x="0" y="0"/>
                        <a:chExt cx="5463316" cy="17366"/>
                      </a:xfrm>
                    </wpg:grpSpPr>
                    <wps:wsp>
                      <wps:cNvPr id="367302" name="Shape 367302"/>
                      <wps:cNvSpPr/>
                      <wps:spPr>
                        <a:xfrm>
                          <a:off x="0" y="0"/>
                          <a:ext cx="5463316" cy="0"/>
                        </a:xfrm>
                        <a:custGeom>
                          <a:avLst/>
                          <a:gdLst/>
                          <a:ahLst/>
                          <a:cxnLst/>
                          <a:rect l="0" t="0" r="0" b="0"/>
                          <a:pathLst>
                            <a:path w="5463316">
                              <a:moveTo>
                                <a:pt x="5463316" y="0"/>
                              </a:moveTo>
                              <a:lnTo>
                                <a:pt x="0" y="0"/>
                              </a:lnTo>
                            </a:path>
                          </a:pathLst>
                        </a:custGeom>
                        <a:ln w="17366" cap="sq">
                          <a:miter lim="127000"/>
                        </a:ln>
                      </wps:spPr>
                      <wps:style>
                        <a:lnRef idx="1">
                          <a:srgbClr val="115F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301" style="width:430.182pt;height:1.36737pt;position:absolute;z-index:23;mso-position-horizontal-relative:page;mso-position-horizontal:absolute;margin-left:0.68368pt;mso-position-vertical-relative:page;margin-top:696.993pt;" coordsize="54633,173">
              <v:shape id="Shape 367302" style="position:absolute;width:54633;height:0;left:0;top:0;" coordsize="5463316,0" path="m5463316,0l0,0">
                <v:stroke weight="1.36737pt" endcap="square" joinstyle="miter" miterlimit="10" on="true" color="#115fa4"/>
                <v:fill on="false" color="#000000" opacity="0"/>
              </v:shape>
            </v:group>
          </w:pict>
        </mc:Fallback>
      </mc:AlternateContent>
    </w:r>
    <w:proofErr w:type="spellStart"/>
    <w:r>
      <w:rPr>
        <w:rFonts w:ascii="Arial" w:eastAsia="Arial" w:hAnsi="Arial" w:cs="Arial"/>
        <w:sz w:val="32"/>
      </w:rPr>
      <w:t>Ilias</w:t>
    </w:r>
    <w:proofErr w:type="spellEnd"/>
    <w:r>
      <w:rPr>
        <w:rFonts w:ascii="Arial" w:eastAsia="Arial" w:hAnsi="Arial" w:cs="Arial"/>
        <w:sz w:val="32"/>
      </w:rPr>
      <w:t xml:space="preserve"> </w:t>
    </w:r>
    <w:proofErr w:type="spellStart"/>
    <w:r>
      <w:rPr>
        <w:rFonts w:ascii="Arial" w:eastAsia="Arial" w:hAnsi="Arial" w:cs="Arial"/>
        <w:sz w:val="32"/>
      </w:rPr>
      <w:t>Bantekas</w:t>
    </w:r>
    <w:proofErr w:type="spellEnd"/>
  </w:p>
  <w:p w14:paraId="45005DBC" w14:textId="77777777" w:rsidR="004C57BA" w:rsidRDefault="004D4EAB">
    <w:pPr>
      <w:tabs>
        <w:tab w:val="center" w:pos="1563"/>
        <w:tab w:val="center" w:pos="7425"/>
      </w:tabs>
      <w:spacing w:after="0"/>
      <w:ind w:left="-725" w:right="-931"/>
    </w:pPr>
    <w:r>
      <w:tab/>
    </w:r>
    <w:r>
      <w:rPr>
        <w:rFonts w:ascii="Georgia" w:eastAsia="Georgia" w:hAnsi="Georgia" w:cs="Georgia"/>
        <w:color w:val="115FA4"/>
        <w:sz w:val="18"/>
      </w:rPr>
      <w:t>© Cambridge University Press</w:t>
    </w:r>
    <w:r>
      <w:rPr>
        <w:rFonts w:ascii="Georgia" w:eastAsia="Georgia" w:hAnsi="Georgia" w:cs="Georgia"/>
        <w:color w:val="115FA4"/>
        <w:sz w:val="18"/>
      </w:rPr>
      <w:tab/>
      <w:t>www.cambridge.org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8E192" w14:textId="77777777" w:rsidR="004D4EAB" w:rsidRDefault="004D4EAB">
      <w:pPr>
        <w:spacing w:after="0"/>
      </w:pPr>
      <w:r>
        <w:separator/>
      </w:r>
    </w:p>
  </w:footnote>
  <w:footnote w:type="continuationSeparator" w:id="0">
    <w:p w14:paraId="017AE04B" w14:textId="77777777" w:rsidR="004D4EAB" w:rsidRDefault="004D4EAB">
      <w:pPr>
        <w:spacing w:after="0"/>
      </w:pPr>
      <w:r>
        <w:continuationSeparator/>
      </w:r>
    </w:p>
  </w:footnote>
  <w:footnote w:id="1">
    <w:p w14:paraId="620FDA4E" w14:textId="77777777" w:rsidR="004C57BA" w:rsidRDefault="004D4EAB">
      <w:pPr>
        <w:pStyle w:val="footnotedescription"/>
        <w:spacing w:after="15" w:line="266" w:lineRule="auto"/>
        <w:ind w:left="0" w:firstLine="0"/>
      </w:pPr>
      <w:r>
        <w:rPr>
          <w:rStyle w:val="footnotemark"/>
        </w:rPr>
        <w:footnoteRef/>
      </w:r>
      <w:r>
        <w:t xml:space="preserve"> </w:t>
      </w:r>
      <w:r>
        <w:t xml:space="preserve">G. </w:t>
      </w:r>
      <w:proofErr w:type="spellStart"/>
      <w:r>
        <w:t>Yacoubin</w:t>
      </w:r>
      <w:proofErr w:type="spellEnd"/>
      <w:r>
        <w:t xml:space="preserve">, </w:t>
      </w:r>
      <w:r>
        <w:rPr>
          <w:rFonts w:ascii="Calibri" w:eastAsia="Calibri" w:hAnsi="Calibri" w:cs="Calibri"/>
        </w:rPr>
        <w:t>‘</w:t>
      </w:r>
      <w:r>
        <w:t>The (In)signi</w:t>
      </w:r>
      <w:r>
        <w:rPr>
          <w:rFonts w:ascii="Calibri" w:eastAsia="Calibri" w:hAnsi="Calibri" w:cs="Calibri"/>
        </w:rPr>
        <w:t>fi</w:t>
      </w:r>
      <w:r>
        <w:t xml:space="preserve">cance of Genocidal </w:t>
      </w:r>
      <w:proofErr w:type="spellStart"/>
      <w:r>
        <w:t>Behavior</w:t>
      </w:r>
      <w:proofErr w:type="spellEnd"/>
      <w:r>
        <w:t xml:space="preserve"> to the Discipline of Criminology</w:t>
      </w:r>
      <w:r>
        <w:rPr>
          <w:rFonts w:ascii="Calibri" w:eastAsia="Calibri" w:hAnsi="Calibri" w:cs="Calibri"/>
        </w:rPr>
        <w:t>’</w:t>
      </w:r>
      <w:r>
        <w:t xml:space="preserve">, (2000) 34 Crime, Law &amp; Social Change 7; see also A. Brannigan, </w:t>
      </w:r>
      <w:r>
        <w:rPr>
          <w:rFonts w:ascii="Calibri" w:eastAsia="Calibri" w:hAnsi="Calibri" w:cs="Calibri"/>
        </w:rPr>
        <w:t>‘</w:t>
      </w:r>
      <w:r>
        <w:t>Criminology</w:t>
      </w:r>
      <w:r>
        <w:t xml:space="preserve"> and the Holocaust: Xenophobia, Evolution, and Genocide</w:t>
      </w:r>
      <w:r>
        <w:rPr>
          <w:rFonts w:ascii="Calibri" w:eastAsia="Calibri" w:hAnsi="Calibri" w:cs="Calibri"/>
        </w:rPr>
        <w:t>’</w:t>
      </w:r>
      <w:r>
        <w:t xml:space="preserve">, (1998) 44 Crime and Delinquency 257. </w:t>
      </w:r>
      <w:r>
        <w:rPr>
          <w:vertAlign w:val="superscript"/>
        </w:rPr>
        <w:t xml:space="preserve">2 </w:t>
      </w:r>
      <w:r>
        <w:t>M. Bosworth and C. Hoyle, What</w:t>
      </w:r>
      <w:r>
        <w:rPr>
          <w:rFonts w:ascii="Calibri" w:eastAsia="Calibri" w:hAnsi="Calibri" w:cs="Calibri"/>
        </w:rPr>
        <w:t>’</w:t>
      </w:r>
      <w:r>
        <w:t>s Criminology? (Oxford University Press, 2011) at 36.</w:t>
      </w:r>
    </w:p>
  </w:footnote>
  <w:footnote w:id="2">
    <w:p w14:paraId="1536DA74" w14:textId="77777777" w:rsidR="004C57BA" w:rsidRDefault="004D4EAB">
      <w:pPr>
        <w:pStyle w:val="footnotedescription"/>
        <w:spacing w:line="263" w:lineRule="auto"/>
        <w:ind w:left="146" w:right="1" w:hanging="146"/>
      </w:pPr>
      <w:r>
        <w:rPr>
          <w:rStyle w:val="footnotemark"/>
        </w:rPr>
        <w:footnoteRef/>
      </w:r>
      <w:r>
        <w:t xml:space="preserve"> </w:t>
      </w:r>
      <w:r>
        <w:t xml:space="preserve">A. </w:t>
      </w:r>
      <w:proofErr w:type="spellStart"/>
      <w:r>
        <w:t>Smeulers</w:t>
      </w:r>
      <w:proofErr w:type="spellEnd"/>
      <w:r>
        <w:t xml:space="preserve">, </w:t>
      </w:r>
      <w:r>
        <w:rPr>
          <w:rFonts w:ascii="Calibri" w:eastAsia="Calibri" w:hAnsi="Calibri" w:cs="Calibri"/>
        </w:rPr>
        <w:t>‘</w:t>
      </w:r>
      <w:r>
        <w:t xml:space="preserve">Criminology in a State of Denial </w:t>
      </w:r>
      <w:r>
        <w:rPr>
          <w:rFonts w:ascii="Calibri" w:eastAsia="Calibri" w:hAnsi="Calibri" w:cs="Calibri"/>
        </w:rPr>
        <w:t xml:space="preserve">– </w:t>
      </w:r>
      <w:r>
        <w:t>Towards a Criminology o</w:t>
      </w:r>
      <w:r>
        <w:t>f International Crimes: Supranational Criminology</w:t>
      </w:r>
      <w:r>
        <w:rPr>
          <w:rFonts w:ascii="Calibri" w:eastAsia="Calibri" w:hAnsi="Calibri" w:cs="Calibri"/>
        </w:rPr>
        <w:t>’</w:t>
      </w:r>
      <w:r>
        <w:t xml:space="preserve">, in A. </w:t>
      </w:r>
      <w:proofErr w:type="spellStart"/>
      <w:r>
        <w:t>Smeulers</w:t>
      </w:r>
      <w:proofErr w:type="spellEnd"/>
      <w:r>
        <w:t xml:space="preserve"> and R. </w:t>
      </w:r>
      <w:proofErr w:type="spellStart"/>
      <w:r>
        <w:t>Haveman</w:t>
      </w:r>
      <w:proofErr w:type="spellEnd"/>
      <w:r>
        <w:t>, (eds.), Supranational Criminology: Towards a Criminology of International Crimes (</w:t>
      </w:r>
      <w:proofErr w:type="spellStart"/>
      <w:r>
        <w:t>Intersentia</w:t>
      </w:r>
      <w:proofErr w:type="spellEnd"/>
      <w:r>
        <w:t>, 2008) at 3</w:t>
      </w:r>
      <w:r>
        <w:rPr>
          <w:rFonts w:ascii="Calibri" w:eastAsia="Calibri" w:hAnsi="Calibri" w:cs="Calibri"/>
        </w:rPr>
        <w:t>–</w:t>
      </w:r>
      <w:r>
        <w:t xml:space="preserve">26; F. </w:t>
      </w:r>
      <w:proofErr w:type="spellStart"/>
      <w:r>
        <w:t>Neubacher</w:t>
      </w:r>
      <w:proofErr w:type="spellEnd"/>
      <w:r>
        <w:t xml:space="preserve">, </w:t>
      </w:r>
      <w:r>
        <w:rPr>
          <w:rFonts w:ascii="Calibri" w:eastAsia="Calibri" w:hAnsi="Calibri" w:cs="Calibri"/>
        </w:rPr>
        <w:t>‘</w:t>
      </w:r>
      <w:r>
        <w:t>How Can it Happen that Horrendous State Crimes are Perpetrated? An Overview of Criminological Theories</w:t>
      </w:r>
      <w:r>
        <w:rPr>
          <w:rFonts w:ascii="Calibri" w:eastAsia="Calibri" w:hAnsi="Calibri" w:cs="Calibri"/>
        </w:rPr>
        <w:t>’</w:t>
      </w:r>
      <w:r>
        <w:t>, (2006) 4 Journal of International Criminal Justice 787.</w:t>
      </w:r>
    </w:p>
  </w:footnote>
  <w:footnote w:id="3">
    <w:p w14:paraId="74673EC6" w14:textId="77777777" w:rsidR="004C57BA" w:rsidRDefault="004D4EAB">
      <w:pPr>
        <w:pStyle w:val="footnotedescription"/>
        <w:tabs>
          <w:tab w:val="center" w:pos="3763"/>
        </w:tabs>
        <w:spacing w:after="61" w:line="259" w:lineRule="auto"/>
        <w:ind w:left="0" w:firstLine="0"/>
        <w:jc w:val="left"/>
      </w:pPr>
      <w:r>
        <w:rPr>
          <w:rStyle w:val="footnotemark"/>
        </w:rPr>
        <w:footnoteRef/>
      </w:r>
      <w:r>
        <w:t xml:space="preserve"> </w:t>
      </w:r>
      <w:proofErr w:type="spellStart"/>
      <w:r>
        <w:t>Smeulers</w:t>
      </w:r>
      <w:proofErr w:type="spellEnd"/>
      <w:r>
        <w:t xml:space="preserve"> and </w:t>
      </w:r>
      <w:proofErr w:type="spellStart"/>
      <w:r>
        <w:t>Haveman</w:t>
      </w:r>
      <w:proofErr w:type="spellEnd"/>
      <w:r>
        <w:t>, above note 3, at 78.</w:t>
      </w:r>
      <w:r>
        <w:tab/>
      </w:r>
      <w:r>
        <w:rPr>
          <w:vertAlign w:val="superscript"/>
        </w:rPr>
        <w:t xml:space="preserve">5 </w:t>
      </w:r>
      <w:r>
        <w:t>Ibid.</w:t>
      </w:r>
    </w:p>
  </w:footnote>
  <w:footnote w:id="4">
    <w:p w14:paraId="37E01955" w14:textId="77777777" w:rsidR="004C57BA" w:rsidRDefault="004D4EAB">
      <w:pPr>
        <w:pStyle w:val="footnotedescription"/>
        <w:spacing w:line="255" w:lineRule="auto"/>
        <w:ind w:left="0" w:right="2" w:firstLine="0"/>
      </w:pPr>
      <w:r>
        <w:rPr>
          <w:rStyle w:val="footnotemark"/>
        </w:rPr>
        <w:footnoteRef/>
      </w:r>
      <w:r>
        <w:t xml:space="preserve"> </w:t>
      </w:r>
      <w:r>
        <w:t xml:space="preserve">J. </w:t>
      </w:r>
      <w:proofErr w:type="spellStart"/>
      <w:r>
        <w:t>Cresswell</w:t>
      </w:r>
      <w:proofErr w:type="spellEnd"/>
      <w:r>
        <w:t xml:space="preserve"> and P. Clark, Designing and</w:t>
      </w:r>
      <w:r>
        <w:t xml:space="preserve"> Conducting Mixed Methods Research (London Sage, 2007) at 4; L. </w:t>
      </w:r>
      <w:proofErr w:type="spellStart"/>
      <w:r>
        <w:t>Reychler</w:t>
      </w:r>
      <w:proofErr w:type="spellEnd"/>
      <w:r>
        <w:t xml:space="preserve"> and T. </w:t>
      </w:r>
      <w:proofErr w:type="spellStart"/>
      <w:r>
        <w:t>Paffenholz</w:t>
      </w:r>
      <w:proofErr w:type="spellEnd"/>
      <w:r>
        <w:t xml:space="preserve"> (eds.), </w:t>
      </w:r>
      <w:proofErr w:type="gramStart"/>
      <w:r>
        <w:t>Peace-building</w:t>
      </w:r>
      <w:proofErr w:type="gramEnd"/>
      <w:r>
        <w:t xml:space="preserve">: A Field Guide (Lynne </w:t>
      </w:r>
      <w:proofErr w:type="spellStart"/>
      <w:r>
        <w:t>Rienner</w:t>
      </w:r>
      <w:proofErr w:type="spellEnd"/>
      <w:r>
        <w:t xml:space="preserve"> Publishers, 2001). </w:t>
      </w:r>
      <w:r>
        <w:rPr>
          <w:vertAlign w:val="superscript"/>
        </w:rPr>
        <w:t xml:space="preserve">7 </w:t>
      </w:r>
      <w:r>
        <w:t>Ibid.</w:t>
      </w:r>
    </w:p>
  </w:footnote>
  <w:footnote w:id="5">
    <w:p w14:paraId="2B389ED5" w14:textId="77777777" w:rsidR="004C57BA" w:rsidRDefault="004D4EAB">
      <w:pPr>
        <w:pStyle w:val="footnotedescription"/>
        <w:spacing w:line="287" w:lineRule="auto"/>
        <w:ind w:left="206" w:hanging="206"/>
      </w:pPr>
      <w:r>
        <w:rPr>
          <w:rStyle w:val="footnotemark"/>
        </w:rPr>
        <w:footnoteRef/>
      </w:r>
      <w:r>
        <w:t xml:space="preserve"> </w:t>
      </w:r>
      <w:r>
        <w:t xml:space="preserve">F. Chalk, </w:t>
      </w:r>
      <w:r>
        <w:rPr>
          <w:rFonts w:ascii="Calibri" w:eastAsia="Calibri" w:hAnsi="Calibri" w:cs="Calibri"/>
        </w:rPr>
        <w:t>‘</w:t>
      </w:r>
      <w:r>
        <w:t>De</w:t>
      </w:r>
      <w:r>
        <w:rPr>
          <w:rFonts w:ascii="Calibri" w:eastAsia="Calibri" w:hAnsi="Calibri" w:cs="Calibri"/>
        </w:rPr>
        <w:t>fi</w:t>
      </w:r>
      <w:r>
        <w:t>nitions of Genocide and their Implications for Prediction and Preven</w:t>
      </w:r>
      <w:r>
        <w:t>tion</w:t>
      </w:r>
      <w:r>
        <w:rPr>
          <w:rFonts w:ascii="Calibri" w:eastAsia="Calibri" w:hAnsi="Calibri" w:cs="Calibri"/>
        </w:rPr>
        <w:t>’</w:t>
      </w:r>
      <w:r>
        <w:t>, (1989) 2 Holocaust and Genocide Studies 149.</w:t>
      </w:r>
    </w:p>
  </w:footnote>
  <w:footnote w:id="6">
    <w:p w14:paraId="363219C3" w14:textId="77777777" w:rsidR="004C57BA" w:rsidRDefault="004D4EAB">
      <w:pPr>
        <w:pStyle w:val="footnotedescription"/>
        <w:spacing w:line="286" w:lineRule="auto"/>
        <w:ind w:left="206" w:hanging="206"/>
      </w:pPr>
      <w:r>
        <w:rPr>
          <w:rStyle w:val="footnotemark"/>
        </w:rPr>
        <w:footnoteRef/>
      </w:r>
      <w:r>
        <w:t xml:space="preserve"> </w:t>
      </w:r>
      <w:r>
        <w:t xml:space="preserve">D. </w:t>
      </w:r>
      <w:proofErr w:type="spellStart"/>
      <w:r>
        <w:t>Lisak</w:t>
      </w:r>
      <w:proofErr w:type="spellEnd"/>
      <w:r>
        <w:t xml:space="preserve"> and P. M. Miller, </w:t>
      </w:r>
      <w:r>
        <w:rPr>
          <w:rFonts w:ascii="Calibri" w:eastAsia="Calibri" w:hAnsi="Calibri" w:cs="Calibri"/>
        </w:rPr>
        <w:t>‘</w:t>
      </w:r>
      <w:r>
        <w:t>Repeat Rape and Multiple Offending among Undetected Rapists</w:t>
      </w:r>
      <w:r>
        <w:rPr>
          <w:rFonts w:ascii="Calibri" w:eastAsia="Calibri" w:hAnsi="Calibri" w:cs="Calibri"/>
        </w:rPr>
        <w:t>’</w:t>
      </w:r>
      <w:r>
        <w:t>, (2002) 17 Violence and Victims 73.</w:t>
      </w:r>
    </w:p>
    <w:p w14:paraId="3B131326" w14:textId="77777777" w:rsidR="004C57BA" w:rsidRDefault="004D4EAB">
      <w:pPr>
        <w:pStyle w:val="footnotedescription"/>
        <w:spacing w:after="54" w:line="216" w:lineRule="auto"/>
        <w:ind w:left="206" w:right="226" w:hanging="206"/>
        <w:jc w:val="left"/>
      </w:pPr>
      <w:r>
        <w:rPr>
          <w:sz w:val="11"/>
        </w:rPr>
        <w:t xml:space="preserve">12 </w:t>
      </w:r>
      <w:r>
        <w:t>See, generally, R. Taylor, Research Methods in Criminal Justice (McGraw-Hi</w:t>
      </w:r>
      <w:r>
        <w:t>ll, 1994).</w:t>
      </w:r>
    </w:p>
  </w:footnote>
  <w:footnote w:id="7">
    <w:p w14:paraId="65D27351" w14:textId="77777777" w:rsidR="004C57BA" w:rsidRDefault="004D4EAB">
      <w:pPr>
        <w:pStyle w:val="footnotedescription"/>
        <w:spacing w:line="285" w:lineRule="auto"/>
        <w:ind w:left="206" w:hanging="206"/>
      </w:pPr>
      <w:r>
        <w:rPr>
          <w:rStyle w:val="footnotemark"/>
        </w:rPr>
        <w:footnoteRef/>
      </w:r>
      <w:r>
        <w:t xml:space="preserve"> </w:t>
      </w:r>
      <w:r>
        <w:t xml:space="preserve">A. M. </w:t>
      </w:r>
      <w:proofErr w:type="spellStart"/>
      <w:r>
        <w:t>Drumbl</w:t>
      </w:r>
      <w:proofErr w:type="spellEnd"/>
      <w:r>
        <w:t xml:space="preserve">, </w:t>
      </w:r>
      <w:r>
        <w:rPr>
          <w:rFonts w:ascii="Calibri" w:eastAsia="Calibri" w:hAnsi="Calibri" w:cs="Calibri"/>
        </w:rPr>
        <w:t>‘</w:t>
      </w:r>
      <w:r>
        <w:t>Towards a Criminology of International Crimes</w:t>
      </w:r>
      <w:r>
        <w:rPr>
          <w:rFonts w:ascii="Calibri" w:eastAsia="Calibri" w:hAnsi="Calibri" w:cs="Calibri"/>
        </w:rPr>
        <w:t>’</w:t>
      </w:r>
      <w:r>
        <w:t>, (2003) 19 Ohio State Journal on Dispute Resolution 263.</w:t>
      </w:r>
    </w:p>
  </w:footnote>
  <w:footnote w:id="8">
    <w:p w14:paraId="559ED473" w14:textId="77777777" w:rsidR="004C57BA" w:rsidRDefault="004D4EAB">
      <w:pPr>
        <w:pStyle w:val="footnotedescription"/>
        <w:spacing w:line="291" w:lineRule="auto"/>
        <w:ind w:left="206" w:hanging="206"/>
        <w:jc w:val="left"/>
      </w:pPr>
      <w:r>
        <w:rPr>
          <w:rStyle w:val="footnotemark"/>
        </w:rPr>
        <w:footnoteRef/>
      </w:r>
      <w:r>
        <w:t xml:space="preserve"> </w:t>
      </w:r>
      <w:r>
        <w:t xml:space="preserve">J. Hagan and P. Parker, </w:t>
      </w:r>
      <w:r>
        <w:rPr>
          <w:rFonts w:ascii="Calibri" w:eastAsia="Calibri" w:hAnsi="Calibri" w:cs="Calibri"/>
        </w:rPr>
        <w:t>‘</w:t>
      </w:r>
      <w:r>
        <w:t>The Criminology of Genocide: The Death and Rape in Darfur</w:t>
      </w:r>
      <w:r>
        <w:rPr>
          <w:rFonts w:ascii="Calibri" w:eastAsia="Calibri" w:hAnsi="Calibri" w:cs="Calibri"/>
        </w:rPr>
        <w:t>’</w:t>
      </w:r>
      <w:r>
        <w:t>, (2005) 43 Criminology 525.</w:t>
      </w:r>
    </w:p>
  </w:footnote>
  <w:footnote w:id="9">
    <w:p w14:paraId="49491A71" w14:textId="77777777" w:rsidR="004C57BA" w:rsidRDefault="004D4EAB">
      <w:pPr>
        <w:pStyle w:val="footnotedescription"/>
        <w:spacing w:after="90" w:line="259" w:lineRule="auto"/>
        <w:ind w:left="0" w:firstLine="0"/>
        <w:jc w:val="left"/>
      </w:pPr>
      <w:r>
        <w:rPr>
          <w:rStyle w:val="footnotemark"/>
        </w:rPr>
        <w:footnoteRef/>
      </w:r>
      <w:r>
        <w:t xml:space="preserve"> </w:t>
      </w:r>
      <w:r>
        <w:t>Ibid.</w:t>
      </w:r>
    </w:p>
  </w:footnote>
  <w:footnote w:id="10">
    <w:p w14:paraId="148832A7" w14:textId="77777777" w:rsidR="004C57BA" w:rsidRDefault="004D4EAB">
      <w:pPr>
        <w:pStyle w:val="footnotedescription"/>
        <w:spacing w:line="264" w:lineRule="auto"/>
        <w:ind w:left="0" w:right="2" w:firstLine="0"/>
      </w:pPr>
      <w:r>
        <w:rPr>
          <w:rStyle w:val="footnotemark"/>
        </w:rPr>
        <w:footnoteRef/>
      </w:r>
      <w:r>
        <w:t xml:space="preserve"> </w:t>
      </w:r>
      <w:r>
        <w:t xml:space="preserve">ICTR Prosecutor v. </w:t>
      </w:r>
      <w:proofErr w:type="spellStart"/>
      <w:r>
        <w:t>Akayesu</w:t>
      </w:r>
      <w:proofErr w:type="spellEnd"/>
      <w:r>
        <w:t xml:space="preserve">, Trial Judgment (2 September 1998), paras. 688 and 731; ICTY Prosecutor v. Karadzic, amended indictment (28 April 2000), para. 17b; </w:t>
      </w:r>
      <w:r>
        <w:t xml:space="preserve">ICTY Prosecutor v. Mladic, indictment (10 October 2002), paras. 25a and 34b. </w:t>
      </w:r>
      <w:r>
        <w:rPr>
          <w:vertAlign w:val="superscript"/>
        </w:rPr>
        <w:t xml:space="preserve">17 </w:t>
      </w:r>
      <w:proofErr w:type="spellStart"/>
      <w:r>
        <w:t>Smeulers</w:t>
      </w:r>
      <w:proofErr w:type="spellEnd"/>
      <w:r>
        <w:t xml:space="preserve"> and </w:t>
      </w:r>
      <w:proofErr w:type="spellStart"/>
      <w:r>
        <w:t>Haveman</w:t>
      </w:r>
      <w:proofErr w:type="spellEnd"/>
      <w:r>
        <w:t>, above note 3, at 80.</w:t>
      </w:r>
    </w:p>
  </w:footnote>
  <w:footnote w:id="11">
    <w:p w14:paraId="480BDCBA" w14:textId="77777777" w:rsidR="004C57BA" w:rsidRDefault="004D4EAB">
      <w:pPr>
        <w:pStyle w:val="footnotedescription"/>
        <w:spacing w:after="35" w:line="259" w:lineRule="auto"/>
        <w:ind w:left="0" w:firstLine="0"/>
        <w:jc w:val="left"/>
      </w:pPr>
      <w:r>
        <w:rPr>
          <w:rStyle w:val="footnotemark"/>
        </w:rPr>
        <w:footnoteRef/>
      </w:r>
      <w:r>
        <w:t xml:space="preserve"> </w:t>
      </w:r>
      <w:r>
        <w:t xml:space="preserve">S. Kleinman and M. </w:t>
      </w:r>
      <w:proofErr w:type="spellStart"/>
      <w:r>
        <w:t>Copp</w:t>
      </w:r>
      <w:proofErr w:type="spellEnd"/>
      <w:r>
        <w:t>, Emotions and Fieldwork (Sage, 1993).</w:t>
      </w:r>
    </w:p>
  </w:footnote>
  <w:footnote w:id="12">
    <w:p w14:paraId="0A1F9DEC" w14:textId="77777777" w:rsidR="004C57BA" w:rsidRDefault="004D4EAB">
      <w:pPr>
        <w:pStyle w:val="footnotedescription"/>
        <w:spacing w:line="259" w:lineRule="auto"/>
        <w:ind w:left="0" w:firstLine="0"/>
        <w:jc w:val="left"/>
      </w:pPr>
      <w:r>
        <w:rPr>
          <w:rStyle w:val="footnotemark"/>
        </w:rPr>
        <w:footnoteRef/>
      </w:r>
      <w:r>
        <w:t xml:space="preserve"> </w:t>
      </w:r>
      <w:r>
        <w:t>B. Bruce, Qualitative Research Methods for the Social Sciences (Pea</w:t>
      </w:r>
      <w:r>
        <w:t>rson, 2007).</w:t>
      </w:r>
    </w:p>
  </w:footnote>
  <w:footnote w:id="13">
    <w:p w14:paraId="79FA0BBF" w14:textId="77777777" w:rsidR="004C57BA" w:rsidRDefault="004D4EAB">
      <w:pPr>
        <w:pStyle w:val="footnotedescription"/>
        <w:spacing w:line="269" w:lineRule="auto"/>
        <w:ind w:left="206" w:right="1" w:hanging="206"/>
      </w:pPr>
      <w:r>
        <w:rPr>
          <w:rStyle w:val="footnotemark"/>
        </w:rPr>
        <w:footnoteRef/>
      </w:r>
      <w:r>
        <w:t xml:space="preserve"> </w:t>
      </w:r>
      <w:r>
        <w:t xml:space="preserve">A. </w:t>
      </w:r>
      <w:proofErr w:type="spellStart"/>
      <w:r>
        <w:t>Brusk</w:t>
      </w:r>
      <w:proofErr w:type="spellEnd"/>
      <w:r>
        <w:t xml:space="preserve">, </w:t>
      </w:r>
      <w:r>
        <w:rPr>
          <w:rFonts w:ascii="Calibri" w:eastAsia="Calibri" w:hAnsi="Calibri" w:cs="Calibri"/>
        </w:rPr>
        <w:t>‘</w:t>
      </w:r>
      <w:r>
        <w:t>The Politics of Measurement: the Contested Count of the Disappeared in Argentina</w:t>
      </w:r>
      <w:r>
        <w:rPr>
          <w:rFonts w:ascii="Calibri" w:eastAsia="Calibri" w:hAnsi="Calibri" w:cs="Calibri"/>
        </w:rPr>
        <w:t>’</w:t>
      </w:r>
      <w:r>
        <w:t xml:space="preserve">, (1994) 16 Human Rights Quarterly 676; R. Goldstein, </w:t>
      </w:r>
      <w:r>
        <w:rPr>
          <w:rFonts w:ascii="Calibri" w:eastAsia="Calibri" w:hAnsi="Calibri" w:cs="Calibri"/>
        </w:rPr>
        <w:t>‘</w:t>
      </w:r>
      <w:r>
        <w:t>The Limitations of Using Quantitative Data in Studying Human Rights Abuses</w:t>
      </w:r>
      <w:r>
        <w:rPr>
          <w:rFonts w:ascii="Calibri" w:eastAsia="Calibri" w:hAnsi="Calibri" w:cs="Calibri"/>
        </w:rPr>
        <w:t>’</w:t>
      </w:r>
      <w:r>
        <w:t>, (1986) 8 Human Rights Quarterly 607.</w:t>
      </w:r>
    </w:p>
    <w:p w14:paraId="08A19441" w14:textId="77777777" w:rsidR="004C57BA" w:rsidRDefault="004D4EAB">
      <w:pPr>
        <w:pStyle w:val="footnotedescription"/>
        <w:spacing w:line="259" w:lineRule="auto"/>
        <w:ind w:left="0" w:firstLine="0"/>
        <w:jc w:val="left"/>
      </w:pPr>
      <w:r>
        <w:rPr>
          <w:sz w:val="11"/>
        </w:rPr>
        <w:t>28</w:t>
      </w:r>
    </w:p>
    <w:p w14:paraId="39C12A73" w14:textId="77777777" w:rsidR="004C57BA" w:rsidRDefault="004D4EAB">
      <w:pPr>
        <w:pStyle w:val="footnotedescription"/>
        <w:spacing w:after="8" w:line="259" w:lineRule="auto"/>
        <w:ind w:left="207" w:firstLine="0"/>
        <w:jc w:val="left"/>
      </w:pPr>
      <w:proofErr w:type="spellStart"/>
      <w:r>
        <w:t>Smeulers</w:t>
      </w:r>
      <w:proofErr w:type="spellEnd"/>
      <w:r>
        <w:t xml:space="preserve"> and </w:t>
      </w:r>
      <w:proofErr w:type="spellStart"/>
      <w:r>
        <w:t>Haveman</w:t>
      </w:r>
      <w:proofErr w:type="spellEnd"/>
      <w:r>
        <w:t>, above note 3, at 82.</w:t>
      </w:r>
    </w:p>
  </w:footnote>
  <w:footnote w:id="14">
    <w:p w14:paraId="42865764" w14:textId="77777777" w:rsidR="004C57BA" w:rsidRDefault="004D4EAB">
      <w:pPr>
        <w:pStyle w:val="footnotedescription"/>
        <w:spacing w:line="267" w:lineRule="auto"/>
        <w:ind w:left="0" w:right="1" w:firstLine="0"/>
      </w:pPr>
      <w:r>
        <w:rPr>
          <w:rStyle w:val="footnotemark"/>
        </w:rPr>
        <w:footnoteRef/>
      </w:r>
      <w:r>
        <w:t xml:space="preserve"> </w:t>
      </w:r>
      <w:r>
        <w:t xml:space="preserve">S. Poe, and C. Carey, </w:t>
      </w:r>
      <w:r>
        <w:rPr>
          <w:rFonts w:ascii="Calibri" w:eastAsia="Calibri" w:hAnsi="Calibri" w:cs="Calibri"/>
        </w:rPr>
        <w:t>‘</w:t>
      </w:r>
      <w:r>
        <w:t>How are These Pictures Different? A Quantitative Comparison of the US S</w:t>
      </w:r>
      <w:r>
        <w:t>tate Department and Amnesty International Human Rights Reports, 1976</w:t>
      </w:r>
      <w:r>
        <w:rPr>
          <w:rFonts w:ascii="Calibri" w:eastAsia="Calibri" w:hAnsi="Calibri" w:cs="Calibri"/>
        </w:rPr>
        <w:t>–</w:t>
      </w:r>
      <w:r>
        <w:t>1995</w:t>
      </w:r>
      <w:r>
        <w:rPr>
          <w:rFonts w:ascii="Calibri" w:eastAsia="Calibri" w:hAnsi="Calibri" w:cs="Calibri"/>
        </w:rPr>
        <w:t>’</w:t>
      </w:r>
      <w:r>
        <w:t xml:space="preserve">, (2001) 23 Human Rights Quarterly 650. </w:t>
      </w:r>
      <w:r>
        <w:rPr>
          <w:sz w:val="11"/>
        </w:rPr>
        <w:t>30</w:t>
      </w:r>
      <w:r>
        <w:rPr>
          <w:sz w:val="11"/>
        </w:rPr>
        <w:tab/>
        <w:t>31</w:t>
      </w:r>
    </w:p>
    <w:p w14:paraId="36D37A76" w14:textId="77777777" w:rsidR="004C57BA" w:rsidRDefault="004D4EAB">
      <w:pPr>
        <w:pStyle w:val="footnotedescription"/>
        <w:tabs>
          <w:tab w:val="center" w:pos="1734"/>
          <w:tab w:val="center" w:pos="3958"/>
        </w:tabs>
        <w:spacing w:line="259" w:lineRule="auto"/>
        <w:ind w:left="0" w:firstLine="0"/>
        <w:jc w:val="left"/>
      </w:pPr>
      <w:r>
        <w:rPr>
          <w:rFonts w:ascii="Calibri" w:eastAsia="Calibri" w:hAnsi="Calibri" w:cs="Calibri"/>
          <w:sz w:val="22"/>
        </w:rPr>
        <w:tab/>
      </w:r>
      <w:proofErr w:type="spellStart"/>
      <w:r>
        <w:t>Smeulers</w:t>
      </w:r>
      <w:proofErr w:type="spellEnd"/>
      <w:r>
        <w:t xml:space="preserve"> and </w:t>
      </w:r>
      <w:proofErr w:type="spellStart"/>
      <w:r>
        <w:t>Haveman</w:t>
      </w:r>
      <w:proofErr w:type="spellEnd"/>
      <w:r>
        <w:t>, above note 3, at 83.</w:t>
      </w:r>
      <w:r>
        <w:tab/>
        <w:t>Ibid.</w:t>
      </w:r>
    </w:p>
  </w:footnote>
  <w:footnote w:id="15">
    <w:p w14:paraId="6A0DC041" w14:textId="77777777" w:rsidR="004C57BA" w:rsidRDefault="004D4EAB">
      <w:pPr>
        <w:pStyle w:val="footnotedescription"/>
        <w:spacing w:line="291" w:lineRule="auto"/>
        <w:ind w:left="207" w:hanging="206"/>
      </w:pPr>
      <w:r>
        <w:rPr>
          <w:rStyle w:val="footnotemark"/>
        </w:rPr>
        <w:footnoteRef/>
      </w:r>
      <w:r>
        <w:t xml:space="preserve"> </w:t>
      </w:r>
      <w:r>
        <w:t xml:space="preserve">D. </w:t>
      </w:r>
      <w:proofErr w:type="spellStart"/>
      <w:r>
        <w:t>Verwimp</w:t>
      </w:r>
      <w:proofErr w:type="spellEnd"/>
      <w:r>
        <w:t xml:space="preserve">, </w:t>
      </w:r>
      <w:r>
        <w:rPr>
          <w:rFonts w:ascii="Calibri" w:eastAsia="Calibri" w:hAnsi="Calibri" w:cs="Calibri"/>
        </w:rPr>
        <w:t>‘</w:t>
      </w:r>
      <w:r>
        <w:t>Death and Survival during the 1994 Genocide in Rwanda</w:t>
      </w:r>
      <w:r>
        <w:rPr>
          <w:rFonts w:ascii="Calibri" w:eastAsia="Calibri" w:hAnsi="Calibri" w:cs="Calibri"/>
        </w:rPr>
        <w:t>’</w:t>
      </w:r>
      <w:r>
        <w:t>, (2004) 58 Population Studies 233.</w:t>
      </w:r>
    </w:p>
  </w:footnote>
  <w:footnote w:id="16">
    <w:p w14:paraId="2C957114" w14:textId="77777777" w:rsidR="004C57BA" w:rsidRDefault="004D4EAB">
      <w:pPr>
        <w:pStyle w:val="footnotedescription"/>
        <w:tabs>
          <w:tab w:val="center" w:pos="2059"/>
          <w:tab w:val="center" w:pos="4131"/>
        </w:tabs>
        <w:spacing w:line="259" w:lineRule="auto"/>
        <w:ind w:left="0" w:firstLine="0"/>
        <w:jc w:val="left"/>
      </w:pPr>
      <w:r>
        <w:rPr>
          <w:rStyle w:val="footnotemark"/>
        </w:rPr>
        <w:footnoteRef/>
      </w:r>
      <w:r>
        <w:t xml:space="preserve"> </w:t>
      </w:r>
      <w:r>
        <w:t>Ibid.</w:t>
      </w:r>
      <w:r>
        <w:tab/>
      </w:r>
      <w:r>
        <w:rPr>
          <w:vertAlign w:val="superscript"/>
        </w:rPr>
        <w:t xml:space="preserve">34 </w:t>
      </w:r>
      <w:proofErr w:type="spellStart"/>
      <w:r>
        <w:t>Smeulers</w:t>
      </w:r>
      <w:proofErr w:type="spellEnd"/>
      <w:r>
        <w:t>, above note 24, at 283.</w:t>
      </w:r>
      <w:r>
        <w:tab/>
      </w:r>
      <w:r>
        <w:rPr>
          <w:vertAlign w:val="superscript"/>
        </w:rPr>
        <w:t xml:space="preserve">35 </w:t>
      </w:r>
      <w:r>
        <w:t>Ibid., at 285.</w:t>
      </w:r>
    </w:p>
  </w:footnote>
  <w:footnote w:id="17">
    <w:p w14:paraId="7C1FE294" w14:textId="77777777" w:rsidR="004C57BA" w:rsidRDefault="004D4EAB">
      <w:pPr>
        <w:pStyle w:val="footnotedescription"/>
        <w:spacing w:after="37" w:line="259" w:lineRule="auto"/>
        <w:ind w:left="0" w:firstLine="0"/>
        <w:jc w:val="left"/>
      </w:pPr>
      <w:r>
        <w:rPr>
          <w:rStyle w:val="footnotemark"/>
        </w:rPr>
        <w:footnoteRef/>
      </w:r>
      <w:r>
        <w:t xml:space="preserve"> </w:t>
      </w:r>
      <w:proofErr w:type="spellStart"/>
      <w:r>
        <w:t>Smeulers</w:t>
      </w:r>
      <w:proofErr w:type="spellEnd"/>
      <w:r>
        <w:t xml:space="preserve"> and </w:t>
      </w:r>
      <w:proofErr w:type="spellStart"/>
      <w:r>
        <w:t>Haveman</w:t>
      </w:r>
      <w:proofErr w:type="spellEnd"/>
      <w:r>
        <w:t>, above note 3, at 83.</w:t>
      </w:r>
    </w:p>
  </w:footnote>
  <w:footnote w:id="18">
    <w:p w14:paraId="6E44518E" w14:textId="77777777" w:rsidR="004C57BA" w:rsidRDefault="004D4EAB">
      <w:pPr>
        <w:pStyle w:val="footnotedescription"/>
        <w:spacing w:line="266" w:lineRule="auto"/>
        <w:ind w:left="0" w:right="1" w:firstLine="0"/>
      </w:pPr>
      <w:r>
        <w:rPr>
          <w:rStyle w:val="footnotemark"/>
        </w:rPr>
        <w:footnoteRef/>
      </w:r>
      <w:r>
        <w:t xml:space="preserve"> </w:t>
      </w:r>
      <w:r>
        <w:t xml:space="preserve">E. </w:t>
      </w:r>
      <w:proofErr w:type="spellStart"/>
      <w:r>
        <w:t>Deportere</w:t>
      </w:r>
      <w:proofErr w:type="spellEnd"/>
      <w:r>
        <w:t xml:space="preserve">, F. Checchi, F. </w:t>
      </w:r>
      <w:proofErr w:type="spellStart"/>
      <w:r>
        <w:t>Broillet</w:t>
      </w:r>
      <w:proofErr w:type="spellEnd"/>
      <w:r>
        <w:t xml:space="preserve">, S. </w:t>
      </w:r>
      <w:proofErr w:type="spellStart"/>
      <w:r>
        <w:t>Gerstl</w:t>
      </w:r>
      <w:proofErr w:type="spellEnd"/>
      <w:r>
        <w:t xml:space="preserve">, A. </w:t>
      </w:r>
      <w:proofErr w:type="spellStart"/>
      <w:r>
        <w:t>Mine</w:t>
      </w:r>
      <w:r>
        <w:t>tti</w:t>
      </w:r>
      <w:proofErr w:type="spellEnd"/>
      <w:r>
        <w:t xml:space="preserve">, O. </w:t>
      </w:r>
      <w:proofErr w:type="spellStart"/>
      <w:r>
        <w:t>Gavraud</w:t>
      </w:r>
      <w:proofErr w:type="spellEnd"/>
      <w:r>
        <w:t xml:space="preserve">, V. </w:t>
      </w:r>
      <w:proofErr w:type="spellStart"/>
      <w:r>
        <w:t>Briet</w:t>
      </w:r>
      <w:proofErr w:type="spellEnd"/>
      <w:r>
        <w:t xml:space="preserve">, J. </w:t>
      </w:r>
      <w:proofErr w:type="spellStart"/>
      <w:r>
        <w:t>Pahl</w:t>
      </w:r>
      <w:proofErr w:type="spellEnd"/>
      <w:r>
        <w:t xml:space="preserve">, I. </w:t>
      </w:r>
      <w:proofErr w:type="spellStart"/>
      <w:r>
        <w:t>Defourny</w:t>
      </w:r>
      <w:proofErr w:type="spellEnd"/>
      <w:r>
        <w:t xml:space="preserve">, M. </w:t>
      </w:r>
      <w:proofErr w:type="spellStart"/>
      <w:r>
        <w:t>Tatay</w:t>
      </w:r>
      <w:proofErr w:type="spellEnd"/>
      <w:r>
        <w:t xml:space="preserve"> and V. Brown, </w:t>
      </w:r>
      <w:r>
        <w:rPr>
          <w:rFonts w:ascii="Calibri" w:eastAsia="Calibri" w:hAnsi="Calibri" w:cs="Calibri"/>
        </w:rPr>
        <w:t>‘</w:t>
      </w:r>
      <w:r>
        <w:t>Violence and Mortality in West Darfur, Sudan (2003</w:t>
      </w:r>
      <w:r>
        <w:rPr>
          <w:rFonts w:ascii="Calibri" w:eastAsia="Calibri" w:hAnsi="Calibri" w:cs="Calibri"/>
        </w:rPr>
        <w:t>–</w:t>
      </w:r>
      <w:r>
        <w:t>4): Epidemiological Evidence from Four Surveys</w:t>
      </w:r>
      <w:r>
        <w:rPr>
          <w:rFonts w:ascii="Calibri" w:eastAsia="Calibri" w:hAnsi="Calibri" w:cs="Calibri"/>
        </w:rPr>
        <w:t>’</w:t>
      </w:r>
      <w:r>
        <w:t xml:space="preserve">, (2004) 364 The Lancet 1315. </w:t>
      </w:r>
      <w:r>
        <w:rPr>
          <w:vertAlign w:val="superscript"/>
        </w:rPr>
        <w:t xml:space="preserve">38 </w:t>
      </w:r>
      <w:r>
        <w:t>Ibid.</w:t>
      </w:r>
    </w:p>
  </w:footnote>
  <w:footnote w:id="19">
    <w:p w14:paraId="4DF9B649" w14:textId="77777777" w:rsidR="004C57BA" w:rsidRDefault="004D4EAB">
      <w:pPr>
        <w:pStyle w:val="footnotedescription"/>
        <w:tabs>
          <w:tab w:val="center" w:pos="3851"/>
        </w:tabs>
        <w:spacing w:after="64" w:line="259" w:lineRule="auto"/>
        <w:ind w:left="0" w:firstLine="0"/>
        <w:jc w:val="left"/>
      </w:pPr>
      <w:r>
        <w:rPr>
          <w:rStyle w:val="footnotemark"/>
        </w:rPr>
        <w:footnoteRef/>
      </w:r>
      <w:r>
        <w:t xml:space="preserve"> </w:t>
      </w:r>
      <w:proofErr w:type="spellStart"/>
      <w:r>
        <w:t>Smeulers</w:t>
      </w:r>
      <w:proofErr w:type="spellEnd"/>
      <w:r>
        <w:t xml:space="preserve"> and </w:t>
      </w:r>
      <w:proofErr w:type="spellStart"/>
      <w:r>
        <w:t>Haveman</w:t>
      </w:r>
      <w:proofErr w:type="spellEnd"/>
      <w:r>
        <w:t>, above note 3, at 83.</w:t>
      </w:r>
      <w:r>
        <w:tab/>
      </w:r>
      <w:r>
        <w:rPr>
          <w:vertAlign w:val="superscript"/>
        </w:rPr>
        <w:t>4</w:t>
      </w:r>
      <w:r>
        <w:rPr>
          <w:vertAlign w:val="superscript"/>
        </w:rPr>
        <w:t xml:space="preserve">0 </w:t>
      </w:r>
      <w:r>
        <w:t>Ibid.</w:t>
      </w:r>
    </w:p>
  </w:footnote>
  <w:footnote w:id="20">
    <w:p w14:paraId="7FD2F88A" w14:textId="77777777" w:rsidR="004C57BA" w:rsidRDefault="004D4EAB">
      <w:pPr>
        <w:pStyle w:val="footnotedescription"/>
        <w:spacing w:line="259" w:lineRule="auto"/>
        <w:ind w:left="0" w:right="2" w:firstLine="0"/>
      </w:pPr>
      <w:r>
        <w:rPr>
          <w:rStyle w:val="footnotemark"/>
        </w:rPr>
        <w:footnoteRef/>
      </w:r>
      <w:r>
        <w:t xml:space="preserve"> </w:t>
      </w:r>
      <w:r>
        <w:t xml:space="preserve">R. </w:t>
      </w:r>
      <w:proofErr w:type="spellStart"/>
      <w:r>
        <w:t>Matsueda</w:t>
      </w:r>
      <w:proofErr w:type="spellEnd"/>
      <w:r>
        <w:t xml:space="preserve">, </w:t>
      </w:r>
      <w:r>
        <w:rPr>
          <w:rFonts w:ascii="Calibri" w:eastAsia="Calibri" w:hAnsi="Calibri" w:cs="Calibri"/>
        </w:rPr>
        <w:t>‘</w:t>
      </w:r>
      <w:r>
        <w:t>Toward a New Criminology of Genocide: Theory, Method, and Politics</w:t>
      </w:r>
      <w:r>
        <w:rPr>
          <w:rFonts w:ascii="Calibri" w:eastAsia="Calibri" w:hAnsi="Calibri" w:cs="Calibri"/>
        </w:rPr>
        <w:t>’</w:t>
      </w:r>
      <w:r>
        <w:t xml:space="preserve">, (2009) 13 Theoretical Criminology 495. </w:t>
      </w:r>
      <w:r>
        <w:rPr>
          <w:vertAlign w:val="superscript"/>
        </w:rPr>
        <w:t xml:space="preserve">42 </w:t>
      </w:r>
      <w:r>
        <w:t>Ibid.</w:t>
      </w:r>
    </w:p>
  </w:footnote>
  <w:footnote w:id="21">
    <w:p w14:paraId="5B95C728" w14:textId="77777777" w:rsidR="004C57BA" w:rsidRDefault="004D4EAB">
      <w:pPr>
        <w:pStyle w:val="footnotedescription"/>
        <w:spacing w:line="286" w:lineRule="auto"/>
        <w:ind w:left="206" w:hanging="206"/>
      </w:pPr>
      <w:r>
        <w:rPr>
          <w:rStyle w:val="footnotemark"/>
        </w:rPr>
        <w:footnoteRef/>
      </w:r>
      <w:r>
        <w:t xml:space="preserve"> </w:t>
      </w:r>
      <w:r>
        <w:t xml:space="preserve">P. Ball and J. Asher, </w:t>
      </w:r>
      <w:r>
        <w:rPr>
          <w:rFonts w:ascii="Calibri" w:eastAsia="Calibri" w:hAnsi="Calibri" w:cs="Calibri"/>
        </w:rPr>
        <w:t>‘</w:t>
      </w:r>
      <w:r>
        <w:t>Statistics and Slobodan: Using Data Analysis and Statistics in the War Crimes Trial of For</w:t>
      </w:r>
      <w:r>
        <w:t>mer President Milosevic</w:t>
      </w:r>
      <w:r>
        <w:rPr>
          <w:rFonts w:ascii="Calibri" w:eastAsia="Calibri" w:hAnsi="Calibri" w:cs="Calibri"/>
        </w:rPr>
        <w:t>’</w:t>
      </w:r>
      <w:r>
        <w:t>, (2002) 15 Chance 17.</w:t>
      </w:r>
    </w:p>
  </w:footnote>
  <w:footnote w:id="22">
    <w:p w14:paraId="1C0641A5" w14:textId="77777777" w:rsidR="004C57BA" w:rsidRDefault="004D4EAB">
      <w:pPr>
        <w:pStyle w:val="footnotedescription"/>
        <w:spacing w:line="269" w:lineRule="auto"/>
        <w:ind w:left="206" w:right="3" w:hanging="206"/>
      </w:pPr>
      <w:r>
        <w:rPr>
          <w:rStyle w:val="footnotemark"/>
        </w:rPr>
        <w:footnoteRef/>
      </w:r>
      <w:r>
        <w:t xml:space="preserve"> </w:t>
      </w:r>
      <w:r>
        <w:t>Refugees were interviewed through a questionnaire allowing a narrative description of events, which allowed the respondents to converse and tell their story rather than simply to respond brie</w:t>
      </w:r>
      <w:r>
        <w:rPr>
          <w:rFonts w:ascii="Calibri" w:eastAsia="Calibri" w:hAnsi="Calibri" w:cs="Calibri"/>
        </w:rPr>
        <w:t>fl</w:t>
      </w:r>
      <w:r>
        <w:t>y to standard questions.</w:t>
      </w:r>
    </w:p>
  </w:footnote>
  <w:footnote w:id="23">
    <w:p w14:paraId="371110F0" w14:textId="77777777" w:rsidR="004C57BA" w:rsidRDefault="004D4EAB">
      <w:pPr>
        <w:pStyle w:val="footnotedescription"/>
        <w:spacing w:after="67" w:line="259" w:lineRule="auto"/>
        <w:ind w:left="0" w:firstLine="0"/>
        <w:jc w:val="left"/>
      </w:pPr>
      <w:r>
        <w:rPr>
          <w:rStyle w:val="footnotemark"/>
        </w:rPr>
        <w:footnoteRef/>
      </w:r>
      <w:r>
        <w:t xml:space="preserve"> </w:t>
      </w:r>
      <w:proofErr w:type="spellStart"/>
      <w:r>
        <w:t>Smeulers</w:t>
      </w:r>
      <w:proofErr w:type="spellEnd"/>
      <w:r>
        <w:t xml:space="preserve"> and </w:t>
      </w:r>
      <w:proofErr w:type="spellStart"/>
      <w:r>
        <w:t>Haveman</w:t>
      </w:r>
      <w:proofErr w:type="spellEnd"/>
      <w:r>
        <w:t>, above note 3, at 90.</w:t>
      </w:r>
    </w:p>
  </w:footnote>
  <w:footnote w:id="24">
    <w:p w14:paraId="24C3914B" w14:textId="77777777" w:rsidR="004C57BA" w:rsidRDefault="004D4EAB">
      <w:pPr>
        <w:pStyle w:val="footnotedescription"/>
        <w:spacing w:line="280" w:lineRule="auto"/>
        <w:ind w:left="206" w:hanging="206"/>
      </w:pPr>
      <w:r>
        <w:rPr>
          <w:rStyle w:val="footnotemark"/>
        </w:rPr>
        <w:footnoteRef/>
      </w:r>
      <w:r>
        <w:t xml:space="preserve"> </w:t>
      </w:r>
      <w:r>
        <w:t xml:space="preserve">P. </w:t>
      </w:r>
      <w:proofErr w:type="spellStart"/>
      <w:r>
        <w:t>Verwimp</w:t>
      </w:r>
      <w:proofErr w:type="spellEnd"/>
      <w:r>
        <w:t xml:space="preserve">, </w:t>
      </w:r>
      <w:r>
        <w:rPr>
          <w:rFonts w:ascii="Calibri" w:eastAsia="Calibri" w:hAnsi="Calibri" w:cs="Calibri"/>
        </w:rPr>
        <w:t>‘</w:t>
      </w:r>
      <w:r>
        <w:t>An Economic Pro</w:t>
      </w:r>
      <w:r>
        <w:rPr>
          <w:rFonts w:ascii="Calibri" w:eastAsia="Calibri" w:hAnsi="Calibri" w:cs="Calibri"/>
        </w:rPr>
        <w:t>fi</w:t>
      </w:r>
      <w:r>
        <w:t>le of Peasant Perpetrators of Genocide: Micro Level Evidence from Rwanda</w:t>
      </w:r>
      <w:r>
        <w:rPr>
          <w:rFonts w:ascii="Calibri" w:eastAsia="Calibri" w:hAnsi="Calibri" w:cs="Calibri"/>
        </w:rPr>
        <w:t>’</w:t>
      </w:r>
      <w:r>
        <w:t>, (2004) 77 Journal of Development Economics 297.</w:t>
      </w:r>
    </w:p>
  </w:footnote>
  <w:footnote w:id="25">
    <w:p w14:paraId="7DA9B65F" w14:textId="77777777" w:rsidR="004C57BA" w:rsidRDefault="004D4EAB">
      <w:pPr>
        <w:pStyle w:val="footnotedescription"/>
        <w:spacing w:line="271" w:lineRule="auto"/>
        <w:ind w:left="0" w:right="1" w:firstLine="0"/>
      </w:pPr>
      <w:r>
        <w:rPr>
          <w:rStyle w:val="footnotemark"/>
        </w:rPr>
        <w:footnoteRef/>
      </w:r>
      <w:r>
        <w:t xml:space="preserve"> </w:t>
      </w:r>
      <w:r>
        <w:t>S. Schensul, and M. LeCompte, Essential Ethnographic Met</w:t>
      </w:r>
      <w:r>
        <w:t>hods: Observations, Interviews, and Questionnaires (</w:t>
      </w:r>
      <w:proofErr w:type="spellStart"/>
      <w:r>
        <w:t>AltaMira</w:t>
      </w:r>
      <w:proofErr w:type="spellEnd"/>
      <w:r>
        <w:t xml:space="preserve"> Press, 1999). </w:t>
      </w:r>
      <w:r>
        <w:rPr>
          <w:vertAlign w:val="superscript"/>
        </w:rPr>
        <w:t xml:space="preserve">48 </w:t>
      </w:r>
      <w:proofErr w:type="spellStart"/>
      <w:r>
        <w:t>Smeulers</w:t>
      </w:r>
      <w:proofErr w:type="spellEnd"/>
      <w:r>
        <w:t>, above note 24, at 289.</w:t>
      </w:r>
    </w:p>
  </w:footnote>
  <w:footnote w:id="26">
    <w:p w14:paraId="72C64954" w14:textId="77777777" w:rsidR="004C57BA" w:rsidRDefault="004D4EAB">
      <w:pPr>
        <w:pStyle w:val="footnotedescription"/>
        <w:spacing w:line="273" w:lineRule="auto"/>
        <w:ind w:left="206" w:hanging="206"/>
      </w:pPr>
      <w:r>
        <w:rPr>
          <w:rStyle w:val="footnotemark"/>
        </w:rPr>
        <w:footnoteRef/>
      </w:r>
      <w:r>
        <w:t xml:space="preserve"> </w:t>
      </w:r>
      <w:r>
        <w:t>ICTY Prosecutor v. Karadzic, Trial Chamber Decision on the Accused</w:t>
      </w:r>
      <w:r>
        <w:rPr>
          <w:rFonts w:ascii="Calibri" w:eastAsia="Calibri" w:hAnsi="Calibri" w:cs="Calibri"/>
        </w:rPr>
        <w:t>’</w:t>
      </w:r>
      <w:r>
        <w:t>s Holbrooke Agreement Motion (8 July 2009), paras. 1</w:t>
      </w:r>
      <w:r>
        <w:rPr>
          <w:rFonts w:ascii="Calibri" w:eastAsia="Calibri" w:hAnsi="Calibri" w:cs="Calibri"/>
        </w:rPr>
        <w:t>–</w:t>
      </w:r>
      <w:r>
        <w:t>19, 33</w:t>
      </w:r>
      <w:r>
        <w:rPr>
          <w:rFonts w:ascii="Calibri" w:eastAsia="Calibri" w:hAnsi="Calibri" w:cs="Calibri"/>
        </w:rPr>
        <w:t>–</w:t>
      </w:r>
      <w:r>
        <w:t>7.</w:t>
      </w:r>
    </w:p>
  </w:footnote>
  <w:footnote w:id="27">
    <w:p w14:paraId="3BF80E3B" w14:textId="77777777" w:rsidR="004C57BA" w:rsidRDefault="004D4EAB">
      <w:pPr>
        <w:pStyle w:val="footnotedescription"/>
        <w:spacing w:line="291" w:lineRule="auto"/>
        <w:ind w:left="206" w:hanging="206"/>
        <w:jc w:val="left"/>
      </w:pPr>
      <w:r>
        <w:rPr>
          <w:rStyle w:val="footnotemark"/>
        </w:rPr>
        <w:footnoteRef/>
      </w:r>
      <w:r>
        <w:t xml:space="preserve"> </w:t>
      </w:r>
      <w:r>
        <w:t xml:space="preserve">S. Straus, </w:t>
      </w:r>
      <w:r>
        <w:rPr>
          <w:rFonts w:ascii="Calibri" w:eastAsia="Calibri" w:hAnsi="Calibri" w:cs="Calibri"/>
        </w:rPr>
        <w:t>‘</w:t>
      </w:r>
      <w:r>
        <w:t>How Many Perpetrators were there in the Rwandan Genocide? An Estimate</w:t>
      </w:r>
      <w:r>
        <w:rPr>
          <w:rFonts w:ascii="Calibri" w:eastAsia="Calibri" w:hAnsi="Calibri" w:cs="Calibri"/>
        </w:rPr>
        <w:t>’</w:t>
      </w:r>
      <w:r>
        <w:t>, (2004) 6 Journal of Genocide Research 85.</w:t>
      </w:r>
    </w:p>
  </w:footnote>
  <w:footnote w:id="28">
    <w:p w14:paraId="3646CADF" w14:textId="77777777" w:rsidR="004C57BA" w:rsidRDefault="004D4EAB">
      <w:pPr>
        <w:pStyle w:val="footnotedescription"/>
        <w:spacing w:line="274" w:lineRule="auto"/>
        <w:ind w:left="207" w:hanging="207"/>
      </w:pPr>
      <w:r>
        <w:rPr>
          <w:rStyle w:val="footnotemark"/>
        </w:rPr>
        <w:footnoteRef/>
      </w:r>
      <w:r>
        <w:t xml:space="preserve"> </w:t>
      </w:r>
      <w:r>
        <w:t xml:space="preserve">R. H. </w:t>
      </w:r>
      <w:proofErr w:type="spellStart"/>
      <w:r>
        <w:t>Haveman</w:t>
      </w:r>
      <w:proofErr w:type="spellEnd"/>
      <w:r>
        <w:t xml:space="preserve">, </w:t>
      </w:r>
      <w:r>
        <w:rPr>
          <w:rFonts w:ascii="Calibri" w:eastAsia="Calibri" w:hAnsi="Calibri" w:cs="Calibri"/>
        </w:rPr>
        <w:t>‘</w:t>
      </w:r>
      <w:r>
        <w:t>Justice for Gacaca</w:t>
      </w:r>
      <w:r>
        <w:rPr>
          <w:rFonts w:ascii="Calibri" w:eastAsia="Calibri" w:hAnsi="Calibri" w:cs="Calibri"/>
        </w:rPr>
        <w:t>’</w:t>
      </w:r>
      <w:r>
        <w:t xml:space="preserve">, in A. </w:t>
      </w:r>
      <w:proofErr w:type="spellStart"/>
      <w:r>
        <w:t>Smeulers</w:t>
      </w:r>
      <w:proofErr w:type="spellEnd"/>
      <w:r>
        <w:t xml:space="preserve"> and R. </w:t>
      </w:r>
      <w:proofErr w:type="spellStart"/>
      <w:r>
        <w:t>Haveman</w:t>
      </w:r>
      <w:proofErr w:type="spellEnd"/>
      <w:r>
        <w:t xml:space="preserve"> (eds.), Supranational Criminology: Towards a Criminology of Internationa</w:t>
      </w:r>
      <w:r>
        <w:t>l Crimes, (</w:t>
      </w:r>
      <w:proofErr w:type="spellStart"/>
      <w:r>
        <w:t>Intersentia</w:t>
      </w:r>
      <w:proofErr w:type="spellEnd"/>
      <w:r>
        <w:t>, 2008) at 357</w:t>
      </w:r>
      <w:r>
        <w:rPr>
          <w:rFonts w:ascii="Calibri" w:eastAsia="Calibri" w:hAnsi="Calibri" w:cs="Calibri"/>
        </w:rPr>
        <w:t>–</w:t>
      </w:r>
      <w:r>
        <w:t>98.</w:t>
      </w:r>
    </w:p>
  </w:footnote>
  <w:footnote w:id="29">
    <w:p w14:paraId="54E193E5" w14:textId="77777777" w:rsidR="004C57BA" w:rsidRDefault="004D4EAB">
      <w:pPr>
        <w:pStyle w:val="footnotedescription"/>
        <w:spacing w:line="306" w:lineRule="auto"/>
        <w:ind w:left="206" w:right="2" w:hanging="206"/>
      </w:pPr>
      <w:r>
        <w:rPr>
          <w:rStyle w:val="footnotemark"/>
        </w:rPr>
        <w:footnoteRef/>
      </w:r>
      <w:r>
        <w:t xml:space="preserve"> </w:t>
      </w:r>
      <w:r>
        <w:t xml:space="preserve">This case is best known for the applicability of the defence of duress (as a general or partial defence). ICTY Prosecutor v. </w:t>
      </w:r>
      <w:proofErr w:type="spellStart"/>
      <w:r>
        <w:t>Erdemovi</w:t>
      </w:r>
      <w:r>
        <w:rPr>
          <w:rFonts w:ascii="Calibri" w:eastAsia="Calibri" w:hAnsi="Calibri" w:cs="Calibri"/>
        </w:rPr>
        <w:t>ć</w:t>
      </w:r>
      <w:proofErr w:type="spellEnd"/>
      <w:r>
        <w:t>, Appeals Chamber Judgment (7 October 1997).</w:t>
      </w:r>
    </w:p>
  </w:footnote>
  <w:footnote w:id="30">
    <w:p w14:paraId="6CF38B96" w14:textId="77777777" w:rsidR="004C57BA" w:rsidRDefault="004D4EAB">
      <w:pPr>
        <w:pStyle w:val="footnotedescription"/>
        <w:ind w:left="206" w:hanging="206"/>
        <w:jc w:val="left"/>
      </w:pPr>
      <w:r>
        <w:rPr>
          <w:rStyle w:val="footnotemark"/>
        </w:rPr>
        <w:footnoteRef/>
      </w:r>
      <w:r>
        <w:t xml:space="preserve"> </w:t>
      </w:r>
      <w:r>
        <w:t xml:space="preserve">M. </w:t>
      </w:r>
      <w:proofErr w:type="spellStart"/>
      <w:r>
        <w:t>Rauschenbach</w:t>
      </w:r>
      <w:proofErr w:type="spellEnd"/>
      <w:r>
        <w:t>, Ways of Knowing</w:t>
      </w:r>
      <w:r>
        <w:t xml:space="preserve"> Atrocities, available at: http://oxfordtransitionaljustice.wordpress.com/2013/07/13/roundtable-discussion-of-the-esrc-project-ways-ofknowing-atrocity-with-dr-mina-rauschenbach-2/.</w:t>
      </w:r>
    </w:p>
  </w:footnote>
  <w:footnote w:id="31">
    <w:p w14:paraId="563ED9B3" w14:textId="77777777" w:rsidR="004C57BA" w:rsidRDefault="004D4EAB">
      <w:pPr>
        <w:pStyle w:val="footnotedescription"/>
        <w:spacing w:line="272" w:lineRule="auto"/>
        <w:ind w:left="0" w:right="1" w:firstLine="0"/>
      </w:pPr>
      <w:r>
        <w:rPr>
          <w:rStyle w:val="footnotemark"/>
        </w:rPr>
        <w:footnoteRef/>
      </w:r>
      <w:r>
        <w:t xml:space="preserve"> </w:t>
      </w:r>
      <w:r>
        <w:t>This gives rise to the communicative effect of law to its wider stakehold</w:t>
      </w:r>
      <w:r>
        <w:t xml:space="preserve">er audience. See I. </w:t>
      </w:r>
      <w:proofErr w:type="spellStart"/>
      <w:r>
        <w:t>Bantekas</w:t>
      </w:r>
      <w:proofErr w:type="spellEnd"/>
      <w:r>
        <w:t xml:space="preserve">, </w:t>
      </w:r>
      <w:r>
        <w:rPr>
          <w:rFonts w:ascii="Calibri" w:eastAsia="Calibri" w:hAnsi="Calibri" w:cs="Calibri"/>
        </w:rPr>
        <w:t>‘</w:t>
      </w:r>
      <w:r>
        <w:t>The Communication by States of International Law to its Direct Stakeholders</w:t>
      </w:r>
      <w:r>
        <w:rPr>
          <w:rFonts w:ascii="Calibri" w:eastAsia="Calibri" w:hAnsi="Calibri" w:cs="Calibri"/>
        </w:rPr>
        <w:t>’</w:t>
      </w:r>
      <w:r>
        <w:t xml:space="preserve">, (2010) 3 Colombian Yearbook of International Law 123. </w:t>
      </w:r>
      <w:r>
        <w:rPr>
          <w:vertAlign w:val="superscript"/>
        </w:rPr>
        <w:t xml:space="preserve">61 </w:t>
      </w:r>
      <w:proofErr w:type="spellStart"/>
      <w:r>
        <w:t>Rauschenbach</w:t>
      </w:r>
      <w:proofErr w:type="spellEnd"/>
      <w:r>
        <w:t>, above note 59.</w:t>
      </w:r>
    </w:p>
  </w:footnote>
  <w:footnote w:id="32">
    <w:p w14:paraId="44328A8F" w14:textId="77777777" w:rsidR="004C57BA" w:rsidRDefault="004D4EAB">
      <w:pPr>
        <w:pStyle w:val="footnotedescription"/>
        <w:spacing w:after="94" w:line="259" w:lineRule="auto"/>
        <w:ind w:left="0" w:firstLine="0"/>
        <w:jc w:val="left"/>
      </w:pPr>
      <w:r>
        <w:rPr>
          <w:rStyle w:val="footnotemark"/>
        </w:rPr>
        <w:footnoteRef/>
      </w:r>
      <w:r>
        <w:t xml:space="preserve"> </w:t>
      </w:r>
      <w:r>
        <w:t>Ibid.</w:t>
      </w:r>
    </w:p>
  </w:footnote>
  <w:footnote w:id="33">
    <w:p w14:paraId="61FA6451" w14:textId="77777777" w:rsidR="004C57BA" w:rsidRDefault="004D4EAB">
      <w:pPr>
        <w:pStyle w:val="footnotedescription"/>
        <w:spacing w:line="259" w:lineRule="auto"/>
        <w:ind w:left="206" w:right="1" w:hanging="206"/>
      </w:pPr>
      <w:r>
        <w:rPr>
          <w:rStyle w:val="footnotemark"/>
        </w:rPr>
        <w:footnoteRef/>
      </w:r>
      <w:r>
        <w:t xml:space="preserve"> </w:t>
      </w:r>
      <w:r>
        <w:t>See SLSC Prosecutor v. Norman</w:t>
      </w:r>
      <w:r>
        <w:t>, Decision on Appeal by the TRC and Chief Norman against the Decision of Bankole J, delivered on 30 October 2003, to Deny the TRC</w:t>
      </w:r>
      <w:r>
        <w:rPr>
          <w:rFonts w:ascii="Calibri" w:eastAsia="Calibri" w:hAnsi="Calibri" w:cs="Calibri"/>
        </w:rPr>
        <w:t>’</w:t>
      </w:r>
      <w:r>
        <w:t>s Request to Hold a Public Hearing with Chief Norman (28 November 2003), para.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68D0F" w14:textId="6F736B8D" w:rsidR="004C57BA" w:rsidRDefault="004D4EAB">
    <w:pPr>
      <w:tabs>
        <w:tab w:val="center" w:pos="3109"/>
      </w:tabs>
      <w:spacing w:after="0"/>
    </w:pPr>
    <w:r>
      <w:fldChar w:fldCharType="begin"/>
    </w:r>
    <w:r>
      <w:instrText xml:space="preserve"> PAGE   \* MERGEFORMAT </w:instrText>
    </w:r>
    <w:r>
      <w:fldChar w:fldCharType="separate"/>
    </w:r>
    <w:r>
      <w:rPr>
        <w:sz w:val="21"/>
      </w:rPr>
      <w:t>24</w:t>
    </w:r>
    <w:r>
      <w:rPr>
        <w:sz w:val="21"/>
      </w:rPr>
      <w:fldChar w:fldCharType="end"/>
    </w:r>
    <w:r>
      <w:rPr>
        <w:sz w:val="21"/>
      </w:rPr>
      <w:tab/>
    </w:r>
    <w:proofErr w:type="spellStart"/>
    <w:r>
      <w:rPr>
        <w:sz w:val="21"/>
      </w:rPr>
      <w:t>aitchison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80FBA" w14:textId="41EE984F" w:rsidR="004C57BA" w:rsidRDefault="004D4EAB">
    <w:pPr>
      <w:tabs>
        <w:tab w:val="center" w:pos="2858"/>
        <w:tab w:val="center" w:pos="5881"/>
      </w:tabs>
      <w:spacing w:after="0"/>
    </w:pPr>
    <w:r>
      <w:tab/>
    </w:r>
    <w:r>
      <w:rPr>
        <w:sz w:val="21"/>
      </w:rPr>
      <w:t>criminological theory and international crimes</w:t>
    </w:r>
    <w:r>
      <w:rPr>
        <w:sz w:val="21"/>
      </w:rPr>
      <w:tab/>
    </w:r>
    <w:r>
      <w:fldChar w:fldCharType="begin"/>
    </w:r>
    <w:r>
      <w:instrText xml:space="preserve"> PAGE   \* MERGEFORMAT </w:instrText>
    </w:r>
    <w:r>
      <w:fldChar w:fldCharType="separate"/>
    </w:r>
    <w:r>
      <w:rPr>
        <w:sz w:val="21"/>
      </w:rPr>
      <w:t>23</w:t>
    </w:r>
    <w:r>
      <w:rPr>
        <w:sz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54AE" w14:textId="7955E65D" w:rsidR="004C57BA" w:rsidRDefault="004C57BA">
    <w:pPr>
      <w:spacing w:after="0"/>
      <w:ind w:left="-1326" w:right="754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5633" w14:textId="6AF56AB9" w:rsidR="004C57BA" w:rsidRDefault="004D4EAB">
    <w:pPr>
      <w:tabs>
        <w:tab w:val="center" w:pos="3109"/>
      </w:tabs>
      <w:spacing w:after="0"/>
    </w:pPr>
    <w:r>
      <w:fldChar w:fldCharType="begin"/>
    </w:r>
    <w:r>
      <w:instrText xml:space="preserve"> PAGE   \* MERGEFORMAT </w:instrText>
    </w:r>
    <w:r>
      <w:fldChar w:fldCharType="separate"/>
    </w:r>
    <w:r>
      <w:rPr>
        <w:rFonts w:ascii="Times New Roman" w:eastAsia="Times New Roman" w:hAnsi="Times New Roman" w:cs="Times New Roman"/>
        <w:sz w:val="21"/>
      </w:rPr>
      <w:t>52</w:t>
    </w:r>
    <w:r>
      <w:rPr>
        <w:rFonts w:ascii="Times New Roman" w:eastAsia="Times New Roman" w:hAnsi="Times New Roman" w:cs="Times New Roman"/>
        <w:sz w:val="21"/>
      </w:rPr>
      <w:fldChar w:fldCharType="end"/>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mylonaki</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B7501" w14:textId="0949B019" w:rsidR="004C57BA" w:rsidRDefault="004D4EAB">
    <w:pPr>
      <w:tabs>
        <w:tab w:val="center" w:pos="2858"/>
        <w:tab w:val="center" w:pos="5888"/>
      </w:tabs>
      <w:spacing w:after="0"/>
    </w:pPr>
    <w:r>
      <w:tab/>
    </w:r>
    <w:r>
      <w:rPr>
        <w:rFonts w:ascii="Times New Roman" w:eastAsia="Times New Roman" w:hAnsi="Times New Roman" w:cs="Times New Roman"/>
        <w:sz w:val="21"/>
      </w:rPr>
      <w:t>relevance a</w:t>
    </w:r>
    <w:r>
      <w:rPr>
        <w:rFonts w:ascii="Times New Roman" w:eastAsia="Times New Roman" w:hAnsi="Times New Roman" w:cs="Times New Roman"/>
        <w:sz w:val="21"/>
      </w:rPr>
      <w:t>nd application of research methods</w:t>
    </w:r>
    <w:r>
      <w:rPr>
        <w:rFonts w:ascii="Times New Roman" w:eastAsia="Times New Roman" w:hAnsi="Times New Roman" w:cs="Times New Roman"/>
        <w:sz w:val="21"/>
      </w:rPr>
      <w:tab/>
    </w:r>
    <w:r>
      <w:fldChar w:fldCharType="begin"/>
    </w:r>
    <w:r>
      <w:instrText xml:space="preserve"> PAGE   \* MERGEFORMAT </w:instrText>
    </w:r>
    <w:r>
      <w:fldChar w:fldCharType="separate"/>
    </w:r>
    <w:r>
      <w:rPr>
        <w:rFonts w:ascii="Times New Roman" w:eastAsia="Times New Roman" w:hAnsi="Times New Roman" w:cs="Times New Roman"/>
        <w:sz w:val="21"/>
      </w:rPr>
      <w:t>51</w:t>
    </w:r>
    <w:r>
      <w:rPr>
        <w:rFonts w:ascii="Times New Roman" w:eastAsia="Times New Roman" w:hAnsi="Times New Roman" w:cs="Times New Roman"/>
        <w:sz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E8EF9" w14:textId="640C2B86" w:rsidR="004C57BA" w:rsidRDefault="004C57BA">
    <w:pPr>
      <w:spacing w:after="0"/>
      <w:ind w:left="-1326" w:right="754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10E8B" w14:textId="77777777" w:rsidR="004C57BA" w:rsidRDefault="004D4EAB">
    <w:pPr>
      <w:tabs>
        <w:tab w:val="center" w:pos="1469"/>
        <w:tab w:val="center" w:pos="4435"/>
      </w:tabs>
      <w:spacing w:after="0"/>
    </w:pPr>
    <w:r>
      <w:rPr>
        <w:noProof/>
      </w:rPr>
      <mc:AlternateContent>
        <mc:Choice Requires="wpg">
          <w:drawing>
            <wp:anchor distT="0" distB="0" distL="114300" distR="114300" simplePos="0" relativeHeight="251774976" behindDoc="0" locked="0" layoutInCell="1" allowOverlap="1" wp14:anchorId="576BDB88" wp14:editId="5FD1CC57">
              <wp:simplePos x="0" y="0"/>
              <wp:positionH relativeFrom="page">
                <wp:posOffset>0</wp:posOffset>
              </wp:positionH>
              <wp:positionV relativeFrom="page">
                <wp:posOffset>6280</wp:posOffset>
              </wp:positionV>
              <wp:extent cx="5471998" cy="540024"/>
              <wp:effectExtent l="0" t="0" r="0" b="0"/>
              <wp:wrapSquare wrapText="bothSides"/>
              <wp:docPr id="367341" name="Group 367341"/>
              <wp:cNvGraphicFramePr/>
              <a:graphic xmlns:a="http://schemas.openxmlformats.org/drawingml/2006/main">
                <a:graphicData uri="http://schemas.microsoft.com/office/word/2010/wordprocessingGroup">
                  <wpg:wgp>
                    <wpg:cNvGrpSpPr/>
                    <wpg:grpSpPr>
                      <a:xfrm>
                        <a:off x="0" y="0"/>
                        <a:ext cx="5471998" cy="540024"/>
                        <a:chOff x="0" y="0"/>
                        <a:chExt cx="5471998" cy="540024"/>
                      </a:xfrm>
                    </wpg:grpSpPr>
                    <wps:wsp>
                      <wps:cNvPr id="372196" name="Shape 372196"/>
                      <wps:cNvSpPr/>
                      <wps:spPr>
                        <a:xfrm>
                          <a:off x="0" y="15788"/>
                          <a:ext cx="5471998" cy="524236"/>
                        </a:xfrm>
                        <a:custGeom>
                          <a:avLst/>
                          <a:gdLst/>
                          <a:ahLst/>
                          <a:cxnLst/>
                          <a:rect l="0" t="0" r="0" b="0"/>
                          <a:pathLst>
                            <a:path w="5471998" h="524236">
                              <a:moveTo>
                                <a:pt x="0" y="0"/>
                              </a:moveTo>
                              <a:lnTo>
                                <a:pt x="5471998" y="0"/>
                              </a:lnTo>
                              <a:lnTo>
                                <a:pt x="5471998" y="524236"/>
                              </a:lnTo>
                              <a:lnTo>
                                <a:pt x="0" y="524236"/>
                              </a:lnTo>
                              <a:lnTo>
                                <a:pt x="0" y="0"/>
                              </a:lnTo>
                            </a:path>
                          </a:pathLst>
                        </a:custGeom>
                        <a:ln w="0" cap="flat">
                          <a:miter lim="127000"/>
                        </a:ln>
                      </wps:spPr>
                      <wps:style>
                        <a:lnRef idx="0">
                          <a:srgbClr val="000000">
                            <a:alpha val="0"/>
                          </a:srgbClr>
                        </a:lnRef>
                        <a:fillRef idx="1">
                          <a:srgbClr val="BCBEC0"/>
                        </a:fillRef>
                        <a:effectRef idx="0">
                          <a:scrgbClr r="0" g="0" b="0"/>
                        </a:effectRef>
                        <a:fontRef idx="none"/>
                      </wps:style>
                      <wps:bodyPr/>
                    </wps:wsp>
                    <wps:wsp>
                      <wps:cNvPr id="367343" name="Shape 367343"/>
                      <wps:cNvSpPr/>
                      <wps:spPr>
                        <a:xfrm>
                          <a:off x="1800292" y="0"/>
                          <a:ext cx="0" cy="540004"/>
                        </a:xfrm>
                        <a:custGeom>
                          <a:avLst/>
                          <a:gdLst/>
                          <a:ahLst/>
                          <a:cxnLst/>
                          <a:rect l="0" t="0" r="0" b="0"/>
                          <a:pathLst>
                            <a:path h="540004">
                              <a:moveTo>
                                <a:pt x="0" y="540004"/>
                              </a:moveTo>
                              <a:lnTo>
                                <a:pt x="0" y="0"/>
                              </a:lnTo>
                            </a:path>
                          </a:pathLst>
                        </a:custGeom>
                        <a:ln w="12573" cap="sq">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367344" name="Picture 367344"/>
                        <pic:cNvPicPr/>
                      </pic:nvPicPr>
                      <pic:blipFill>
                        <a:blip r:embed="rId1"/>
                        <a:stretch>
                          <a:fillRect/>
                        </a:stretch>
                      </pic:blipFill>
                      <pic:spPr>
                        <a:xfrm>
                          <a:off x="90364" y="90044"/>
                          <a:ext cx="1620012" cy="415163"/>
                        </a:xfrm>
                        <a:prstGeom prst="rect">
                          <a:avLst/>
                        </a:prstGeom>
                      </pic:spPr>
                    </pic:pic>
                  </wpg:wgp>
                </a:graphicData>
              </a:graphic>
            </wp:anchor>
          </w:drawing>
        </mc:Choice>
        <mc:Fallback xmlns:a="http://schemas.openxmlformats.org/drawingml/2006/main">
          <w:pict>
            <v:group id="Group 367341" style="width:430.866pt;height:42.5216pt;position:absolute;mso-position-horizontal-relative:page;mso-position-horizontal:absolute;margin-left:0pt;mso-position-vertical-relative:page;margin-top:0.494465pt;" coordsize="54719,5400">
              <v:shape id="Shape 372197" style="position:absolute;width:54719;height:5242;left:0;top:157;" coordsize="5471998,524236" path="m0,0l5471998,0l5471998,524236l0,524236l0,0">
                <v:stroke weight="0pt" endcap="flat" joinstyle="miter" miterlimit="10" on="false" color="#000000" opacity="0"/>
                <v:fill on="true" color="#bcbec0"/>
              </v:shape>
              <v:shape id="Shape 367343" style="position:absolute;width:0;height:5400;left:18002;top:0;" coordsize="0,540004" path="m0,540004l0,0">
                <v:stroke weight="0.99pt" endcap="square" joinstyle="miter" miterlimit="10" on="true" color="#ffffff"/>
                <v:fill on="false" color="#000000" opacity="0"/>
              </v:shape>
              <v:shape id="Picture 367344" style="position:absolute;width:16200;height:4151;left:903;top:900;" filled="f">
                <v:imagedata r:id="rId606"/>
              </v:shape>
              <w10:wrap type="square"/>
            </v:group>
          </w:pict>
        </mc:Fallback>
      </mc:AlternateContent>
    </w:r>
    <w:r>
      <w:tab/>
    </w:r>
    <w:r>
      <w:fldChar w:fldCharType="begin"/>
    </w:r>
    <w:r>
      <w:instrText xml:space="preserve"> PAGE   \* MERGEFORMAT </w:instrText>
    </w:r>
    <w:r>
      <w:fldChar w:fldCharType="separate"/>
    </w:r>
    <w:r>
      <w:rPr>
        <w:sz w:val="21"/>
      </w:rPr>
      <w:t>340</w:t>
    </w:r>
    <w:r>
      <w:rPr>
        <w:sz w:val="21"/>
      </w:rPr>
      <w:fldChar w:fldCharType="end"/>
    </w:r>
    <w:r>
      <w:rPr>
        <w:sz w:val="21"/>
      </w:rPr>
      <w:tab/>
      <w:t>i</w:t>
    </w:r>
    <w:r>
      <w:rPr>
        <w:sz w:val="21"/>
      </w:rPr>
      <w:t>ndex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FE4C6" w14:textId="69B1CA02" w:rsidR="004C57BA" w:rsidRDefault="004D4EAB">
    <w:pPr>
      <w:tabs>
        <w:tab w:val="center" w:pos="4184"/>
        <w:tab w:val="center" w:pos="7160"/>
      </w:tabs>
      <w:spacing w:after="0"/>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C9209" w14:textId="77777777" w:rsidR="004C57BA" w:rsidRDefault="004D4EAB">
    <w:pPr>
      <w:tabs>
        <w:tab w:val="center" w:pos="4184"/>
        <w:tab w:val="center" w:pos="7160"/>
      </w:tabs>
      <w:spacing w:after="0"/>
    </w:pPr>
    <w:r>
      <w:rPr>
        <w:noProof/>
      </w:rPr>
      <mc:AlternateContent>
        <mc:Choice Requires="wpg">
          <w:drawing>
            <wp:anchor distT="0" distB="0" distL="114300" distR="114300" simplePos="0" relativeHeight="251777024" behindDoc="0" locked="0" layoutInCell="1" allowOverlap="1" wp14:anchorId="5FC61F6B" wp14:editId="4EB04062">
              <wp:simplePos x="0" y="0"/>
              <wp:positionH relativeFrom="page">
                <wp:posOffset>0</wp:posOffset>
              </wp:positionH>
              <wp:positionV relativeFrom="page">
                <wp:posOffset>6280</wp:posOffset>
              </wp:positionV>
              <wp:extent cx="5471998" cy="540024"/>
              <wp:effectExtent l="0" t="0" r="0" b="0"/>
              <wp:wrapSquare wrapText="bothSides"/>
              <wp:docPr id="367291" name="Group 367291"/>
              <wp:cNvGraphicFramePr/>
              <a:graphic xmlns:a="http://schemas.openxmlformats.org/drawingml/2006/main">
                <a:graphicData uri="http://schemas.microsoft.com/office/word/2010/wordprocessingGroup">
                  <wpg:wgp>
                    <wpg:cNvGrpSpPr/>
                    <wpg:grpSpPr>
                      <a:xfrm>
                        <a:off x="0" y="0"/>
                        <a:ext cx="5471998" cy="540024"/>
                        <a:chOff x="0" y="0"/>
                        <a:chExt cx="5471998" cy="540024"/>
                      </a:xfrm>
                    </wpg:grpSpPr>
                    <wps:wsp>
                      <wps:cNvPr id="372192" name="Shape 372192"/>
                      <wps:cNvSpPr/>
                      <wps:spPr>
                        <a:xfrm>
                          <a:off x="0" y="15788"/>
                          <a:ext cx="5471998" cy="524236"/>
                        </a:xfrm>
                        <a:custGeom>
                          <a:avLst/>
                          <a:gdLst/>
                          <a:ahLst/>
                          <a:cxnLst/>
                          <a:rect l="0" t="0" r="0" b="0"/>
                          <a:pathLst>
                            <a:path w="5471998" h="524236">
                              <a:moveTo>
                                <a:pt x="0" y="0"/>
                              </a:moveTo>
                              <a:lnTo>
                                <a:pt x="5471998" y="0"/>
                              </a:lnTo>
                              <a:lnTo>
                                <a:pt x="5471998" y="524236"/>
                              </a:lnTo>
                              <a:lnTo>
                                <a:pt x="0" y="524236"/>
                              </a:lnTo>
                              <a:lnTo>
                                <a:pt x="0" y="0"/>
                              </a:lnTo>
                            </a:path>
                          </a:pathLst>
                        </a:custGeom>
                        <a:ln w="0" cap="flat">
                          <a:miter lim="127000"/>
                        </a:ln>
                      </wps:spPr>
                      <wps:style>
                        <a:lnRef idx="0">
                          <a:srgbClr val="000000">
                            <a:alpha val="0"/>
                          </a:srgbClr>
                        </a:lnRef>
                        <a:fillRef idx="1">
                          <a:srgbClr val="BCBEC0"/>
                        </a:fillRef>
                        <a:effectRef idx="0">
                          <a:scrgbClr r="0" g="0" b="0"/>
                        </a:effectRef>
                        <a:fontRef idx="none"/>
                      </wps:style>
                      <wps:bodyPr/>
                    </wps:wsp>
                    <wps:wsp>
                      <wps:cNvPr id="367293" name="Shape 367293"/>
                      <wps:cNvSpPr/>
                      <wps:spPr>
                        <a:xfrm>
                          <a:off x="1800292" y="0"/>
                          <a:ext cx="0" cy="540004"/>
                        </a:xfrm>
                        <a:custGeom>
                          <a:avLst/>
                          <a:gdLst/>
                          <a:ahLst/>
                          <a:cxnLst/>
                          <a:rect l="0" t="0" r="0" b="0"/>
                          <a:pathLst>
                            <a:path h="540004">
                              <a:moveTo>
                                <a:pt x="0" y="540004"/>
                              </a:moveTo>
                              <a:lnTo>
                                <a:pt x="0" y="0"/>
                              </a:lnTo>
                            </a:path>
                          </a:pathLst>
                        </a:custGeom>
                        <a:ln w="12573" cap="sq">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367294" name="Picture 367294"/>
                        <pic:cNvPicPr/>
                      </pic:nvPicPr>
                      <pic:blipFill>
                        <a:blip r:embed="rId1"/>
                        <a:stretch>
                          <a:fillRect/>
                        </a:stretch>
                      </pic:blipFill>
                      <pic:spPr>
                        <a:xfrm>
                          <a:off x="90364" y="90044"/>
                          <a:ext cx="1620012" cy="415163"/>
                        </a:xfrm>
                        <a:prstGeom prst="rect">
                          <a:avLst/>
                        </a:prstGeom>
                      </pic:spPr>
                    </pic:pic>
                  </wpg:wgp>
                </a:graphicData>
              </a:graphic>
            </wp:anchor>
          </w:drawing>
        </mc:Choice>
        <mc:Fallback xmlns:a="http://schemas.openxmlformats.org/drawingml/2006/main">
          <w:pict>
            <v:group id="Group 367291" style="width:430.866pt;height:42.5216pt;position:absolute;mso-position-horizontal-relative:page;mso-position-horizontal:absolute;margin-left:0pt;mso-position-vertical-relative:page;margin-top:0.494465pt;" coordsize="54719,5400">
              <v:shape id="Shape 372193" style="position:absolute;width:54719;height:5242;left:0;top:157;" coordsize="5471998,524236" path="m0,0l5471998,0l5471998,524236l0,524236l0,0">
                <v:stroke weight="0pt" endcap="flat" joinstyle="miter" miterlimit="10" on="false" color="#000000" opacity="0"/>
                <v:fill on="true" color="#bcbec0"/>
              </v:shape>
              <v:shape id="Shape 367293" style="position:absolute;width:0;height:5400;left:18002;top:0;" coordsize="0,540004" path="m0,540004l0,0">
                <v:stroke weight="0.99pt" endcap="square" joinstyle="miter" miterlimit="10" on="true" color="#ffffff"/>
                <v:fill on="false" color="#000000" opacity="0"/>
              </v:shape>
              <v:shape id="Picture 367294" style="position:absolute;width:16200;height:4151;left:903;top:900;" filled="f">
                <v:imagedata r:id="rId606"/>
              </v:shape>
              <w10:wrap type="square"/>
            </v:group>
          </w:pict>
        </mc:Fallback>
      </mc:AlternateContent>
    </w:r>
    <w:r>
      <w:tab/>
    </w:r>
    <w:r>
      <w:rPr>
        <w:sz w:val="21"/>
      </w:rPr>
      <w:t>index</w:t>
    </w:r>
    <w:r>
      <w:rPr>
        <w:sz w:val="21"/>
      </w:rPr>
      <w:tab/>
    </w:r>
    <w:r>
      <w:fldChar w:fldCharType="begin"/>
    </w:r>
    <w:r>
      <w:instrText xml:space="preserve"> PAGE   \* MERGEFORMAT </w:instrText>
    </w:r>
    <w:r>
      <w:fldChar w:fldCharType="separate"/>
    </w:r>
    <w:r>
      <w:rPr>
        <w:sz w:val="21"/>
      </w:rPr>
      <w:t>339</w:t>
    </w:r>
    <w:r>
      <w:rPr>
        <w:sz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61CB7"/>
    <w:multiLevelType w:val="hybridMultilevel"/>
    <w:tmpl w:val="8E828710"/>
    <w:lvl w:ilvl="0" w:tplc="0718826E">
      <w:start w:val="1"/>
      <w:numFmt w:val="decimal"/>
      <w:lvlText w:val="(%1)"/>
      <w:lvlJc w:val="left"/>
      <w:pPr>
        <w:ind w:left="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350ABF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3A2486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2A88BC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556664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182457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4D8E99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676536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70F49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01D3475"/>
    <w:multiLevelType w:val="hybridMultilevel"/>
    <w:tmpl w:val="35DC9E3E"/>
    <w:lvl w:ilvl="0" w:tplc="28E43BE4">
      <w:start w:val="18"/>
      <w:numFmt w:val="decimal"/>
      <w:lvlText w:val="%1"/>
      <w:lvlJc w:val="left"/>
      <w:pPr>
        <w:ind w:left="206"/>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11787EDA">
      <w:start w:val="1"/>
      <w:numFmt w:val="lowerLetter"/>
      <w:lvlText w:val="%2"/>
      <w:lvlJc w:val="left"/>
      <w:pPr>
        <w:ind w:left="108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08529692">
      <w:start w:val="1"/>
      <w:numFmt w:val="lowerRoman"/>
      <w:lvlText w:val="%3"/>
      <w:lvlJc w:val="left"/>
      <w:pPr>
        <w:ind w:left="180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DC3ED19A">
      <w:start w:val="1"/>
      <w:numFmt w:val="decimal"/>
      <w:lvlText w:val="%4"/>
      <w:lvlJc w:val="left"/>
      <w:pPr>
        <w:ind w:left="252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9B626D90">
      <w:start w:val="1"/>
      <w:numFmt w:val="lowerLetter"/>
      <w:lvlText w:val="%5"/>
      <w:lvlJc w:val="left"/>
      <w:pPr>
        <w:ind w:left="324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CCF68184">
      <w:start w:val="1"/>
      <w:numFmt w:val="lowerRoman"/>
      <w:lvlText w:val="%6"/>
      <w:lvlJc w:val="left"/>
      <w:pPr>
        <w:ind w:left="396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405A0A4C">
      <w:start w:val="1"/>
      <w:numFmt w:val="decimal"/>
      <w:lvlText w:val="%7"/>
      <w:lvlJc w:val="left"/>
      <w:pPr>
        <w:ind w:left="468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54F21AE2">
      <w:start w:val="1"/>
      <w:numFmt w:val="lowerLetter"/>
      <w:lvlText w:val="%8"/>
      <w:lvlJc w:val="left"/>
      <w:pPr>
        <w:ind w:left="540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99446F5C">
      <w:start w:val="1"/>
      <w:numFmt w:val="lowerRoman"/>
      <w:lvlText w:val="%9"/>
      <w:lvlJc w:val="left"/>
      <w:pPr>
        <w:ind w:left="612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2" w15:restartNumberingAfterBreak="0">
    <w:nsid w:val="3FB12BEF"/>
    <w:multiLevelType w:val="hybridMultilevel"/>
    <w:tmpl w:val="5C1632C2"/>
    <w:lvl w:ilvl="0" w:tplc="93BE73A2">
      <w:start w:val="1"/>
      <w:numFmt w:val="decimal"/>
      <w:lvlText w:val="(%1)"/>
      <w:lvlJc w:val="left"/>
      <w:pPr>
        <w:ind w:left="3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9B2196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220026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5AC369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65625F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23AFB2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C701C2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86EE86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7BAB8B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72708CE"/>
    <w:multiLevelType w:val="hybridMultilevel"/>
    <w:tmpl w:val="15B62468"/>
    <w:lvl w:ilvl="0" w:tplc="0358B87A">
      <w:start w:val="1"/>
      <w:numFmt w:val="decimal"/>
      <w:lvlText w:val="(%1)"/>
      <w:lvlJc w:val="left"/>
      <w:pPr>
        <w:ind w:left="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1E2E36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6341BB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9A2B64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BFCEFA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6782BE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F16C34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16ADAF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DFCEDC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BE46664"/>
    <w:multiLevelType w:val="hybridMultilevel"/>
    <w:tmpl w:val="9AA8AD38"/>
    <w:lvl w:ilvl="0" w:tplc="DD16526E">
      <w:start w:val="1"/>
      <w:numFmt w:val="decimal"/>
      <w:lvlText w:val="(%1)"/>
      <w:lvlJc w:val="left"/>
      <w:pPr>
        <w:ind w:left="3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1D824B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78AECE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423F8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A3A3DC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95A949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F12D03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172627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85A2D2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BA"/>
    <w:rsid w:val="004C57BA"/>
    <w:rsid w:val="004D4EAB"/>
    <w:rsid w:val="009F179F"/>
    <w:rsid w:val="00C80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E5DE"/>
  <w15:docId w15:val="{4C0C154F-7D53-4085-9DB7-62D375D7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0"/>
      <w:ind w:left="10" w:right="1" w:hanging="10"/>
      <w:jc w:val="center"/>
      <w:outlineLvl w:val="0"/>
    </w:pPr>
    <w:rPr>
      <w:rFonts w:ascii="Calibri" w:eastAsia="Calibri" w:hAnsi="Calibri" w:cs="Calibri"/>
      <w:color w:val="000000"/>
    </w:rPr>
  </w:style>
  <w:style w:type="paragraph" w:styleId="Heading2">
    <w:name w:val="heading 2"/>
    <w:next w:val="Normal"/>
    <w:link w:val="Heading2Char"/>
    <w:uiPriority w:val="9"/>
    <w:unhideWhenUsed/>
    <w:qFormat/>
    <w:pPr>
      <w:keepNext/>
      <w:keepLines/>
      <w:spacing w:after="40"/>
      <w:ind w:left="10" w:hanging="10"/>
      <w:jc w:val="center"/>
      <w:outlineLvl w:val="1"/>
    </w:pPr>
    <w:rPr>
      <w:rFonts w:ascii="Times New Roman" w:eastAsia="Times New Roman" w:hAnsi="Times New Roman" w:cs="Times New Roman"/>
      <w:color w:val="000000"/>
    </w:rPr>
  </w:style>
  <w:style w:type="paragraph" w:styleId="Heading3">
    <w:name w:val="heading 3"/>
    <w:next w:val="Normal"/>
    <w:link w:val="Heading3Char"/>
    <w:uiPriority w:val="9"/>
    <w:unhideWhenUsed/>
    <w:qFormat/>
    <w:pPr>
      <w:keepNext/>
      <w:keepLines/>
      <w:spacing w:after="90"/>
      <w:ind w:left="10" w:right="1" w:hanging="10"/>
      <w:jc w:val="center"/>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color w:val="000000"/>
      <w:sz w:val="22"/>
    </w:rPr>
  </w:style>
  <w:style w:type="character" w:customStyle="1" w:styleId="Heading2Char">
    <w:name w:val="Heading 2 Char"/>
    <w:link w:val="Heading2"/>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line="260" w:lineRule="auto"/>
      <w:ind w:left="145" w:hanging="145"/>
      <w:jc w:val="both"/>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F1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79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606" Type="http://schemas.openxmlformats.org/officeDocument/2006/relationships/image" Target="media/image0.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606"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6264</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FrouFrou Mackintosh</dc:creator>
  <cp:keywords/>
  <cp:lastModifiedBy>FrouFrou Mackintosh</cp:lastModifiedBy>
  <cp:revision>2</cp:revision>
  <dcterms:created xsi:type="dcterms:W3CDTF">2020-11-24T11:38:00Z</dcterms:created>
  <dcterms:modified xsi:type="dcterms:W3CDTF">2020-11-24T11:38:00Z</dcterms:modified>
</cp:coreProperties>
</file>