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770" w:rsidRPr="003A5617" w:rsidRDefault="008C7770" w:rsidP="00A10B74">
      <w:pPr>
        <w:jc w:val="center"/>
        <w:outlineLvl w:val="0"/>
        <w:rPr>
          <w:b/>
          <w:bCs/>
          <w:sz w:val="28"/>
          <w:szCs w:val="28"/>
        </w:rPr>
      </w:pPr>
      <w:bookmarkStart w:id="0" w:name="_GoBack"/>
      <w:bookmarkEnd w:id="0"/>
      <w:r w:rsidRPr="003A5617">
        <w:rPr>
          <w:b/>
          <w:bCs/>
          <w:sz w:val="28"/>
          <w:szCs w:val="28"/>
        </w:rPr>
        <w:t xml:space="preserve">The Metacognitions </w:t>
      </w:r>
      <w:r w:rsidR="00A10B74" w:rsidRPr="003A5617">
        <w:rPr>
          <w:b/>
          <w:bCs/>
          <w:sz w:val="28"/>
          <w:szCs w:val="28"/>
        </w:rPr>
        <w:t xml:space="preserve">about Gambling </w:t>
      </w:r>
      <w:r w:rsidRPr="003A5617">
        <w:rPr>
          <w:b/>
          <w:bCs/>
          <w:sz w:val="28"/>
          <w:szCs w:val="28"/>
        </w:rPr>
        <w:t xml:space="preserve">Questionnaire: </w:t>
      </w:r>
    </w:p>
    <w:p w:rsidR="008C7770" w:rsidRPr="003A5617" w:rsidRDefault="008C7770" w:rsidP="00A10B74">
      <w:pPr>
        <w:jc w:val="center"/>
        <w:outlineLvl w:val="0"/>
        <w:rPr>
          <w:b/>
          <w:bCs/>
          <w:sz w:val="28"/>
          <w:szCs w:val="28"/>
        </w:rPr>
      </w:pPr>
      <w:r w:rsidRPr="003A5617">
        <w:rPr>
          <w:b/>
          <w:bCs/>
          <w:sz w:val="28"/>
          <w:szCs w:val="28"/>
        </w:rPr>
        <w:t>Development and p</w:t>
      </w:r>
      <w:r w:rsidR="00E10380" w:rsidRPr="003A5617">
        <w:rPr>
          <w:b/>
          <w:bCs/>
          <w:sz w:val="28"/>
          <w:szCs w:val="28"/>
        </w:rPr>
        <w:t>sychometric p</w:t>
      </w:r>
      <w:r w:rsidRPr="003A5617">
        <w:rPr>
          <w:b/>
          <w:bCs/>
          <w:sz w:val="28"/>
          <w:szCs w:val="28"/>
        </w:rPr>
        <w:t>roperties</w:t>
      </w:r>
    </w:p>
    <w:p w:rsidR="008C7770" w:rsidRPr="003A5617" w:rsidRDefault="008C7770" w:rsidP="005B3F29">
      <w:pPr>
        <w:jc w:val="center"/>
        <w:rPr>
          <w:bCs/>
        </w:rPr>
      </w:pPr>
    </w:p>
    <w:p w:rsidR="008C7770" w:rsidRPr="003A5617" w:rsidRDefault="008C7770" w:rsidP="005B3F29">
      <w:pPr>
        <w:jc w:val="center"/>
      </w:pPr>
    </w:p>
    <w:p w:rsidR="008C7770" w:rsidRPr="003A5617" w:rsidRDefault="008C7770" w:rsidP="005B3F29">
      <w:pPr>
        <w:jc w:val="center"/>
      </w:pPr>
    </w:p>
    <w:p w:rsidR="008C7770" w:rsidRPr="003A5617" w:rsidRDefault="008C7770" w:rsidP="005B3F29">
      <w:pPr>
        <w:jc w:val="center"/>
        <w:rPr>
          <w:b/>
        </w:rPr>
      </w:pPr>
    </w:p>
    <w:p w:rsidR="008C7770" w:rsidRPr="003A5617" w:rsidRDefault="008C7770" w:rsidP="005B3F29">
      <w:pPr>
        <w:jc w:val="center"/>
        <w:rPr>
          <w:b/>
        </w:rPr>
      </w:pPr>
    </w:p>
    <w:p w:rsidR="008C7770" w:rsidRPr="003A5617" w:rsidRDefault="00551A0F" w:rsidP="00A10B74">
      <w:pPr>
        <w:jc w:val="center"/>
      </w:pPr>
      <w:r>
        <w:t xml:space="preserve">Word count: </w:t>
      </w:r>
      <w:r w:rsidR="007C10AF">
        <w:t>7,123</w:t>
      </w:r>
      <w:r>
        <w:t xml:space="preserve"> (all sections included)</w:t>
      </w:r>
    </w:p>
    <w:p w:rsidR="00A10B74" w:rsidRPr="003A5617" w:rsidRDefault="00A10B74" w:rsidP="00A10B74">
      <w:pPr>
        <w:jc w:val="center"/>
      </w:pPr>
    </w:p>
    <w:p w:rsidR="008C7770" w:rsidRPr="003A5617" w:rsidRDefault="008C7770" w:rsidP="00A10B74">
      <w:pPr>
        <w:jc w:val="center"/>
      </w:pPr>
      <w:r w:rsidRPr="003A5617">
        <w:t xml:space="preserve">Date of first submission: </w:t>
      </w:r>
      <w:r w:rsidR="00551A0F">
        <w:t>01</w:t>
      </w:r>
      <w:r w:rsidRPr="003A5617">
        <w:t>/</w:t>
      </w:r>
      <w:r w:rsidR="00551A0F">
        <w:t>06</w:t>
      </w:r>
      <w:r w:rsidR="00A10B74" w:rsidRPr="003A5617">
        <w:t>/2017</w:t>
      </w:r>
    </w:p>
    <w:p w:rsidR="008C7770" w:rsidRDefault="008C7770" w:rsidP="00A10B74">
      <w:pPr>
        <w:jc w:val="center"/>
        <w:rPr>
          <w:b/>
        </w:rPr>
      </w:pPr>
    </w:p>
    <w:p w:rsidR="00D2196B" w:rsidRDefault="00D2196B" w:rsidP="00A10B74">
      <w:pPr>
        <w:jc w:val="center"/>
      </w:pPr>
      <w:r w:rsidRPr="003A5617">
        <w:t xml:space="preserve">Date of </w:t>
      </w:r>
      <w:r>
        <w:t>second submission</w:t>
      </w:r>
      <w:r w:rsidRPr="003A5617">
        <w:t xml:space="preserve"> </w:t>
      </w:r>
      <w:proofErr w:type="spellStart"/>
      <w:r w:rsidRPr="003A5617">
        <w:t>submission</w:t>
      </w:r>
      <w:proofErr w:type="spellEnd"/>
      <w:r w:rsidRPr="003A5617">
        <w:t xml:space="preserve">: </w:t>
      </w:r>
      <w:r w:rsidRPr="007C10AF">
        <w:t>25/11/2017</w:t>
      </w:r>
    </w:p>
    <w:p w:rsidR="00D2196B" w:rsidRPr="003A5617" w:rsidRDefault="00D2196B" w:rsidP="00A10B74">
      <w:pPr>
        <w:jc w:val="center"/>
        <w:rPr>
          <w:b/>
        </w:rPr>
      </w:pPr>
    </w:p>
    <w:p w:rsidR="008C7770" w:rsidRPr="003A5617" w:rsidRDefault="008C7770" w:rsidP="00A10B74">
      <w:pPr>
        <w:pStyle w:val="BodyText"/>
        <w:spacing w:line="240" w:lineRule="auto"/>
        <w:jc w:val="both"/>
        <w:rPr>
          <w:sz w:val="24"/>
          <w:szCs w:val="24"/>
          <w:lang w:val="en-GB"/>
        </w:rPr>
      </w:pPr>
      <w:r w:rsidRPr="003A5617">
        <w:rPr>
          <w:sz w:val="24"/>
          <w:szCs w:val="24"/>
          <w:lang w:val="en-GB"/>
        </w:rPr>
        <w:t xml:space="preserve">Gabriele </w:t>
      </w:r>
      <w:proofErr w:type="spellStart"/>
      <w:r w:rsidRPr="003A5617">
        <w:rPr>
          <w:sz w:val="24"/>
          <w:szCs w:val="24"/>
          <w:lang w:val="en-GB"/>
        </w:rPr>
        <w:t>Caselli</w:t>
      </w:r>
      <w:r w:rsidRPr="003A5617">
        <w:rPr>
          <w:sz w:val="24"/>
          <w:szCs w:val="24"/>
          <w:vertAlign w:val="superscript"/>
          <w:lang w:val="en-GB"/>
        </w:rPr>
        <w:t>a,b,c</w:t>
      </w:r>
      <w:proofErr w:type="spellEnd"/>
      <w:r w:rsidR="006B66A5" w:rsidRPr="003A5617">
        <w:rPr>
          <w:sz w:val="24"/>
          <w:szCs w:val="24"/>
          <w:vertAlign w:val="superscript"/>
          <w:lang w:val="en-GB"/>
        </w:rPr>
        <w:t>,*</w:t>
      </w:r>
      <w:r w:rsidRPr="003A5617">
        <w:rPr>
          <w:sz w:val="24"/>
          <w:szCs w:val="24"/>
          <w:lang w:val="en-GB"/>
        </w:rPr>
        <w:t xml:space="preserve">, Bruce </w:t>
      </w:r>
      <w:proofErr w:type="spellStart"/>
      <w:r w:rsidRPr="003A5617">
        <w:rPr>
          <w:sz w:val="24"/>
          <w:szCs w:val="24"/>
          <w:lang w:val="en-GB"/>
        </w:rPr>
        <w:t>Fernie</w:t>
      </w:r>
      <w:r w:rsidRPr="003A5617">
        <w:rPr>
          <w:sz w:val="24"/>
          <w:szCs w:val="24"/>
          <w:vertAlign w:val="superscript"/>
          <w:lang w:val="en-GB"/>
        </w:rPr>
        <w:t>d</w:t>
      </w:r>
      <w:proofErr w:type="spellEnd"/>
      <w:r w:rsidRPr="003A5617">
        <w:rPr>
          <w:sz w:val="24"/>
          <w:szCs w:val="24"/>
          <w:lang w:val="en-GB"/>
        </w:rPr>
        <w:t xml:space="preserve">, </w:t>
      </w:r>
      <w:proofErr w:type="spellStart"/>
      <w:r w:rsidRPr="003A5617">
        <w:rPr>
          <w:sz w:val="24"/>
          <w:szCs w:val="24"/>
          <w:lang w:val="en-GB"/>
        </w:rPr>
        <w:t>Flaviano</w:t>
      </w:r>
      <w:proofErr w:type="spellEnd"/>
      <w:r w:rsidRPr="003A5617">
        <w:rPr>
          <w:sz w:val="24"/>
          <w:szCs w:val="24"/>
          <w:lang w:val="en-GB"/>
        </w:rPr>
        <w:t xml:space="preserve"> </w:t>
      </w:r>
      <w:proofErr w:type="spellStart"/>
      <w:r w:rsidRPr="003A5617">
        <w:rPr>
          <w:sz w:val="24"/>
          <w:szCs w:val="24"/>
          <w:lang w:val="en-GB"/>
        </w:rPr>
        <w:t>Canfora</w:t>
      </w:r>
      <w:r w:rsidR="00082D2B">
        <w:rPr>
          <w:sz w:val="24"/>
          <w:szCs w:val="24"/>
          <w:vertAlign w:val="superscript"/>
          <w:lang w:val="en-GB"/>
        </w:rPr>
        <w:t>e</w:t>
      </w:r>
      <w:proofErr w:type="spellEnd"/>
      <w:r w:rsidRPr="003A5617">
        <w:rPr>
          <w:sz w:val="24"/>
          <w:szCs w:val="24"/>
          <w:lang w:val="en-GB"/>
        </w:rPr>
        <w:t xml:space="preserve">, Cristina </w:t>
      </w:r>
      <w:proofErr w:type="spellStart"/>
      <w:r w:rsidRPr="003A5617">
        <w:rPr>
          <w:sz w:val="24"/>
          <w:szCs w:val="24"/>
          <w:lang w:val="en-GB"/>
        </w:rPr>
        <w:t>Mascolo</w:t>
      </w:r>
      <w:r w:rsidRPr="003A5617">
        <w:rPr>
          <w:sz w:val="24"/>
          <w:szCs w:val="24"/>
          <w:vertAlign w:val="superscript"/>
          <w:lang w:val="en-GB"/>
        </w:rPr>
        <w:t>b</w:t>
      </w:r>
      <w:proofErr w:type="spellEnd"/>
      <w:r w:rsidRPr="003A5617">
        <w:rPr>
          <w:sz w:val="24"/>
          <w:szCs w:val="24"/>
          <w:lang w:val="en-GB"/>
        </w:rPr>
        <w:t xml:space="preserve">, Andrea </w:t>
      </w:r>
      <w:proofErr w:type="spellStart"/>
      <w:r w:rsidRPr="003A5617">
        <w:rPr>
          <w:sz w:val="24"/>
          <w:szCs w:val="24"/>
          <w:lang w:val="en-GB"/>
        </w:rPr>
        <w:t>Ferrari</w:t>
      </w:r>
      <w:r w:rsidRPr="003A5617">
        <w:rPr>
          <w:sz w:val="24"/>
          <w:szCs w:val="24"/>
          <w:vertAlign w:val="superscript"/>
          <w:lang w:val="en-GB"/>
        </w:rPr>
        <w:t>b</w:t>
      </w:r>
      <w:proofErr w:type="spellEnd"/>
      <w:r w:rsidRPr="003A5617">
        <w:rPr>
          <w:sz w:val="24"/>
          <w:szCs w:val="24"/>
          <w:lang w:val="en-GB"/>
        </w:rPr>
        <w:t xml:space="preserve">, Maria </w:t>
      </w:r>
      <w:proofErr w:type="spellStart"/>
      <w:r w:rsidRPr="003A5617">
        <w:rPr>
          <w:sz w:val="24"/>
          <w:szCs w:val="24"/>
          <w:lang w:val="en-GB"/>
        </w:rPr>
        <w:t>Antonioni</w:t>
      </w:r>
      <w:r w:rsidRPr="003A5617">
        <w:rPr>
          <w:sz w:val="24"/>
          <w:szCs w:val="24"/>
          <w:vertAlign w:val="superscript"/>
          <w:lang w:val="en-GB"/>
        </w:rPr>
        <w:t>f</w:t>
      </w:r>
      <w:proofErr w:type="spellEnd"/>
      <w:r w:rsidRPr="003A5617">
        <w:rPr>
          <w:sz w:val="24"/>
          <w:szCs w:val="24"/>
          <w:lang w:val="en-GB"/>
        </w:rPr>
        <w:t xml:space="preserve">, Lucia </w:t>
      </w:r>
      <w:proofErr w:type="spellStart"/>
      <w:r w:rsidRPr="003A5617">
        <w:rPr>
          <w:sz w:val="24"/>
          <w:szCs w:val="24"/>
          <w:lang w:val="en-GB"/>
        </w:rPr>
        <w:t>Giustina</w:t>
      </w:r>
      <w:r w:rsidRPr="003A5617">
        <w:rPr>
          <w:sz w:val="24"/>
          <w:szCs w:val="24"/>
          <w:vertAlign w:val="superscript"/>
          <w:lang w:val="en-GB"/>
        </w:rPr>
        <w:t>f</w:t>
      </w:r>
      <w:proofErr w:type="spellEnd"/>
      <w:r w:rsidRPr="003A5617">
        <w:rPr>
          <w:sz w:val="24"/>
          <w:szCs w:val="24"/>
          <w:lang w:val="en-GB"/>
        </w:rPr>
        <w:t xml:space="preserve">, Gilda </w:t>
      </w:r>
      <w:proofErr w:type="spellStart"/>
      <w:r w:rsidRPr="003A5617">
        <w:rPr>
          <w:sz w:val="24"/>
          <w:szCs w:val="24"/>
          <w:lang w:val="en-GB"/>
        </w:rPr>
        <w:t>Donato</w:t>
      </w:r>
      <w:r w:rsidRPr="003A5617">
        <w:rPr>
          <w:sz w:val="24"/>
          <w:szCs w:val="24"/>
          <w:vertAlign w:val="superscript"/>
          <w:lang w:val="en-GB"/>
        </w:rPr>
        <w:t>f</w:t>
      </w:r>
      <w:proofErr w:type="spellEnd"/>
      <w:r w:rsidRPr="003A5617">
        <w:rPr>
          <w:sz w:val="24"/>
          <w:szCs w:val="24"/>
          <w:lang w:val="en-GB"/>
        </w:rPr>
        <w:t xml:space="preserve">, Antonella </w:t>
      </w:r>
      <w:proofErr w:type="spellStart"/>
      <w:r w:rsidRPr="003A5617">
        <w:rPr>
          <w:sz w:val="24"/>
          <w:szCs w:val="24"/>
          <w:lang w:val="en-GB"/>
        </w:rPr>
        <w:t>Marcotriggiani</w:t>
      </w:r>
      <w:r w:rsidRPr="003A5617">
        <w:rPr>
          <w:sz w:val="24"/>
          <w:szCs w:val="24"/>
          <w:vertAlign w:val="superscript"/>
          <w:lang w:val="en-GB"/>
        </w:rPr>
        <w:t>f</w:t>
      </w:r>
      <w:proofErr w:type="spellEnd"/>
      <w:r w:rsidRPr="003A5617">
        <w:rPr>
          <w:sz w:val="24"/>
          <w:szCs w:val="24"/>
          <w:lang w:val="en-GB"/>
        </w:rPr>
        <w:t xml:space="preserve">, Andrea </w:t>
      </w:r>
      <w:proofErr w:type="spellStart"/>
      <w:r w:rsidRPr="003A5617">
        <w:rPr>
          <w:sz w:val="24"/>
          <w:szCs w:val="24"/>
          <w:lang w:val="en-GB"/>
        </w:rPr>
        <w:t>Bertani</w:t>
      </w:r>
      <w:r w:rsidRPr="003A5617">
        <w:rPr>
          <w:sz w:val="24"/>
          <w:szCs w:val="24"/>
          <w:vertAlign w:val="superscript"/>
          <w:lang w:val="en-GB"/>
        </w:rPr>
        <w:t>b</w:t>
      </w:r>
      <w:proofErr w:type="spellEnd"/>
      <w:r w:rsidRPr="003A5617">
        <w:rPr>
          <w:sz w:val="24"/>
          <w:szCs w:val="24"/>
          <w:lang w:val="en-GB"/>
        </w:rPr>
        <w:t xml:space="preserve">, Antonella </w:t>
      </w:r>
      <w:proofErr w:type="spellStart"/>
      <w:r w:rsidRPr="003A5617">
        <w:rPr>
          <w:sz w:val="24"/>
          <w:szCs w:val="24"/>
          <w:lang w:val="en-GB"/>
        </w:rPr>
        <w:t>Altieri</w:t>
      </w:r>
      <w:r w:rsidRPr="003A5617">
        <w:rPr>
          <w:sz w:val="24"/>
          <w:szCs w:val="24"/>
          <w:vertAlign w:val="superscript"/>
          <w:lang w:val="en-GB"/>
        </w:rPr>
        <w:t>b</w:t>
      </w:r>
      <w:proofErr w:type="spellEnd"/>
      <w:r w:rsidRPr="003A5617">
        <w:rPr>
          <w:sz w:val="24"/>
          <w:szCs w:val="24"/>
          <w:lang w:val="en-GB"/>
        </w:rPr>
        <w:t xml:space="preserve">, Eliana </w:t>
      </w:r>
      <w:proofErr w:type="spellStart"/>
      <w:r w:rsidRPr="003A5617">
        <w:rPr>
          <w:sz w:val="24"/>
          <w:szCs w:val="24"/>
          <w:lang w:val="en-GB"/>
        </w:rPr>
        <w:t>Pellegrini</w:t>
      </w:r>
      <w:r w:rsidRPr="003A5617">
        <w:rPr>
          <w:sz w:val="24"/>
          <w:szCs w:val="24"/>
          <w:vertAlign w:val="superscript"/>
          <w:lang w:val="en-GB"/>
        </w:rPr>
        <w:t>b</w:t>
      </w:r>
      <w:proofErr w:type="spellEnd"/>
      <w:r w:rsidRPr="003A5617">
        <w:rPr>
          <w:sz w:val="24"/>
          <w:szCs w:val="24"/>
          <w:lang w:val="en-GB"/>
        </w:rPr>
        <w:t xml:space="preserve"> and </w:t>
      </w:r>
      <w:proofErr w:type="spellStart"/>
      <w:r w:rsidRPr="003A5617">
        <w:rPr>
          <w:sz w:val="24"/>
          <w:szCs w:val="24"/>
          <w:lang w:val="en-GB"/>
        </w:rPr>
        <w:t>Marcantonio</w:t>
      </w:r>
      <w:proofErr w:type="spellEnd"/>
      <w:r w:rsidRPr="003A5617">
        <w:rPr>
          <w:sz w:val="24"/>
          <w:szCs w:val="24"/>
          <w:lang w:val="en-GB"/>
        </w:rPr>
        <w:t xml:space="preserve"> M. </w:t>
      </w:r>
      <w:proofErr w:type="spellStart"/>
      <w:r w:rsidRPr="003A5617">
        <w:rPr>
          <w:sz w:val="24"/>
          <w:szCs w:val="24"/>
          <w:lang w:val="en-GB"/>
        </w:rPr>
        <w:t>Spada</w:t>
      </w:r>
      <w:proofErr w:type="spellEnd"/>
      <w:r w:rsidRPr="003A5617">
        <w:rPr>
          <w:sz w:val="24"/>
          <w:szCs w:val="24"/>
          <w:vertAlign w:val="superscript"/>
          <w:lang w:val="en-GB"/>
        </w:rPr>
        <w:t xml:space="preserve"> a</w:t>
      </w:r>
    </w:p>
    <w:p w:rsidR="008C7770" w:rsidRPr="003A5617" w:rsidRDefault="008C7770" w:rsidP="00A10B74">
      <w:pPr>
        <w:pStyle w:val="Default"/>
        <w:rPr>
          <w:rFonts w:ascii="Times New Roman" w:hAnsi="Times New Roman" w:cs="Times New Roman"/>
          <w:color w:val="auto"/>
          <w:sz w:val="24"/>
          <w:szCs w:val="24"/>
          <w:lang w:val="en-GB"/>
        </w:rPr>
      </w:pPr>
      <w:proofErr w:type="gramStart"/>
      <w:r w:rsidRPr="003A5617">
        <w:rPr>
          <w:rFonts w:ascii="Times New Roman" w:hAnsi="Times New Roman" w:cs="Times New Roman"/>
          <w:color w:val="auto"/>
          <w:sz w:val="24"/>
          <w:szCs w:val="24"/>
          <w:vertAlign w:val="superscript"/>
          <w:lang w:val="en-GB"/>
        </w:rPr>
        <w:t>a</w:t>
      </w:r>
      <w:proofErr w:type="gramEnd"/>
      <w:r w:rsidRPr="003A5617">
        <w:rPr>
          <w:rFonts w:ascii="Times New Roman" w:hAnsi="Times New Roman" w:cs="Times New Roman"/>
          <w:color w:val="auto"/>
          <w:sz w:val="24"/>
          <w:szCs w:val="24"/>
          <w:vertAlign w:val="superscript"/>
          <w:lang w:val="en-GB"/>
        </w:rPr>
        <w:t xml:space="preserve"> </w:t>
      </w:r>
      <w:r w:rsidRPr="003A5617">
        <w:rPr>
          <w:rFonts w:ascii="Times New Roman" w:hAnsi="Times New Roman" w:cs="Times New Roman"/>
          <w:color w:val="auto"/>
          <w:sz w:val="24"/>
          <w:szCs w:val="24"/>
          <w:lang w:val="en-GB"/>
        </w:rPr>
        <w:t>Division of Psychology, School of Applied Sciences, London South Bank University, London, UK</w:t>
      </w:r>
    </w:p>
    <w:p w:rsidR="008C7770" w:rsidRPr="003A5617" w:rsidRDefault="008C7770" w:rsidP="00A10B74">
      <w:pPr>
        <w:pStyle w:val="Default"/>
        <w:rPr>
          <w:rFonts w:ascii="Times New Roman" w:hAnsi="Times New Roman" w:cs="Times New Roman"/>
          <w:color w:val="auto"/>
          <w:sz w:val="24"/>
          <w:szCs w:val="24"/>
          <w:lang w:val="en-GB"/>
        </w:rPr>
      </w:pPr>
      <w:proofErr w:type="gramStart"/>
      <w:r w:rsidRPr="003A5617">
        <w:rPr>
          <w:rFonts w:ascii="Times New Roman" w:hAnsi="Times New Roman" w:cs="Times New Roman"/>
          <w:color w:val="auto"/>
          <w:sz w:val="24"/>
          <w:szCs w:val="24"/>
          <w:vertAlign w:val="superscript"/>
          <w:lang w:val="en-GB"/>
        </w:rPr>
        <w:t>b</w:t>
      </w:r>
      <w:proofErr w:type="gramEnd"/>
      <w:r w:rsidRPr="003A5617">
        <w:rPr>
          <w:rFonts w:ascii="Times New Roman" w:hAnsi="Times New Roman" w:cs="Times New Roman"/>
          <w:color w:val="auto"/>
          <w:sz w:val="24"/>
          <w:szCs w:val="24"/>
          <w:vertAlign w:val="superscript"/>
          <w:lang w:val="en-GB"/>
        </w:rPr>
        <w:t xml:space="preserve"> </w:t>
      </w:r>
      <w:proofErr w:type="spellStart"/>
      <w:r w:rsidRPr="003A5617">
        <w:rPr>
          <w:rFonts w:ascii="Times New Roman" w:eastAsia="Times New Roman" w:hAnsi="Times New Roman" w:cs="Times New Roman"/>
          <w:color w:val="auto"/>
          <w:sz w:val="24"/>
          <w:szCs w:val="24"/>
          <w:lang w:val="en-GB"/>
        </w:rPr>
        <w:t>Studi</w:t>
      </w:r>
      <w:proofErr w:type="spellEnd"/>
      <w:r w:rsidRPr="003A5617">
        <w:rPr>
          <w:rFonts w:ascii="Times New Roman" w:eastAsia="Times New Roman" w:hAnsi="Times New Roman" w:cs="Times New Roman"/>
          <w:color w:val="auto"/>
          <w:sz w:val="24"/>
          <w:szCs w:val="24"/>
          <w:lang w:val="en-GB"/>
        </w:rPr>
        <w:t xml:space="preserve"> </w:t>
      </w:r>
      <w:proofErr w:type="spellStart"/>
      <w:r w:rsidRPr="003A5617">
        <w:rPr>
          <w:rFonts w:ascii="Times New Roman" w:eastAsia="Times New Roman" w:hAnsi="Times New Roman" w:cs="Times New Roman"/>
          <w:color w:val="auto"/>
          <w:sz w:val="24"/>
          <w:szCs w:val="24"/>
          <w:lang w:val="en-GB"/>
        </w:rPr>
        <w:t>Cognitivi</w:t>
      </w:r>
      <w:proofErr w:type="spellEnd"/>
      <w:r w:rsidRPr="003A5617">
        <w:rPr>
          <w:rFonts w:ascii="Times New Roman" w:eastAsia="Times New Roman" w:hAnsi="Times New Roman" w:cs="Times New Roman"/>
          <w:color w:val="auto"/>
          <w:sz w:val="24"/>
          <w:szCs w:val="24"/>
          <w:lang w:val="en-GB"/>
        </w:rPr>
        <w:t>, Milan, Italy</w:t>
      </w:r>
      <w:r w:rsidRPr="003A5617">
        <w:rPr>
          <w:rFonts w:ascii="Times New Roman" w:hAnsi="Times New Roman" w:cs="Times New Roman"/>
          <w:color w:val="auto"/>
          <w:sz w:val="24"/>
          <w:szCs w:val="24"/>
          <w:lang w:val="en-GB"/>
        </w:rPr>
        <w:t xml:space="preserve"> </w:t>
      </w:r>
    </w:p>
    <w:p w:rsidR="008C7770" w:rsidRPr="003A5617" w:rsidRDefault="008C7770" w:rsidP="00A10B74">
      <w:pPr>
        <w:pStyle w:val="Default"/>
        <w:rPr>
          <w:rFonts w:ascii="Times New Roman" w:hAnsi="Times New Roman" w:cs="Times New Roman"/>
          <w:color w:val="auto"/>
          <w:sz w:val="24"/>
          <w:szCs w:val="24"/>
          <w:vertAlign w:val="superscript"/>
          <w:lang w:val="en-GB"/>
        </w:rPr>
      </w:pPr>
      <w:proofErr w:type="gramStart"/>
      <w:r w:rsidRPr="003A5617">
        <w:rPr>
          <w:rFonts w:ascii="Times New Roman" w:eastAsia="Times New Roman" w:hAnsi="Times New Roman" w:cs="Times New Roman"/>
          <w:color w:val="auto"/>
          <w:sz w:val="24"/>
          <w:szCs w:val="24"/>
          <w:vertAlign w:val="superscript"/>
          <w:lang w:val="en-GB"/>
        </w:rPr>
        <w:t>c</w:t>
      </w:r>
      <w:proofErr w:type="gramEnd"/>
      <w:r w:rsidRPr="003A5617">
        <w:rPr>
          <w:rFonts w:ascii="Times New Roman" w:hAnsi="Times New Roman" w:cs="Times New Roman"/>
          <w:color w:val="auto"/>
          <w:sz w:val="24"/>
          <w:szCs w:val="24"/>
          <w:lang w:val="en-GB"/>
        </w:rPr>
        <w:t xml:space="preserve"> Sigmund Freud University, Milan, Italy</w:t>
      </w:r>
    </w:p>
    <w:p w:rsidR="008C7770" w:rsidRPr="003A5617" w:rsidRDefault="008C7770" w:rsidP="00A10B74">
      <w:pPr>
        <w:pStyle w:val="Default"/>
        <w:rPr>
          <w:rFonts w:ascii="Times New Roman" w:hAnsi="Times New Roman" w:cs="Times New Roman"/>
          <w:color w:val="auto"/>
          <w:sz w:val="24"/>
          <w:szCs w:val="24"/>
          <w:lang w:val="en-GB"/>
        </w:rPr>
      </w:pPr>
      <w:r w:rsidRPr="003A5617">
        <w:rPr>
          <w:rFonts w:ascii="Times New Roman" w:eastAsia="Times New Roman" w:hAnsi="Times New Roman" w:cs="Times New Roman"/>
          <w:color w:val="auto"/>
          <w:sz w:val="24"/>
          <w:szCs w:val="24"/>
          <w:vertAlign w:val="superscript"/>
          <w:lang w:val="en-GB"/>
        </w:rPr>
        <w:t xml:space="preserve">d </w:t>
      </w:r>
      <w:r w:rsidRPr="003A5617">
        <w:rPr>
          <w:rFonts w:ascii="Times New Roman" w:hAnsi="Times New Roman" w:cs="Times New Roman"/>
          <w:color w:val="auto"/>
          <w:sz w:val="24"/>
          <w:szCs w:val="24"/>
          <w:lang w:val="en-GB"/>
        </w:rPr>
        <w:t>Department of Psychology, King’s College London, Institute of Psychiatry, Psychology and Neuroscience, London, UK</w:t>
      </w:r>
    </w:p>
    <w:p w:rsidR="008C7770" w:rsidRPr="003A5617" w:rsidRDefault="008C7770" w:rsidP="00A10B74">
      <w:pPr>
        <w:pStyle w:val="Default"/>
        <w:rPr>
          <w:rFonts w:ascii="Times New Roman" w:hAnsi="Times New Roman" w:cs="Times New Roman"/>
          <w:color w:val="auto"/>
          <w:sz w:val="24"/>
          <w:szCs w:val="24"/>
          <w:lang w:val="en-GB"/>
        </w:rPr>
      </w:pPr>
      <w:proofErr w:type="gramStart"/>
      <w:r w:rsidRPr="003A5617">
        <w:rPr>
          <w:rFonts w:ascii="Times New Roman" w:hAnsi="Times New Roman" w:cs="Times New Roman"/>
          <w:color w:val="auto"/>
          <w:sz w:val="24"/>
          <w:szCs w:val="24"/>
          <w:vertAlign w:val="superscript"/>
          <w:lang w:val="en-GB"/>
        </w:rPr>
        <w:t>e</w:t>
      </w:r>
      <w:proofErr w:type="gramEnd"/>
      <w:r w:rsidRPr="003A5617">
        <w:rPr>
          <w:rFonts w:ascii="Times New Roman" w:hAnsi="Times New Roman" w:cs="Times New Roman"/>
          <w:color w:val="auto"/>
          <w:sz w:val="24"/>
          <w:szCs w:val="24"/>
          <w:vertAlign w:val="superscript"/>
          <w:lang w:val="en-GB"/>
        </w:rPr>
        <w:t xml:space="preserve"> </w:t>
      </w:r>
      <w:proofErr w:type="spellStart"/>
      <w:r w:rsidRPr="003A5617">
        <w:rPr>
          <w:rFonts w:ascii="Times New Roman" w:eastAsia="Times New Roman" w:hAnsi="Times New Roman" w:cs="Times New Roman"/>
          <w:color w:val="auto"/>
          <w:sz w:val="24"/>
          <w:szCs w:val="24"/>
          <w:lang w:val="en-GB"/>
        </w:rPr>
        <w:t>Ambulatorio</w:t>
      </w:r>
      <w:proofErr w:type="spellEnd"/>
      <w:r w:rsidRPr="003A5617">
        <w:rPr>
          <w:rFonts w:ascii="Times New Roman" w:eastAsia="Times New Roman" w:hAnsi="Times New Roman" w:cs="Times New Roman"/>
          <w:color w:val="auto"/>
          <w:sz w:val="24"/>
          <w:szCs w:val="24"/>
          <w:lang w:val="en-GB"/>
        </w:rPr>
        <w:t xml:space="preserve"> </w:t>
      </w:r>
      <w:proofErr w:type="spellStart"/>
      <w:r w:rsidRPr="003A5617">
        <w:rPr>
          <w:rFonts w:ascii="Times New Roman" w:eastAsia="Times New Roman" w:hAnsi="Times New Roman" w:cs="Times New Roman"/>
          <w:color w:val="auto"/>
          <w:sz w:val="24"/>
          <w:szCs w:val="24"/>
          <w:lang w:val="en-GB"/>
        </w:rPr>
        <w:t>Dipendenze</w:t>
      </w:r>
      <w:proofErr w:type="spellEnd"/>
      <w:r w:rsidRPr="003A5617">
        <w:rPr>
          <w:rFonts w:ascii="Times New Roman" w:eastAsia="Times New Roman" w:hAnsi="Times New Roman" w:cs="Times New Roman"/>
          <w:color w:val="auto"/>
          <w:sz w:val="24"/>
          <w:szCs w:val="24"/>
          <w:lang w:val="en-GB"/>
        </w:rPr>
        <w:t xml:space="preserve"> </w:t>
      </w:r>
      <w:proofErr w:type="spellStart"/>
      <w:r w:rsidRPr="003A5617">
        <w:rPr>
          <w:rFonts w:ascii="Times New Roman" w:eastAsia="Times New Roman" w:hAnsi="Times New Roman" w:cs="Times New Roman"/>
          <w:color w:val="auto"/>
          <w:sz w:val="24"/>
          <w:szCs w:val="24"/>
          <w:lang w:val="en-GB"/>
        </w:rPr>
        <w:t>Patologiche</w:t>
      </w:r>
      <w:proofErr w:type="spellEnd"/>
      <w:r w:rsidRPr="003A5617">
        <w:rPr>
          <w:rFonts w:ascii="Times New Roman" w:eastAsia="Times New Roman" w:hAnsi="Times New Roman" w:cs="Times New Roman"/>
          <w:color w:val="auto"/>
          <w:sz w:val="24"/>
          <w:szCs w:val="24"/>
          <w:lang w:val="en-GB"/>
        </w:rPr>
        <w:t xml:space="preserve"> </w:t>
      </w:r>
      <w:proofErr w:type="spellStart"/>
      <w:r w:rsidRPr="003A5617">
        <w:rPr>
          <w:rFonts w:ascii="Times New Roman" w:eastAsia="Times New Roman" w:hAnsi="Times New Roman" w:cs="Times New Roman"/>
          <w:color w:val="auto"/>
          <w:sz w:val="24"/>
          <w:szCs w:val="24"/>
          <w:lang w:val="en-GB"/>
        </w:rPr>
        <w:t>Ceis</w:t>
      </w:r>
      <w:proofErr w:type="spellEnd"/>
      <w:r w:rsidRPr="003A5617">
        <w:rPr>
          <w:rFonts w:ascii="Times New Roman" w:eastAsia="Times New Roman" w:hAnsi="Times New Roman" w:cs="Times New Roman"/>
          <w:color w:val="auto"/>
          <w:sz w:val="24"/>
          <w:szCs w:val="24"/>
          <w:lang w:val="en-GB"/>
        </w:rPr>
        <w:t xml:space="preserve"> Modena</w:t>
      </w:r>
      <w:r w:rsidRPr="003A5617">
        <w:rPr>
          <w:rFonts w:ascii="Times New Roman" w:hAnsi="Times New Roman" w:cs="Times New Roman"/>
          <w:color w:val="auto"/>
          <w:sz w:val="24"/>
          <w:szCs w:val="24"/>
          <w:lang w:val="en-GB"/>
        </w:rPr>
        <w:t xml:space="preserve"> </w:t>
      </w:r>
    </w:p>
    <w:p w:rsidR="008C7770" w:rsidRPr="003A5617" w:rsidRDefault="008C7770" w:rsidP="00A10B74">
      <w:pPr>
        <w:pStyle w:val="Default"/>
        <w:rPr>
          <w:rFonts w:ascii="Times New Roman" w:hAnsi="Times New Roman" w:cs="Times New Roman"/>
          <w:color w:val="auto"/>
          <w:sz w:val="24"/>
          <w:szCs w:val="24"/>
          <w:lang w:val="en-GB"/>
        </w:rPr>
      </w:pPr>
      <w:proofErr w:type="gramStart"/>
      <w:r w:rsidRPr="003A5617">
        <w:rPr>
          <w:rFonts w:ascii="Times New Roman" w:hAnsi="Times New Roman" w:cs="Times New Roman"/>
          <w:color w:val="auto"/>
          <w:sz w:val="24"/>
          <w:szCs w:val="24"/>
          <w:vertAlign w:val="superscript"/>
          <w:lang w:val="en-GB"/>
        </w:rPr>
        <w:t>f</w:t>
      </w:r>
      <w:proofErr w:type="gramEnd"/>
      <w:r w:rsidRPr="003A5617">
        <w:rPr>
          <w:rFonts w:ascii="Times New Roman" w:hAnsi="Times New Roman" w:cs="Times New Roman"/>
          <w:color w:val="auto"/>
          <w:sz w:val="24"/>
          <w:szCs w:val="24"/>
          <w:lang w:val="en-GB"/>
        </w:rPr>
        <w:t xml:space="preserve"> </w:t>
      </w:r>
      <w:proofErr w:type="spellStart"/>
      <w:r w:rsidRPr="003A5617">
        <w:rPr>
          <w:rFonts w:ascii="Times New Roman" w:hAnsi="Times New Roman" w:cs="Times New Roman"/>
          <w:color w:val="auto"/>
          <w:sz w:val="24"/>
          <w:szCs w:val="24"/>
          <w:lang w:val="en-GB"/>
        </w:rPr>
        <w:t>Servizio</w:t>
      </w:r>
      <w:proofErr w:type="spellEnd"/>
      <w:r w:rsidRPr="003A5617">
        <w:rPr>
          <w:rFonts w:ascii="Times New Roman" w:hAnsi="Times New Roman" w:cs="Times New Roman"/>
          <w:color w:val="auto"/>
          <w:sz w:val="24"/>
          <w:szCs w:val="24"/>
          <w:lang w:val="en-GB"/>
        </w:rPr>
        <w:t xml:space="preserve"> </w:t>
      </w:r>
      <w:proofErr w:type="spellStart"/>
      <w:r w:rsidRPr="003A5617">
        <w:rPr>
          <w:rFonts w:ascii="Times New Roman" w:hAnsi="Times New Roman" w:cs="Times New Roman"/>
          <w:color w:val="auto"/>
          <w:sz w:val="24"/>
          <w:szCs w:val="24"/>
          <w:lang w:val="en-GB"/>
        </w:rPr>
        <w:t>Tossicodipendenze</w:t>
      </w:r>
      <w:proofErr w:type="spellEnd"/>
      <w:r w:rsidRPr="003A5617">
        <w:rPr>
          <w:rFonts w:ascii="Times New Roman" w:hAnsi="Times New Roman" w:cs="Times New Roman"/>
          <w:color w:val="auto"/>
          <w:sz w:val="24"/>
          <w:szCs w:val="24"/>
          <w:lang w:val="en-GB"/>
        </w:rPr>
        <w:t>, AUSL, Parma</w:t>
      </w:r>
    </w:p>
    <w:p w:rsidR="008C7770" w:rsidRPr="003A5617" w:rsidRDefault="008C7770" w:rsidP="00A10B74">
      <w:pPr>
        <w:pStyle w:val="Default"/>
        <w:rPr>
          <w:rFonts w:ascii="Times New Roman" w:eastAsia="Times New Roman" w:hAnsi="Times New Roman" w:cs="Times New Roman"/>
          <w:color w:val="auto"/>
          <w:sz w:val="24"/>
          <w:szCs w:val="24"/>
          <w:vertAlign w:val="superscript"/>
          <w:lang w:val="en-GB"/>
        </w:rPr>
      </w:pPr>
    </w:p>
    <w:p w:rsidR="006B66A5" w:rsidRPr="003A5617" w:rsidRDefault="006B66A5" w:rsidP="006B66A5">
      <w:pPr>
        <w:pStyle w:val="Default"/>
        <w:rPr>
          <w:rFonts w:ascii="Times New Roman" w:hAnsi="Times New Roman" w:cs="Times New Roman"/>
          <w:color w:val="auto"/>
          <w:sz w:val="24"/>
          <w:szCs w:val="24"/>
          <w:lang w:val="en-GB"/>
        </w:rPr>
      </w:pPr>
      <w:r w:rsidRPr="003A5617">
        <w:rPr>
          <w:rFonts w:ascii="Times New Roman" w:hAnsi="Times New Roman" w:cs="Times New Roman"/>
          <w:color w:val="auto"/>
          <w:sz w:val="24"/>
          <w:szCs w:val="24"/>
          <w:shd w:val="clear" w:color="auto" w:fill="FFFFFF"/>
          <w:vertAlign w:val="superscript"/>
          <w:lang w:val="it-IT"/>
        </w:rPr>
        <w:t xml:space="preserve">* </w:t>
      </w:r>
      <w:r w:rsidRPr="003A5617">
        <w:rPr>
          <w:rFonts w:ascii="Times New Roman" w:hAnsi="Times New Roman" w:cs="Times New Roman"/>
          <w:color w:val="auto"/>
          <w:sz w:val="24"/>
          <w:szCs w:val="24"/>
          <w:lang w:val="it-IT"/>
        </w:rPr>
        <w:t>Gabriele Caselli, Cognitive Psychotherapy School and Rese</w:t>
      </w:r>
      <w:r w:rsidR="00D4096F">
        <w:rPr>
          <w:rFonts w:ascii="Times New Roman" w:hAnsi="Times New Roman" w:cs="Times New Roman"/>
          <w:color w:val="auto"/>
          <w:sz w:val="24"/>
          <w:szCs w:val="24"/>
          <w:lang w:val="it-IT"/>
        </w:rPr>
        <w:t>arch Centre Studi Cognitivi, Strada Scaglia Est 17</w:t>
      </w:r>
      <w:r w:rsidRPr="003A5617">
        <w:rPr>
          <w:rFonts w:ascii="Times New Roman" w:hAnsi="Times New Roman" w:cs="Times New Roman"/>
          <w:color w:val="auto"/>
          <w:sz w:val="24"/>
          <w:szCs w:val="24"/>
          <w:lang w:val="it-IT"/>
        </w:rPr>
        <w:t xml:space="preserve">, Modena (Italy). </w:t>
      </w:r>
      <w:r w:rsidRPr="003A5617">
        <w:rPr>
          <w:rFonts w:ascii="Times New Roman" w:hAnsi="Times New Roman" w:cs="Times New Roman"/>
          <w:color w:val="auto"/>
          <w:sz w:val="24"/>
          <w:szCs w:val="24"/>
          <w:lang w:val="en-GB"/>
        </w:rPr>
        <w:t xml:space="preserve">Tel. +39 349 1637782 e-mail: </w:t>
      </w:r>
      <w:hyperlink r:id="rId9" w:history="1">
        <w:r w:rsidRPr="003A5617">
          <w:rPr>
            <w:rStyle w:val="Hyperlink"/>
            <w:rFonts w:ascii="Times New Roman" w:hAnsi="Times New Roman" w:cs="Times New Roman"/>
            <w:color w:val="auto"/>
            <w:sz w:val="24"/>
            <w:szCs w:val="24"/>
            <w:lang w:val="en-GB"/>
          </w:rPr>
          <w:t>g.caselli@studicognitivi.net</w:t>
        </w:r>
      </w:hyperlink>
      <w:r w:rsidRPr="003A5617">
        <w:rPr>
          <w:rFonts w:ascii="Times New Roman" w:hAnsi="Times New Roman" w:cs="Times New Roman"/>
          <w:color w:val="auto"/>
          <w:sz w:val="24"/>
          <w:szCs w:val="24"/>
          <w:lang w:val="en-GB"/>
        </w:rPr>
        <w:t xml:space="preserve">.  </w:t>
      </w:r>
    </w:p>
    <w:p w:rsidR="008C7770" w:rsidRPr="003A5617" w:rsidRDefault="008C7770" w:rsidP="006B66A5">
      <w:pPr>
        <w:pStyle w:val="Default"/>
        <w:jc w:val="both"/>
        <w:rPr>
          <w:rFonts w:ascii="Times New Roman" w:hAnsi="Times New Roman" w:cs="Times New Roman"/>
          <w:color w:val="auto"/>
          <w:sz w:val="24"/>
          <w:szCs w:val="24"/>
          <w:lang w:val="en-GB"/>
        </w:rPr>
      </w:pPr>
    </w:p>
    <w:p w:rsidR="008C7770" w:rsidRPr="003A5617" w:rsidRDefault="008C7770" w:rsidP="00A10B74">
      <w:pPr>
        <w:pStyle w:val="Default"/>
        <w:pBdr>
          <w:top w:val="none" w:sz="0" w:space="0" w:color="auto"/>
          <w:left w:val="none" w:sz="0" w:space="0" w:color="auto"/>
          <w:bottom w:val="none" w:sz="0" w:space="0" w:color="auto"/>
          <w:right w:val="none" w:sz="0" w:space="0" w:color="auto"/>
          <w:bar w:val="none" w:sz="0" w:color="auto"/>
        </w:pBdr>
        <w:jc w:val="center"/>
        <w:outlineLvl w:val="0"/>
        <w:rPr>
          <w:rFonts w:ascii="Times New Roman" w:hAnsi="Times New Roman" w:cs="Times New Roman"/>
          <w:b/>
          <w:bCs/>
          <w:color w:val="auto"/>
          <w:sz w:val="24"/>
          <w:szCs w:val="24"/>
          <w:lang w:val="en-GB"/>
        </w:rPr>
      </w:pPr>
      <w:r w:rsidRPr="003A5617">
        <w:rPr>
          <w:rFonts w:ascii="Times New Roman" w:hAnsi="Times New Roman" w:cs="Times New Roman"/>
          <w:b/>
          <w:bCs/>
          <w:color w:val="auto"/>
          <w:sz w:val="24"/>
          <w:szCs w:val="24"/>
          <w:lang w:val="en-GB"/>
        </w:rPr>
        <w:t>Acknowledgements</w:t>
      </w:r>
    </w:p>
    <w:p w:rsidR="008C7770" w:rsidRPr="003A5617" w:rsidRDefault="008C7770" w:rsidP="00A10B74">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color w:val="auto"/>
          <w:sz w:val="24"/>
          <w:szCs w:val="24"/>
          <w:lang w:val="en-GB"/>
        </w:rPr>
      </w:pPr>
    </w:p>
    <w:p w:rsidR="008C7770" w:rsidRDefault="008C7770" w:rsidP="00A10B7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r w:rsidRPr="003A5617">
        <w:rPr>
          <w:rFonts w:ascii="Times New Roman" w:hAnsi="Times New Roman" w:cs="Times New Roman"/>
          <w:color w:val="auto"/>
          <w:sz w:val="24"/>
          <w:szCs w:val="24"/>
          <w:lang w:val="en-GB"/>
        </w:rPr>
        <w:t xml:space="preserve">Author BAF receives salary support from the National Institute for Health Research (NIHR) Mental Health Biomedical Research Centre and Dementia Research Unit at South London and </w:t>
      </w:r>
      <w:proofErr w:type="spellStart"/>
      <w:r w:rsidRPr="003A5617">
        <w:rPr>
          <w:rFonts w:ascii="Times New Roman" w:hAnsi="Times New Roman" w:cs="Times New Roman"/>
          <w:color w:val="auto"/>
          <w:sz w:val="24"/>
          <w:szCs w:val="24"/>
          <w:lang w:val="en-GB"/>
        </w:rPr>
        <w:t>Maudsley</w:t>
      </w:r>
      <w:proofErr w:type="spellEnd"/>
      <w:r w:rsidRPr="003A5617">
        <w:rPr>
          <w:rFonts w:ascii="Times New Roman" w:hAnsi="Times New Roman" w:cs="Times New Roman"/>
          <w:color w:val="auto"/>
          <w:sz w:val="24"/>
          <w:szCs w:val="24"/>
          <w:lang w:val="en-GB"/>
        </w:rPr>
        <w:t xml:space="preserve"> NHS Foundation Trust and King’s College London. The views expressed are those of the authors and not necessarily those of the NHS, the NIHR or the Department of Health.</w:t>
      </w:r>
    </w:p>
    <w:p w:rsidR="004817DB" w:rsidRDefault="004817DB" w:rsidP="00A10B7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rsidR="004817DB" w:rsidRDefault="004817DB" w:rsidP="00D2196B">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en-GB"/>
        </w:rPr>
      </w:pPr>
      <w:r>
        <w:rPr>
          <w:rFonts w:ascii="Times New Roman" w:hAnsi="Times New Roman" w:cs="Times New Roman"/>
          <w:b/>
          <w:color w:val="auto"/>
          <w:sz w:val="24"/>
          <w:szCs w:val="24"/>
          <w:lang w:val="en-GB"/>
        </w:rPr>
        <w:t>Conflict of interest</w:t>
      </w:r>
    </w:p>
    <w:p w:rsidR="00D2196B" w:rsidRDefault="00D2196B" w:rsidP="00A10B7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rsidR="004817DB" w:rsidRPr="004817DB" w:rsidRDefault="004817DB" w:rsidP="00A10B74">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All authors declare they have no conflict of interest</w:t>
      </w:r>
      <w:r w:rsidR="00D2196B">
        <w:rPr>
          <w:rFonts w:ascii="Times New Roman" w:hAnsi="Times New Roman" w:cs="Times New Roman"/>
          <w:color w:val="auto"/>
          <w:sz w:val="24"/>
          <w:szCs w:val="24"/>
          <w:lang w:val="en-GB"/>
        </w:rPr>
        <w:t>.</w:t>
      </w:r>
    </w:p>
    <w:p w:rsidR="008C7770" w:rsidRPr="003A5617" w:rsidRDefault="008C7770" w:rsidP="008C7770">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rsidR="008C7770" w:rsidRDefault="008C7770" w:rsidP="008C7770">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rsidR="00B75DE8" w:rsidRDefault="00B75DE8" w:rsidP="008C7770">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rsidR="00B75DE8" w:rsidRDefault="00B75DE8" w:rsidP="008C7770">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rsidR="00B75DE8" w:rsidRDefault="00B75DE8" w:rsidP="008C7770">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rsidR="00B75DE8" w:rsidRDefault="00B75DE8" w:rsidP="008C7770">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rsidR="00B75DE8" w:rsidRDefault="00B75DE8" w:rsidP="008C7770">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rsidR="00B75DE8" w:rsidRDefault="00B75DE8" w:rsidP="008C7770">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rsidR="00B75DE8" w:rsidRDefault="00B75DE8" w:rsidP="008C7770">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rsidR="00B75DE8" w:rsidRDefault="00B75DE8" w:rsidP="008C7770">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rsidR="007C10AF" w:rsidRDefault="007C10AF" w:rsidP="007C10AF">
      <w:pPr>
        <w:spacing w:line="480" w:lineRule="auto"/>
        <w:jc w:val="center"/>
        <w:rPr>
          <w:b/>
        </w:rPr>
      </w:pPr>
      <w:r>
        <w:rPr>
          <w:b/>
        </w:rPr>
        <w:lastRenderedPageBreak/>
        <w:t>Abstract</w:t>
      </w:r>
    </w:p>
    <w:p w:rsidR="007C10AF" w:rsidRDefault="007C10AF" w:rsidP="007C10AF">
      <w:pPr>
        <w:spacing w:line="480" w:lineRule="auto"/>
        <w:ind w:right="-40"/>
        <w:jc w:val="both"/>
      </w:pPr>
      <w:r>
        <w:rPr>
          <w:b/>
        </w:rPr>
        <w:t>Objectives</w:t>
      </w:r>
      <w:r>
        <w:t xml:space="preserve">: Recent research has suggested that metacognitions may play a role across the spectrum of addictive behaviours. The goal of our studies was to develop the first self-report scale of metacognitions about gambling. </w:t>
      </w:r>
      <w:r>
        <w:rPr>
          <w:b/>
        </w:rPr>
        <w:t xml:space="preserve">Method: </w:t>
      </w:r>
      <w:r>
        <w:t xml:space="preserve">We conducted three studies with one community (n=165) and two clinical (n=110; n=87) samples to test the structure and psychometric properties of the Metacognitions about Gambling Questionnaire and examined its capacity to prospectively predict severity of gambling. </w:t>
      </w:r>
      <w:r>
        <w:rPr>
          <w:b/>
        </w:rPr>
        <w:t xml:space="preserve">Results: </w:t>
      </w:r>
      <w:r>
        <w:t xml:space="preserve">findings supported a two factor solution consisting of positive and negative metacognitions about gambling. Internal consistency, predictive and divergent validity were acceptable. All the factors of the Metacognitions about Gambling Questionnaire correlated positively with gambling severity. </w:t>
      </w:r>
      <w:r>
        <w:rPr>
          <w:rFonts w:eastAsia="Calibri"/>
          <w:lang w:val="en-US" w:eastAsia="it-IT"/>
        </w:rPr>
        <w:t xml:space="preserve">Regression analyses showed that negative metacognitions about gambling were significantly associated to gambling severity over and above negative affect and gambling-specific cognitive distortions. Finally </w:t>
      </w:r>
      <w:r>
        <w:t>only gambling severity and negative metacognitions about gambling were significant prospective predictors of gambling severity as measured three months later</w:t>
      </w:r>
      <w:r>
        <w:rPr>
          <w:rFonts w:eastAsia="Calibri"/>
          <w:lang w:val="en-US" w:eastAsia="it-IT"/>
        </w:rPr>
        <w:t xml:space="preserve">. </w:t>
      </w:r>
      <w:r>
        <w:rPr>
          <w:b/>
        </w:rPr>
        <w:t xml:space="preserve">Conclusions: </w:t>
      </w:r>
      <w:r>
        <w:t xml:space="preserve">The Metacognitions about Gambling Questionnaire was shown to possess good psychometric properties, as well as predictive and divergent validity within the populations that were tested. </w:t>
      </w:r>
    </w:p>
    <w:p w:rsidR="007C10AF" w:rsidRDefault="007C10AF" w:rsidP="007C10AF">
      <w:pPr>
        <w:spacing w:line="480" w:lineRule="auto"/>
        <w:jc w:val="both"/>
      </w:pPr>
    </w:p>
    <w:p w:rsidR="007C10AF" w:rsidRDefault="007C10AF" w:rsidP="007C10AF">
      <w:pPr>
        <w:spacing w:line="480" w:lineRule="auto"/>
        <w:jc w:val="both"/>
      </w:pPr>
    </w:p>
    <w:p w:rsidR="007C10AF" w:rsidRDefault="007C10AF" w:rsidP="007C10AF">
      <w:pPr>
        <w:spacing w:line="480" w:lineRule="auto"/>
        <w:jc w:val="both"/>
      </w:pPr>
    </w:p>
    <w:p w:rsidR="007C10AF" w:rsidRDefault="007C10AF" w:rsidP="007C10AF">
      <w:pPr>
        <w:spacing w:line="480" w:lineRule="auto"/>
        <w:jc w:val="both"/>
      </w:pPr>
    </w:p>
    <w:p w:rsidR="007C10AF" w:rsidRDefault="007C10AF" w:rsidP="007C10AF">
      <w:pPr>
        <w:spacing w:line="480" w:lineRule="auto"/>
        <w:jc w:val="both"/>
      </w:pPr>
    </w:p>
    <w:p w:rsidR="007C10AF" w:rsidRDefault="007C10AF" w:rsidP="007C10AF">
      <w:pPr>
        <w:spacing w:line="480" w:lineRule="auto"/>
        <w:jc w:val="both"/>
      </w:pPr>
    </w:p>
    <w:p w:rsidR="007C10AF" w:rsidRDefault="007C10AF" w:rsidP="007C10AF">
      <w:pPr>
        <w:spacing w:line="480" w:lineRule="auto"/>
        <w:jc w:val="both"/>
      </w:pPr>
    </w:p>
    <w:p w:rsidR="007C10AF" w:rsidRDefault="007C10AF" w:rsidP="007C10AF">
      <w:pPr>
        <w:spacing w:line="480" w:lineRule="auto"/>
        <w:jc w:val="both"/>
      </w:pPr>
    </w:p>
    <w:p w:rsidR="007C10AF" w:rsidRDefault="007C10AF" w:rsidP="007C10AF">
      <w:pPr>
        <w:tabs>
          <w:tab w:val="left" w:pos="0"/>
        </w:tabs>
        <w:spacing w:line="480" w:lineRule="auto"/>
        <w:jc w:val="both"/>
      </w:pPr>
      <w:r>
        <w:t>Key words: gambling disorder; gambling-specific cognitive distortions; metacognition; metacognitions; problematic gambling; psychometric measure.</w:t>
      </w:r>
    </w:p>
    <w:p w:rsidR="00B75DE8" w:rsidRPr="003A5617" w:rsidRDefault="00B75DE8" w:rsidP="00B75DE8">
      <w:pPr>
        <w:pStyle w:val="BodyText"/>
        <w:spacing w:line="480" w:lineRule="auto"/>
        <w:outlineLvl w:val="0"/>
        <w:rPr>
          <w:b/>
          <w:sz w:val="24"/>
          <w:szCs w:val="24"/>
          <w:lang w:val="en-GB"/>
        </w:rPr>
      </w:pPr>
      <w:r w:rsidRPr="003A5617">
        <w:rPr>
          <w:b/>
          <w:sz w:val="24"/>
          <w:szCs w:val="24"/>
          <w:lang w:val="en-GB"/>
        </w:rPr>
        <w:lastRenderedPageBreak/>
        <w:t>Introduction</w:t>
      </w:r>
    </w:p>
    <w:p w:rsidR="00B75DE8" w:rsidRPr="003A5617" w:rsidRDefault="00B75DE8" w:rsidP="00B75DE8">
      <w:pPr>
        <w:tabs>
          <w:tab w:val="left" w:pos="709"/>
        </w:tabs>
        <w:spacing w:line="480" w:lineRule="auto"/>
        <w:ind w:right="-1"/>
        <w:jc w:val="both"/>
      </w:pPr>
      <w:r w:rsidRPr="003A5617">
        <w:t xml:space="preserve">Between the fourth and fifth editions of the Diagnostic and Statistical Manual of Mental Disorders (DSM), Pathological Gambling was re-positioned from the Impulse Control Disorders’ (ICD) to the Addictions’ chapter </w:t>
      </w:r>
      <w:r w:rsidRPr="003A5617">
        <w:fldChar w:fldCharType="begin"/>
      </w:r>
      <w:r w:rsidRPr="003A5617">
        <w:instrText xml:space="preserve"> ADDIN EN.CITE &lt;EndNote&gt;&lt;Cite&gt;&lt;Author&gt;American Psychiatric Association&lt;/Author&gt;&lt;Year&gt;1994&lt;/Year&gt;&lt;RecNum&gt;94&lt;/RecNum&gt;&lt;DisplayText&gt;(American Psychiatric Association &amp;amp; Association, 1994; Association, 2013)&lt;/DisplayText&gt;&lt;record&gt;&lt;rec-number&gt;94&lt;/rec-number&gt;&lt;foreign-keys&gt;&lt;key app="EN" db-id="vwsswtd5udff93err055tv9orfd0pvevravv" timestamp="1414623585"&gt;94&lt;/key&gt;&lt;/foreign-keys&gt;&lt;ref-type name="Journal Article"&gt;17&lt;/ref-type&gt;&lt;contributors&gt;&lt;authors&gt;&lt;author&gt;American Psychiatric Association, APA&lt;/author&gt;&lt;author&gt;American Psychiatric Association&lt;/author&gt;&lt;/authors&gt;&lt;/contributors&gt;&lt;titles&gt;&lt;title&gt;Diagnostic and statistical manual of mental disorders&lt;/title&gt;&lt;/titles&gt;&lt;dates&gt;&lt;year&gt;1994&lt;/year&gt;&lt;/dates&gt;&lt;urls&gt;&lt;/urls&gt;&lt;/record&gt;&lt;/Cite&gt;&lt;Cite&gt;&lt;Author&gt;Association&lt;/Author&gt;&lt;Year&gt;2013&lt;/Year&gt;&lt;RecNum&gt;5195&lt;/RecNum&gt;&lt;record&gt;&lt;rec-number&gt;5195&lt;/rec-number&gt;&lt;foreign-keys&gt;&lt;key app="EN" db-id="vwsswtd5udff93err055tv9orfd0pvevravv" timestamp="1469805852"&gt;5195&lt;/key&gt;&lt;/foreign-keys&gt;&lt;ref-type name="Book"&gt;6&lt;/ref-type&gt;&lt;contributors&gt;&lt;authors&gt;&lt;author&gt;American Psychiatric Association&lt;/author&gt;&lt;/authors&gt;&lt;/contributors&gt;&lt;titles&gt;&lt;title&gt;Diagnostic and Statistical Manual of Mental Disorders&lt;/title&gt;&lt;/titles&gt;&lt;edition&gt;Fifth&lt;/edition&gt;&lt;dates&gt;&lt;year&gt;2013&lt;/year&gt;&lt;/dates&gt;&lt;publisher&gt;American Psychiatric Association&lt;/publisher&gt;&lt;urls&gt;&lt;/urls&gt;&lt;/record&gt;&lt;/Cite&gt;&lt;/EndNote&gt;</w:instrText>
      </w:r>
      <w:r w:rsidRPr="003A5617">
        <w:fldChar w:fldCharType="separate"/>
      </w:r>
      <w:r w:rsidRPr="003A5617">
        <w:rPr>
          <w:noProof/>
        </w:rPr>
        <w:t>(American Psychiatric Association, 1994; 2013)</w:t>
      </w:r>
      <w:r w:rsidRPr="003A5617">
        <w:fldChar w:fldCharType="end"/>
      </w:r>
      <w:r w:rsidRPr="003A5617">
        <w:t xml:space="preserve">. Arguably, this shift reflects the changing consensus regarding the significant differences between PG and ICDs in the clinical characteristics and phenomenological experiences associated with these disorders. Of greatest salience is that individuals with ICDs typically report a sense of relief after executing the impulse-driven behaviour whilst those engaging in pathological gambling do not </w:t>
      </w:r>
      <w:r w:rsidRPr="003A5617">
        <w:fldChar w:fldCharType="begin"/>
      </w:r>
      <w:r w:rsidRPr="003A5617">
        <w:instrText xml:space="preserve"> ADDIN EN.CITE &lt;EndNote&gt;&lt;Cite&gt;&lt;Author&gt;Shaffer&lt;/Author&gt;&lt;Year&gt;2002&lt;/Year&gt;&lt;RecNum&gt;5649&lt;/RecNum&gt;&lt;DisplayText&gt;(Shaffer &amp;amp; Korn, 2002)&lt;/DisplayText&gt;&lt;record&gt;&lt;rec-number&gt;5649&lt;/rec-number&gt;&lt;foreign-keys&gt;&lt;key app="EN" db-id="vwsswtd5udff93err055tv9orfd0pvevravv" timestamp="1477340611"&gt;5649&lt;/key&gt;&lt;/foreign-keys&gt;&lt;ref-type name="Journal Article"&gt;17&lt;/ref-type&gt;&lt;contributors&gt;&lt;authors&gt;&lt;author&gt;Shaffer, Howard J&lt;/author&gt;&lt;author&gt;Korn, David A&lt;/author&gt;&lt;/authors&gt;&lt;/contributors&gt;&lt;titles&gt;&lt;title&gt;Gambling and related mental disorders: A public health analysis&lt;/title&gt;&lt;secondary-title&gt;Annual review of public health&lt;/secondary-title&gt;&lt;/titles&gt;&lt;periodical&gt;&lt;full-title&gt;Annual Review of Public Health&lt;/full-title&gt;&lt;/periodical&gt;&lt;pages&gt;171-212&lt;/pages&gt;&lt;volume&gt;23&lt;/volume&gt;&lt;number&gt;1&lt;/number&gt;&lt;dates&gt;&lt;year&gt;2002&lt;/year&gt;&lt;/dates&gt;&lt;isbn&gt;0163-7525&lt;/isbn&gt;&lt;urls&gt;&lt;/urls&gt;&lt;/record&gt;&lt;/Cite&gt;&lt;/EndNote&gt;</w:instrText>
      </w:r>
      <w:r w:rsidRPr="003A5617">
        <w:fldChar w:fldCharType="separate"/>
      </w:r>
      <w:r w:rsidRPr="003A5617">
        <w:rPr>
          <w:noProof/>
        </w:rPr>
        <w:t xml:space="preserve">(Shaffer </w:t>
      </w:r>
      <w:r>
        <w:rPr>
          <w:noProof/>
        </w:rPr>
        <w:t>and</w:t>
      </w:r>
      <w:r w:rsidRPr="003A5617">
        <w:rPr>
          <w:noProof/>
        </w:rPr>
        <w:t xml:space="preserve"> Korn, 2002)</w:t>
      </w:r>
      <w:r w:rsidRPr="003A5617">
        <w:fldChar w:fldCharType="end"/>
      </w:r>
      <w:r w:rsidRPr="003A5617">
        <w:t>. Absence of sense of relief is also accompanied by relevant costs that can give rise</w:t>
      </w:r>
      <w:r w:rsidRPr="003A5617">
        <w:rPr>
          <w:iCs/>
        </w:rPr>
        <w:t xml:space="preserve"> to</w:t>
      </w:r>
      <w:r w:rsidRPr="003A5617">
        <w:t xml:space="preserve"> financial, interpersonal, legal and vocational problems for the sufferer, their families and society. Taken together, these considerations give rise to an important question: How is gambling maintained, considering the absence of short-term relief and presence of long-term costs?</w:t>
      </w:r>
    </w:p>
    <w:p w:rsidR="00B75DE8" w:rsidRPr="003A5617" w:rsidRDefault="00B75DE8" w:rsidP="00B75DE8">
      <w:pPr>
        <w:tabs>
          <w:tab w:val="left" w:pos="709"/>
        </w:tabs>
        <w:spacing w:line="480" w:lineRule="auto"/>
        <w:ind w:right="-1"/>
        <w:jc w:val="both"/>
      </w:pPr>
      <w:r w:rsidRPr="003A5617">
        <w:tab/>
        <w:t xml:space="preserve">A potential answer is provided by behavioural and cognitive approaches to understanding psychopathology. The behavioural approach highlights the role of learning processes like fixed and variable schedules of reinforcement (Dickerson, 1989). The cognitive approach (Sharpe </w:t>
      </w:r>
      <w:r>
        <w:t>and</w:t>
      </w:r>
      <w:r w:rsidRPr="003A5617">
        <w:t xml:space="preserve"> </w:t>
      </w:r>
      <w:proofErr w:type="spellStart"/>
      <w:r w:rsidRPr="003A5617">
        <w:t>Tarrier</w:t>
      </w:r>
      <w:proofErr w:type="spellEnd"/>
      <w:r w:rsidRPr="003A5617">
        <w:t xml:space="preserve"> 1993; </w:t>
      </w:r>
      <w:proofErr w:type="spellStart"/>
      <w:r w:rsidRPr="003A5617">
        <w:t>Ladouceur</w:t>
      </w:r>
      <w:proofErr w:type="spellEnd"/>
      <w:r w:rsidRPr="003A5617">
        <w:t xml:space="preserve"> </w:t>
      </w:r>
      <w:r>
        <w:t>and</w:t>
      </w:r>
      <w:r w:rsidRPr="003A5617">
        <w:t xml:space="preserve"> Walker 1996) highlights the role of irrational and biased cognitive beliefs. These approaches have provided important insights into the understanding of gambling behaviour however they are not without limitations. In particular, the behavioural approach fails to explain why only a small proportion of the total population of gamblers lose control whilst the cognitive approach fails to establish if irrational beliefs play a causal role rather than being a secondary or epiphenomenal effect of cognitive dissonance. </w:t>
      </w:r>
    </w:p>
    <w:p w:rsidR="00B75DE8" w:rsidRDefault="00B75DE8" w:rsidP="00B75DE8">
      <w:pPr>
        <w:tabs>
          <w:tab w:val="left" w:pos="709"/>
        </w:tabs>
        <w:spacing w:line="480" w:lineRule="auto"/>
        <w:ind w:right="-1"/>
        <w:jc w:val="both"/>
      </w:pPr>
      <w:r w:rsidRPr="003A5617">
        <w:tab/>
        <w:t xml:space="preserve">These theoretical limitations may explain why cognitive-behavioural therapy (CBT), which is the most evaluated approach for treating gambling disorder (GD), has been found to be efficacious (e.g. </w:t>
      </w:r>
      <w:proofErr w:type="spellStart"/>
      <w:r w:rsidRPr="003A5617">
        <w:t>Toneatto</w:t>
      </w:r>
      <w:proofErr w:type="spellEnd"/>
      <w:r w:rsidRPr="003A5617">
        <w:t xml:space="preserve">, 2005; </w:t>
      </w:r>
      <w:proofErr w:type="spellStart"/>
      <w:r w:rsidRPr="003A5617">
        <w:t>Toneatto</w:t>
      </w:r>
      <w:proofErr w:type="spellEnd"/>
      <w:r w:rsidRPr="003A5617">
        <w:t xml:space="preserve"> </w:t>
      </w:r>
      <w:r>
        <w:t>and</w:t>
      </w:r>
      <w:r w:rsidRPr="003A5617">
        <w:t xml:space="preserve"> Millar, 2004) however only in the short term. Indeed there appears to be “insufficient evidence” to support its efficacy in the longer-term (</w:t>
      </w:r>
      <w:proofErr w:type="spellStart"/>
      <w:r w:rsidRPr="003A5617">
        <w:t>Cowlishaw</w:t>
      </w:r>
      <w:proofErr w:type="spellEnd"/>
      <w:r w:rsidRPr="003A5617">
        <w:t xml:space="preserve"> et al., 2012, p.32). It has been argued that a possible reason for CBT’s lack of efficacy in the longer </w:t>
      </w:r>
      <w:r w:rsidRPr="003A5617">
        <w:lastRenderedPageBreak/>
        <w:t xml:space="preserve">term </w:t>
      </w:r>
      <w:r w:rsidRPr="006311EF">
        <w:rPr>
          <w:highlight w:val="yellow"/>
        </w:rPr>
        <w:t>might be due to residual symptoms that can remain present at a metacognitive level (</w:t>
      </w:r>
      <w:r w:rsidRPr="006311EF">
        <w:rPr>
          <w:noProof/>
          <w:highlight w:val="yellow"/>
        </w:rPr>
        <w:t xml:space="preserve">Lindberg, Fernie </w:t>
      </w:r>
      <w:r>
        <w:rPr>
          <w:noProof/>
          <w:highlight w:val="yellow"/>
        </w:rPr>
        <w:t>and</w:t>
      </w:r>
      <w:r w:rsidRPr="006311EF">
        <w:rPr>
          <w:noProof/>
          <w:highlight w:val="yellow"/>
        </w:rPr>
        <w:t xml:space="preserve"> Spada, 2011; Spada, Giustina, Rolandi, Fernie</w:t>
      </w:r>
      <w:r>
        <w:rPr>
          <w:noProof/>
          <w:highlight w:val="yellow"/>
        </w:rPr>
        <w:t xml:space="preserve"> and</w:t>
      </w:r>
      <w:r w:rsidRPr="006311EF">
        <w:rPr>
          <w:noProof/>
          <w:highlight w:val="yellow"/>
        </w:rPr>
        <w:t xml:space="preserve"> Caselli, 2015; Spada, Caselli, Nikčević </w:t>
      </w:r>
      <w:r>
        <w:rPr>
          <w:noProof/>
          <w:highlight w:val="yellow"/>
        </w:rPr>
        <w:t>and</w:t>
      </w:r>
      <w:r w:rsidRPr="006311EF">
        <w:rPr>
          <w:noProof/>
          <w:highlight w:val="yellow"/>
        </w:rPr>
        <w:t xml:space="preserve"> Wells, 2015)</w:t>
      </w:r>
      <w:r w:rsidRPr="006311EF">
        <w:rPr>
          <w:highlight w:val="yellow"/>
        </w:rPr>
        <w:t xml:space="preserve">. In particular, the modification of the content of </w:t>
      </w:r>
      <w:r>
        <w:rPr>
          <w:highlight w:val="yellow"/>
        </w:rPr>
        <w:t>biased cognitive beliefs</w:t>
      </w:r>
      <w:r w:rsidRPr="006311EF">
        <w:rPr>
          <w:highlight w:val="yellow"/>
        </w:rPr>
        <w:t xml:space="preserve">, that is the main focus of CBT, do not necessarily imply the modification of implicit or explicit cognitive processes (e.g. worry or rumination) that can facilitate a further </w:t>
      </w:r>
      <w:r>
        <w:rPr>
          <w:highlight w:val="yellow"/>
        </w:rPr>
        <w:t>emergence</w:t>
      </w:r>
      <w:r w:rsidRPr="006311EF">
        <w:rPr>
          <w:highlight w:val="yellow"/>
        </w:rPr>
        <w:t xml:space="preserve"> of </w:t>
      </w:r>
      <w:r>
        <w:rPr>
          <w:highlight w:val="yellow"/>
        </w:rPr>
        <w:t>biased cognitions</w:t>
      </w:r>
      <w:r w:rsidRPr="006311EF">
        <w:rPr>
          <w:highlight w:val="yellow"/>
        </w:rPr>
        <w:t xml:space="preserve"> and that can be guided by a specific set of knowledge, labelled metacognitions.</w:t>
      </w:r>
    </w:p>
    <w:p w:rsidR="00B75DE8" w:rsidRPr="003A5617" w:rsidRDefault="00B75DE8" w:rsidP="00B75DE8">
      <w:pPr>
        <w:pStyle w:val="BodyText"/>
        <w:spacing w:line="480" w:lineRule="auto"/>
        <w:jc w:val="both"/>
        <w:rPr>
          <w:sz w:val="24"/>
          <w:szCs w:val="24"/>
          <w:lang w:val="en-GB"/>
        </w:rPr>
      </w:pPr>
      <w:r w:rsidRPr="003A5617">
        <w:rPr>
          <w:sz w:val="24"/>
          <w:szCs w:val="24"/>
          <w:lang w:val="en-GB"/>
        </w:rPr>
        <w:tab/>
        <w:t xml:space="preserve">Metacognitions (beliefs about cognition and ways of controlling it) are a central construct in the metacognitive model of psychopathology (Wells </w:t>
      </w:r>
      <w:r>
        <w:rPr>
          <w:sz w:val="24"/>
          <w:szCs w:val="24"/>
          <w:lang w:val="en-GB"/>
        </w:rPr>
        <w:t>and</w:t>
      </w:r>
      <w:r w:rsidRPr="003A5617">
        <w:rPr>
          <w:sz w:val="24"/>
          <w:szCs w:val="24"/>
          <w:lang w:val="en-GB"/>
        </w:rPr>
        <w:t xml:space="preserve"> Matthews, 1994; 1996). In this model, metacognitions are purported to play a critical role in the activation and persistence of coping strategies (e.g. perseverative thinking, threat monitoring, thought suppression and maladaptive behaviour), which cause negative thoughts and emotions to persist. In support of this view, metacognitions have been found to be associated with a wide array of psychological and behavioural problems (for a full review, see Wells, 2013) in the anxiety and mood disorders. Furthermore, the therapeutic approach based on the metacognitive model of psychopathology, known as Metacognitive Therapy (MCT), appears to be an effective treatment for depression and a range of anxiety disorders, and possibly superior to tradit</w:t>
      </w:r>
      <w:r>
        <w:rPr>
          <w:sz w:val="24"/>
          <w:szCs w:val="24"/>
          <w:lang w:val="en-GB"/>
        </w:rPr>
        <w:t>ional CBT (</w:t>
      </w:r>
      <w:proofErr w:type="spellStart"/>
      <w:r>
        <w:rPr>
          <w:sz w:val="24"/>
          <w:szCs w:val="24"/>
          <w:lang w:val="en-GB"/>
        </w:rPr>
        <w:t>Normann</w:t>
      </w:r>
      <w:proofErr w:type="spellEnd"/>
      <w:r>
        <w:rPr>
          <w:sz w:val="24"/>
          <w:szCs w:val="24"/>
          <w:lang w:val="en-GB"/>
        </w:rPr>
        <w:t xml:space="preserve">, van </w:t>
      </w:r>
      <w:proofErr w:type="spellStart"/>
      <w:r>
        <w:rPr>
          <w:sz w:val="24"/>
          <w:szCs w:val="24"/>
          <w:lang w:val="en-GB"/>
        </w:rPr>
        <w:t>Emmerik</w:t>
      </w:r>
      <w:proofErr w:type="spellEnd"/>
      <w:r w:rsidRPr="003A5617">
        <w:rPr>
          <w:sz w:val="24"/>
          <w:szCs w:val="24"/>
          <w:lang w:val="en-GB"/>
        </w:rPr>
        <w:t xml:space="preserve"> </w:t>
      </w:r>
      <w:r>
        <w:rPr>
          <w:sz w:val="24"/>
          <w:szCs w:val="24"/>
          <w:lang w:val="en-GB"/>
        </w:rPr>
        <w:t>and</w:t>
      </w:r>
      <w:r w:rsidRPr="003A5617">
        <w:rPr>
          <w:sz w:val="24"/>
          <w:szCs w:val="24"/>
          <w:lang w:val="en-GB"/>
        </w:rPr>
        <w:t xml:space="preserve"> </w:t>
      </w:r>
      <w:proofErr w:type="spellStart"/>
      <w:r w:rsidRPr="003A5617">
        <w:rPr>
          <w:sz w:val="24"/>
          <w:szCs w:val="24"/>
          <w:lang w:val="en-GB"/>
        </w:rPr>
        <w:t>Morina</w:t>
      </w:r>
      <w:proofErr w:type="spellEnd"/>
      <w:r w:rsidRPr="003A5617">
        <w:rPr>
          <w:sz w:val="24"/>
          <w:szCs w:val="24"/>
          <w:lang w:val="en-GB"/>
        </w:rPr>
        <w:t xml:space="preserve">, 2014). </w:t>
      </w:r>
    </w:p>
    <w:p w:rsidR="00B75DE8" w:rsidRPr="003A5617" w:rsidRDefault="00B75DE8" w:rsidP="00B75DE8">
      <w:pPr>
        <w:pStyle w:val="BodyText"/>
        <w:spacing w:line="480" w:lineRule="auto"/>
        <w:ind w:firstLine="708"/>
        <w:jc w:val="both"/>
        <w:rPr>
          <w:sz w:val="24"/>
          <w:szCs w:val="24"/>
          <w:lang w:val="en-GB"/>
        </w:rPr>
      </w:pPr>
      <w:r w:rsidRPr="003A5617">
        <w:rPr>
          <w:sz w:val="24"/>
          <w:szCs w:val="24"/>
          <w:lang w:val="en-GB"/>
        </w:rPr>
        <w:t xml:space="preserve">Within the field of addictive behaviours numerous studies, using cross-sectional, longitudinal, and experimental designs, have linked metacognitions to alcohol use and problem drinking, whilst other studies demonstrated that metacognitions are also linked to nicotine use and dependence (for  review see </w:t>
      </w:r>
      <w:proofErr w:type="spellStart"/>
      <w:r w:rsidRPr="003A5617">
        <w:rPr>
          <w:sz w:val="24"/>
          <w:szCs w:val="24"/>
          <w:lang w:val="en-GB"/>
        </w:rPr>
        <w:t>Sp</w:t>
      </w:r>
      <w:r>
        <w:rPr>
          <w:sz w:val="24"/>
          <w:szCs w:val="24"/>
          <w:lang w:val="en-GB"/>
        </w:rPr>
        <w:t>ada</w:t>
      </w:r>
      <w:proofErr w:type="spellEnd"/>
      <w:r>
        <w:rPr>
          <w:sz w:val="24"/>
          <w:szCs w:val="24"/>
          <w:lang w:val="en-GB"/>
        </w:rPr>
        <w:t xml:space="preserve">, Caselli, </w:t>
      </w:r>
      <w:proofErr w:type="spellStart"/>
      <w:r>
        <w:rPr>
          <w:sz w:val="24"/>
          <w:szCs w:val="24"/>
          <w:lang w:val="en-GB"/>
        </w:rPr>
        <w:t>Nikčević</w:t>
      </w:r>
      <w:proofErr w:type="spellEnd"/>
      <w:r w:rsidRPr="003A5617">
        <w:rPr>
          <w:sz w:val="24"/>
          <w:szCs w:val="24"/>
          <w:lang w:val="en-GB"/>
        </w:rPr>
        <w:t xml:space="preserve"> </w:t>
      </w:r>
      <w:r>
        <w:rPr>
          <w:sz w:val="24"/>
          <w:szCs w:val="24"/>
          <w:lang w:val="en-GB"/>
        </w:rPr>
        <w:t>and</w:t>
      </w:r>
      <w:r w:rsidRPr="003A5617">
        <w:rPr>
          <w:sz w:val="24"/>
          <w:szCs w:val="24"/>
          <w:lang w:val="en-GB"/>
        </w:rPr>
        <w:t xml:space="preserve"> Wells, 2015). Within the area of addictive behaviours metacognitions can be usefully divided into two broad sets (</w:t>
      </w:r>
      <w:proofErr w:type="spellStart"/>
      <w:r w:rsidRPr="003A5617">
        <w:rPr>
          <w:sz w:val="24"/>
          <w:szCs w:val="24"/>
          <w:lang w:val="en-GB"/>
        </w:rPr>
        <w:t>Spada</w:t>
      </w:r>
      <w:proofErr w:type="spellEnd"/>
      <w:r w:rsidRPr="003A5617">
        <w:rPr>
          <w:sz w:val="24"/>
          <w:szCs w:val="24"/>
          <w:lang w:val="en-GB"/>
        </w:rPr>
        <w:t xml:space="preserve">, Caselli, </w:t>
      </w:r>
      <w:proofErr w:type="spellStart"/>
      <w:r w:rsidRPr="003A5617">
        <w:rPr>
          <w:sz w:val="24"/>
          <w:szCs w:val="24"/>
          <w:lang w:val="en-GB"/>
        </w:rPr>
        <w:t>Nikčević</w:t>
      </w:r>
      <w:proofErr w:type="spellEnd"/>
      <w:r w:rsidRPr="003A5617">
        <w:rPr>
          <w:sz w:val="24"/>
          <w:szCs w:val="24"/>
          <w:lang w:val="en-GB"/>
        </w:rPr>
        <w:t xml:space="preserve"> </w:t>
      </w:r>
      <w:r>
        <w:rPr>
          <w:sz w:val="24"/>
          <w:szCs w:val="24"/>
          <w:lang w:val="en-GB"/>
        </w:rPr>
        <w:t>and</w:t>
      </w:r>
      <w:r w:rsidRPr="003A5617">
        <w:rPr>
          <w:sz w:val="24"/>
          <w:szCs w:val="24"/>
          <w:lang w:val="en-GB"/>
        </w:rPr>
        <w:t xml:space="preserve"> Wells, 2015; </w:t>
      </w:r>
      <w:proofErr w:type="spellStart"/>
      <w:r w:rsidRPr="003A5617">
        <w:rPr>
          <w:sz w:val="24"/>
          <w:szCs w:val="24"/>
          <w:lang w:val="en-GB"/>
        </w:rPr>
        <w:t>Spada</w:t>
      </w:r>
      <w:proofErr w:type="spellEnd"/>
      <w:r w:rsidRPr="003A5617">
        <w:rPr>
          <w:sz w:val="24"/>
          <w:szCs w:val="24"/>
          <w:lang w:val="en-GB"/>
        </w:rPr>
        <w:t xml:space="preserve">, Caselli </w:t>
      </w:r>
      <w:r>
        <w:rPr>
          <w:sz w:val="24"/>
          <w:szCs w:val="24"/>
          <w:lang w:val="en-GB"/>
        </w:rPr>
        <w:t>and</w:t>
      </w:r>
      <w:r w:rsidRPr="003A5617">
        <w:rPr>
          <w:sz w:val="24"/>
          <w:szCs w:val="24"/>
          <w:lang w:val="en-GB"/>
        </w:rPr>
        <w:t xml:space="preserve"> Wells, 2013; </w:t>
      </w:r>
      <w:proofErr w:type="spellStart"/>
      <w:r w:rsidRPr="003A5617">
        <w:rPr>
          <w:sz w:val="24"/>
          <w:szCs w:val="24"/>
          <w:lang w:val="en-GB"/>
        </w:rPr>
        <w:t>Spada</w:t>
      </w:r>
      <w:proofErr w:type="spellEnd"/>
      <w:r w:rsidRPr="003A5617">
        <w:rPr>
          <w:sz w:val="24"/>
          <w:szCs w:val="24"/>
          <w:lang w:val="en-GB"/>
        </w:rPr>
        <w:t xml:space="preserve"> </w:t>
      </w:r>
      <w:r>
        <w:rPr>
          <w:sz w:val="24"/>
          <w:szCs w:val="24"/>
          <w:lang w:val="en-GB"/>
        </w:rPr>
        <w:t>and</w:t>
      </w:r>
      <w:r w:rsidRPr="003A5617">
        <w:rPr>
          <w:sz w:val="24"/>
          <w:szCs w:val="24"/>
          <w:lang w:val="en-GB"/>
        </w:rPr>
        <w:t xml:space="preserve"> Wells, 2009): (1) positive metacognitions about the benefits of engaging in addictive behaviour as a means of cognitive and affective regulation such as “Using alcohol will help me control bad thoughts” or “If I smoke I will achieve greater levels of clarity in my thinking”; and (2) negative metacognitions concerning the </w:t>
      </w:r>
      <w:r w:rsidRPr="003A5617">
        <w:rPr>
          <w:sz w:val="24"/>
          <w:szCs w:val="24"/>
          <w:lang w:val="en-GB"/>
        </w:rPr>
        <w:lastRenderedPageBreak/>
        <w:t>uncontrollability and dangers of thoughts about addictive behaviour and engagement in addictive behaviour such as “I cannot stop thinking about my cigarette use” or “using alcohol will damage my mind”. Positive metacognitions have been found to play a central role in motivating individuals to engage in addictive behaviour whilst negative metacognitions are thought be involved in its perpetuation. Negative metacognitions are activated during and following an episode of engagement in an addictive behaviour, triggering difficult cognitive and negative emotional states that compel a person to continue their engagement with it in a maladaptive attempt to regulate these internal states (</w:t>
      </w:r>
      <w:proofErr w:type="spellStart"/>
      <w:r w:rsidRPr="003A5617">
        <w:rPr>
          <w:sz w:val="24"/>
          <w:szCs w:val="24"/>
          <w:lang w:val="en-GB"/>
        </w:rPr>
        <w:t>Spada</w:t>
      </w:r>
      <w:proofErr w:type="spellEnd"/>
      <w:r w:rsidRPr="003A5617">
        <w:rPr>
          <w:sz w:val="24"/>
          <w:szCs w:val="24"/>
          <w:lang w:val="en-GB"/>
        </w:rPr>
        <w:t xml:space="preserve">, Caselli, </w:t>
      </w:r>
      <w:proofErr w:type="spellStart"/>
      <w:r w:rsidRPr="003A5617">
        <w:rPr>
          <w:sz w:val="24"/>
          <w:szCs w:val="24"/>
          <w:lang w:val="en-GB"/>
        </w:rPr>
        <w:t>Nikčević</w:t>
      </w:r>
      <w:proofErr w:type="spellEnd"/>
      <w:r w:rsidRPr="003A5617">
        <w:rPr>
          <w:sz w:val="24"/>
          <w:szCs w:val="24"/>
          <w:lang w:val="en-GB"/>
        </w:rPr>
        <w:t xml:space="preserve"> </w:t>
      </w:r>
      <w:r>
        <w:rPr>
          <w:sz w:val="24"/>
          <w:szCs w:val="24"/>
          <w:lang w:val="en-GB"/>
        </w:rPr>
        <w:t>and</w:t>
      </w:r>
      <w:r w:rsidRPr="003A5617">
        <w:rPr>
          <w:sz w:val="24"/>
          <w:szCs w:val="24"/>
          <w:lang w:val="en-GB"/>
        </w:rPr>
        <w:t xml:space="preserve"> Wells, 2015). </w:t>
      </w:r>
    </w:p>
    <w:p w:rsidR="00B75DE8" w:rsidRPr="003A5617" w:rsidRDefault="00B75DE8" w:rsidP="00B75DE8">
      <w:pPr>
        <w:pStyle w:val="BodyText"/>
        <w:spacing w:line="480" w:lineRule="auto"/>
        <w:jc w:val="both"/>
        <w:rPr>
          <w:sz w:val="24"/>
          <w:szCs w:val="24"/>
          <w:lang w:val="en-GB"/>
        </w:rPr>
      </w:pPr>
      <w:r w:rsidRPr="003A5617">
        <w:rPr>
          <w:sz w:val="24"/>
          <w:szCs w:val="24"/>
          <w:lang w:val="en-GB"/>
        </w:rPr>
        <w:tab/>
        <w:t xml:space="preserve">Recent research has indicated that general metacognitions (specifically, those concerning negative beliefs about the danger and uncontrollability of thoughts and beliefs about the need to control thoughts) predict levels of gambling behaviour when controlling for anxiety and depression </w:t>
      </w:r>
      <w:r w:rsidRPr="003A5617">
        <w:rPr>
          <w:sz w:val="24"/>
          <w:szCs w:val="24"/>
          <w:lang w:val="en-GB"/>
        </w:rPr>
        <w:fldChar w:fldCharType="begin">
          <w:fldData xml:space="preserve">PEVuZE5vdGU+PENpdGU+PEF1dGhvcj5MaW5kYmVyZzwvQXV0aG9yPjxZZWFyPjIwMTE8L1llYXI+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==
</w:fldData>
        </w:fldChar>
      </w:r>
      <w:r w:rsidRPr="003A5617">
        <w:rPr>
          <w:sz w:val="24"/>
          <w:szCs w:val="24"/>
          <w:lang w:val="en-GB"/>
        </w:rPr>
        <w:instrText xml:space="preserve"> ADDIN EN.CITE </w:instrText>
      </w:r>
      <w:r w:rsidRPr="003A5617">
        <w:rPr>
          <w:sz w:val="24"/>
          <w:szCs w:val="24"/>
          <w:lang w:val="en-GB"/>
        </w:rPr>
        <w:fldChar w:fldCharType="begin">
          <w:fldData xml:space="preserve">PEVuZE5vdGU+PENpdGU+PEF1dGhvcj5MaW5kYmVyZzwvQXV0aG9yPjxZZWFyPjIwMTE8L1llYXI+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==
</w:fldData>
        </w:fldChar>
      </w:r>
      <w:r w:rsidRPr="003A5617">
        <w:rPr>
          <w:sz w:val="24"/>
          <w:szCs w:val="24"/>
          <w:lang w:val="en-GB"/>
        </w:rPr>
        <w:instrText xml:space="preserve"> ADDIN EN.CITE.DATA </w:instrText>
      </w:r>
      <w:r w:rsidRPr="003A5617">
        <w:rPr>
          <w:sz w:val="24"/>
          <w:szCs w:val="24"/>
          <w:lang w:val="en-GB"/>
        </w:rPr>
      </w:r>
      <w:r w:rsidRPr="003A5617">
        <w:rPr>
          <w:sz w:val="24"/>
          <w:szCs w:val="24"/>
          <w:lang w:val="en-GB"/>
        </w:rPr>
        <w:fldChar w:fldCharType="end"/>
      </w:r>
      <w:r w:rsidRPr="003A5617">
        <w:rPr>
          <w:sz w:val="24"/>
          <w:szCs w:val="24"/>
          <w:lang w:val="en-GB"/>
        </w:rPr>
      </w:r>
      <w:r w:rsidRPr="003A5617">
        <w:rPr>
          <w:sz w:val="24"/>
          <w:szCs w:val="24"/>
          <w:lang w:val="en-GB"/>
        </w:rPr>
        <w:fldChar w:fldCharType="separate"/>
      </w:r>
      <w:r>
        <w:rPr>
          <w:noProof/>
          <w:sz w:val="24"/>
          <w:szCs w:val="24"/>
          <w:lang w:val="en-GB"/>
        </w:rPr>
        <w:t>(Lindberg, Fernie</w:t>
      </w:r>
      <w:r w:rsidRPr="003A5617">
        <w:rPr>
          <w:noProof/>
          <w:sz w:val="24"/>
          <w:szCs w:val="24"/>
          <w:lang w:val="en-GB"/>
        </w:rPr>
        <w:t xml:space="preserve"> </w:t>
      </w:r>
      <w:r>
        <w:rPr>
          <w:sz w:val="24"/>
          <w:szCs w:val="24"/>
          <w:lang w:val="en-GB"/>
        </w:rPr>
        <w:t>and</w:t>
      </w:r>
      <w:r w:rsidRPr="003A5617">
        <w:rPr>
          <w:noProof/>
          <w:sz w:val="24"/>
          <w:szCs w:val="24"/>
          <w:lang w:val="en-GB"/>
        </w:rPr>
        <w:t xml:space="preserve"> Spada, 2011)</w:t>
      </w:r>
      <w:r w:rsidRPr="003A5617">
        <w:rPr>
          <w:sz w:val="24"/>
          <w:szCs w:val="24"/>
          <w:lang w:val="en-GB"/>
        </w:rPr>
        <w:fldChar w:fldCharType="end"/>
      </w:r>
      <w:r w:rsidRPr="003A5617">
        <w:rPr>
          <w:sz w:val="24"/>
          <w:szCs w:val="24"/>
          <w:lang w:val="en-GB"/>
        </w:rPr>
        <w:t xml:space="preserve">. A further study, which focused on eliciting gambling-specific metacognitions in a sample of pathological gamblers </w:t>
      </w:r>
      <w:r w:rsidRPr="003A5617">
        <w:rPr>
          <w:sz w:val="24"/>
          <w:szCs w:val="24"/>
          <w:lang w:val="en-GB"/>
        </w:rPr>
        <w:fldChar w:fldCharType="begin"/>
      </w:r>
      <w:r w:rsidRPr="003A5617">
        <w:rPr>
          <w:sz w:val="24"/>
          <w:szCs w:val="24"/>
          <w:lang w:val="en-GB"/>
        </w:rPr>
        <w:instrText xml:space="preserve"> ADDIN EN.CITE &lt;EndNote&gt;&lt;Cite&gt;&lt;Author&gt;Spada&lt;/Author&gt;&lt;Year&gt;2015&lt;/Year&gt;&lt;RecNum&gt;3865&lt;/RecNum&gt;&lt;DisplayText&gt;(Spada, Giustina, Rolandi, Fernie, &amp;amp; Caselli, 2015)&lt;/DisplayText&gt;&lt;record&gt;&lt;rec-number&gt;3865&lt;/rec-number&gt;&lt;foreign-keys&gt;&lt;key app="EN" db-id="vwsswtd5udff93err055tv9orfd0pvevravv" timestamp="1414709983"&gt;3865&lt;/key&gt;&lt;key app="ENWeb" db-id=""&gt;0&lt;/key&gt;&lt;/foreign-keys&gt;&lt;ref-type name="Journal Article"&gt;17&lt;/ref-type&gt;&lt;contributors&gt;&lt;authors&gt;&lt;author&gt;Spada, M. M.&lt;/author&gt;&lt;author&gt;Giustina, L.&lt;/author&gt;&lt;author&gt;Rolandi, S.&lt;/author&gt;&lt;author&gt;Fernie, B. A.&lt;/author&gt;&lt;author&gt;Caselli, G.&lt;/author&gt;&lt;/authors&gt;&lt;/contributors&gt;&lt;auth-address&gt;London South Bank University,UK.&amp;#xD;Servizio Tossicodipendendenze,AUSL,Parma,Italy.&amp;#xD;Universita di Pavia,Italy.&amp;#xD;Institute of Psychiatry,King&amp;apos;s College London, andCASCAID,South London and Maudsley NHS Foundation Trust,UK.&amp;#xD;Studi Cognitivi,Cognitive Psychotherapy School,Modena,Italy.&lt;/auth-address&gt;&lt;titles&gt;&lt;title&gt;Profiling Metacognition in Gambling Disorder&lt;/title&gt;&lt;secondary-title&gt;Behav Cogn Psychother&lt;/secondary-title&gt;&lt;/titles&gt;&lt;periodical&gt;&lt;full-title&gt;Behav Cogn Psychother&lt;/full-title&gt;&lt;/periodical&gt;&lt;pages&gt;614-22&lt;/pages&gt;&lt;volume&gt;43&lt;/volume&gt;&lt;number&gt;5&lt;/number&gt;&lt;keywords&gt;&lt;keyword&gt;Adult&lt;/keyword&gt;&lt;keyword&gt;*Cognition&lt;/keyword&gt;&lt;keyword&gt;Gambling/classification/*psychology&lt;/keyword&gt;&lt;keyword&gt;Humans&lt;/keyword&gt;&lt;keyword&gt;Interview, Psychological&lt;/keyword&gt;&lt;keyword&gt;Male&lt;/keyword&gt;&lt;keyword&gt;Metacognition&lt;/keyword&gt;&lt;keyword&gt;Middle Aged&lt;/keyword&gt;&lt;keyword&gt;Addictive behaviours&lt;/keyword&gt;&lt;keyword&gt;gambling&lt;/keyword&gt;&lt;keyword&gt;gambling disorder&lt;/keyword&gt;&lt;keyword&gt;metacognitive beliefs&lt;/keyword&gt;&lt;keyword&gt;problem gambling&lt;/keyword&gt;&lt;/keywords&gt;&lt;dates&gt;&lt;year&gt;2015&lt;/year&gt;&lt;pub-dates&gt;&lt;date&gt;Sep&lt;/date&gt;&lt;/pub-dates&gt;&lt;/dates&gt;&lt;isbn&gt;1469-1833 (Electronic)&amp;#xD;1352-4658 (Linking)&lt;/isbn&gt;&lt;accession-num&gt;26202074&lt;/accession-num&gt;&lt;urls&gt;&lt;related-urls&gt;&lt;url&gt;http://www.ncbi.nlm.nih.gov/pubmed/26202074&lt;/url&gt;&lt;/related-urls&gt;&lt;/urls&gt;&lt;electronic-resource-num&gt;10.1017/S1352465814000101&lt;/electronic-resource-num&gt;&lt;access-date&gt;2014&lt;/access-date&gt;&lt;/record&gt;&lt;/Cite&gt;&lt;/EndNote&gt;</w:instrText>
      </w:r>
      <w:r w:rsidRPr="003A5617">
        <w:rPr>
          <w:sz w:val="24"/>
          <w:szCs w:val="24"/>
          <w:lang w:val="en-GB"/>
        </w:rPr>
        <w:fldChar w:fldCharType="separate"/>
      </w:r>
      <w:r w:rsidRPr="003A5617">
        <w:rPr>
          <w:noProof/>
          <w:sz w:val="24"/>
          <w:szCs w:val="24"/>
          <w:lang w:val="en-GB"/>
        </w:rPr>
        <w:t xml:space="preserve">(Spada, Giustina, Rolandi, Fernie </w:t>
      </w:r>
      <w:r>
        <w:rPr>
          <w:sz w:val="24"/>
          <w:szCs w:val="24"/>
          <w:lang w:val="en-GB"/>
        </w:rPr>
        <w:t>and</w:t>
      </w:r>
      <w:r w:rsidRPr="003A5617">
        <w:rPr>
          <w:noProof/>
          <w:sz w:val="24"/>
          <w:szCs w:val="24"/>
          <w:lang w:val="en-GB"/>
        </w:rPr>
        <w:t xml:space="preserve"> Caselli, 2015)</w:t>
      </w:r>
      <w:r w:rsidRPr="003A5617">
        <w:rPr>
          <w:sz w:val="24"/>
          <w:szCs w:val="24"/>
          <w:lang w:val="en-GB"/>
        </w:rPr>
        <w:fldChar w:fldCharType="end"/>
      </w:r>
      <w:r w:rsidRPr="003A5617">
        <w:rPr>
          <w:sz w:val="24"/>
          <w:szCs w:val="24"/>
          <w:lang w:val="en-GB"/>
        </w:rPr>
        <w:t xml:space="preserve">, identified that gamblers endorsed both positive and negative metacognitions about gambling. </w:t>
      </w:r>
      <w:r w:rsidRPr="00EB7703">
        <w:rPr>
          <w:sz w:val="24"/>
          <w:szCs w:val="24"/>
          <w:highlight w:val="yellow"/>
          <w:lang w:val="en-GB"/>
        </w:rPr>
        <w:t>Positive metacognitions about gambling referred to the need to gamble as a strategy to control thinking (e.g. to stop worry). Negative metacognitions about gambling referred to the uncontrollability of gambling activity and dangerousness of gambling-related thoughts.</w:t>
      </w:r>
      <w:r>
        <w:rPr>
          <w:sz w:val="24"/>
          <w:szCs w:val="24"/>
          <w:lang w:val="en-GB"/>
        </w:rPr>
        <w:t xml:space="preserve"> </w:t>
      </w:r>
      <w:r w:rsidRPr="003A5617">
        <w:rPr>
          <w:sz w:val="24"/>
          <w:szCs w:val="24"/>
          <w:lang w:val="en-GB"/>
        </w:rPr>
        <w:t>However, the study’s design (specifically its small sample size) limited the ability to generalise from its findings.</w:t>
      </w:r>
    </w:p>
    <w:p w:rsidR="00B75DE8" w:rsidRDefault="00B75DE8" w:rsidP="00B75DE8">
      <w:pPr>
        <w:pStyle w:val="BodyText"/>
        <w:spacing w:line="480" w:lineRule="auto"/>
        <w:ind w:firstLine="708"/>
        <w:jc w:val="both"/>
        <w:rPr>
          <w:sz w:val="24"/>
          <w:szCs w:val="24"/>
          <w:lang w:val="en-GB"/>
        </w:rPr>
      </w:pPr>
      <w:r w:rsidRPr="003A5617">
        <w:rPr>
          <w:sz w:val="24"/>
          <w:szCs w:val="24"/>
          <w:lang w:val="en-GB"/>
        </w:rPr>
        <w:t>The current study series builds on these two preliminary works by presenting the development and validation of a self-report questionnaire designed to assess metacognitions in gambling</w:t>
      </w:r>
      <w:r>
        <w:rPr>
          <w:sz w:val="24"/>
          <w:szCs w:val="24"/>
          <w:lang w:val="en-GB"/>
        </w:rPr>
        <w:t>, the Metacognitions about Gambling Questionnaire (MGQ)</w:t>
      </w:r>
      <w:r w:rsidRPr="003A5617">
        <w:rPr>
          <w:sz w:val="24"/>
          <w:szCs w:val="24"/>
          <w:lang w:val="en-GB"/>
        </w:rPr>
        <w:t xml:space="preserve">. </w:t>
      </w:r>
      <w:r>
        <w:rPr>
          <w:sz w:val="24"/>
          <w:szCs w:val="24"/>
          <w:lang w:val="en-GB"/>
        </w:rPr>
        <w:t>The specific aims are as follows:</w:t>
      </w:r>
    </w:p>
    <w:p w:rsidR="00B75DE8" w:rsidRPr="00DB76ED" w:rsidRDefault="00B75DE8" w:rsidP="00B75DE8">
      <w:pPr>
        <w:pStyle w:val="BodyText"/>
        <w:numPr>
          <w:ilvl w:val="0"/>
          <w:numId w:val="4"/>
        </w:numPr>
        <w:spacing w:line="480" w:lineRule="auto"/>
        <w:ind w:left="1134" w:hanging="426"/>
        <w:jc w:val="both"/>
        <w:rPr>
          <w:sz w:val="24"/>
          <w:szCs w:val="24"/>
          <w:highlight w:val="yellow"/>
          <w:lang w:val="en-GB"/>
        </w:rPr>
      </w:pPr>
      <w:r w:rsidRPr="00DB76ED">
        <w:rPr>
          <w:sz w:val="24"/>
          <w:szCs w:val="24"/>
          <w:highlight w:val="yellow"/>
          <w:lang w:val="en-GB"/>
        </w:rPr>
        <w:t>Study 1 aimed at exploring the factor structure of the preliminary version of the MGQ</w:t>
      </w:r>
      <w:r>
        <w:rPr>
          <w:sz w:val="24"/>
          <w:szCs w:val="24"/>
          <w:highlight w:val="yellow"/>
          <w:lang w:val="en-GB"/>
        </w:rPr>
        <w:t>.</w:t>
      </w:r>
    </w:p>
    <w:p w:rsidR="00B75DE8" w:rsidRPr="00DB76ED" w:rsidRDefault="00B75DE8" w:rsidP="00B75DE8">
      <w:pPr>
        <w:pStyle w:val="BodyText"/>
        <w:numPr>
          <w:ilvl w:val="0"/>
          <w:numId w:val="4"/>
        </w:numPr>
        <w:spacing w:line="480" w:lineRule="auto"/>
        <w:ind w:left="1134" w:hanging="426"/>
        <w:jc w:val="both"/>
        <w:rPr>
          <w:sz w:val="24"/>
          <w:szCs w:val="24"/>
          <w:highlight w:val="yellow"/>
          <w:lang w:val="en-GB"/>
        </w:rPr>
      </w:pPr>
      <w:r w:rsidRPr="00DB76ED">
        <w:rPr>
          <w:sz w:val="24"/>
          <w:szCs w:val="24"/>
          <w:highlight w:val="yellow"/>
          <w:lang w:val="en-GB"/>
        </w:rPr>
        <w:t>Study 2 aimed at confirming the structure of the MGQ and examining its predictive and divergent validity</w:t>
      </w:r>
      <w:r>
        <w:rPr>
          <w:sz w:val="24"/>
          <w:szCs w:val="24"/>
          <w:highlight w:val="yellow"/>
          <w:lang w:val="en-GB"/>
        </w:rPr>
        <w:t>.</w:t>
      </w:r>
    </w:p>
    <w:p w:rsidR="00B75DE8" w:rsidRPr="00DB76ED" w:rsidRDefault="00B75DE8" w:rsidP="00B75DE8">
      <w:pPr>
        <w:pStyle w:val="BodyText"/>
        <w:numPr>
          <w:ilvl w:val="0"/>
          <w:numId w:val="4"/>
        </w:numPr>
        <w:spacing w:line="480" w:lineRule="auto"/>
        <w:ind w:left="1134" w:hanging="426"/>
        <w:jc w:val="both"/>
        <w:rPr>
          <w:sz w:val="24"/>
          <w:szCs w:val="24"/>
          <w:highlight w:val="yellow"/>
          <w:lang w:val="en-GB"/>
        </w:rPr>
      </w:pPr>
      <w:r w:rsidRPr="00DB76ED">
        <w:rPr>
          <w:sz w:val="24"/>
          <w:szCs w:val="24"/>
          <w:highlight w:val="yellow"/>
          <w:lang w:val="en-GB"/>
        </w:rPr>
        <w:lastRenderedPageBreak/>
        <w:t>Study 3 aimed at testing the prospective predictive validity of MGQ in a clinical sample</w:t>
      </w:r>
      <w:r>
        <w:rPr>
          <w:sz w:val="24"/>
          <w:szCs w:val="24"/>
          <w:highlight w:val="yellow"/>
          <w:lang w:val="en-GB"/>
        </w:rPr>
        <w:t>.</w:t>
      </w:r>
    </w:p>
    <w:p w:rsidR="00B75DE8" w:rsidRDefault="00B75DE8" w:rsidP="00B75DE8">
      <w:pPr>
        <w:pStyle w:val="BodyText"/>
        <w:spacing w:line="480" w:lineRule="auto"/>
        <w:ind w:firstLine="708"/>
        <w:jc w:val="both"/>
        <w:rPr>
          <w:sz w:val="24"/>
          <w:szCs w:val="24"/>
          <w:lang w:val="en-GB"/>
        </w:rPr>
      </w:pPr>
      <w:r w:rsidRPr="003A5617">
        <w:rPr>
          <w:sz w:val="24"/>
          <w:szCs w:val="24"/>
          <w:lang w:val="en-GB"/>
        </w:rPr>
        <w:t>We hope that with the development of this self-report questionnaire further quantitative research investigating the role of metacognitions in gambling will be facilitated. We also envisage that the questionnaire may prove useful in identifying individuals with maladaptive metacognitive profiles related to gambling.</w:t>
      </w:r>
    </w:p>
    <w:p w:rsidR="00B75DE8" w:rsidRPr="003A5617" w:rsidRDefault="00B75DE8" w:rsidP="00B75DE8">
      <w:pPr>
        <w:pStyle w:val="BodyText"/>
        <w:spacing w:line="480" w:lineRule="auto"/>
        <w:jc w:val="both"/>
        <w:rPr>
          <w:b/>
          <w:sz w:val="24"/>
          <w:szCs w:val="24"/>
          <w:lang w:val="en-GB"/>
        </w:rPr>
      </w:pPr>
      <w:r w:rsidRPr="003A5617">
        <w:rPr>
          <w:b/>
          <w:sz w:val="24"/>
          <w:szCs w:val="24"/>
          <w:lang w:val="en-GB"/>
        </w:rPr>
        <w:t>Study 1: Construction of Metacognitions about Gambling Questionnaire (MGQ)</w:t>
      </w:r>
    </w:p>
    <w:p w:rsidR="00B75DE8" w:rsidRPr="000E60F8" w:rsidRDefault="00B75DE8" w:rsidP="00B75DE8">
      <w:pPr>
        <w:pStyle w:val="BodyText"/>
        <w:spacing w:line="480" w:lineRule="auto"/>
        <w:jc w:val="both"/>
        <w:outlineLvl w:val="0"/>
        <w:rPr>
          <w:b/>
          <w:sz w:val="24"/>
          <w:szCs w:val="24"/>
          <w:lang w:val="en-GB"/>
        </w:rPr>
      </w:pPr>
      <w:r w:rsidRPr="000E60F8">
        <w:rPr>
          <w:sz w:val="24"/>
          <w:szCs w:val="24"/>
          <w:highlight w:val="yellow"/>
        </w:rPr>
        <w:t xml:space="preserve">We conducted a study to explore the factor structure of the preliminary version of the </w:t>
      </w:r>
      <w:r>
        <w:rPr>
          <w:sz w:val="24"/>
          <w:szCs w:val="24"/>
          <w:highlight w:val="yellow"/>
        </w:rPr>
        <w:t>MGQ</w:t>
      </w:r>
      <w:r w:rsidRPr="000E60F8">
        <w:rPr>
          <w:sz w:val="24"/>
          <w:szCs w:val="24"/>
          <w:highlight w:val="yellow"/>
        </w:rPr>
        <w:t xml:space="preserve"> in a community sample</w:t>
      </w:r>
      <w:r>
        <w:rPr>
          <w:sz w:val="24"/>
          <w:szCs w:val="24"/>
        </w:rPr>
        <w:t>.</w:t>
      </w:r>
    </w:p>
    <w:p w:rsidR="00B75DE8" w:rsidRPr="003A5617" w:rsidRDefault="00B75DE8" w:rsidP="00B75DE8">
      <w:pPr>
        <w:pStyle w:val="BodyText"/>
        <w:spacing w:line="480" w:lineRule="auto"/>
        <w:outlineLvl w:val="0"/>
        <w:rPr>
          <w:b/>
          <w:sz w:val="24"/>
          <w:szCs w:val="24"/>
          <w:lang w:val="en-GB"/>
        </w:rPr>
      </w:pPr>
      <w:r w:rsidRPr="003A5617">
        <w:rPr>
          <w:b/>
          <w:sz w:val="24"/>
          <w:szCs w:val="24"/>
          <w:lang w:val="en-GB"/>
        </w:rPr>
        <w:t>Method</w:t>
      </w:r>
    </w:p>
    <w:p w:rsidR="00B75DE8" w:rsidRPr="004A6C08" w:rsidRDefault="00B75DE8" w:rsidP="00B75DE8">
      <w:pPr>
        <w:pStyle w:val="BodyText"/>
        <w:spacing w:line="480" w:lineRule="auto"/>
        <w:jc w:val="both"/>
        <w:outlineLvl w:val="0"/>
        <w:rPr>
          <w:i/>
          <w:sz w:val="24"/>
          <w:szCs w:val="24"/>
          <w:lang w:val="en-GB"/>
        </w:rPr>
      </w:pPr>
      <w:r w:rsidRPr="004A6C08">
        <w:rPr>
          <w:i/>
          <w:sz w:val="24"/>
          <w:szCs w:val="24"/>
          <w:lang w:val="en-GB"/>
        </w:rPr>
        <w:t>Participants</w:t>
      </w:r>
    </w:p>
    <w:p w:rsidR="00B75DE8" w:rsidRPr="003A5617" w:rsidRDefault="00B75DE8" w:rsidP="00B75DE8">
      <w:pPr>
        <w:pStyle w:val="BodyText"/>
        <w:spacing w:line="480" w:lineRule="auto"/>
        <w:jc w:val="both"/>
        <w:rPr>
          <w:sz w:val="24"/>
          <w:szCs w:val="24"/>
          <w:lang w:val="en-GB"/>
        </w:rPr>
      </w:pPr>
      <w:r w:rsidRPr="003A5617">
        <w:rPr>
          <w:sz w:val="24"/>
          <w:szCs w:val="24"/>
          <w:lang w:val="en-GB"/>
        </w:rPr>
        <w:t xml:space="preserve">A sample of 165 individuals (75 female) agreed to participate in the study which was approved by the ethics committee of </w:t>
      </w:r>
      <w:proofErr w:type="spellStart"/>
      <w:r w:rsidRPr="003A5617">
        <w:rPr>
          <w:sz w:val="24"/>
          <w:szCs w:val="24"/>
          <w:lang w:val="en-GB"/>
        </w:rPr>
        <w:t>Studi</w:t>
      </w:r>
      <w:proofErr w:type="spellEnd"/>
      <w:r w:rsidRPr="003A5617">
        <w:rPr>
          <w:sz w:val="24"/>
          <w:szCs w:val="24"/>
          <w:lang w:val="en-GB"/>
        </w:rPr>
        <w:t xml:space="preserve"> </w:t>
      </w:r>
      <w:proofErr w:type="spellStart"/>
      <w:r w:rsidRPr="003A5617">
        <w:rPr>
          <w:sz w:val="24"/>
          <w:szCs w:val="24"/>
          <w:lang w:val="en-GB"/>
        </w:rPr>
        <w:t>Cognitivi</w:t>
      </w:r>
      <w:proofErr w:type="spellEnd"/>
      <w:r w:rsidRPr="003A5617">
        <w:rPr>
          <w:sz w:val="24"/>
          <w:szCs w:val="24"/>
          <w:lang w:val="en-GB"/>
        </w:rPr>
        <w:t xml:space="preserve">, Italy. For purposes of inclusion participants were required to: (1) be 18 years of age or above; (2) consent to participate; (3) understand spoken and written Italian; and (4) report at least one episode of gambling within the previous two weeks. The mean age of the sample was 39.7 years (SD=13.7 years) and the age range was 19 to 65 years. The majority of the sample (98.0%) self-reported that they were Caucasian. Participants reported mean scores on the South Oaks Gambling Screen (SOGS, </w:t>
      </w:r>
      <w:proofErr w:type="spellStart"/>
      <w:r w:rsidRPr="003A5617">
        <w:rPr>
          <w:sz w:val="24"/>
          <w:szCs w:val="24"/>
          <w:lang w:val="en-GB"/>
        </w:rPr>
        <w:t>Lesieur</w:t>
      </w:r>
      <w:proofErr w:type="spellEnd"/>
      <w:r w:rsidRPr="003A5617">
        <w:rPr>
          <w:sz w:val="24"/>
          <w:szCs w:val="24"/>
          <w:lang w:val="en-GB"/>
        </w:rPr>
        <w:t xml:space="preserve"> </w:t>
      </w:r>
      <w:r>
        <w:rPr>
          <w:sz w:val="24"/>
          <w:szCs w:val="24"/>
          <w:lang w:val="en-GB"/>
        </w:rPr>
        <w:t>and</w:t>
      </w:r>
      <w:r w:rsidRPr="003A5617">
        <w:rPr>
          <w:sz w:val="24"/>
          <w:szCs w:val="24"/>
          <w:lang w:val="en-GB"/>
        </w:rPr>
        <w:t xml:space="preserve"> Blume, 1987) of 4</w:t>
      </w:r>
      <w:r>
        <w:rPr>
          <w:sz w:val="24"/>
          <w:szCs w:val="24"/>
          <w:lang w:val="en-GB"/>
        </w:rPr>
        <w:t xml:space="preserve">.4 (SD=2.6), with </w:t>
      </w:r>
      <w:r w:rsidRPr="003D7887">
        <w:rPr>
          <w:sz w:val="24"/>
          <w:szCs w:val="24"/>
          <w:highlight w:val="yellow"/>
          <w:lang w:val="en-GB"/>
        </w:rPr>
        <w:t xml:space="preserve">11% without problematic gambling, 55% with some </w:t>
      </w:r>
      <w:r>
        <w:rPr>
          <w:sz w:val="24"/>
          <w:szCs w:val="24"/>
          <w:highlight w:val="yellow"/>
          <w:lang w:val="en-GB"/>
        </w:rPr>
        <w:t>difficulties</w:t>
      </w:r>
      <w:r w:rsidRPr="003D7887">
        <w:rPr>
          <w:sz w:val="24"/>
          <w:szCs w:val="24"/>
          <w:highlight w:val="yellow"/>
          <w:lang w:val="en-GB"/>
        </w:rPr>
        <w:t xml:space="preserve"> with gambling, 34% with probable pathological gambling.</w:t>
      </w:r>
    </w:p>
    <w:p w:rsidR="00B75DE8" w:rsidRPr="004A6C08" w:rsidRDefault="00B75DE8" w:rsidP="00B75DE8">
      <w:pPr>
        <w:pStyle w:val="BodyText"/>
        <w:spacing w:line="480" w:lineRule="auto"/>
        <w:jc w:val="both"/>
        <w:outlineLvl w:val="0"/>
        <w:rPr>
          <w:i/>
          <w:sz w:val="24"/>
          <w:szCs w:val="24"/>
        </w:rPr>
      </w:pPr>
      <w:r w:rsidRPr="004A6C08">
        <w:rPr>
          <w:i/>
          <w:sz w:val="24"/>
          <w:szCs w:val="24"/>
          <w:lang w:val="en-GB"/>
        </w:rPr>
        <w:t>Measures</w:t>
      </w:r>
    </w:p>
    <w:p w:rsidR="00B75DE8" w:rsidRPr="003A5617" w:rsidRDefault="00B75DE8" w:rsidP="00B75DE8">
      <w:pPr>
        <w:pStyle w:val="BodyText"/>
        <w:spacing w:line="480" w:lineRule="auto"/>
        <w:jc w:val="both"/>
        <w:rPr>
          <w:i/>
          <w:sz w:val="24"/>
          <w:szCs w:val="24"/>
        </w:rPr>
      </w:pPr>
      <w:proofErr w:type="gramStart"/>
      <w:r w:rsidRPr="003A5617">
        <w:rPr>
          <w:i/>
          <w:sz w:val="24"/>
          <w:szCs w:val="24"/>
        </w:rPr>
        <w:t>Metacognitions about Gambling Questionnaire (MGQ; preliminary version).</w:t>
      </w:r>
      <w:proofErr w:type="gramEnd"/>
      <w:r w:rsidRPr="003A5617">
        <w:rPr>
          <w:i/>
          <w:sz w:val="24"/>
          <w:szCs w:val="24"/>
        </w:rPr>
        <w:t xml:space="preserve"> </w:t>
      </w:r>
    </w:p>
    <w:p w:rsidR="00B75DE8" w:rsidRPr="003A5617" w:rsidRDefault="00B75DE8" w:rsidP="00B75DE8">
      <w:pPr>
        <w:pStyle w:val="BodyText"/>
        <w:spacing w:line="480" w:lineRule="auto"/>
        <w:jc w:val="both"/>
        <w:rPr>
          <w:sz w:val="24"/>
          <w:szCs w:val="24"/>
        </w:rPr>
      </w:pPr>
      <w:r w:rsidRPr="003A5617">
        <w:rPr>
          <w:sz w:val="24"/>
          <w:szCs w:val="24"/>
        </w:rPr>
        <w:t>The MGQ items representing positive and negative metacognitions about gambling were derived from previous research on profiling metacognitions in gambling disorder (</w:t>
      </w:r>
      <w:proofErr w:type="spellStart"/>
      <w:r w:rsidRPr="003A5617">
        <w:rPr>
          <w:sz w:val="24"/>
          <w:szCs w:val="24"/>
        </w:rPr>
        <w:t>Spada</w:t>
      </w:r>
      <w:proofErr w:type="spellEnd"/>
      <w:r w:rsidRPr="003A5617">
        <w:rPr>
          <w:sz w:val="24"/>
          <w:szCs w:val="24"/>
        </w:rPr>
        <w:t xml:space="preserve">, </w:t>
      </w:r>
      <w:proofErr w:type="spellStart"/>
      <w:r w:rsidRPr="003A5617">
        <w:rPr>
          <w:sz w:val="24"/>
          <w:szCs w:val="24"/>
        </w:rPr>
        <w:t>Giustina</w:t>
      </w:r>
      <w:proofErr w:type="spellEnd"/>
      <w:r w:rsidRPr="003A5617">
        <w:rPr>
          <w:sz w:val="24"/>
          <w:szCs w:val="24"/>
        </w:rPr>
        <w:t xml:space="preserve">, </w:t>
      </w:r>
      <w:proofErr w:type="spellStart"/>
      <w:r w:rsidRPr="003A5617">
        <w:rPr>
          <w:sz w:val="24"/>
          <w:szCs w:val="24"/>
        </w:rPr>
        <w:t>Rolandi</w:t>
      </w:r>
      <w:proofErr w:type="spellEnd"/>
      <w:r w:rsidRPr="003A5617">
        <w:rPr>
          <w:sz w:val="24"/>
          <w:szCs w:val="24"/>
        </w:rPr>
        <w:t xml:space="preserve">, </w:t>
      </w:r>
      <w:proofErr w:type="spellStart"/>
      <w:r w:rsidRPr="003A5617">
        <w:rPr>
          <w:sz w:val="24"/>
          <w:szCs w:val="24"/>
        </w:rPr>
        <w:t>Fernie</w:t>
      </w:r>
      <w:proofErr w:type="spellEnd"/>
      <w:r w:rsidRPr="003A5617">
        <w:rPr>
          <w:sz w:val="24"/>
          <w:szCs w:val="24"/>
        </w:rPr>
        <w:t xml:space="preserve"> </w:t>
      </w:r>
      <w:r>
        <w:rPr>
          <w:sz w:val="24"/>
          <w:szCs w:val="24"/>
          <w:lang w:val="en-GB"/>
        </w:rPr>
        <w:t>and</w:t>
      </w:r>
      <w:r w:rsidRPr="003A5617">
        <w:rPr>
          <w:sz w:val="24"/>
          <w:szCs w:val="24"/>
        </w:rPr>
        <w:t xml:space="preserve"> Caselli, 2014), as well as from the authors’ clinical experience and from deductions based on the metacognitive model of psychopathology (Wells, 2009). The items selected as positive </w:t>
      </w:r>
      <w:r w:rsidRPr="003A5617">
        <w:rPr>
          <w:sz w:val="24"/>
          <w:szCs w:val="24"/>
        </w:rPr>
        <w:lastRenderedPageBreak/>
        <w:t xml:space="preserve">metacognitions concerned the usefulness of gambling in achieving mental regulation (e.g. “Gambling helps to stop thinking about my worries” and “Gambling can help to solve my problems”). The items selected as negative metacognitions concerned the uncontrollability of gambling (“Once I start to gamble I cannot stop”) and the dangers of gambling (“If I cannot control gambling I will cease to function”). A total of 30 items were framed in terms of statements to which participants were required to report the extent of their agreement on a four-point Likert-type scale (“Do not agree”, “Agree slightly”, “Agree moderately”, and “Agree very much”). </w:t>
      </w:r>
    </w:p>
    <w:p w:rsidR="00B75DE8" w:rsidRPr="003A5617" w:rsidRDefault="00B75DE8" w:rsidP="00B75DE8">
      <w:pPr>
        <w:spacing w:line="480" w:lineRule="auto"/>
        <w:jc w:val="both"/>
        <w:rPr>
          <w:i/>
        </w:rPr>
      </w:pPr>
      <w:r w:rsidRPr="003A5617">
        <w:rPr>
          <w:i/>
        </w:rPr>
        <w:t>South Oaks Gambling Screen (SOGS;</w:t>
      </w:r>
      <w:r w:rsidRPr="003A5617">
        <w:rPr>
          <w:i/>
        </w:rPr>
        <w:fldChar w:fldCharType="begin"/>
      </w:r>
      <w:r w:rsidRPr="003A5617">
        <w:rPr>
          <w:i/>
        </w:rPr>
        <w:instrText>ADDIN CSL_CITATION {"mendeley": {"previouslyFormattedCitation": "(Lesieur &amp; Blume, 1987)"}, "citationItems": [{"uris": ["http://www.mendeley.com/documents/?uuid=caf36272-eb9a-4c6f-90ed-4168a3340851"], "id": "ITEM-1", "itemData": {"type": "article-journal", "author": [{"given": "HR", "dropping-particle": "", "suffix": "", "family": "Lesieur", "parse-names": false, "non-dropping-particle": ""}, {"given": "SB", "dropping-particle": "", "suffix": "", "family": "Blume", "parse-names": false, "non-dropping-particle": ""}], "issued": {"date-parts": [["1987"]]}, "title": "The South Oaks Gambling Screen (SOGS): A new instrument for the identification of pathological gamblers", "page": "1184-1188", "container-title": "American Journal of Psychiatry", "issue": "0", "id": "ITEM-1"}}], "properties": {"noteIndex": 0}, "schema": "https://github.com/citation-style-language/schema/raw/master/csl-citation.json"}</w:instrText>
      </w:r>
      <w:r w:rsidRPr="003A5617">
        <w:rPr>
          <w:i/>
        </w:rPr>
        <w:fldChar w:fldCharType="separate"/>
      </w:r>
      <w:r w:rsidRPr="003A5617">
        <w:rPr>
          <w:i/>
        </w:rPr>
        <w:t xml:space="preserve"> Lesieur &amp; Blume, 1987)</w:t>
      </w:r>
      <w:r w:rsidRPr="003A5617">
        <w:rPr>
          <w:i/>
        </w:rPr>
        <w:fldChar w:fldCharType="end"/>
      </w:r>
      <w:r w:rsidRPr="003A5617">
        <w:rPr>
          <w:i/>
        </w:rPr>
        <w:t xml:space="preserve">. </w:t>
      </w:r>
    </w:p>
    <w:p w:rsidR="00B75DE8" w:rsidRPr="003A5617" w:rsidRDefault="00B75DE8" w:rsidP="00B75DE8">
      <w:pPr>
        <w:spacing w:line="480" w:lineRule="auto"/>
        <w:jc w:val="both"/>
      </w:pPr>
      <w:r w:rsidRPr="003A5617">
        <w:rPr>
          <w:color w:val="000000"/>
          <w:lang w:eastAsia="en-US"/>
        </w:rPr>
        <w:t xml:space="preserve">The SOGS consists of 20 items designed to assess gambling behaviour and identify individuals who are problem and pathological gamblers. SOGS total scores of zero indicate ‘no problem with gambling’, scores of one to four indicate ‘some problems with gambling’, whilst scores of five or above identify ‘probable pathological gambling’. </w:t>
      </w:r>
      <w:r w:rsidRPr="003A5617">
        <w:t xml:space="preserve">Although popular, this self-report questionnaire has not been accepted without criticism </w:t>
      </w:r>
      <w:r>
        <w:t xml:space="preserve">related </w:t>
      </w:r>
      <w:r w:rsidRPr="00DF744B">
        <w:rPr>
          <w:highlight w:val="yellow"/>
        </w:rPr>
        <w:t>to its construct validity and lack of emphasis on psychological component</w:t>
      </w:r>
      <w:r>
        <w:rPr>
          <w:highlight w:val="yellow"/>
        </w:rPr>
        <w:t>s</w:t>
      </w:r>
      <w:r w:rsidRPr="00DF744B">
        <w:rPr>
          <w:highlight w:val="yellow"/>
        </w:rPr>
        <w:t xml:space="preserve"> of gambling disorder (e.g. impaired-control</w:t>
      </w:r>
      <w:r>
        <w:t>;</w:t>
      </w:r>
      <w:r w:rsidRPr="003A5617">
        <w:t xml:space="preserve"> </w:t>
      </w:r>
      <w:r w:rsidRPr="003A5617">
        <w:fldChar w:fldCharType="begin"/>
      </w:r>
      <w:r w:rsidRPr="003A5617">
        <w:instrText>ADDIN CSL_CITATION {"mendeley": {"previouslyFormattedCitation": "(Battersby, Thomas, Tolchard, &amp; Esterman, 2002)", "manualFormatting": "Battersby, Thomas, Tolchard, &amp; Esterman, 2002)"}, "citationItems": [{"uris": ["http://www.mendeley.com/documents/?uuid=0b559283-6ffd-4dcf-9b0a-98c97b4df617"], "id": "ITEM-1", "itemData": {"type": "article-journal", "author": [{"given": "Malcolm W", "dropping-particle": "", "suffix": "", "family": "Battersby", "parse-names": false, "non-dropping-particle": ""}, {"given": "Lyndall J", "dropping-particle": "", "suffix": "", "family": "Thomas", "parse-names": false, "non-dropping-particle": ""}, {"given": "Barry", "dropping-particle": "", "suffix": "", "family": "Tolchard", "parse-names": false, "non-dropping-particle": ""}, {"given": "Adrian", "dropping-particle": "", "suffix": "", "family": "Esterman", "parse-names": false, "non-dropping-particle": ""}], "issued": {"date-parts": [["2002", "1"]]}, "abstract": "The South Oaks Gambling Screen (SOGS) is a psychometric instrument widely used internationally to assess the presence of pathological gambling. Developed by Lesieur and Blume (1987) in the United States of America (USA) as a self-rated screening instrument, it is based on DSM-III and DSM-III-R criteria. This paper describes the origins and psychometric development of the SOGS and comments critically in relation to its construct validity and cutoff scores. Reference is made to the use of the SOGS in the Australian setting, where historically gambling has been a widely accepted part of the culture, corresponding to one of the highest rates of legaliZed gambling and gambling expenditure in the world. An alternative approach to the development of an instrument to detect people who have problems in relation to gambling is proposed.", "title": "The South Oaks Gambling Screen: a review with reference to Australian use.", "page": "257-71", "volume": "18", "container-title": "Journal of gambling studies / co-sponsored by the National Council on Problem Gambling and Institute for the Study of Gambling and Commercial Gaming", "issue": "3", "id": "ITEM-1"}}], "properties": {"noteIndex": 0}, "schema": "https://github.com/citation-style-language/schema/raw/master/csl-citation.json"}</w:instrText>
      </w:r>
      <w:r w:rsidRPr="003A5617">
        <w:fldChar w:fldCharType="separate"/>
      </w:r>
      <w:r>
        <w:t>Battersby, Thomas, Tolchard</w:t>
      </w:r>
      <w:r w:rsidRPr="003A5617">
        <w:t xml:space="preserve"> </w:t>
      </w:r>
      <w:r>
        <w:t>and</w:t>
      </w:r>
      <w:r w:rsidRPr="003A5617">
        <w:t xml:space="preserve"> Esterman, 2002)</w:t>
      </w:r>
      <w:r w:rsidRPr="003A5617">
        <w:fldChar w:fldCharType="end"/>
      </w:r>
      <w:r w:rsidRPr="003A5617">
        <w:t xml:space="preserve">. However, such criticisms have been addressed with the SOGS having been shown to meet the criterion of validity generalization </w:t>
      </w:r>
      <w:r w:rsidRPr="003A5617">
        <w:fldChar w:fldCharType="begin"/>
      </w:r>
      <w:r w:rsidRPr="003A5617">
        <w:instrText>ADDIN CSL_CITATION {"mendeley": {"previouslyFormattedCitation": "(Gambino &amp; Lesieur, 2006)"}, "citationItems": [{"uris": ["http://www.mendeley.com/documents/?uuid=eaa5c590-0fe2-4e6b-b986-1f5da2236f06"], "id": "ITEM-1", "itemData": {"publisher": "Centre for Addiction and Mental Health", "DOI": "10.4309/jgi.2006.17.10", "author": [{"given": "Blas\u00e9", "dropping-particle": "", "suffix": "", "family": "Gambino", "parse-names": false, "non-dropping-particle": ""}, {"given": "Henry", "dropping-particle": "", "suffix": "", "family": "Lesieur", "parse-names": false, "non-dropping-particle": ""}], "issued": {"date-parts": [["2006", "8", "23"]]}, "abstract": "Abstract A review of the literature reveals strong support for the construct validity of interpretations based on scores obtained with the original and more recent versions and/or variants of the South Oaks Gambling Screen (SOGS). Criticisms of the SOGS are shown to lack merit, to be offset by more important criteria, or to be no longer relevant. The evidence reviewed indicates that the construct of pathological gambling as represented by the SOGS and its variants provides a robust definition and implies that the SOGS meets the important criterion of validity generalization. The construct of chasing and behaviors related to chasing is shown to provide powerful measures by which to discriminate between the presence and absence of pathological gambling. The viability of the SOGS to continue to make important contributions to the understanding of pathological gambling is discussed in terms of the criteria for selecting a research instrument.", "title": "The South Oaks Gambling Screen (SOGS): A rebuttal to critics", "volume": "17", "container-title": "Journal of Gambling Issues", "type": "article-journal", "id": "ITEM-1"}}], "properties": {"noteIndex": 0}, "schema": "https://github.com/citation-style-language/schema/raw/master/csl-citation.json"}</w:instrText>
      </w:r>
      <w:r w:rsidRPr="003A5617">
        <w:fldChar w:fldCharType="separate"/>
      </w:r>
      <w:r w:rsidRPr="003A5617">
        <w:t xml:space="preserve">(Gambino </w:t>
      </w:r>
      <w:r>
        <w:t>and</w:t>
      </w:r>
      <w:r w:rsidRPr="003A5617">
        <w:t xml:space="preserve"> Lesieur, 2006)</w:t>
      </w:r>
      <w:r w:rsidRPr="003A5617">
        <w:fldChar w:fldCharType="end"/>
      </w:r>
      <w:r w:rsidRPr="003A5617">
        <w:t>.</w:t>
      </w:r>
    </w:p>
    <w:p w:rsidR="00B75DE8" w:rsidRPr="004A6C08" w:rsidRDefault="00B75DE8" w:rsidP="00B75DE8">
      <w:pPr>
        <w:spacing w:line="480" w:lineRule="auto"/>
        <w:ind w:right="-40"/>
        <w:jc w:val="both"/>
        <w:outlineLvl w:val="0"/>
        <w:rPr>
          <w:i/>
          <w:lang w:val="en-US"/>
        </w:rPr>
      </w:pPr>
      <w:r w:rsidRPr="004A6C08">
        <w:rPr>
          <w:i/>
          <w:lang w:val="en-US"/>
        </w:rPr>
        <w:t>Procedure</w:t>
      </w:r>
    </w:p>
    <w:p w:rsidR="00B75DE8" w:rsidRDefault="00B75DE8" w:rsidP="00B75DE8">
      <w:pPr>
        <w:spacing w:line="480" w:lineRule="auto"/>
        <w:ind w:right="-40"/>
        <w:jc w:val="both"/>
        <w:rPr>
          <w:lang w:val="en-US"/>
        </w:rPr>
      </w:pPr>
      <w:r w:rsidRPr="003A5617">
        <w:rPr>
          <w:lang w:val="en-US"/>
        </w:rPr>
        <w:t xml:space="preserve">Participants were recruited using e-mail lists and advertisements on social network groups and thematic forums. A web link </w:t>
      </w:r>
      <w:r w:rsidRPr="003A5617">
        <w:t xml:space="preserve">directed the participants to the study website. The first page of the study website explained the purpose of the study: </w:t>
      </w:r>
      <w:r w:rsidRPr="003A5617">
        <w:rPr>
          <w:lang w:val="en-US"/>
        </w:rPr>
        <w:t xml:space="preserve">“To develop a self-report questionnaire to assess beliefs people hold about gambling”. Participants were then directed, if consenting to participate in the study, to a second page containing basic demographic questions and the self-report questionnaires. On completion participants were asked to click on the “Submit” button. Once participants had clicked on “Submit”, their data was forwarded to a generic postmaster account. This ensured that participants’ responses were anonymous. A second submission from the same IP address was not allowed so as to avoid multiple submissions from the same participant. </w:t>
      </w:r>
    </w:p>
    <w:p w:rsidR="00B75DE8" w:rsidRPr="003A5617" w:rsidRDefault="00B75DE8" w:rsidP="00B75DE8">
      <w:pPr>
        <w:pStyle w:val="BodyText"/>
        <w:spacing w:line="480" w:lineRule="auto"/>
        <w:outlineLvl w:val="0"/>
        <w:rPr>
          <w:b/>
          <w:sz w:val="24"/>
          <w:szCs w:val="24"/>
          <w:lang w:val="en-GB"/>
        </w:rPr>
      </w:pPr>
      <w:r w:rsidRPr="003A5617">
        <w:rPr>
          <w:b/>
          <w:sz w:val="24"/>
          <w:szCs w:val="24"/>
          <w:lang w:val="en-GB"/>
        </w:rPr>
        <w:lastRenderedPageBreak/>
        <w:t>Results</w:t>
      </w:r>
    </w:p>
    <w:p w:rsidR="00B75DE8" w:rsidRPr="003A5617" w:rsidRDefault="00B75DE8" w:rsidP="00B75DE8">
      <w:pPr>
        <w:spacing w:line="480" w:lineRule="auto"/>
        <w:ind w:right="-40"/>
        <w:jc w:val="both"/>
        <w:rPr>
          <w:lang w:val="en-US"/>
        </w:rPr>
      </w:pPr>
      <w:r w:rsidRPr="003A5617">
        <w:rPr>
          <w:lang w:val="en-US"/>
        </w:rPr>
        <w:t xml:space="preserve">A principal components method of factor extraction was performed on the scores of the original 30 items. The Scree test suggested a three factor solution (eigenvalues of 10.8, 3.6 and 2.0). Items were assessed as indicators of the latent variables using </w:t>
      </w:r>
      <w:proofErr w:type="spellStart"/>
      <w:r w:rsidRPr="003A5617">
        <w:rPr>
          <w:lang w:val="en-US"/>
        </w:rPr>
        <w:t>Varimax</w:t>
      </w:r>
      <w:proofErr w:type="spellEnd"/>
      <w:r w:rsidRPr="003A5617">
        <w:rPr>
          <w:lang w:val="en-US"/>
        </w:rPr>
        <w:t xml:space="preserve"> rotation. The three factors together accounted for 54.6% of variance. Items which loaded less than 0.4 on any factor were discarded, as were items that loaded on two or more factors. If an item loaded more than 0.4 on one factor, and failed to load onto the other factors, but was within approximately 0.2 of the loading on the first factor, it was also discarded. This procedure was followed in order to exclude items that influenced more than one factor. Only the five items that loaded on each factor were selected to define a brief final version of the self-report questionnaire. The revised self-report questionnaire consisted of 15 items. The factor loadings and communalities of the individual items are presented in Table 1. Internal consistencies (homogeneity) were determined by computing Cronbach’s alpha. This coefficient was 0.85 for factor 1, 0.87 for factor 2, and 0.83 for factor 3. All items showed correlations above 0.6 on their own factor and above 0.4 with the questionnaire. Inter-correlation between factors was 0.42 between factor 1 and factor 2, 0.41 between factor 1 and factor 3, 0.20 between factor 2 and factor 3. Correlation analyses showed that factor 1 and factor 2 were positively associated to severity of gambling (</w:t>
      </w:r>
      <w:r w:rsidRPr="003A5617">
        <w:rPr>
          <w:i/>
          <w:lang w:val="en-US"/>
        </w:rPr>
        <w:t>r=</w:t>
      </w:r>
      <w:r w:rsidRPr="003A5617">
        <w:rPr>
          <w:lang w:val="en-US"/>
        </w:rPr>
        <w:t xml:space="preserve">0.28 for factor 1 and </w:t>
      </w:r>
      <w:r w:rsidRPr="003A5617">
        <w:rPr>
          <w:i/>
          <w:lang w:val="en-US"/>
        </w:rPr>
        <w:t>r</w:t>
      </w:r>
      <w:r w:rsidRPr="003A5617">
        <w:rPr>
          <w:lang w:val="en-US"/>
        </w:rPr>
        <w:t>=0.51 for factor 2). Factor 3, that referred to beliefs about negative consequences of gambling, showed no correlation with severity of gambling (</w:t>
      </w:r>
      <w:r w:rsidRPr="003A5617">
        <w:rPr>
          <w:i/>
          <w:lang w:val="en-US"/>
        </w:rPr>
        <w:t>r=</w:t>
      </w:r>
      <w:r w:rsidRPr="003A5617">
        <w:rPr>
          <w:lang w:val="en-US"/>
        </w:rPr>
        <w:t>0.10) and we decided to remove this from the final version of the questionnaire.</w:t>
      </w:r>
    </w:p>
    <w:p w:rsidR="00B75DE8" w:rsidRDefault="00B75DE8" w:rsidP="00B75DE8">
      <w:pPr>
        <w:spacing w:line="480" w:lineRule="auto"/>
        <w:ind w:right="-40" w:firstLine="708"/>
        <w:jc w:val="both"/>
        <w:rPr>
          <w:lang w:val="en-US"/>
        </w:rPr>
      </w:pPr>
      <w:r w:rsidRPr="003A5617">
        <w:rPr>
          <w:lang w:val="en-US"/>
        </w:rPr>
        <w:t xml:space="preserve">The final version of the questionnaire consisted of 10 items with two sub-scales (5 items each). The first factor referred to negative metacognitions about the uncontrollability of gambling and, accordingly, we named it ‘negative metacognitions about gambling’. The second factor pertained to positive metacognitions about the usefulness of gambling as cognitive-affective self-regulatory strategy. We labelled this factor ‘positive metacognitions about gambling’. </w:t>
      </w:r>
    </w:p>
    <w:p w:rsidR="00B75DE8" w:rsidRPr="003A5617" w:rsidRDefault="00B75DE8" w:rsidP="00B75DE8">
      <w:pPr>
        <w:spacing w:line="480" w:lineRule="auto"/>
        <w:ind w:right="-40" w:firstLine="708"/>
        <w:jc w:val="both"/>
        <w:rPr>
          <w:lang w:val="en-US"/>
        </w:rPr>
      </w:pPr>
    </w:p>
    <w:p w:rsidR="00B75DE8" w:rsidRPr="003A5617" w:rsidRDefault="00B75DE8" w:rsidP="00B75DE8">
      <w:pPr>
        <w:spacing w:line="480" w:lineRule="auto"/>
        <w:ind w:right="-40"/>
        <w:rPr>
          <w:b/>
        </w:rPr>
      </w:pPr>
      <w:r w:rsidRPr="003A5617">
        <w:rPr>
          <w:b/>
        </w:rPr>
        <w:lastRenderedPageBreak/>
        <w:t xml:space="preserve">Study 2: </w:t>
      </w:r>
      <w:r>
        <w:rPr>
          <w:b/>
        </w:rPr>
        <w:t>Exploration</w:t>
      </w:r>
      <w:r w:rsidRPr="003A5617">
        <w:rPr>
          <w:b/>
        </w:rPr>
        <w:t xml:space="preserve"> of the Factor Structure and Preliminary Examination of the Predictive and Divergent Validity of the MGQ in a Clinical Sample</w:t>
      </w:r>
    </w:p>
    <w:p w:rsidR="00B75DE8" w:rsidRPr="003A5617" w:rsidRDefault="00B75DE8" w:rsidP="00B75DE8">
      <w:pPr>
        <w:spacing w:line="480" w:lineRule="auto"/>
        <w:jc w:val="both"/>
        <w:rPr>
          <w:lang w:val="en-US"/>
        </w:rPr>
      </w:pPr>
      <w:r w:rsidRPr="003A5617">
        <w:rPr>
          <w:lang w:val="en-US"/>
        </w:rPr>
        <w:t xml:space="preserve">We conducted a second study to explore the factor structure and test the predictive and divergent validity of the MGQ factors in a clinical sample. </w:t>
      </w:r>
      <w:r w:rsidRPr="003A5617">
        <w:t>In accordance with the metacognitive model of psychopathology, metacognitions should be associated to both the initiation and propagation of gambling episodes as well as gambling symptoms severity (</w:t>
      </w:r>
      <w:proofErr w:type="spellStart"/>
      <w:r w:rsidRPr="003A5617">
        <w:t>Spada</w:t>
      </w:r>
      <w:proofErr w:type="spellEnd"/>
      <w:r w:rsidRPr="003A5617">
        <w:t xml:space="preserve">, Caselli, </w:t>
      </w:r>
      <w:proofErr w:type="spellStart"/>
      <w:r w:rsidRPr="003A5617">
        <w:t>Nikčević</w:t>
      </w:r>
      <w:proofErr w:type="spellEnd"/>
      <w:r w:rsidRPr="003A5617">
        <w:t xml:space="preserve"> </w:t>
      </w:r>
      <w:r>
        <w:t>and</w:t>
      </w:r>
      <w:r w:rsidRPr="003A5617">
        <w:t xml:space="preserve"> Wells, 2015). In view of this, we chose a weekly measure of gambling symptoms (Gambling Symptom Assessment Scale; Kim et al., 2009) and a more general severity index of gambling disorder (SOGS) as dependent variables to test the predictive validity of the MGQ factors. Furthermore, in order to test the divergent validity of the MGQ factors, we also administered the Gamblers’ Beliefs Questionnaire</w:t>
      </w:r>
      <w:r w:rsidRPr="003A5617">
        <w:rPr>
          <w:i/>
        </w:rPr>
        <w:t xml:space="preserve"> </w:t>
      </w:r>
      <w:r w:rsidRPr="003A5617">
        <w:t xml:space="preserve">(GBQ; </w:t>
      </w:r>
      <w:proofErr w:type="spellStart"/>
      <w:r w:rsidRPr="003A5617">
        <w:t>Steenbergh</w:t>
      </w:r>
      <w:proofErr w:type="spellEnd"/>
      <w:r w:rsidRPr="003A5617">
        <w:t xml:space="preserve"> et al., 2002), which assesses gambling-specific</w:t>
      </w:r>
      <w:r>
        <w:t xml:space="preserve"> biased beliefs</w:t>
      </w:r>
      <w:r w:rsidRPr="003A5617">
        <w:t xml:space="preserve">, and the </w:t>
      </w:r>
      <w:r w:rsidRPr="003A5617">
        <w:rPr>
          <w:iCs/>
        </w:rPr>
        <w:t>Hospital Anxiety and Depression Scale</w:t>
      </w:r>
      <w:r w:rsidRPr="003A5617">
        <w:rPr>
          <w:i/>
          <w:iCs/>
        </w:rPr>
        <w:t xml:space="preserve"> </w:t>
      </w:r>
      <w:r w:rsidRPr="003A5617">
        <w:rPr>
          <w:iCs/>
        </w:rPr>
        <w:t xml:space="preserve">(HADS; </w:t>
      </w:r>
      <w:proofErr w:type="spellStart"/>
      <w:r w:rsidRPr="003A5617">
        <w:t>Zigmond</w:t>
      </w:r>
      <w:proofErr w:type="spellEnd"/>
      <w:r w:rsidRPr="003A5617">
        <w:t xml:space="preserve"> </w:t>
      </w:r>
      <w:r>
        <w:t>and</w:t>
      </w:r>
      <w:r w:rsidRPr="003A5617">
        <w:t xml:space="preserve"> </w:t>
      </w:r>
      <w:proofErr w:type="spellStart"/>
      <w:r w:rsidRPr="003A5617">
        <w:t>Snaith</w:t>
      </w:r>
      <w:proofErr w:type="spellEnd"/>
      <w:r w:rsidRPr="003A5617">
        <w:t>, 1983) to control for negative affect.</w:t>
      </w:r>
    </w:p>
    <w:p w:rsidR="00B75DE8" w:rsidRPr="003A5617" w:rsidRDefault="00B75DE8" w:rsidP="00B75DE8">
      <w:pPr>
        <w:spacing w:line="480" w:lineRule="auto"/>
        <w:ind w:right="-40"/>
        <w:outlineLvl w:val="0"/>
        <w:rPr>
          <w:b/>
          <w:lang w:val="en-US"/>
        </w:rPr>
      </w:pPr>
      <w:r w:rsidRPr="003A5617">
        <w:rPr>
          <w:b/>
          <w:lang w:val="en-US"/>
        </w:rPr>
        <w:t>Method</w:t>
      </w:r>
    </w:p>
    <w:p w:rsidR="00B75DE8" w:rsidRPr="004A6C08" w:rsidRDefault="00B75DE8" w:rsidP="00B75DE8">
      <w:pPr>
        <w:spacing w:line="480" w:lineRule="auto"/>
        <w:ind w:right="-40"/>
        <w:jc w:val="both"/>
        <w:outlineLvl w:val="0"/>
        <w:rPr>
          <w:rFonts w:eastAsia="Calibri"/>
          <w:i/>
          <w:lang w:val="en-US" w:eastAsia="it-IT"/>
        </w:rPr>
      </w:pPr>
      <w:r w:rsidRPr="004A6C08">
        <w:rPr>
          <w:rFonts w:eastAsia="Calibri"/>
          <w:i/>
          <w:lang w:val="en-US" w:eastAsia="it-IT"/>
        </w:rPr>
        <w:t>Participants</w:t>
      </w:r>
    </w:p>
    <w:p w:rsidR="00B75DE8" w:rsidRPr="003A5617" w:rsidRDefault="00B75DE8" w:rsidP="00B75DE8">
      <w:pPr>
        <w:spacing w:line="480" w:lineRule="auto"/>
        <w:ind w:right="-40"/>
        <w:jc w:val="both"/>
        <w:rPr>
          <w:rFonts w:eastAsia="Calibri"/>
          <w:lang w:val="en-US" w:eastAsia="it-IT"/>
        </w:rPr>
      </w:pPr>
      <w:r w:rsidRPr="003A5617">
        <w:rPr>
          <w:rFonts w:eastAsia="Calibri"/>
          <w:lang w:val="en-US" w:eastAsia="it-IT"/>
        </w:rPr>
        <w:t xml:space="preserve">The sample comprised a consecutive series of 110 (20 females) patients with diagnosis of gambling disorder (DSM-5; </w:t>
      </w:r>
      <w:r w:rsidRPr="003A5617">
        <w:rPr>
          <w:noProof/>
        </w:rPr>
        <w:t>(American Psychiatric Association, 2013</w:t>
      </w:r>
      <w:r w:rsidRPr="003A5617">
        <w:rPr>
          <w:rFonts w:eastAsia="Calibri"/>
          <w:lang w:val="en-US" w:eastAsia="it-IT"/>
        </w:rPr>
        <w:t xml:space="preserve">) seeking treatment from a variety of gambling services in the Milan (Italy) area. Permission for running the study was granted by the ethics committee at </w:t>
      </w:r>
      <w:proofErr w:type="spellStart"/>
      <w:r w:rsidRPr="003A5617">
        <w:rPr>
          <w:rFonts w:eastAsia="Calibri"/>
          <w:lang w:val="en-US" w:eastAsia="it-IT"/>
        </w:rPr>
        <w:t>Studi</w:t>
      </w:r>
      <w:proofErr w:type="spellEnd"/>
      <w:r w:rsidRPr="003A5617">
        <w:rPr>
          <w:rFonts w:eastAsia="Calibri"/>
          <w:lang w:val="en-US" w:eastAsia="it-IT"/>
        </w:rPr>
        <w:t xml:space="preserve"> </w:t>
      </w:r>
      <w:proofErr w:type="spellStart"/>
      <w:r w:rsidRPr="003A5617">
        <w:rPr>
          <w:rFonts w:eastAsia="Calibri"/>
          <w:lang w:val="en-US" w:eastAsia="it-IT"/>
        </w:rPr>
        <w:t>Cognitivi</w:t>
      </w:r>
      <w:proofErr w:type="spellEnd"/>
      <w:r w:rsidRPr="003A5617">
        <w:rPr>
          <w:rFonts w:eastAsia="Calibri"/>
          <w:lang w:val="en-US" w:eastAsia="it-IT"/>
        </w:rPr>
        <w:t xml:space="preserve">. All patients, who were fluent in Italian, identified gambling as their primary problem for which they were seeking psychological treatment. The mean age for the total sample, which consisted primarily of Caucasians, was 46.8 years (SD=12.7) and the age range was 19-70 years. The mean duration of problematic gambling was 9.3 years (SD=7.6 years). </w:t>
      </w:r>
      <w:r w:rsidRPr="003A5617">
        <w:t>Participants reported mean scores on the SOGS of 12.0 (SD=3.6).</w:t>
      </w:r>
    </w:p>
    <w:p w:rsidR="00B75DE8" w:rsidRPr="004A6C08" w:rsidRDefault="00B75DE8" w:rsidP="00B75DE8">
      <w:pPr>
        <w:spacing w:line="480" w:lineRule="auto"/>
        <w:ind w:right="-40"/>
        <w:jc w:val="both"/>
        <w:outlineLvl w:val="0"/>
        <w:rPr>
          <w:i/>
          <w:lang w:val="en-US"/>
        </w:rPr>
      </w:pPr>
      <w:r w:rsidRPr="004A6C08">
        <w:rPr>
          <w:i/>
          <w:lang w:val="en-US"/>
        </w:rPr>
        <w:t>Measures</w:t>
      </w:r>
    </w:p>
    <w:p w:rsidR="00B75DE8" w:rsidRPr="003A5617" w:rsidRDefault="00B75DE8" w:rsidP="00B75DE8">
      <w:pPr>
        <w:spacing w:line="480" w:lineRule="auto"/>
        <w:ind w:right="-40"/>
        <w:jc w:val="both"/>
        <w:rPr>
          <w:i/>
          <w:lang w:val="en-US"/>
        </w:rPr>
      </w:pPr>
      <w:proofErr w:type="gramStart"/>
      <w:r w:rsidRPr="003A5617">
        <w:rPr>
          <w:i/>
          <w:lang w:val="en-US"/>
        </w:rPr>
        <w:t>The Metacognitions Gambling Questionnaire (MGQ).</w:t>
      </w:r>
      <w:proofErr w:type="gramEnd"/>
      <w:r w:rsidRPr="003A5617">
        <w:rPr>
          <w:i/>
          <w:lang w:val="en-US"/>
        </w:rPr>
        <w:t xml:space="preserve"> </w:t>
      </w:r>
    </w:p>
    <w:p w:rsidR="00B75DE8" w:rsidRPr="003A5617" w:rsidRDefault="00B75DE8" w:rsidP="00B75DE8">
      <w:pPr>
        <w:spacing w:line="480" w:lineRule="auto"/>
        <w:ind w:right="-40"/>
        <w:jc w:val="both"/>
        <w:rPr>
          <w:lang w:val="en-US"/>
        </w:rPr>
      </w:pPr>
      <w:r w:rsidRPr="003A5617">
        <w:rPr>
          <w:lang w:val="en-US"/>
        </w:rPr>
        <w:lastRenderedPageBreak/>
        <w:t xml:space="preserve">The MGQ is a 10-item self-report questionnaire developed in Study 1. </w:t>
      </w:r>
      <w:r w:rsidRPr="003A5617">
        <w:t xml:space="preserve">Higher scores represent higher levels of </w:t>
      </w:r>
      <w:proofErr w:type="spellStart"/>
      <w:r w:rsidRPr="003A5617">
        <w:t>metacognitons</w:t>
      </w:r>
      <w:proofErr w:type="spellEnd"/>
      <w:r w:rsidRPr="003A5617">
        <w:t xml:space="preserve"> about gambling.</w:t>
      </w:r>
    </w:p>
    <w:p w:rsidR="00B75DE8" w:rsidRPr="003A5617" w:rsidRDefault="00B75DE8" w:rsidP="00B75DE8">
      <w:pPr>
        <w:spacing w:line="480" w:lineRule="auto"/>
        <w:ind w:right="-40"/>
        <w:jc w:val="both"/>
      </w:pPr>
      <w:proofErr w:type="gramStart"/>
      <w:r w:rsidRPr="003A5617">
        <w:rPr>
          <w:i/>
          <w:iCs/>
        </w:rPr>
        <w:t xml:space="preserve">Hospital Anxiety and Depression Scale </w:t>
      </w:r>
      <w:r w:rsidRPr="003A5617">
        <w:rPr>
          <w:iCs/>
        </w:rPr>
        <w:t>(</w:t>
      </w:r>
      <w:r w:rsidRPr="003A5617">
        <w:rPr>
          <w:i/>
          <w:iCs/>
        </w:rPr>
        <w:t>HADS</w:t>
      </w:r>
      <w:r w:rsidRPr="003A5617">
        <w:rPr>
          <w:iCs/>
        </w:rPr>
        <w:t xml:space="preserve">; </w:t>
      </w:r>
      <w:proofErr w:type="spellStart"/>
      <w:r w:rsidRPr="003A5617">
        <w:t>Zigmond</w:t>
      </w:r>
      <w:proofErr w:type="spellEnd"/>
      <w:r w:rsidRPr="003A5617">
        <w:t xml:space="preserve"> </w:t>
      </w:r>
      <w:r>
        <w:t>and</w:t>
      </w:r>
      <w:r w:rsidRPr="003A5617">
        <w:t xml:space="preserve"> </w:t>
      </w:r>
      <w:proofErr w:type="spellStart"/>
      <w:r w:rsidRPr="003A5617">
        <w:t>Snaith</w:t>
      </w:r>
      <w:proofErr w:type="spellEnd"/>
      <w:r w:rsidRPr="003A5617">
        <w:t>, 1983).</w:t>
      </w:r>
      <w:proofErr w:type="gramEnd"/>
      <w:r w:rsidRPr="003A5617">
        <w:t xml:space="preserve"> </w:t>
      </w:r>
    </w:p>
    <w:p w:rsidR="00B75DE8" w:rsidRPr="003A5617" w:rsidRDefault="00B75DE8" w:rsidP="00B75DE8">
      <w:pPr>
        <w:spacing w:line="480" w:lineRule="auto"/>
        <w:ind w:right="-40"/>
        <w:jc w:val="both"/>
      </w:pPr>
      <w:r w:rsidRPr="003A5617">
        <w:t>The HADS consists of 14 items, seven assessing anxiety and seven depression. Higher scores represent higher levels of anxiety and depression. The scale possesses good validity and reliability and has been widely used in both clinical and non-clinical research samples (</w:t>
      </w:r>
      <w:proofErr w:type="spellStart"/>
      <w:r w:rsidRPr="003A5617">
        <w:t>Zigmond</w:t>
      </w:r>
      <w:proofErr w:type="spellEnd"/>
      <w:r w:rsidRPr="003A5617">
        <w:t xml:space="preserve"> </w:t>
      </w:r>
      <w:r>
        <w:t>and</w:t>
      </w:r>
      <w:r w:rsidRPr="003A5617">
        <w:t xml:space="preserve"> </w:t>
      </w:r>
      <w:proofErr w:type="spellStart"/>
      <w:r w:rsidRPr="003A5617">
        <w:t>Snaith</w:t>
      </w:r>
      <w:proofErr w:type="spellEnd"/>
      <w:r w:rsidRPr="003A5617">
        <w:t>, 1983).</w:t>
      </w:r>
    </w:p>
    <w:p w:rsidR="00B75DE8" w:rsidRPr="003A5617" w:rsidRDefault="00B75DE8" w:rsidP="00B75DE8">
      <w:pPr>
        <w:spacing w:line="480" w:lineRule="auto"/>
        <w:ind w:right="-40"/>
        <w:jc w:val="both"/>
      </w:pPr>
      <w:proofErr w:type="gramStart"/>
      <w:r w:rsidRPr="003A5617">
        <w:rPr>
          <w:i/>
        </w:rPr>
        <w:t xml:space="preserve">The Gamblers’ Beliefs Questionnaire </w:t>
      </w:r>
      <w:r w:rsidRPr="003A5617">
        <w:t xml:space="preserve">(GBQ, </w:t>
      </w:r>
      <w:proofErr w:type="spellStart"/>
      <w:r w:rsidRPr="003A5617">
        <w:t>Steenbergh</w:t>
      </w:r>
      <w:proofErr w:type="spellEnd"/>
      <w:r w:rsidRPr="003A5617">
        <w:t xml:space="preserve"> et al., 2002).</w:t>
      </w:r>
      <w:proofErr w:type="gramEnd"/>
      <w:r w:rsidRPr="003A5617">
        <w:t xml:space="preserve"> </w:t>
      </w:r>
    </w:p>
    <w:p w:rsidR="00B75DE8" w:rsidRPr="003A5617" w:rsidRDefault="00B75DE8" w:rsidP="00B75DE8">
      <w:pPr>
        <w:spacing w:line="480" w:lineRule="auto"/>
        <w:ind w:right="-40"/>
        <w:jc w:val="both"/>
      </w:pPr>
      <w:r w:rsidRPr="003A5617">
        <w:t xml:space="preserve">The GBQ was developed as a 21-item self-report questionnaire used to assess gambling-specific cognitive distortions. Each item on the GBQ consists of a statement that represents a gambling-specific cognitive distortion (e.g., “When I am gambling, ‘near misses’ or times when I almost win remind me that if I keep playing I will win”). </w:t>
      </w:r>
      <w:proofErr w:type="gramStart"/>
      <w:r w:rsidRPr="003A5617">
        <w:t>Respondents</w:t>
      </w:r>
      <w:proofErr w:type="gramEnd"/>
      <w:r w:rsidRPr="003A5617">
        <w:t xml:space="preserve"> rate their level of agreement on a seven-point scale from strongly agree to strongly disagree. Higher total scores indicate greater levels of gambling-specific cognitive distortions. A revised 21-item version of the English GBQ was used for this study with the Italian version showing good psychometric properties (</w:t>
      </w:r>
      <w:proofErr w:type="spellStart"/>
      <w:r w:rsidRPr="003A5617">
        <w:t>Marchetti</w:t>
      </w:r>
      <w:proofErr w:type="spellEnd"/>
      <w:r w:rsidRPr="003A5617">
        <w:t xml:space="preserve"> et al., 2016).</w:t>
      </w:r>
    </w:p>
    <w:p w:rsidR="00B75DE8" w:rsidRPr="003A5617" w:rsidRDefault="00B75DE8" w:rsidP="00B75DE8">
      <w:pPr>
        <w:spacing w:line="480" w:lineRule="auto"/>
        <w:ind w:right="-40"/>
        <w:jc w:val="both"/>
      </w:pPr>
      <w:proofErr w:type="gramStart"/>
      <w:r w:rsidRPr="003A5617">
        <w:rPr>
          <w:i/>
        </w:rPr>
        <w:t xml:space="preserve">The Gambling Symptom Assessment Scale </w:t>
      </w:r>
      <w:r w:rsidRPr="003A5617">
        <w:t>(G-SAS; Kim et al., 2009).</w:t>
      </w:r>
      <w:proofErr w:type="gramEnd"/>
      <w:r w:rsidRPr="003A5617">
        <w:t xml:space="preserve"> </w:t>
      </w:r>
    </w:p>
    <w:p w:rsidR="00B75DE8" w:rsidRPr="003A5617" w:rsidRDefault="00B75DE8" w:rsidP="00B75DE8">
      <w:pPr>
        <w:spacing w:line="480" w:lineRule="auto"/>
        <w:ind w:right="-40"/>
        <w:jc w:val="both"/>
      </w:pPr>
      <w:r w:rsidRPr="003A5617">
        <w:t>The G-SAS is a 12-item self-rated scale designed to assess the change of gambling symptoms during treatment. There are ten items in the scale and each item can generate a score of between zero and four: total scores range from zero to 48. All items ask for an average symptom presentation based on the previous 7 days. The scale possesses good psychometric properties (Kim et al., 2009).</w:t>
      </w:r>
    </w:p>
    <w:p w:rsidR="00B75DE8" w:rsidRPr="003A5617" w:rsidRDefault="00B75DE8" w:rsidP="00B75DE8">
      <w:pPr>
        <w:spacing w:line="480" w:lineRule="auto"/>
        <w:jc w:val="both"/>
        <w:rPr>
          <w:i/>
        </w:rPr>
      </w:pPr>
      <w:r w:rsidRPr="003A5617">
        <w:rPr>
          <w:i/>
        </w:rPr>
        <w:t>South Oaks Gambling Screen (SOGS</w:t>
      </w:r>
      <w:r w:rsidRPr="003A5617">
        <w:rPr>
          <w:i/>
        </w:rPr>
        <w:fldChar w:fldCharType="begin"/>
      </w:r>
      <w:r w:rsidRPr="003A5617">
        <w:rPr>
          <w:i/>
        </w:rPr>
        <w:instrText>ADDIN CSL_CITATION {"mendeley": {"previouslyFormattedCitation": "(Lesieur &amp; Blume, 1987)"}, "citationItems": [{"uris": ["http://www.mendeley.com/documents/?uuid=caf36272-eb9a-4c6f-90ed-4168a3340851"], "id": "ITEM-1", "itemData": {"type": "article-journal", "author": [{"given": "HR", "dropping-particle": "", "suffix": "", "family": "Lesieur", "parse-names": false, "non-dropping-particle": ""}, {"given": "SB", "dropping-particle": "", "suffix": "", "family": "Blume", "parse-names": false, "non-dropping-particle": ""}], "issued": {"date-parts": [["1987"]]}, "title": "The South Oaks Gambling Screen (SOGS): A new instrument for the identification of pathological gamblers", "page": "1184-1188", "container-title": "American Journal of Psychiatry", "issue": "0", "id": "ITEM-1"}}], "properties": {"noteIndex": 0}, "schema": "https://github.com/citation-style-language/schema/raw/master/csl-citation.json"}</w:instrText>
      </w:r>
      <w:r w:rsidRPr="003A5617">
        <w:rPr>
          <w:i/>
        </w:rPr>
        <w:fldChar w:fldCharType="separate"/>
      </w:r>
      <w:r w:rsidRPr="003A5617">
        <w:rPr>
          <w:i/>
        </w:rPr>
        <w:t xml:space="preserve">; Lesieur </w:t>
      </w:r>
      <w:r w:rsidRPr="00D0795E">
        <w:rPr>
          <w:i/>
        </w:rPr>
        <w:t>and</w:t>
      </w:r>
      <w:r w:rsidRPr="003A5617">
        <w:t xml:space="preserve"> </w:t>
      </w:r>
      <w:r w:rsidRPr="003A5617">
        <w:rPr>
          <w:i/>
        </w:rPr>
        <w:t>Blume, 1987)</w:t>
      </w:r>
      <w:r w:rsidRPr="003A5617">
        <w:rPr>
          <w:i/>
        </w:rPr>
        <w:fldChar w:fldCharType="end"/>
      </w:r>
      <w:r w:rsidRPr="003A5617">
        <w:rPr>
          <w:i/>
        </w:rPr>
        <w:t xml:space="preserve">. </w:t>
      </w:r>
    </w:p>
    <w:p w:rsidR="00B75DE8" w:rsidRPr="003A5617" w:rsidRDefault="00B75DE8" w:rsidP="00B75DE8">
      <w:pPr>
        <w:spacing w:line="480" w:lineRule="auto"/>
        <w:jc w:val="both"/>
        <w:rPr>
          <w:i/>
        </w:rPr>
      </w:pPr>
      <w:r w:rsidRPr="003A5617">
        <w:rPr>
          <w:color w:val="000000"/>
          <w:lang w:eastAsia="en-US"/>
        </w:rPr>
        <w:t>See description in Study 1.</w:t>
      </w:r>
    </w:p>
    <w:p w:rsidR="00B75DE8" w:rsidRPr="004A6C08" w:rsidRDefault="00B75DE8" w:rsidP="00B75DE8">
      <w:pPr>
        <w:spacing w:line="480" w:lineRule="auto"/>
        <w:ind w:right="-40"/>
        <w:jc w:val="both"/>
        <w:outlineLvl w:val="0"/>
        <w:rPr>
          <w:i/>
          <w:lang w:val="en-US"/>
        </w:rPr>
      </w:pPr>
      <w:r w:rsidRPr="004A6C08">
        <w:rPr>
          <w:i/>
          <w:lang w:val="en-US"/>
        </w:rPr>
        <w:t>Procedure</w:t>
      </w:r>
    </w:p>
    <w:p w:rsidR="00B75DE8" w:rsidRPr="003A5617" w:rsidRDefault="00B75DE8" w:rsidP="00B75DE8">
      <w:pPr>
        <w:spacing w:line="480" w:lineRule="auto"/>
        <w:jc w:val="both"/>
      </w:pPr>
      <w:r w:rsidRPr="003A5617">
        <w:t xml:space="preserve">Participants were informed that the purpose of the study was to examine “Beliefs about gambling”. After giving informed consent participants were instructed to provide demographic details and </w:t>
      </w:r>
      <w:r w:rsidRPr="003A5617">
        <w:lastRenderedPageBreak/>
        <w:t>complete the batch of questionnaires administered. All participants were debriefed following completion of the questionnaires.</w:t>
      </w:r>
    </w:p>
    <w:p w:rsidR="00B75DE8" w:rsidRPr="003A5617" w:rsidRDefault="00B75DE8" w:rsidP="00B75DE8">
      <w:pPr>
        <w:spacing w:line="480" w:lineRule="auto"/>
        <w:ind w:right="-40"/>
        <w:outlineLvl w:val="0"/>
        <w:rPr>
          <w:b/>
          <w:lang w:val="en-US"/>
        </w:rPr>
      </w:pPr>
      <w:r w:rsidRPr="003A5617">
        <w:rPr>
          <w:b/>
          <w:lang w:val="en-US"/>
        </w:rPr>
        <w:t>Results</w:t>
      </w:r>
    </w:p>
    <w:p w:rsidR="00B75DE8" w:rsidRPr="004A6C08" w:rsidRDefault="00B75DE8" w:rsidP="00B75DE8">
      <w:pPr>
        <w:autoSpaceDE w:val="0"/>
        <w:spacing w:line="480" w:lineRule="auto"/>
        <w:jc w:val="both"/>
        <w:outlineLvl w:val="0"/>
        <w:rPr>
          <w:i/>
        </w:rPr>
      </w:pPr>
      <w:r w:rsidRPr="004A6C08">
        <w:rPr>
          <w:i/>
        </w:rPr>
        <w:t>Confirmatory Factor Analysis</w:t>
      </w:r>
    </w:p>
    <w:p w:rsidR="00B75DE8" w:rsidRDefault="00B75DE8" w:rsidP="00B75DE8">
      <w:pPr>
        <w:autoSpaceDE w:val="0"/>
        <w:spacing w:line="480" w:lineRule="auto"/>
        <w:jc w:val="both"/>
      </w:pPr>
      <w:r w:rsidRPr="003A5617">
        <w:t>Firstly, a confirmatory factor analysis (CFA) was conducted on the data obtained from the factor-validation sample using LISREL 8.8 (</w:t>
      </w:r>
      <w:proofErr w:type="spellStart"/>
      <w:r w:rsidRPr="003A5617">
        <w:t>Jöreskog</w:t>
      </w:r>
      <w:proofErr w:type="spellEnd"/>
      <w:r w:rsidRPr="003A5617">
        <w:t xml:space="preserve"> </w:t>
      </w:r>
      <w:r>
        <w:t>and</w:t>
      </w:r>
      <w:r w:rsidRPr="003A5617">
        <w:t xml:space="preserve"> </w:t>
      </w:r>
      <w:proofErr w:type="spellStart"/>
      <w:r w:rsidRPr="003A5617">
        <w:t>Sörbom</w:t>
      </w:r>
      <w:proofErr w:type="spellEnd"/>
      <w:r w:rsidRPr="003A5617">
        <w:t xml:space="preserve">, 1996). We compared two models. In Model 1 we defined a single latent variable with all 10 items as indicators. In Model 2 we tested a conceptual two factor solution with negative metacognitions about gambling as a first unique factor and positive metacognitions about gambling as a second unique factor. We also evaluated the model defining the items as continuous indicators, and using maximum likelihood estimation that assumes multivariate normality of the item scores. The Root Mean Square Error of Approximation (RMSEA), which indicates the closeness of fit and is sensitive to the </w:t>
      </w:r>
      <w:proofErr w:type="spellStart"/>
      <w:r w:rsidRPr="003A5617">
        <w:t>mis</w:t>
      </w:r>
      <w:proofErr w:type="spellEnd"/>
      <w:r w:rsidRPr="003A5617">
        <w:t xml:space="preserve">-specification of the measurement model (the factor loadings), was employed to evaluate the data fit together with the Comparative Fit Index (CFI) and the Non-Normed Fit Index (NNFI) as incremental fit indexes. The RMSEA cut-off values close to 0.08 demonstrate adequate fit of the model (Browne &amp; </w:t>
      </w:r>
      <w:proofErr w:type="spellStart"/>
      <w:r w:rsidRPr="003A5617">
        <w:t>Cudeck</w:t>
      </w:r>
      <w:proofErr w:type="spellEnd"/>
      <w:r w:rsidRPr="003A5617">
        <w:t xml:space="preserve">, 1993; Hu &amp; </w:t>
      </w:r>
      <w:proofErr w:type="spellStart"/>
      <w:r w:rsidRPr="003A5617">
        <w:t>Bentler</w:t>
      </w:r>
      <w:proofErr w:type="spellEnd"/>
      <w:r w:rsidRPr="003A5617">
        <w:t xml:space="preserve">, 1999) and values close to or above 0.95 for the CFI and NNFI support an excellent fit.  Model 1 resulted in a RMSEA of 0.22, a CFI of 0.75 and a NNFI of 0.68. Model 2 resulted in RMSEA of 0.07, a CFI of 0.96 and a NNFI of 0.95. Model 2 (the two factor solution) showed the best data fit with an adequate level. </w:t>
      </w:r>
      <w:r w:rsidRPr="003A5617">
        <w:rPr>
          <w:lang w:val="en-US"/>
        </w:rPr>
        <w:t xml:space="preserve">Internal consistencies (homogeneity) were determined by computing Cronbach’s alpha. This coefficient was </w:t>
      </w:r>
      <w:r>
        <w:rPr>
          <w:lang w:val="en-US"/>
        </w:rPr>
        <w:t>0</w:t>
      </w:r>
      <w:r w:rsidRPr="003A5617">
        <w:rPr>
          <w:lang w:val="en-US"/>
        </w:rPr>
        <w:t xml:space="preserve">.83 for negative metacognitions about gambling, 0.78 for positive metacognitions about gambling. </w:t>
      </w:r>
      <w:r w:rsidRPr="003A5617">
        <w:t xml:space="preserve">Additionally, Pearson Product-moment correlations between the individual items and the relative factor scores were calculated. All of these item-total correlations were above 0.6, suggesting that each item correlated well with the factor score. The inter-correlations between negative metacognitions about gambling and positive metacognitions about gambling </w:t>
      </w:r>
      <w:proofErr w:type="gramStart"/>
      <w:r w:rsidRPr="003A5617">
        <w:t>was</w:t>
      </w:r>
      <w:proofErr w:type="gramEnd"/>
      <w:r w:rsidRPr="003A5617">
        <w:t xml:space="preserve"> 0.35.</w:t>
      </w:r>
    </w:p>
    <w:p w:rsidR="00B75DE8" w:rsidRPr="003A5617" w:rsidRDefault="00B75DE8" w:rsidP="00B75DE8">
      <w:pPr>
        <w:autoSpaceDE w:val="0"/>
        <w:spacing w:line="480" w:lineRule="auto"/>
        <w:jc w:val="both"/>
        <w:rPr>
          <w:lang w:val="en-US"/>
        </w:rPr>
      </w:pPr>
    </w:p>
    <w:p w:rsidR="00B75DE8" w:rsidRPr="004A6C08" w:rsidRDefault="00B75DE8" w:rsidP="00B75DE8">
      <w:pPr>
        <w:autoSpaceDE w:val="0"/>
        <w:spacing w:line="480" w:lineRule="auto"/>
        <w:jc w:val="both"/>
        <w:outlineLvl w:val="0"/>
        <w:rPr>
          <w:i/>
        </w:rPr>
      </w:pPr>
      <w:r w:rsidRPr="004A6C08">
        <w:rPr>
          <w:i/>
        </w:rPr>
        <w:lastRenderedPageBreak/>
        <w:t>Predictive and Divergent Validity</w:t>
      </w:r>
    </w:p>
    <w:p w:rsidR="00B75DE8" w:rsidRPr="003A5617" w:rsidRDefault="00B75DE8" w:rsidP="00B75DE8">
      <w:pPr>
        <w:autoSpaceDE w:val="0"/>
        <w:spacing w:line="480" w:lineRule="auto"/>
        <w:jc w:val="both"/>
        <w:rPr>
          <w:rFonts w:eastAsia="Calibri"/>
          <w:lang w:val="en-US" w:eastAsia="it-IT"/>
        </w:rPr>
      </w:pPr>
      <w:r w:rsidRPr="003A5617">
        <w:rPr>
          <w:rFonts w:eastAsia="Calibri"/>
          <w:lang w:val="en-US" w:eastAsia="it-IT"/>
        </w:rPr>
        <w:t xml:space="preserve">Descriptive statistics and inter-correlations for all the self-report measures are shown in Table 2. </w:t>
      </w:r>
      <w:r w:rsidRPr="003A5617">
        <w:t xml:space="preserve">An inspection of histograms, skewness and kurtosis ranges and K-S tests showed that all scores were normally distributed. Pearson Product-moment correlations </w:t>
      </w:r>
      <w:r w:rsidRPr="003A5617">
        <w:rPr>
          <w:rFonts w:eastAsia="Calibri"/>
          <w:lang w:val="en-US" w:eastAsia="it-IT"/>
        </w:rPr>
        <w:t>showed that both factors of the MGQ were positively and significantly correlated with both gambling symptoms and gambling severity. Results also indicated that GBQ and depression were positively and significantly correlated with the gambling symptoms and gambling severity, whilst anxiety was only significantly correlated with gambling symptoms.</w:t>
      </w:r>
      <w:r>
        <w:rPr>
          <w:rFonts w:eastAsia="Calibri"/>
          <w:lang w:val="en-US" w:eastAsia="it-IT"/>
        </w:rPr>
        <w:t xml:space="preserve"> </w:t>
      </w:r>
    </w:p>
    <w:p w:rsidR="00B75DE8" w:rsidRPr="003A5617" w:rsidRDefault="00B75DE8" w:rsidP="00B75DE8">
      <w:pPr>
        <w:spacing w:line="480" w:lineRule="auto"/>
        <w:ind w:right="-40" w:firstLine="720"/>
        <w:jc w:val="both"/>
        <w:rPr>
          <w:rFonts w:eastAsia="Calibri"/>
          <w:lang w:val="en-US" w:eastAsia="it-IT"/>
        </w:rPr>
      </w:pPr>
      <w:r w:rsidRPr="003A5617">
        <w:rPr>
          <w:rFonts w:eastAsia="Calibri"/>
          <w:lang w:val="en-US" w:eastAsia="it-IT"/>
        </w:rPr>
        <w:t xml:space="preserve">Two hierarchical regression analyses (see Table 3) were run in order to evaluate divergent validity (i.e., the contribution of metacognitions about gambling towards gambling symptoms and gambling severity scores whilst controlling for gamblers’ </w:t>
      </w:r>
      <w:r>
        <w:rPr>
          <w:rFonts w:eastAsia="Calibri"/>
          <w:lang w:val="en-US" w:eastAsia="it-IT"/>
        </w:rPr>
        <w:t>biased beliefs</w:t>
      </w:r>
      <w:r w:rsidRPr="003A5617">
        <w:rPr>
          <w:rFonts w:eastAsia="Calibri"/>
          <w:lang w:val="en-US" w:eastAsia="it-IT"/>
        </w:rPr>
        <w:t xml:space="preserve"> and negative affect). Anxiety was excluded from the second analysis because of the absence of a significant correlation with gambling severity.</w:t>
      </w:r>
      <w:r>
        <w:rPr>
          <w:rFonts w:eastAsia="Calibri"/>
          <w:lang w:val="en-US" w:eastAsia="it-IT"/>
        </w:rPr>
        <w:t xml:space="preserve"> </w:t>
      </w:r>
      <w:r w:rsidRPr="00B818AB">
        <w:rPr>
          <w:rFonts w:eastAsia="Calibri"/>
          <w:highlight w:val="yellow"/>
          <w:lang w:val="en-US" w:eastAsia="it-IT"/>
        </w:rPr>
        <w:t>Gender and age were excluded from both analys</w:t>
      </w:r>
      <w:r>
        <w:rPr>
          <w:rFonts w:eastAsia="Calibri"/>
          <w:highlight w:val="yellow"/>
          <w:lang w:val="en-US" w:eastAsia="it-IT"/>
        </w:rPr>
        <w:t>e</w:t>
      </w:r>
      <w:r w:rsidRPr="00B818AB">
        <w:rPr>
          <w:rFonts w:eastAsia="Calibri"/>
          <w:highlight w:val="yellow"/>
          <w:lang w:val="en-US" w:eastAsia="it-IT"/>
        </w:rPr>
        <w:t>s because of the same reason.</w:t>
      </w:r>
    </w:p>
    <w:p w:rsidR="00B75DE8" w:rsidRPr="003A5617" w:rsidRDefault="00B75DE8" w:rsidP="00B75DE8">
      <w:pPr>
        <w:spacing w:line="480" w:lineRule="auto"/>
        <w:ind w:right="-40" w:firstLine="720"/>
        <w:jc w:val="both"/>
        <w:rPr>
          <w:rFonts w:eastAsia="Calibri"/>
          <w:lang w:val="en-US" w:eastAsia="it-IT"/>
        </w:rPr>
      </w:pPr>
      <w:r w:rsidRPr="003A5617">
        <w:rPr>
          <w:rFonts w:eastAsia="Calibri"/>
          <w:lang w:val="en-US" w:eastAsia="it-IT"/>
        </w:rPr>
        <w:t xml:space="preserve">Firstly, a hierarchical regression analysis was run with gambling symptoms entered as the outcome variable, negative affect and </w:t>
      </w:r>
      <w:r w:rsidRPr="003A5617">
        <w:t xml:space="preserve">gambling-specific </w:t>
      </w:r>
      <w:r>
        <w:t>biased beliefs</w:t>
      </w:r>
      <w:r w:rsidRPr="003A5617">
        <w:rPr>
          <w:rFonts w:eastAsia="Calibri"/>
          <w:lang w:val="en-US" w:eastAsia="it-IT"/>
        </w:rPr>
        <w:t xml:space="preserve"> entered in step 1, and positive metacognitions about gambling and negative metacognitions about gambling in step 2. Results of this analysis indicated that both MGQ factors accounted for 5.0% (</w:t>
      </w:r>
      <w:r w:rsidRPr="003A5617">
        <w:rPr>
          <w:rFonts w:eastAsia="Calibri"/>
          <w:i/>
          <w:lang w:val="en-US" w:eastAsia="it-IT"/>
        </w:rPr>
        <w:t>p</w:t>
      </w:r>
      <w:r w:rsidRPr="003A5617">
        <w:rPr>
          <w:rFonts w:eastAsia="Calibri"/>
          <w:lang w:val="en-US" w:eastAsia="it-IT"/>
        </w:rPr>
        <w:t xml:space="preserve">=.01) of variance in G-SAS above that accounted for by the other predictors in the model (25%, </w:t>
      </w:r>
      <w:r w:rsidRPr="003A5617">
        <w:rPr>
          <w:rFonts w:eastAsia="Calibri"/>
          <w:i/>
          <w:lang w:val="en-US" w:eastAsia="it-IT"/>
        </w:rPr>
        <w:t>p</w:t>
      </w:r>
      <w:r w:rsidRPr="003A5617">
        <w:rPr>
          <w:rFonts w:eastAsia="Calibri"/>
          <w:lang w:val="en-US" w:eastAsia="it-IT"/>
        </w:rPr>
        <w:t xml:space="preserve">&lt;.001). An inspection of the final equation revealed that negative metacognitions about gambling and anxiety were the only variables significantly associated to gambling symptoms. </w:t>
      </w:r>
    </w:p>
    <w:p w:rsidR="00B75DE8" w:rsidRPr="003A5617" w:rsidRDefault="00B75DE8" w:rsidP="00B75DE8">
      <w:pPr>
        <w:spacing w:line="480" w:lineRule="auto"/>
        <w:ind w:right="-40" w:firstLine="708"/>
        <w:jc w:val="both"/>
        <w:rPr>
          <w:rFonts w:eastAsia="Calibri"/>
          <w:lang w:val="en-US" w:eastAsia="it-IT"/>
        </w:rPr>
      </w:pPr>
      <w:r w:rsidRPr="003A5617">
        <w:rPr>
          <w:rFonts w:eastAsia="Calibri"/>
          <w:lang w:val="en-US" w:eastAsia="it-IT"/>
        </w:rPr>
        <w:t xml:space="preserve">A second hierarchical regression analysis was run with gambling severity entered as the outcome variable, depression and </w:t>
      </w:r>
      <w:r w:rsidRPr="003A5617">
        <w:t xml:space="preserve">gambling-specific </w:t>
      </w:r>
      <w:r>
        <w:t>biased beliefs</w:t>
      </w:r>
      <w:r w:rsidRPr="003A5617">
        <w:rPr>
          <w:rFonts w:eastAsia="Calibri"/>
          <w:lang w:val="en-US" w:eastAsia="it-IT"/>
        </w:rPr>
        <w:t xml:space="preserve"> entered in step 1, and positive metacognitions about gambling and negative metacognitions about gambling in step 2. Results of this analysis indicated that both MGQ factors accounted for 6% (</w:t>
      </w:r>
      <w:r w:rsidRPr="003A5617">
        <w:rPr>
          <w:rFonts w:eastAsia="Calibri"/>
          <w:i/>
          <w:lang w:val="en-US" w:eastAsia="it-IT"/>
        </w:rPr>
        <w:t>p</w:t>
      </w:r>
      <w:r w:rsidRPr="003A5617">
        <w:rPr>
          <w:rFonts w:eastAsia="Calibri"/>
          <w:lang w:val="en-US" w:eastAsia="it-IT"/>
        </w:rPr>
        <w:t xml:space="preserve">=.01) of variance in gambling severity over and above the variance accounted for by other predictors (11%, </w:t>
      </w:r>
      <w:r w:rsidRPr="003A5617">
        <w:rPr>
          <w:rFonts w:eastAsia="Calibri"/>
          <w:i/>
          <w:lang w:val="en-US" w:eastAsia="it-IT"/>
        </w:rPr>
        <w:t>p</w:t>
      </w:r>
      <w:r w:rsidRPr="003A5617">
        <w:rPr>
          <w:rFonts w:eastAsia="Calibri"/>
          <w:lang w:val="en-US" w:eastAsia="it-IT"/>
        </w:rPr>
        <w:t xml:space="preserve">&lt;.01). An inspection </w:t>
      </w:r>
      <w:r w:rsidRPr="003A5617">
        <w:rPr>
          <w:rFonts w:eastAsia="Calibri"/>
          <w:lang w:val="en-US" w:eastAsia="it-IT"/>
        </w:rPr>
        <w:lastRenderedPageBreak/>
        <w:t xml:space="preserve">of the final equation revealed that negative metacognitions about gambling and </w:t>
      </w:r>
      <w:r w:rsidRPr="003A5617">
        <w:t xml:space="preserve">gambling-specific </w:t>
      </w:r>
      <w:r>
        <w:t>biased beliefs</w:t>
      </w:r>
      <w:r w:rsidRPr="003A5617">
        <w:rPr>
          <w:rFonts w:eastAsia="Calibri"/>
          <w:lang w:val="en-US" w:eastAsia="it-IT"/>
        </w:rPr>
        <w:t xml:space="preserve"> were the only variables significantly associated to gambling severity.</w:t>
      </w:r>
    </w:p>
    <w:p w:rsidR="00B75DE8" w:rsidRPr="003A5617" w:rsidRDefault="00B75DE8" w:rsidP="00B75DE8">
      <w:pPr>
        <w:spacing w:line="480" w:lineRule="auto"/>
        <w:ind w:right="-40"/>
        <w:jc w:val="center"/>
        <w:outlineLvl w:val="0"/>
        <w:rPr>
          <w:rFonts w:eastAsia="Calibri"/>
          <w:lang w:val="en-US" w:eastAsia="it-IT"/>
        </w:rPr>
      </w:pPr>
      <w:r w:rsidRPr="003A5617">
        <w:rPr>
          <w:b/>
        </w:rPr>
        <w:t>Study 3: Examination of the Prospective Predictive Validity of the MGQ in a Clinical Sample</w:t>
      </w:r>
    </w:p>
    <w:p w:rsidR="00B75DE8" w:rsidRPr="003A5617" w:rsidRDefault="00B75DE8" w:rsidP="00B75DE8">
      <w:pPr>
        <w:spacing w:line="480" w:lineRule="auto"/>
        <w:ind w:right="-1"/>
        <w:contextualSpacing/>
        <w:jc w:val="both"/>
        <w:rPr>
          <w:lang w:val="en-US"/>
        </w:rPr>
      </w:pPr>
      <w:r w:rsidRPr="003A5617">
        <w:rPr>
          <w:lang w:val="en-US"/>
        </w:rPr>
        <w:t xml:space="preserve">We conducted a third study to explore the prospective predictive impact of MGQ factors in a clinical sample. </w:t>
      </w:r>
      <w:r w:rsidRPr="003A5617">
        <w:t>Based on the metacognitive model of addictive behaviours (</w:t>
      </w:r>
      <w:proofErr w:type="spellStart"/>
      <w:r w:rsidRPr="003A5617">
        <w:t>Spada</w:t>
      </w:r>
      <w:proofErr w:type="spellEnd"/>
      <w:r w:rsidRPr="003A5617">
        <w:t xml:space="preserve">, Caselli, </w:t>
      </w:r>
      <w:proofErr w:type="spellStart"/>
      <w:r w:rsidRPr="003A5617">
        <w:t>Nikcevic</w:t>
      </w:r>
      <w:proofErr w:type="spellEnd"/>
      <w:r w:rsidRPr="003A5617">
        <w:t xml:space="preserve"> </w:t>
      </w:r>
      <w:r>
        <w:t>and</w:t>
      </w:r>
      <w:r w:rsidRPr="003A5617">
        <w:t xml:space="preserve"> Wells, 2015; </w:t>
      </w:r>
      <w:proofErr w:type="spellStart"/>
      <w:r w:rsidRPr="003A5617">
        <w:t>Spada</w:t>
      </w:r>
      <w:proofErr w:type="spellEnd"/>
      <w:r w:rsidRPr="003A5617">
        <w:t xml:space="preserve">, Caselli </w:t>
      </w:r>
      <w:r>
        <w:t>and</w:t>
      </w:r>
      <w:r w:rsidRPr="003A5617">
        <w:t xml:space="preserve"> Wells, 2013) we hypothesized that: (1) m</w:t>
      </w:r>
      <w:proofErr w:type="spellStart"/>
      <w:r w:rsidRPr="003A5617">
        <w:rPr>
          <w:lang w:val="en-US"/>
        </w:rPr>
        <w:t>etacognitions</w:t>
      </w:r>
      <w:proofErr w:type="spellEnd"/>
      <w:r w:rsidRPr="003A5617">
        <w:rPr>
          <w:lang w:val="en-US"/>
        </w:rPr>
        <w:t xml:space="preserve"> about gambling would positively correlate with negative affect and gambling severity respectively; and (2) metacognitions about gambling would be a prospective predictor of gambling severity. We expected that the relation between metacognitions about gambling severity at time 1 and gambling severity measured three months later (time 2) would be independent of gambling severity, </w:t>
      </w:r>
      <w:r w:rsidRPr="003A5617">
        <w:t xml:space="preserve">gambling-specific </w:t>
      </w:r>
      <w:r>
        <w:t>biased beliefs</w:t>
      </w:r>
      <w:r w:rsidRPr="003A5617">
        <w:rPr>
          <w:lang w:val="en-US"/>
        </w:rPr>
        <w:t xml:space="preserve"> and negative affect measured at time 1.</w:t>
      </w:r>
    </w:p>
    <w:p w:rsidR="00B75DE8" w:rsidRPr="003A5617" w:rsidRDefault="00B75DE8" w:rsidP="00B75DE8">
      <w:pPr>
        <w:tabs>
          <w:tab w:val="left" w:pos="709"/>
        </w:tabs>
        <w:spacing w:line="480" w:lineRule="auto"/>
        <w:ind w:right="-1"/>
        <w:outlineLvl w:val="0"/>
        <w:rPr>
          <w:b/>
          <w:lang w:val="en-US"/>
        </w:rPr>
      </w:pPr>
      <w:r w:rsidRPr="003A5617">
        <w:rPr>
          <w:b/>
          <w:lang w:val="en-US"/>
        </w:rPr>
        <w:t>Method</w:t>
      </w:r>
    </w:p>
    <w:p w:rsidR="00B75DE8" w:rsidRPr="004A6C08" w:rsidRDefault="00B75DE8" w:rsidP="00B75DE8">
      <w:pPr>
        <w:spacing w:line="480" w:lineRule="auto"/>
        <w:ind w:right="-1"/>
        <w:jc w:val="both"/>
        <w:outlineLvl w:val="0"/>
        <w:rPr>
          <w:i/>
          <w:lang w:val="en-US"/>
        </w:rPr>
      </w:pPr>
      <w:r w:rsidRPr="004A6C08">
        <w:rPr>
          <w:i/>
          <w:lang w:val="en-US"/>
        </w:rPr>
        <w:t xml:space="preserve">Design </w:t>
      </w:r>
    </w:p>
    <w:p w:rsidR="00B75DE8" w:rsidRPr="003A5617" w:rsidRDefault="00B75DE8" w:rsidP="00B75DE8">
      <w:pPr>
        <w:spacing w:line="480" w:lineRule="auto"/>
        <w:ind w:right="-1"/>
        <w:contextualSpacing/>
        <w:jc w:val="both"/>
      </w:pPr>
      <w:r w:rsidRPr="003A5617">
        <w:t xml:space="preserve">We employed a longitudinal design with data collection occurring at two time points. At time 1 we collected data on metacognitions about gambling, gambling-specific </w:t>
      </w:r>
      <w:r>
        <w:t>biased beliefs</w:t>
      </w:r>
      <w:r w:rsidRPr="003A5617">
        <w:t xml:space="preserve">, negative affect and gambling severity. At time 2 (3 months after time 1) we collected data on gambling severity. </w:t>
      </w:r>
    </w:p>
    <w:p w:rsidR="00B75DE8" w:rsidRPr="004A6C08" w:rsidRDefault="00B75DE8" w:rsidP="00B75DE8">
      <w:pPr>
        <w:spacing w:line="480" w:lineRule="auto"/>
        <w:ind w:right="-1"/>
        <w:jc w:val="both"/>
        <w:outlineLvl w:val="0"/>
        <w:rPr>
          <w:i/>
          <w:lang w:val="en-US"/>
        </w:rPr>
      </w:pPr>
      <w:r w:rsidRPr="004A6C08">
        <w:rPr>
          <w:i/>
          <w:lang w:val="en-US"/>
        </w:rPr>
        <w:t>Participants</w:t>
      </w:r>
    </w:p>
    <w:p w:rsidR="00B75DE8" w:rsidRPr="003A5617" w:rsidRDefault="00B75DE8" w:rsidP="00B75DE8">
      <w:pPr>
        <w:spacing w:line="480" w:lineRule="auto"/>
        <w:ind w:right="-1"/>
        <w:jc w:val="both"/>
        <w:rPr>
          <w:rFonts w:eastAsia="Calibri"/>
          <w:lang w:val="en-US" w:eastAsia="it-IT"/>
        </w:rPr>
      </w:pPr>
      <w:r w:rsidRPr="003A5617">
        <w:rPr>
          <w:rFonts w:eastAsia="Calibri"/>
          <w:lang w:val="en-US" w:eastAsia="it-IT"/>
        </w:rPr>
        <w:t>The sample comprised a consecutive series of 87 (14 females) patients that were</w:t>
      </w:r>
      <w:r w:rsidRPr="003A5617">
        <w:t xml:space="preserve"> selected by interviewing individuals who met inclusion criteria and accepted voluntarily to participate in the study prior to commencing an outpatients treatment for gambling disorder that  included psycho-social support, psychiatric advice, psycho-educational and coping skills interventions that was delivered on weekly basis. All patients were diagnosed with gambling disorder in accordance with DSM-5 criteria (APA, 2013). Inclusion criteria were: (1) having gambling disorder as a primary diagnosis; (2) not being diagnosed with other substance use disorders; (3) not being diagnosed with progressive cerebral traumas or cognitive deficits; and (4) not receiving psychopharmacologic treatment. </w:t>
      </w:r>
      <w:r w:rsidRPr="003A5617">
        <w:rPr>
          <w:rFonts w:eastAsia="Calibri"/>
          <w:lang w:val="en-US" w:eastAsia="it-IT"/>
        </w:rPr>
        <w:t>The mean age for the total sample, which consisted primarily of</w:t>
      </w:r>
      <w:r>
        <w:rPr>
          <w:rFonts w:eastAsia="Calibri"/>
          <w:lang w:val="en-US" w:eastAsia="it-IT"/>
        </w:rPr>
        <w:t xml:space="preserve"> 94.3% of</w:t>
      </w:r>
      <w:r w:rsidRPr="003A5617">
        <w:rPr>
          <w:rFonts w:eastAsia="Calibri"/>
          <w:lang w:val="en-US" w:eastAsia="it-IT"/>
        </w:rPr>
        <w:t xml:space="preserve"> Caucasians</w:t>
      </w:r>
      <w:r>
        <w:rPr>
          <w:rFonts w:eastAsia="Calibri"/>
          <w:lang w:val="en-US" w:eastAsia="it-IT"/>
        </w:rPr>
        <w:t xml:space="preserve"> </w:t>
      </w:r>
      <w:r>
        <w:rPr>
          <w:rFonts w:eastAsia="Calibri"/>
          <w:highlight w:val="yellow"/>
          <w:lang w:val="en-US" w:eastAsia="it-IT"/>
        </w:rPr>
        <w:lastRenderedPageBreak/>
        <w:t xml:space="preserve">and 3.4% Latin Americans, 2.2% </w:t>
      </w:r>
      <w:r w:rsidRPr="00C5007F">
        <w:rPr>
          <w:rFonts w:eastAsia="Calibri"/>
          <w:highlight w:val="yellow"/>
          <w:lang w:val="en-US" w:eastAsia="it-IT"/>
        </w:rPr>
        <w:t>of Africans</w:t>
      </w:r>
      <w:r w:rsidRPr="003A5617">
        <w:rPr>
          <w:rFonts w:eastAsia="Calibri"/>
          <w:lang w:val="en-US" w:eastAsia="it-IT"/>
        </w:rPr>
        <w:t xml:space="preserve">, was 45.9 years (SD=13.5) and the age range was 19-65 years. The mean year of education was 9.9 years (SD=3.1 years). The mean duration of problematic gambling was 8.5 years (SD=6.9 years). </w:t>
      </w:r>
    </w:p>
    <w:p w:rsidR="00B75DE8" w:rsidRPr="004A6C08" w:rsidRDefault="00B75DE8" w:rsidP="00B75DE8">
      <w:pPr>
        <w:spacing w:line="480" w:lineRule="auto"/>
        <w:ind w:right="-1"/>
        <w:jc w:val="both"/>
        <w:outlineLvl w:val="0"/>
        <w:rPr>
          <w:i/>
          <w:lang w:val="en-US"/>
        </w:rPr>
      </w:pPr>
      <w:r w:rsidRPr="004A6C08">
        <w:rPr>
          <w:i/>
          <w:lang w:val="en-US"/>
        </w:rPr>
        <w:t>Materials</w:t>
      </w:r>
    </w:p>
    <w:p w:rsidR="00B75DE8" w:rsidRPr="003A5617" w:rsidRDefault="00B75DE8" w:rsidP="00B75DE8">
      <w:pPr>
        <w:spacing w:line="480" w:lineRule="auto"/>
        <w:ind w:right="-1"/>
        <w:jc w:val="both"/>
      </w:pPr>
      <w:proofErr w:type="gramStart"/>
      <w:r w:rsidRPr="003A5617">
        <w:rPr>
          <w:i/>
          <w:iCs/>
        </w:rPr>
        <w:t xml:space="preserve">Hospital Anxiety and Depression Scale </w:t>
      </w:r>
      <w:r w:rsidRPr="003A5617">
        <w:rPr>
          <w:iCs/>
        </w:rPr>
        <w:t>(</w:t>
      </w:r>
      <w:r w:rsidRPr="003A5617">
        <w:rPr>
          <w:i/>
          <w:iCs/>
        </w:rPr>
        <w:t>HADS</w:t>
      </w:r>
      <w:r w:rsidRPr="003A5617">
        <w:rPr>
          <w:iCs/>
        </w:rPr>
        <w:t xml:space="preserve">; </w:t>
      </w:r>
      <w:proofErr w:type="spellStart"/>
      <w:r w:rsidRPr="003A5617">
        <w:t>Zigmond</w:t>
      </w:r>
      <w:proofErr w:type="spellEnd"/>
      <w:r w:rsidRPr="003A5617">
        <w:t xml:space="preserve"> </w:t>
      </w:r>
      <w:r>
        <w:t>and</w:t>
      </w:r>
      <w:r w:rsidRPr="003A5617">
        <w:t xml:space="preserve"> </w:t>
      </w:r>
      <w:proofErr w:type="spellStart"/>
      <w:r w:rsidRPr="003A5617">
        <w:t>Snaith</w:t>
      </w:r>
      <w:proofErr w:type="spellEnd"/>
      <w:r w:rsidRPr="003A5617">
        <w:t>, 1983).</w:t>
      </w:r>
      <w:proofErr w:type="gramEnd"/>
      <w:r w:rsidRPr="003A5617">
        <w:t xml:space="preserve">  </w:t>
      </w:r>
    </w:p>
    <w:p w:rsidR="00B75DE8" w:rsidRPr="003A5617" w:rsidRDefault="00B75DE8" w:rsidP="00B75DE8">
      <w:pPr>
        <w:spacing w:line="480" w:lineRule="auto"/>
        <w:ind w:right="-1"/>
        <w:jc w:val="both"/>
      </w:pPr>
      <w:r w:rsidRPr="003A5617">
        <w:t>See description in Study 2.</w:t>
      </w:r>
    </w:p>
    <w:p w:rsidR="00B75DE8" w:rsidRPr="003A5617" w:rsidRDefault="00B75DE8" w:rsidP="00B75DE8">
      <w:pPr>
        <w:spacing w:line="480" w:lineRule="auto"/>
        <w:ind w:right="-1"/>
        <w:jc w:val="both"/>
      </w:pPr>
      <w:proofErr w:type="gramStart"/>
      <w:r w:rsidRPr="003A5617">
        <w:rPr>
          <w:i/>
        </w:rPr>
        <w:t xml:space="preserve">The Gamblers’ Beliefs Questionnaire </w:t>
      </w:r>
      <w:r w:rsidRPr="003A5617">
        <w:t xml:space="preserve">(GBQ, </w:t>
      </w:r>
      <w:proofErr w:type="spellStart"/>
      <w:r w:rsidRPr="003A5617">
        <w:t>Steenbergh</w:t>
      </w:r>
      <w:proofErr w:type="spellEnd"/>
      <w:r w:rsidRPr="003A5617">
        <w:t xml:space="preserve"> et al., 2002).</w:t>
      </w:r>
      <w:proofErr w:type="gramEnd"/>
      <w:r w:rsidRPr="003A5617">
        <w:t xml:space="preserve"> </w:t>
      </w:r>
    </w:p>
    <w:p w:rsidR="00B75DE8" w:rsidRPr="003A5617" w:rsidRDefault="00B75DE8" w:rsidP="00B75DE8">
      <w:pPr>
        <w:spacing w:line="480" w:lineRule="auto"/>
        <w:ind w:right="-1"/>
        <w:jc w:val="both"/>
      </w:pPr>
      <w:r w:rsidRPr="003A5617">
        <w:t>See description in Study 2.</w:t>
      </w:r>
    </w:p>
    <w:p w:rsidR="00B75DE8" w:rsidRPr="003A5617" w:rsidRDefault="00B75DE8" w:rsidP="00B75DE8">
      <w:pPr>
        <w:spacing w:line="480" w:lineRule="auto"/>
        <w:ind w:right="-40"/>
        <w:jc w:val="both"/>
        <w:rPr>
          <w:i/>
          <w:lang w:val="en-US"/>
        </w:rPr>
      </w:pPr>
      <w:proofErr w:type="gramStart"/>
      <w:r w:rsidRPr="003A5617">
        <w:rPr>
          <w:i/>
          <w:lang w:val="en-US"/>
        </w:rPr>
        <w:t>The Metacognitions about Gambling Questionnaire (MGQ).</w:t>
      </w:r>
      <w:proofErr w:type="gramEnd"/>
      <w:r w:rsidRPr="003A5617">
        <w:rPr>
          <w:i/>
          <w:lang w:val="en-US"/>
        </w:rPr>
        <w:t xml:space="preserve"> </w:t>
      </w:r>
    </w:p>
    <w:p w:rsidR="00B75DE8" w:rsidRPr="003A5617" w:rsidRDefault="00B75DE8" w:rsidP="00B75DE8">
      <w:pPr>
        <w:spacing w:line="480" w:lineRule="auto"/>
        <w:ind w:right="-40"/>
        <w:jc w:val="both"/>
        <w:rPr>
          <w:lang w:val="en-US"/>
        </w:rPr>
      </w:pPr>
      <w:r w:rsidRPr="003A5617">
        <w:rPr>
          <w:lang w:val="en-US"/>
        </w:rPr>
        <w:t xml:space="preserve">The MGQ is the self-report questionnaire developed in Study 1. </w:t>
      </w:r>
      <w:r w:rsidRPr="003A5617">
        <w:t xml:space="preserve">Higher scores represent higher levels of </w:t>
      </w:r>
      <w:proofErr w:type="spellStart"/>
      <w:r w:rsidRPr="003A5617">
        <w:t>metacognitons</w:t>
      </w:r>
      <w:proofErr w:type="spellEnd"/>
      <w:r w:rsidRPr="003A5617">
        <w:t xml:space="preserve"> about gambling.</w:t>
      </w:r>
    </w:p>
    <w:p w:rsidR="00B75DE8" w:rsidRPr="003A5617" w:rsidRDefault="00B75DE8" w:rsidP="00B75DE8">
      <w:pPr>
        <w:spacing w:line="480" w:lineRule="auto"/>
        <w:ind w:right="-1"/>
        <w:jc w:val="both"/>
        <w:rPr>
          <w:i/>
        </w:rPr>
      </w:pPr>
      <w:r w:rsidRPr="003A5617">
        <w:rPr>
          <w:i/>
        </w:rPr>
        <w:t>South Oaks Gambling Screen (SOGS</w:t>
      </w:r>
      <w:r w:rsidRPr="003A5617">
        <w:rPr>
          <w:i/>
        </w:rPr>
        <w:fldChar w:fldCharType="begin"/>
      </w:r>
      <w:r w:rsidRPr="003A5617">
        <w:rPr>
          <w:i/>
        </w:rPr>
        <w:instrText>ADDIN CSL_CITATION {"mendeley": {"previouslyFormattedCitation": "(Lesieur &amp; Blume, 1987)"}, "citationItems": [{"uris": ["http://www.mendeley.com/documents/?uuid=caf36272-eb9a-4c6f-90ed-4168a3340851"], "id": "ITEM-1", "itemData": {"type": "article-journal", "author": [{"given": "HR", "dropping-particle": "", "suffix": "", "family": "Lesieur", "parse-names": false, "non-dropping-particle": ""}, {"given": "SB", "dropping-particle": "", "suffix": "", "family": "Blume", "parse-names": false, "non-dropping-particle": ""}], "issued": {"date-parts": [["1987"]]}, "title": "The South Oaks Gambling Screen (SOGS): A new instrument for the identification of pathological gamblers", "page": "1184-1188", "container-title": "American Journal of Psychiatry", "issue": "0", "id": "ITEM-1"}}], "properties": {"noteIndex": 0}, "schema": "https://github.com/citation-style-language/schema/raw/master/csl-citation.json"}</w:instrText>
      </w:r>
      <w:r w:rsidRPr="003A5617">
        <w:rPr>
          <w:i/>
        </w:rPr>
        <w:fldChar w:fldCharType="separate"/>
      </w:r>
      <w:r w:rsidRPr="003A5617">
        <w:rPr>
          <w:i/>
        </w:rPr>
        <w:t xml:space="preserve">; </w:t>
      </w:r>
      <w:r w:rsidRPr="003A5617">
        <w:t xml:space="preserve">Lesieur </w:t>
      </w:r>
      <w:r>
        <w:t>and</w:t>
      </w:r>
      <w:r w:rsidRPr="003A5617">
        <w:t xml:space="preserve"> Blume, 1987</w:t>
      </w:r>
      <w:r w:rsidRPr="003A5617">
        <w:rPr>
          <w:i/>
        </w:rPr>
        <w:t>)</w:t>
      </w:r>
      <w:r w:rsidRPr="003A5617">
        <w:rPr>
          <w:i/>
        </w:rPr>
        <w:fldChar w:fldCharType="end"/>
      </w:r>
      <w:r w:rsidRPr="003A5617">
        <w:rPr>
          <w:i/>
        </w:rPr>
        <w:t xml:space="preserve">. </w:t>
      </w:r>
    </w:p>
    <w:p w:rsidR="00B75DE8" w:rsidRPr="003A5617" w:rsidRDefault="00B75DE8" w:rsidP="00B75DE8">
      <w:pPr>
        <w:spacing w:line="480" w:lineRule="auto"/>
        <w:ind w:right="-1"/>
        <w:jc w:val="both"/>
        <w:rPr>
          <w:i/>
        </w:rPr>
      </w:pPr>
      <w:r w:rsidRPr="003A5617">
        <w:rPr>
          <w:color w:val="000000"/>
          <w:lang w:eastAsia="en-US"/>
        </w:rPr>
        <w:t>See description in Study 1.</w:t>
      </w:r>
    </w:p>
    <w:p w:rsidR="00B75DE8" w:rsidRPr="004A6C08" w:rsidRDefault="00B75DE8" w:rsidP="00B75DE8">
      <w:pPr>
        <w:spacing w:line="480" w:lineRule="auto"/>
        <w:ind w:right="-1"/>
        <w:jc w:val="both"/>
        <w:outlineLvl w:val="0"/>
        <w:rPr>
          <w:i/>
          <w:lang w:val="en-US"/>
        </w:rPr>
      </w:pPr>
      <w:r w:rsidRPr="004A6C08">
        <w:rPr>
          <w:i/>
          <w:lang w:val="en-US"/>
        </w:rPr>
        <w:t>Procedure</w:t>
      </w:r>
    </w:p>
    <w:p w:rsidR="00B75DE8" w:rsidRPr="003A5617" w:rsidRDefault="00B75DE8" w:rsidP="00B75DE8">
      <w:pPr>
        <w:spacing w:line="480" w:lineRule="auto"/>
        <w:ind w:right="-1"/>
        <w:jc w:val="both"/>
      </w:pPr>
      <w:r w:rsidRPr="003A5617">
        <w:t xml:space="preserve">Ethics approval for the study </w:t>
      </w:r>
      <w:r w:rsidRPr="003A5617">
        <w:rPr>
          <w:rFonts w:eastAsia="Calibri"/>
          <w:lang w:val="en-US" w:eastAsia="it-IT"/>
        </w:rPr>
        <w:t xml:space="preserve">was granted by the ethics committee at </w:t>
      </w:r>
      <w:proofErr w:type="spellStart"/>
      <w:r w:rsidRPr="003A5617">
        <w:rPr>
          <w:rFonts w:eastAsia="Calibri"/>
          <w:lang w:val="en-US" w:eastAsia="it-IT"/>
        </w:rPr>
        <w:t>Studi</w:t>
      </w:r>
      <w:proofErr w:type="spellEnd"/>
      <w:r w:rsidRPr="003A5617">
        <w:rPr>
          <w:rFonts w:eastAsia="Calibri"/>
          <w:lang w:val="en-US" w:eastAsia="it-IT"/>
        </w:rPr>
        <w:t xml:space="preserve"> </w:t>
      </w:r>
      <w:proofErr w:type="spellStart"/>
      <w:r w:rsidRPr="003A5617">
        <w:rPr>
          <w:rFonts w:eastAsia="Calibri"/>
          <w:lang w:val="en-US" w:eastAsia="it-IT"/>
        </w:rPr>
        <w:t>Cognitivi</w:t>
      </w:r>
      <w:proofErr w:type="spellEnd"/>
      <w:r w:rsidRPr="003A5617">
        <w:rPr>
          <w:rFonts w:eastAsia="Calibri"/>
          <w:lang w:val="en-US" w:eastAsia="it-IT"/>
        </w:rPr>
        <w:t xml:space="preserve">. </w:t>
      </w:r>
      <w:r w:rsidRPr="003A5617">
        <w:t>Participants were informed that the purpose of the study was to examine “Beliefs about gambling”. All patients were informed that data provided in the study would be treated with the strictest confidence and that participation in the research project was entirely voluntary. Following a brief introduction to the project and the granting of written informed consent patients were instructed, both verbally and in written form, to complete the baseline measures. After 3 months all patients were located and screened about their gambling activities in a face-to-face meeting by the same researcher as at baseline. All patients were debriefed following completion of these measures.</w:t>
      </w:r>
    </w:p>
    <w:p w:rsidR="00B75DE8" w:rsidRPr="003A5617" w:rsidRDefault="00B75DE8" w:rsidP="00B75DE8">
      <w:pPr>
        <w:tabs>
          <w:tab w:val="left" w:pos="9072"/>
        </w:tabs>
        <w:spacing w:line="480" w:lineRule="auto"/>
        <w:ind w:right="-1"/>
        <w:outlineLvl w:val="0"/>
        <w:rPr>
          <w:b/>
        </w:rPr>
      </w:pPr>
      <w:r w:rsidRPr="003A5617">
        <w:rPr>
          <w:b/>
        </w:rPr>
        <w:t>Results</w:t>
      </w:r>
    </w:p>
    <w:p w:rsidR="00B75DE8" w:rsidRPr="004A6C08" w:rsidRDefault="00B75DE8" w:rsidP="00B75DE8">
      <w:pPr>
        <w:tabs>
          <w:tab w:val="left" w:pos="9072"/>
        </w:tabs>
        <w:spacing w:line="480" w:lineRule="auto"/>
        <w:ind w:right="-1"/>
        <w:jc w:val="both"/>
        <w:outlineLvl w:val="0"/>
        <w:rPr>
          <w:i/>
        </w:rPr>
      </w:pPr>
      <w:r w:rsidRPr="004A6C08">
        <w:rPr>
          <w:i/>
        </w:rPr>
        <w:t>Data Configuration and Descriptive Statistics</w:t>
      </w:r>
    </w:p>
    <w:p w:rsidR="00B75DE8" w:rsidRPr="003A5617" w:rsidRDefault="00B75DE8" w:rsidP="00B75DE8">
      <w:pPr>
        <w:spacing w:line="480" w:lineRule="auto"/>
        <w:ind w:right="-1"/>
        <w:jc w:val="both"/>
      </w:pPr>
      <w:r w:rsidRPr="003A5617">
        <w:t>Descriptive statistics for all variables are presented in Table 4. The data configuration procedure was undertaken considering gambling severity at time 2 as the dependent variable.</w:t>
      </w:r>
    </w:p>
    <w:p w:rsidR="00B75DE8" w:rsidRPr="003A5617" w:rsidRDefault="00B75DE8" w:rsidP="00B75DE8">
      <w:pPr>
        <w:spacing w:line="480" w:lineRule="auto"/>
        <w:ind w:right="-1" w:firstLine="708"/>
        <w:jc w:val="both"/>
      </w:pPr>
      <w:r w:rsidRPr="003A5617">
        <w:lastRenderedPageBreak/>
        <w:t xml:space="preserve">An inspection of histograms, skewness and Kurtosis coefficients showed that all measures were distributed normally. We then tested for the presence of multivariate outliers by calculating the distance of </w:t>
      </w:r>
      <w:proofErr w:type="spellStart"/>
      <w:r w:rsidRPr="003A5617">
        <w:t>Mahalanobis</w:t>
      </w:r>
      <w:proofErr w:type="spellEnd"/>
      <w:r w:rsidRPr="003A5617">
        <w:t xml:space="preserve"> (</w:t>
      </w:r>
      <w:r w:rsidRPr="003A5617">
        <w:rPr>
          <w:i/>
        </w:rPr>
        <w:t>D</w:t>
      </w:r>
      <w:r w:rsidRPr="003A5617">
        <w:rPr>
          <w:i/>
          <w:vertAlign w:val="superscript"/>
        </w:rPr>
        <w:t>2</w:t>
      </w:r>
      <w:r w:rsidRPr="003A5617">
        <w:t>), which identified 1 multivariate outlier (</w:t>
      </w:r>
      <w:r w:rsidRPr="003A5617">
        <w:rPr>
          <w:i/>
        </w:rPr>
        <w:t>n</w:t>
      </w:r>
      <w:r w:rsidRPr="003A5617">
        <w:t xml:space="preserve">=87). This was eliminated from further analyses to ensure a linear relationship between variables. The coefficient of </w:t>
      </w:r>
      <w:proofErr w:type="spellStart"/>
      <w:r w:rsidRPr="003A5617">
        <w:t>Mardia</w:t>
      </w:r>
      <w:proofErr w:type="spellEnd"/>
      <w:r w:rsidRPr="003A5617">
        <w:t xml:space="preserve">, which represents the multivariate kurtosis coefficient, was 75.04. This coefficient was not greater than the critical value (80.0) for an asymmetrical multivariate distribution, indicating a multivariate normal distribution. </w:t>
      </w:r>
    </w:p>
    <w:p w:rsidR="00B75DE8" w:rsidRPr="003A5617" w:rsidRDefault="00B75DE8" w:rsidP="00B75DE8">
      <w:pPr>
        <w:spacing w:line="480" w:lineRule="auto"/>
        <w:ind w:right="-1" w:firstLine="708"/>
        <w:jc w:val="both"/>
      </w:pPr>
      <w:r w:rsidRPr="003A5617">
        <w:t xml:space="preserve">An inspection of the graphical distribution of </w:t>
      </w:r>
      <w:r w:rsidRPr="003A5617">
        <w:rPr>
          <w:i/>
        </w:rPr>
        <w:t>D</w:t>
      </w:r>
      <w:r w:rsidRPr="003A5617">
        <w:rPr>
          <w:i/>
          <w:vertAlign w:val="superscript"/>
        </w:rPr>
        <w:t>2</w:t>
      </w:r>
      <w:r w:rsidRPr="003A5617">
        <w:t>and Q-Q plots supported this finding. We then examined multi-collinearity using the tolerance index (</w:t>
      </w:r>
      <w:proofErr w:type="spellStart"/>
      <w:r w:rsidRPr="003A5617">
        <w:rPr>
          <w:i/>
        </w:rPr>
        <w:t>Ti</w:t>
      </w:r>
      <w:proofErr w:type="spellEnd"/>
      <w:r w:rsidRPr="003A5617">
        <w:t xml:space="preserve">) and the variance inflation factor (VIF). A </w:t>
      </w:r>
      <w:proofErr w:type="spellStart"/>
      <w:r w:rsidRPr="003A5617">
        <w:rPr>
          <w:i/>
        </w:rPr>
        <w:t>Ti</w:t>
      </w:r>
      <w:proofErr w:type="spellEnd"/>
      <w:r w:rsidRPr="003A5617">
        <w:rPr>
          <w:i/>
        </w:rPr>
        <w:t xml:space="preserve"> </w:t>
      </w:r>
      <w:r w:rsidRPr="003A5617">
        <w:t xml:space="preserve">of more than 0.02 and a value less than 5.0 for VIF are considered reliable cut-off points for the absence of multicollinearity. The </w:t>
      </w:r>
      <w:r w:rsidRPr="003A5617">
        <w:rPr>
          <w:lang w:val="en-US"/>
        </w:rPr>
        <w:t xml:space="preserve">tolerance index goes from .48 to .91 and the VIF from 1.10 to 2.14. </w:t>
      </w:r>
      <w:r w:rsidRPr="003A5617">
        <w:t xml:space="preserve">These analyses supported the absence of multicollinearity between variables. </w:t>
      </w:r>
      <w:r w:rsidRPr="003A5617">
        <w:rPr>
          <w:lang w:val="en-US"/>
        </w:rPr>
        <w:t xml:space="preserve">An analysis of residuals (residual </w:t>
      </w:r>
      <w:r w:rsidRPr="003A5617">
        <w:t>Q-Q plots, skewness, kurtosis, correlations with variables) was performed to identify non-linearity, to support homoscedasticity and to identify the absence of significant correlation. The Durbin-Watson statistic was 1.85 ensuring the absence of autocorrelation. The inspection of Cook’s distance showed that no participants’ data would change the regression analyses coefficients significantly.</w:t>
      </w:r>
    </w:p>
    <w:p w:rsidR="00B75DE8" w:rsidRPr="003A5617" w:rsidRDefault="00B75DE8" w:rsidP="00B75DE8">
      <w:pPr>
        <w:spacing w:line="480" w:lineRule="auto"/>
        <w:ind w:right="-1" w:firstLine="708"/>
        <w:jc w:val="both"/>
      </w:pPr>
      <w:r w:rsidRPr="003A5617">
        <w:t>An inspection of missing data patterns showed that missing data was 11.3% with a random distribution between time-points as confirmed by a non- significant Little’s MCAR test (</w:t>
      </w:r>
      <w:r w:rsidRPr="003A5617">
        <w:rPr>
          <w:i/>
        </w:rPr>
        <w:t>x</w:t>
      </w:r>
      <w:r w:rsidRPr="003A5617">
        <w:rPr>
          <w:i/>
          <w:vertAlign w:val="superscript"/>
        </w:rPr>
        <w:t>2</w:t>
      </w:r>
      <w:r w:rsidRPr="003A5617">
        <w:rPr>
          <w:i/>
        </w:rPr>
        <w:t xml:space="preserve">= </w:t>
      </w:r>
      <w:r w:rsidRPr="003A5617">
        <w:t xml:space="preserve">7.34, </w:t>
      </w:r>
      <w:r w:rsidRPr="003A5617">
        <w:rPr>
          <w:i/>
        </w:rPr>
        <w:t>p&gt;</w:t>
      </w:r>
      <w:r w:rsidRPr="003A5617">
        <w:t>.05). We then adopted a multiple imputation technique with the expectation-maximization model to manage missing data.</w:t>
      </w:r>
    </w:p>
    <w:p w:rsidR="00B75DE8" w:rsidRPr="004A6C08" w:rsidRDefault="00B75DE8" w:rsidP="00B75DE8">
      <w:pPr>
        <w:spacing w:line="480" w:lineRule="auto"/>
        <w:ind w:right="-1"/>
        <w:jc w:val="both"/>
        <w:outlineLvl w:val="0"/>
        <w:rPr>
          <w:i/>
        </w:rPr>
      </w:pPr>
      <w:r w:rsidRPr="004A6C08">
        <w:rPr>
          <w:i/>
        </w:rPr>
        <w:t>Correlational Analysis</w:t>
      </w:r>
    </w:p>
    <w:p w:rsidR="00B75DE8" w:rsidRPr="003A5617" w:rsidRDefault="00B75DE8" w:rsidP="00B75DE8">
      <w:pPr>
        <w:tabs>
          <w:tab w:val="left" w:pos="709"/>
        </w:tabs>
        <w:spacing w:line="480" w:lineRule="auto"/>
        <w:ind w:right="-1"/>
        <w:jc w:val="both"/>
      </w:pPr>
      <w:r w:rsidRPr="003A5617">
        <w:rPr>
          <w:lang w:val="en-US"/>
        </w:rPr>
        <w:t>To test whether metacognitions about gambling would positively correlate with gambling severity at time 2 we ran a series of correlations on pooled study variables once multiple imputed. Pooled c</w:t>
      </w:r>
      <w:proofErr w:type="spellStart"/>
      <w:r w:rsidRPr="003A5617">
        <w:t>orrelations</w:t>
      </w:r>
      <w:proofErr w:type="spellEnd"/>
      <w:r w:rsidRPr="003A5617">
        <w:t xml:space="preserve"> showed that gambling severity at time 2 was positively associated to negative </w:t>
      </w:r>
      <w:r w:rsidRPr="003A5617">
        <w:lastRenderedPageBreak/>
        <w:t>metacognitions about gambling and positive metacognitions about gambling (See Table 4). All other variables as measured at time 1 were positively associated with gambling severity at time 2.</w:t>
      </w:r>
    </w:p>
    <w:p w:rsidR="00B75DE8" w:rsidRPr="004A6C08" w:rsidRDefault="00B75DE8" w:rsidP="00B75DE8">
      <w:pPr>
        <w:autoSpaceDE w:val="0"/>
        <w:autoSpaceDN w:val="0"/>
        <w:adjustRightInd w:val="0"/>
        <w:spacing w:line="480" w:lineRule="auto"/>
        <w:ind w:right="-1"/>
        <w:jc w:val="both"/>
        <w:outlineLvl w:val="0"/>
        <w:rPr>
          <w:i/>
        </w:rPr>
      </w:pPr>
      <w:r w:rsidRPr="004A6C08">
        <w:rPr>
          <w:i/>
        </w:rPr>
        <w:t>Regression analysis</w:t>
      </w:r>
    </w:p>
    <w:p w:rsidR="00B75DE8" w:rsidRPr="003A5617" w:rsidRDefault="00B75DE8" w:rsidP="00B75DE8">
      <w:pPr>
        <w:tabs>
          <w:tab w:val="left" w:pos="9072"/>
        </w:tabs>
        <w:spacing w:line="480" w:lineRule="auto"/>
        <w:ind w:right="-1"/>
        <w:jc w:val="both"/>
      </w:pPr>
      <w:r w:rsidRPr="003A5617">
        <w:rPr>
          <w:lang w:val="en-US"/>
        </w:rPr>
        <w:t>To test we</w:t>
      </w:r>
      <w:r>
        <w:rPr>
          <w:lang w:val="en-US"/>
        </w:rPr>
        <w:t>a</w:t>
      </w:r>
      <w:r w:rsidRPr="003A5617">
        <w:rPr>
          <w:lang w:val="en-US"/>
        </w:rPr>
        <w:t xml:space="preserve">ther metacognitions about gambling measured at time 1 predicted gambling severity three months later independently of gambling severity, anxiety, depression and </w:t>
      </w:r>
      <w:r w:rsidRPr="003A5617">
        <w:t xml:space="preserve">gambling-specific </w:t>
      </w:r>
      <w:r>
        <w:t>biased beliefs</w:t>
      </w:r>
      <w:r w:rsidRPr="003A5617">
        <w:rPr>
          <w:lang w:val="en-US"/>
        </w:rPr>
        <w:t xml:space="preserve"> measured at time 1, a hierarchical regression analysis was run on the pooled study variables (see Table 5). Gambling severity at time 2 was entered as dependent variable. Gambling severity, anxiety, depression at time 1 were entered on step 1, </w:t>
      </w:r>
      <w:r w:rsidRPr="003A5617">
        <w:t>gambling-specific cognitive distortions</w:t>
      </w:r>
      <w:r w:rsidRPr="003A5617">
        <w:rPr>
          <w:lang w:val="en-US"/>
        </w:rPr>
        <w:t xml:space="preserve"> were entered on step 2, positive metacognitions about gambling and negative metacognitions about gambling at time 1 were entered on step 3. </w:t>
      </w:r>
      <w:r w:rsidRPr="00B56335">
        <w:rPr>
          <w:highlight w:val="yellow"/>
          <w:lang w:val="en-US"/>
        </w:rPr>
        <w:t>Gender was excluded because of the absence of a sign</w:t>
      </w:r>
      <w:r>
        <w:rPr>
          <w:highlight w:val="yellow"/>
          <w:lang w:val="en-US"/>
        </w:rPr>
        <w:t>ificant correlation with gambling severity (</w:t>
      </w:r>
      <w:r>
        <w:rPr>
          <w:i/>
          <w:highlight w:val="yellow"/>
          <w:lang w:val="en-US"/>
        </w:rPr>
        <w:t>r</w:t>
      </w:r>
      <w:r>
        <w:rPr>
          <w:highlight w:val="yellow"/>
          <w:lang w:val="en-US"/>
        </w:rPr>
        <w:t xml:space="preserve"> = -.03). </w:t>
      </w:r>
      <w:r w:rsidRPr="00B56335">
        <w:rPr>
          <w:lang w:val="en-US"/>
        </w:rPr>
        <w:t>Metacognitions</w:t>
      </w:r>
      <w:r w:rsidRPr="003A5617">
        <w:rPr>
          <w:lang w:val="en-US"/>
        </w:rPr>
        <w:t xml:space="preserve"> about gambling</w:t>
      </w:r>
      <w:r w:rsidRPr="003A5617">
        <w:t xml:space="preserve"> were found to account for a significant 5-10% (</w:t>
      </w:r>
      <w:r w:rsidRPr="003A5617">
        <w:rPr>
          <w:i/>
        </w:rPr>
        <w:t>p</w:t>
      </w:r>
      <w:r w:rsidRPr="003A5617">
        <w:t>&lt;0.001) in variance over and above all other predictors among the pooled regression analysis. A closer inspection of the final equation in the analysis reveals that only gambling severity and negative metacognitions about gambling were significant predictors of gambling severity as measured at time 2.</w:t>
      </w:r>
    </w:p>
    <w:p w:rsidR="00B75DE8" w:rsidRPr="003A5617" w:rsidRDefault="00B75DE8" w:rsidP="00B75DE8">
      <w:pPr>
        <w:spacing w:line="480" w:lineRule="auto"/>
        <w:outlineLvl w:val="0"/>
        <w:rPr>
          <w:b/>
        </w:rPr>
      </w:pPr>
      <w:r w:rsidRPr="003A5617">
        <w:rPr>
          <w:b/>
        </w:rPr>
        <w:t>Discussion</w:t>
      </w:r>
    </w:p>
    <w:p w:rsidR="00B75DE8" w:rsidRPr="003A5617" w:rsidRDefault="00B75DE8" w:rsidP="00B75DE8">
      <w:pPr>
        <w:spacing w:line="480" w:lineRule="auto"/>
        <w:ind w:right="-40"/>
        <w:jc w:val="both"/>
        <w:rPr>
          <w:lang w:val="en-US"/>
        </w:rPr>
      </w:pPr>
      <w:r w:rsidRPr="003A5617">
        <w:t>Expanding upon the extensive research base which has demonstrated the key role of metacognitions in addictive behaviours (</w:t>
      </w:r>
      <w:proofErr w:type="spellStart"/>
      <w:r w:rsidRPr="003A5617">
        <w:t>Spada</w:t>
      </w:r>
      <w:proofErr w:type="spellEnd"/>
      <w:r w:rsidRPr="003A5617">
        <w:t xml:space="preserve">, Caselli, </w:t>
      </w:r>
      <w:proofErr w:type="spellStart"/>
      <w:r w:rsidRPr="003A5617">
        <w:t>Nikčević</w:t>
      </w:r>
      <w:proofErr w:type="spellEnd"/>
      <w:r w:rsidRPr="003A5617">
        <w:t xml:space="preserve"> </w:t>
      </w:r>
      <w:r>
        <w:t>and</w:t>
      </w:r>
      <w:r w:rsidRPr="003A5617">
        <w:t xml:space="preserve"> Wells, 2015)</w:t>
      </w:r>
      <w:proofErr w:type="gramStart"/>
      <w:r w:rsidRPr="003A5617">
        <w:t>,</w:t>
      </w:r>
      <w:proofErr w:type="gramEnd"/>
      <w:r w:rsidRPr="003A5617">
        <w:t xml:space="preserve"> we conducted three studies aimed at developing and validating a self-report questionnaire on metacognitions about gambling and test their prospective role in predicting gambling severity. In Study 1 we ran a principal components factor analysis on a community sample of gamblers. Results from this study suggested a two factor solution for the newly developed MGQ comprising of: positive metacognitions about gambling and negative metacognitions about gambling. The </w:t>
      </w:r>
      <w:r w:rsidRPr="003A5617">
        <w:rPr>
          <w:lang w:val="en-US"/>
        </w:rPr>
        <w:t xml:space="preserve">internal consistencies (homogeneity) of the factors were satisfactory. </w:t>
      </w:r>
    </w:p>
    <w:p w:rsidR="00B75DE8" w:rsidRPr="003A5617" w:rsidRDefault="00B75DE8" w:rsidP="00B75DE8">
      <w:pPr>
        <w:spacing w:line="480" w:lineRule="auto"/>
        <w:ind w:right="-40" w:firstLine="708"/>
        <w:jc w:val="both"/>
      </w:pPr>
      <w:r w:rsidRPr="003A5617">
        <w:t xml:space="preserve">The structure of the MGQ was broadly confirmed in Study 2 through a confirmatory factor analysis in a clinical sample of patients presenting with gambling disorder. Results revealed that </w:t>
      </w:r>
      <w:r w:rsidRPr="003A5617">
        <w:lastRenderedPageBreak/>
        <w:t>positive and negative metacognitions about gambling were positively correlated with gambling measures (providing support for predictive validity)</w:t>
      </w:r>
      <w:r>
        <w:t xml:space="preserve"> </w:t>
      </w:r>
      <w:r w:rsidRPr="00477D12">
        <w:rPr>
          <w:highlight w:val="yellow"/>
        </w:rPr>
        <w:t>and with</w:t>
      </w:r>
      <w:r>
        <w:rPr>
          <w:highlight w:val="yellow"/>
        </w:rPr>
        <w:t xml:space="preserve"> gambling-</w:t>
      </w:r>
      <w:r w:rsidRPr="00477D12">
        <w:rPr>
          <w:highlight w:val="yellow"/>
        </w:rPr>
        <w:t>specific biased beliefs</w:t>
      </w:r>
      <w:r w:rsidRPr="00461F11">
        <w:rPr>
          <w:highlight w:val="yellow"/>
        </w:rPr>
        <w:t xml:space="preserve">. The mutual relationship between metacognitions and biased </w:t>
      </w:r>
      <w:r>
        <w:rPr>
          <w:highlight w:val="yellow"/>
        </w:rPr>
        <w:t>beliefs</w:t>
      </w:r>
      <w:r w:rsidRPr="00461F11">
        <w:rPr>
          <w:highlight w:val="yellow"/>
        </w:rPr>
        <w:t xml:space="preserve"> can be explain</w:t>
      </w:r>
      <w:r>
        <w:rPr>
          <w:highlight w:val="yellow"/>
        </w:rPr>
        <w:t>ed</w:t>
      </w:r>
      <w:r w:rsidRPr="00461F11">
        <w:rPr>
          <w:highlight w:val="yellow"/>
        </w:rPr>
        <w:t xml:space="preserve"> </w:t>
      </w:r>
      <w:r>
        <w:rPr>
          <w:highlight w:val="yellow"/>
        </w:rPr>
        <w:t>by</w:t>
      </w:r>
      <w:r w:rsidRPr="00461F11">
        <w:rPr>
          <w:highlight w:val="yellow"/>
        </w:rPr>
        <w:t xml:space="preserve"> </w:t>
      </w:r>
      <w:r>
        <w:rPr>
          <w:highlight w:val="yellow"/>
        </w:rPr>
        <w:t xml:space="preserve">potentially </w:t>
      </w:r>
      <w:r w:rsidRPr="00461F11">
        <w:rPr>
          <w:highlight w:val="yellow"/>
        </w:rPr>
        <w:t xml:space="preserve">different pathways. Firstly, biased beliefs may be the result of metacognitive knowledge, for example positive metacognitions about gambling can generate or empower biased beliefs by selecting cognitive strategies like the monitoring of potential ‘good reasons’ for starting gambling activity or reducing the impact of its negative consequences (Caselli </w:t>
      </w:r>
      <w:r>
        <w:rPr>
          <w:highlight w:val="yellow"/>
        </w:rPr>
        <w:t>and</w:t>
      </w:r>
      <w:r w:rsidRPr="00461F11">
        <w:rPr>
          <w:highlight w:val="yellow"/>
        </w:rPr>
        <w:t xml:space="preserve"> </w:t>
      </w:r>
      <w:proofErr w:type="spellStart"/>
      <w:r w:rsidRPr="00461F11">
        <w:rPr>
          <w:highlight w:val="yellow"/>
        </w:rPr>
        <w:t>Spada</w:t>
      </w:r>
      <w:proofErr w:type="spellEnd"/>
      <w:r w:rsidRPr="00461F11">
        <w:rPr>
          <w:highlight w:val="yellow"/>
        </w:rPr>
        <w:t>, 2015). Secondly, negative metacognitions about uncontrollability can lead to a reduction of an appropriate goal progress monitoring and consequently hinder the disconfirmation of biased beliefs.</w:t>
      </w:r>
      <w:r>
        <w:t xml:space="preserve"> </w:t>
      </w:r>
      <w:r w:rsidRPr="003A5617">
        <w:t>Data also indicated that negative metacognitions about gambling were associated with gambling severity, controlling for negative affect and gambling-specific cognitive distortions (providing support for divergent validity).</w:t>
      </w:r>
    </w:p>
    <w:p w:rsidR="00B75DE8" w:rsidRPr="003A5617" w:rsidRDefault="00B75DE8" w:rsidP="00B75DE8">
      <w:pPr>
        <w:spacing w:line="480" w:lineRule="auto"/>
        <w:ind w:firstLine="720"/>
        <w:contextualSpacing/>
        <w:jc w:val="both"/>
      </w:pPr>
      <w:r w:rsidRPr="003A5617">
        <w:t xml:space="preserve">Study 3 provides evidence for the prospective role of metacognitions </w:t>
      </w:r>
      <w:r>
        <w:t xml:space="preserve">about gambling </w:t>
      </w:r>
      <w:r w:rsidRPr="003A5617">
        <w:t xml:space="preserve">in predicting gambling severity over and above other well-established predictors. Firstly, positive and negative metacognitions about gambling were positively associated to subsequent gambling severity. Secondly, negative metacognitions about gambling (time 1) prospectively predicted subsequent gambling severity (time 2) independently from gambling severity, gambling-specific </w:t>
      </w:r>
      <w:r>
        <w:t>biased beliefs</w:t>
      </w:r>
      <w:r w:rsidRPr="003A5617">
        <w:t xml:space="preserve"> and negative affect as measured at time 1.</w:t>
      </w:r>
    </w:p>
    <w:p w:rsidR="00B75DE8" w:rsidRPr="003A5617" w:rsidRDefault="00B75DE8" w:rsidP="00B75DE8">
      <w:pPr>
        <w:tabs>
          <w:tab w:val="left" w:pos="709"/>
          <w:tab w:val="left" w:pos="9639"/>
        </w:tabs>
        <w:spacing w:line="480" w:lineRule="auto"/>
        <w:ind w:right="-1"/>
        <w:jc w:val="both"/>
      </w:pPr>
      <w:r w:rsidRPr="003A5617">
        <w:tab/>
        <w:t xml:space="preserve">These findings demonstrate the utility of the MGQ in predicting gambling behaviour in both community and clinical samples. </w:t>
      </w:r>
      <w:r w:rsidRPr="003A5617">
        <w:rPr>
          <w:lang w:val="en-US"/>
        </w:rPr>
        <w:t xml:space="preserve">These results are consistent with early explorative findings on the role of metacognitions in gambling disorder </w:t>
      </w:r>
      <w:r>
        <w:t xml:space="preserve">(Lindberg, </w:t>
      </w:r>
      <w:proofErr w:type="spellStart"/>
      <w:r>
        <w:t>Fernie</w:t>
      </w:r>
      <w:proofErr w:type="spellEnd"/>
      <w:r w:rsidRPr="003A5617">
        <w:t xml:space="preserve"> </w:t>
      </w:r>
      <w:r>
        <w:t>and</w:t>
      </w:r>
      <w:r w:rsidRPr="003A5617">
        <w:t xml:space="preserve"> </w:t>
      </w:r>
      <w:proofErr w:type="spellStart"/>
      <w:r w:rsidRPr="003A5617">
        <w:t>Spada</w:t>
      </w:r>
      <w:proofErr w:type="spellEnd"/>
      <w:r w:rsidRPr="003A5617">
        <w:t xml:space="preserve">, 2011; </w:t>
      </w:r>
      <w:proofErr w:type="spellStart"/>
      <w:r w:rsidRPr="003A5617">
        <w:t>Spada</w:t>
      </w:r>
      <w:proofErr w:type="spellEnd"/>
      <w:r w:rsidRPr="003A5617">
        <w:t xml:space="preserve">, </w:t>
      </w:r>
      <w:proofErr w:type="spellStart"/>
      <w:r w:rsidRPr="003A5617">
        <w:t>Giustina</w:t>
      </w:r>
      <w:proofErr w:type="spellEnd"/>
      <w:r w:rsidRPr="003A5617">
        <w:t xml:space="preserve">, </w:t>
      </w:r>
      <w:proofErr w:type="spellStart"/>
      <w:r w:rsidRPr="003A5617">
        <w:t>R</w:t>
      </w:r>
      <w:r>
        <w:t>olandi</w:t>
      </w:r>
      <w:proofErr w:type="spellEnd"/>
      <w:r>
        <w:t xml:space="preserve">, </w:t>
      </w:r>
      <w:proofErr w:type="spellStart"/>
      <w:r>
        <w:t>Fernie</w:t>
      </w:r>
      <w:proofErr w:type="spellEnd"/>
      <w:r w:rsidRPr="003A5617">
        <w:t xml:space="preserve"> </w:t>
      </w:r>
      <w:r>
        <w:t>and</w:t>
      </w:r>
      <w:r w:rsidRPr="003A5617">
        <w:t xml:space="preserve"> Caselli, 2015)</w:t>
      </w:r>
      <w:r w:rsidRPr="003A5617">
        <w:rPr>
          <w:lang w:val="en-US"/>
        </w:rPr>
        <w:t xml:space="preserve"> and add to the argument for applying metacognitive theory to the understanding of gambling disorder in a similar way to what has been employed for other addictive </w:t>
      </w:r>
      <w:proofErr w:type="spellStart"/>
      <w:r w:rsidRPr="003A5617">
        <w:rPr>
          <w:lang w:val="en-US"/>
        </w:rPr>
        <w:t>behaviours</w:t>
      </w:r>
      <w:proofErr w:type="spellEnd"/>
      <w:r w:rsidRPr="003A5617">
        <w:rPr>
          <w:lang w:val="en-US"/>
        </w:rPr>
        <w:t xml:space="preserve"> (</w:t>
      </w:r>
      <w:proofErr w:type="spellStart"/>
      <w:r w:rsidRPr="003A5617">
        <w:t>Spada</w:t>
      </w:r>
      <w:proofErr w:type="spellEnd"/>
      <w:r w:rsidRPr="003A5617">
        <w:t xml:space="preserve">, Caselli, </w:t>
      </w:r>
      <w:proofErr w:type="spellStart"/>
      <w:r w:rsidRPr="003A5617">
        <w:t>Nikčević</w:t>
      </w:r>
      <w:proofErr w:type="spellEnd"/>
      <w:r w:rsidRPr="003A5617">
        <w:t xml:space="preserve"> </w:t>
      </w:r>
      <w:r>
        <w:t>and</w:t>
      </w:r>
      <w:r w:rsidRPr="003A5617">
        <w:t xml:space="preserve"> Wells, 2015; </w:t>
      </w:r>
      <w:proofErr w:type="spellStart"/>
      <w:r w:rsidRPr="003A5617">
        <w:t>Spada</w:t>
      </w:r>
      <w:proofErr w:type="spellEnd"/>
      <w:r w:rsidRPr="003A5617">
        <w:t xml:space="preserve">, Caselli </w:t>
      </w:r>
      <w:r>
        <w:t>and</w:t>
      </w:r>
      <w:r w:rsidRPr="003A5617">
        <w:t xml:space="preserve"> Wells, 2013). According to the metacognitive theoretical tenet, positive metacognitions about gambling can implicitly or explicitly motivate toward gambling activity as a means of coping with negative intrusive thoughts </w:t>
      </w:r>
      <w:r w:rsidRPr="003A5617">
        <w:lastRenderedPageBreak/>
        <w:t xml:space="preserve">or negative affect to achieve self-regulation (Wells, 2009). In support of this association between positive metacognitions about gambling and gambling severity is stronger in non-clinical gamblers rather than in clinical gamblers. In addition to this, negative metacognitions about gambling seemed to play an even more relevant role in predicting subsequent gambling severity in clinical samples. This may happen because of their preeminent role in sustaining the perseveration of gambling once it started. Believing gambling activity as out of control may: (1) reduce the level of meta-awareness about the real extent of control possibilities; (2) prevent the effortful exertion of self-control over gambling; (3) promote the persistency of gambling; and (4) hinder disconfirmation of such metacognitions (Wells, 2009; </w:t>
      </w:r>
      <w:proofErr w:type="spellStart"/>
      <w:r w:rsidRPr="003A5617">
        <w:t>Spada</w:t>
      </w:r>
      <w:proofErr w:type="spellEnd"/>
      <w:r w:rsidRPr="003A5617">
        <w:t xml:space="preserve">, Caselli </w:t>
      </w:r>
      <w:r>
        <w:t>and</w:t>
      </w:r>
      <w:r w:rsidRPr="003A5617">
        <w:t xml:space="preserve"> Wells, 2013). </w:t>
      </w:r>
    </w:p>
    <w:p w:rsidR="00B75DE8" w:rsidRPr="003A5617" w:rsidRDefault="00B75DE8" w:rsidP="00B75DE8">
      <w:pPr>
        <w:spacing w:line="480" w:lineRule="auto"/>
        <w:ind w:right="-40" w:firstLine="720"/>
        <w:jc w:val="both"/>
      </w:pPr>
      <w:r w:rsidRPr="003A5617">
        <w:t>Findings also highlight the potential utility of employing techniques and principles of MCT (Wells, 2009), which have been found to be effective in the treatment of anxiety and mood disorders (</w:t>
      </w:r>
      <w:proofErr w:type="spellStart"/>
      <w:r w:rsidRPr="003A5617">
        <w:rPr>
          <w:lang w:val="en-US"/>
        </w:rPr>
        <w:t>Normann</w:t>
      </w:r>
      <w:proofErr w:type="spellEnd"/>
      <w:r w:rsidRPr="003A5617">
        <w:rPr>
          <w:lang w:val="en-US"/>
        </w:rPr>
        <w:t xml:space="preserve">, van </w:t>
      </w:r>
      <w:proofErr w:type="spellStart"/>
      <w:r w:rsidRPr="003A5617">
        <w:rPr>
          <w:lang w:val="en-US"/>
        </w:rPr>
        <w:t>Emmerik</w:t>
      </w:r>
      <w:proofErr w:type="spellEnd"/>
      <w:r w:rsidRPr="003A5617">
        <w:rPr>
          <w:lang w:val="en-US"/>
        </w:rPr>
        <w:t xml:space="preserve"> </w:t>
      </w:r>
      <w:r>
        <w:t>and</w:t>
      </w:r>
      <w:r w:rsidRPr="003A5617">
        <w:rPr>
          <w:lang w:val="en-US"/>
        </w:rPr>
        <w:t xml:space="preserve"> </w:t>
      </w:r>
      <w:proofErr w:type="spellStart"/>
      <w:r w:rsidRPr="003A5617">
        <w:rPr>
          <w:lang w:val="en-US"/>
        </w:rPr>
        <w:t>Nexhmedin</w:t>
      </w:r>
      <w:proofErr w:type="spellEnd"/>
      <w:r w:rsidRPr="003A5617">
        <w:rPr>
          <w:lang w:val="en-US"/>
        </w:rPr>
        <w:t>, 201</w:t>
      </w:r>
      <w:r w:rsidRPr="003A5617">
        <w:t>4), in aiding the discontinuation of problematic gambling. The techniques that could be employed to tackle problematic gambling may include the re-appraisal of metacognitions as well as interventions aimed at modifying such metacognitive knowledge, such as detached mindfulness, attention training and the postponement of gambling (</w:t>
      </w:r>
      <w:proofErr w:type="spellStart"/>
      <w:r w:rsidRPr="003A5617">
        <w:t>Spada</w:t>
      </w:r>
      <w:proofErr w:type="spellEnd"/>
      <w:r w:rsidRPr="003A5617">
        <w:t xml:space="preserve">, Caselli, </w:t>
      </w:r>
      <w:proofErr w:type="spellStart"/>
      <w:r w:rsidRPr="003A5617">
        <w:t>Nikčević</w:t>
      </w:r>
      <w:proofErr w:type="spellEnd"/>
      <w:r w:rsidRPr="003A5617">
        <w:t xml:space="preserve">, </w:t>
      </w:r>
      <w:r>
        <w:t>and</w:t>
      </w:r>
      <w:r w:rsidRPr="003A5617">
        <w:t xml:space="preserve"> Wells, 2015)</w:t>
      </w:r>
    </w:p>
    <w:p w:rsidR="00B75DE8" w:rsidRPr="003A5617" w:rsidRDefault="00B75DE8" w:rsidP="00B75DE8">
      <w:pPr>
        <w:tabs>
          <w:tab w:val="left" w:pos="8789"/>
        </w:tabs>
        <w:spacing w:line="480" w:lineRule="auto"/>
        <w:ind w:right="-1" w:firstLine="720"/>
        <w:contextualSpacing/>
        <w:jc w:val="both"/>
      </w:pPr>
      <w:r w:rsidRPr="003A5617">
        <w:t>It should be noted that the present results are preliminary in nature. First, social desirability, self-report biases, context effects and poor recall may have contributed to errors in self-report measurements.</w:t>
      </w:r>
      <w:r w:rsidRPr="003A5617">
        <w:rPr>
          <w:color w:val="000000"/>
        </w:rPr>
        <w:t xml:space="preserve"> In addition, the use of internet-based snowballing recruitment techniques is subject to biased estimates in Study 1. Furthermore, </w:t>
      </w:r>
      <w:r w:rsidRPr="003A5617">
        <w:t xml:space="preserve">the presence of concurrent psychological disorder (which could account for the observed differences in outcome measures) was not assessed. However, controlling for anxiety and depression does provide a degree of confidence in the specificity of the results. </w:t>
      </w:r>
      <w:r>
        <w:t>Third</w:t>
      </w:r>
      <w:r w:rsidRPr="003A5617">
        <w:t xml:space="preserve">, the clinical samples in studies 2 and 3 were moderately gender imbalanced. </w:t>
      </w:r>
      <w:r>
        <w:t>Finally</w:t>
      </w:r>
      <w:r w:rsidRPr="003A5617">
        <w:t>, the clinical sample was relatively small in size and some patients had received previous treatment</w:t>
      </w:r>
      <w:r>
        <w:t xml:space="preserve"> </w:t>
      </w:r>
      <w:r w:rsidRPr="00C7502B">
        <w:rPr>
          <w:highlight w:val="yellow"/>
        </w:rPr>
        <w:t>(9.9% in study 2 and 7.8% in study 3)</w:t>
      </w:r>
      <w:r w:rsidRPr="003A5617">
        <w:t xml:space="preserve"> which may have exposed them to the identification and exploration of cognitive constructs. However, standard treatment for gambling </w:t>
      </w:r>
      <w:r w:rsidRPr="003A5617">
        <w:lastRenderedPageBreak/>
        <w:t xml:space="preserve">disorder does not typically include the examination of metacognitions assessed here. Thus the experience of treatment may not be particularly significant in explaining the current findings. </w:t>
      </w:r>
    </w:p>
    <w:p w:rsidR="00B75DE8" w:rsidRPr="003A5617" w:rsidRDefault="00B75DE8" w:rsidP="00B75DE8">
      <w:pPr>
        <w:spacing w:line="480" w:lineRule="auto"/>
        <w:ind w:right="-40" w:firstLine="720"/>
        <w:jc w:val="both"/>
      </w:pPr>
      <w:r w:rsidRPr="003A5617">
        <w:t xml:space="preserve">It is clear that future studies are required to confirm the psychometric properties of the MGQ. In addition, studies are required to examine the sensitivity of the different factors of the MGQ to treatment effects and recovery if these are to prove useful as treatment evaluation markers. </w:t>
      </w:r>
    </w:p>
    <w:p w:rsidR="00B75DE8" w:rsidRDefault="00B75DE8" w:rsidP="00B75DE8">
      <w:pPr>
        <w:spacing w:line="480" w:lineRule="auto"/>
        <w:ind w:right="-40" w:firstLine="720"/>
        <w:jc w:val="both"/>
      </w:pPr>
      <w:r w:rsidRPr="003A5617">
        <w:t xml:space="preserve">In summary this study confirms that </w:t>
      </w:r>
      <w:r>
        <w:t>metacognitions about gambling</w:t>
      </w:r>
      <w:r w:rsidRPr="003A5617">
        <w:t xml:space="preserve"> are a prospective predictor of gambling. It is suggested that the efficacy of metacognitive therapy in the treatment of gambling disorder should be explored.</w:t>
      </w:r>
    </w:p>
    <w:p w:rsidR="00B75DE8" w:rsidRDefault="00B75DE8" w:rsidP="00B75DE8">
      <w:pPr>
        <w:spacing w:line="480" w:lineRule="auto"/>
        <w:ind w:right="-40"/>
        <w:jc w:val="both"/>
      </w:pPr>
    </w:p>
    <w:p w:rsidR="00B75DE8" w:rsidRDefault="00B75DE8" w:rsidP="00B75DE8">
      <w:pPr>
        <w:spacing w:line="480" w:lineRule="auto"/>
        <w:ind w:right="-40"/>
        <w:jc w:val="both"/>
        <w:rPr>
          <w:b/>
        </w:rPr>
      </w:pPr>
      <w:r>
        <w:rPr>
          <w:b/>
        </w:rPr>
        <w:t>Role of funding source</w:t>
      </w:r>
    </w:p>
    <w:p w:rsidR="00B75DE8" w:rsidRPr="00955071" w:rsidRDefault="00B75DE8" w:rsidP="00B75DE8">
      <w:pPr>
        <w:spacing w:line="480" w:lineRule="auto"/>
        <w:ind w:right="-40"/>
        <w:jc w:val="both"/>
      </w:pPr>
      <w:proofErr w:type="gramStart"/>
      <w:r>
        <w:t>None.</w:t>
      </w:r>
      <w:proofErr w:type="gramEnd"/>
    </w:p>
    <w:p w:rsidR="00B75DE8" w:rsidRDefault="00B75DE8" w:rsidP="00B75DE8">
      <w:pPr>
        <w:spacing w:line="480" w:lineRule="auto"/>
        <w:ind w:right="-40"/>
        <w:jc w:val="both"/>
        <w:rPr>
          <w:b/>
        </w:rPr>
      </w:pPr>
      <w:r>
        <w:rPr>
          <w:b/>
        </w:rPr>
        <w:t>Conflict of interest</w:t>
      </w:r>
    </w:p>
    <w:p w:rsidR="00B75DE8" w:rsidRDefault="00B75DE8" w:rsidP="00B75DE8">
      <w:pPr>
        <w:spacing w:line="480" w:lineRule="auto"/>
        <w:ind w:right="-40"/>
        <w:jc w:val="both"/>
      </w:pPr>
      <w:proofErr w:type="gramStart"/>
      <w:r>
        <w:t>None.</w:t>
      </w:r>
      <w:proofErr w:type="gramEnd"/>
    </w:p>
    <w:p w:rsidR="00B75DE8" w:rsidRDefault="00B75DE8" w:rsidP="00B75DE8">
      <w:pPr>
        <w:spacing w:line="480" w:lineRule="auto"/>
        <w:ind w:right="-40"/>
        <w:jc w:val="both"/>
      </w:pPr>
    </w:p>
    <w:p w:rsidR="00B75DE8" w:rsidRDefault="00B75DE8" w:rsidP="00B75DE8">
      <w:pPr>
        <w:spacing w:line="480" w:lineRule="auto"/>
        <w:ind w:right="-40"/>
        <w:jc w:val="both"/>
      </w:pPr>
    </w:p>
    <w:p w:rsidR="00B75DE8" w:rsidRDefault="00B75DE8" w:rsidP="00B75DE8">
      <w:pPr>
        <w:spacing w:line="480" w:lineRule="auto"/>
        <w:ind w:right="-40"/>
        <w:jc w:val="both"/>
      </w:pPr>
    </w:p>
    <w:p w:rsidR="00B75DE8" w:rsidRDefault="00B75DE8" w:rsidP="00B75DE8">
      <w:pPr>
        <w:spacing w:line="480" w:lineRule="auto"/>
        <w:ind w:right="-40"/>
        <w:jc w:val="both"/>
      </w:pPr>
    </w:p>
    <w:p w:rsidR="00B75DE8" w:rsidRDefault="00B75DE8" w:rsidP="00B75DE8">
      <w:pPr>
        <w:spacing w:line="480" w:lineRule="auto"/>
        <w:ind w:right="-40"/>
        <w:jc w:val="both"/>
      </w:pPr>
    </w:p>
    <w:p w:rsidR="00B75DE8" w:rsidRDefault="00B75DE8" w:rsidP="00B75DE8">
      <w:pPr>
        <w:spacing w:line="480" w:lineRule="auto"/>
        <w:ind w:right="-40"/>
        <w:jc w:val="both"/>
      </w:pPr>
    </w:p>
    <w:p w:rsidR="00B75DE8" w:rsidRDefault="00B75DE8" w:rsidP="00B75DE8">
      <w:pPr>
        <w:spacing w:line="480" w:lineRule="auto"/>
        <w:ind w:right="-40"/>
        <w:jc w:val="both"/>
      </w:pPr>
    </w:p>
    <w:p w:rsidR="00B75DE8" w:rsidRDefault="00B75DE8" w:rsidP="00B75DE8">
      <w:pPr>
        <w:spacing w:line="480" w:lineRule="auto"/>
        <w:ind w:right="-40"/>
        <w:jc w:val="both"/>
      </w:pPr>
    </w:p>
    <w:p w:rsidR="00B75DE8" w:rsidRDefault="00B75DE8" w:rsidP="00B75DE8">
      <w:pPr>
        <w:spacing w:line="480" w:lineRule="auto"/>
        <w:ind w:right="-40"/>
        <w:jc w:val="both"/>
      </w:pPr>
    </w:p>
    <w:p w:rsidR="00B75DE8" w:rsidRDefault="00B75DE8" w:rsidP="00B75DE8">
      <w:pPr>
        <w:spacing w:line="480" w:lineRule="auto"/>
        <w:ind w:right="-40"/>
        <w:jc w:val="both"/>
      </w:pPr>
    </w:p>
    <w:p w:rsidR="00B75DE8" w:rsidRDefault="00B75DE8" w:rsidP="00B75DE8">
      <w:pPr>
        <w:spacing w:line="480" w:lineRule="auto"/>
        <w:ind w:right="-40"/>
        <w:jc w:val="both"/>
      </w:pPr>
    </w:p>
    <w:p w:rsidR="00B75DE8" w:rsidRDefault="00B75DE8" w:rsidP="00B75DE8">
      <w:pPr>
        <w:spacing w:line="480" w:lineRule="auto"/>
        <w:ind w:right="-40"/>
        <w:jc w:val="both"/>
      </w:pPr>
    </w:p>
    <w:p w:rsidR="00B75DE8" w:rsidRPr="003A5617" w:rsidRDefault="00B75DE8" w:rsidP="00B75DE8">
      <w:pPr>
        <w:spacing w:line="480" w:lineRule="auto"/>
        <w:ind w:right="-40"/>
        <w:jc w:val="both"/>
      </w:pPr>
    </w:p>
    <w:p w:rsidR="00B75DE8" w:rsidRPr="003A5617" w:rsidRDefault="00B75DE8" w:rsidP="00B75DE8">
      <w:pPr>
        <w:pStyle w:val="EndNoteBibliographyTitle"/>
        <w:spacing w:line="480" w:lineRule="auto"/>
        <w:jc w:val="both"/>
        <w:outlineLvl w:val="0"/>
        <w:rPr>
          <w:b/>
          <w:noProof/>
        </w:rPr>
      </w:pPr>
      <w:r w:rsidRPr="003A5617">
        <w:rPr>
          <w:b/>
          <w:noProof/>
        </w:rPr>
        <w:lastRenderedPageBreak/>
        <w:t>References</w:t>
      </w:r>
    </w:p>
    <w:p w:rsidR="00B75DE8" w:rsidRPr="003A5617" w:rsidRDefault="00B75DE8" w:rsidP="00B75DE8">
      <w:pPr>
        <w:pStyle w:val="EndNoteBibliography"/>
        <w:spacing w:line="480" w:lineRule="auto"/>
        <w:ind w:left="720" w:hanging="720"/>
        <w:jc w:val="both"/>
        <w:rPr>
          <w:noProof/>
        </w:rPr>
      </w:pPr>
      <w:r w:rsidRPr="003A5617">
        <w:rPr>
          <w:noProof/>
        </w:rPr>
        <w:t>Am</w:t>
      </w:r>
      <w:r>
        <w:rPr>
          <w:noProof/>
        </w:rPr>
        <w:t>erican Psychiatric Association, 1994</w:t>
      </w:r>
      <w:r w:rsidRPr="003A5617">
        <w:rPr>
          <w:noProof/>
        </w:rPr>
        <w:t xml:space="preserve">. </w:t>
      </w:r>
      <w:r w:rsidRPr="00BA3ACA">
        <w:rPr>
          <w:noProof/>
        </w:rPr>
        <w:t>Diagnostic and Statistical Manual of Mental Disorders.</w:t>
      </w:r>
      <w:r w:rsidRPr="003A5617">
        <w:rPr>
          <w:noProof/>
        </w:rPr>
        <w:t xml:space="preserve"> (Fourth ed.): American Psychiatric Association.</w:t>
      </w:r>
    </w:p>
    <w:p w:rsidR="00B75DE8" w:rsidRPr="003A5617" w:rsidRDefault="00B75DE8" w:rsidP="00B75DE8">
      <w:pPr>
        <w:pStyle w:val="EndNoteBibliography"/>
        <w:spacing w:line="480" w:lineRule="auto"/>
        <w:ind w:left="720" w:hanging="720"/>
        <w:jc w:val="both"/>
        <w:rPr>
          <w:noProof/>
        </w:rPr>
      </w:pPr>
      <w:r w:rsidRPr="003A5617">
        <w:rPr>
          <w:noProof/>
        </w:rPr>
        <w:t>American Psychiatric Association</w:t>
      </w:r>
      <w:r>
        <w:rPr>
          <w:noProof/>
        </w:rPr>
        <w:t>, 2013</w:t>
      </w:r>
      <w:r w:rsidRPr="003A5617">
        <w:rPr>
          <w:noProof/>
        </w:rPr>
        <w:t xml:space="preserve">. </w:t>
      </w:r>
      <w:r w:rsidRPr="00BA3ACA">
        <w:rPr>
          <w:noProof/>
        </w:rPr>
        <w:t xml:space="preserve">Diagnostic and Statistical Manual of Mental Disorders </w:t>
      </w:r>
      <w:r w:rsidRPr="003A5617">
        <w:rPr>
          <w:noProof/>
        </w:rPr>
        <w:t>(Fifth ed.): American Psychiatric Association.</w:t>
      </w:r>
    </w:p>
    <w:p w:rsidR="00B75DE8" w:rsidRPr="003A5617" w:rsidRDefault="00B75DE8" w:rsidP="00B75DE8">
      <w:pPr>
        <w:autoSpaceDE w:val="0"/>
        <w:autoSpaceDN w:val="0"/>
        <w:adjustRightInd w:val="0"/>
        <w:spacing w:line="480" w:lineRule="auto"/>
        <w:ind w:left="720" w:hanging="720"/>
      </w:pPr>
      <w:proofErr w:type="spellStart"/>
      <w:r w:rsidRPr="003A5617">
        <w:t>Battersby</w:t>
      </w:r>
      <w:proofErr w:type="spellEnd"/>
      <w:r w:rsidRPr="003A5617">
        <w:t xml:space="preserve">, M. W., Thomas, L. J., </w:t>
      </w:r>
      <w:proofErr w:type="spellStart"/>
      <w:r w:rsidRPr="003A5617">
        <w:t>Tolchard</w:t>
      </w:r>
      <w:proofErr w:type="spellEnd"/>
      <w:r w:rsidRPr="003A5617">
        <w:t xml:space="preserve">, B., </w:t>
      </w:r>
      <w:proofErr w:type="spellStart"/>
      <w:r w:rsidRPr="003A5617">
        <w:t>Esterman</w:t>
      </w:r>
      <w:proofErr w:type="spellEnd"/>
      <w:r w:rsidRPr="003A5617">
        <w:t>, A.</w:t>
      </w:r>
      <w:r>
        <w:t>,</w:t>
      </w:r>
      <w:r w:rsidRPr="003A5617">
        <w:t xml:space="preserve"> </w:t>
      </w:r>
      <w:r>
        <w:t>2002</w:t>
      </w:r>
      <w:r w:rsidRPr="003A5617">
        <w:t xml:space="preserve">. The South Oaks Gambling Screen: a review with reference to Australian use. </w:t>
      </w:r>
      <w:r>
        <w:t xml:space="preserve">J. </w:t>
      </w:r>
      <w:proofErr w:type="spellStart"/>
      <w:r>
        <w:t>Gambl</w:t>
      </w:r>
      <w:proofErr w:type="spellEnd"/>
      <w:r>
        <w:t>. Stud.</w:t>
      </w:r>
      <w:r w:rsidRPr="003A5617">
        <w:rPr>
          <w:i/>
        </w:rPr>
        <w:t xml:space="preserve">, </w:t>
      </w:r>
      <w:r w:rsidRPr="00BA3ACA">
        <w:t>18</w:t>
      </w:r>
      <w:r w:rsidRPr="003A5617">
        <w:t>, 257-271.</w:t>
      </w:r>
    </w:p>
    <w:p w:rsidR="00B75DE8" w:rsidRPr="003A5617" w:rsidRDefault="00B75DE8" w:rsidP="00B75DE8">
      <w:pPr>
        <w:autoSpaceDE w:val="0"/>
        <w:autoSpaceDN w:val="0"/>
        <w:adjustRightInd w:val="0"/>
        <w:spacing w:line="480" w:lineRule="auto"/>
        <w:ind w:left="720" w:hanging="720"/>
      </w:pPr>
      <w:r w:rsidRPr="003A5617">
        <w:t xml:space="preserve">Browne, M. W., </w:t>
      </w:r>
      <w:proofErr w:type="spellStart"/>
      <w:r w:rsidRPr="003A5617">
        <w:t>Cudeck</w:t>
      </w:r>
      <w:proofErr w:type="spellEnd"/>
      <w:r w:rsidRPr="003A5617">
        <w:t>, R.</w:t>
      </w:r>
      <w:r>
        <w:t>, 1993</w:t>
      </w:r>
      <w:r w:rsidRPr="003A5617">
        <w:t>. Alternative ways of assessing model fit. In</w:t>
      </w:r>
      <w:r>
        <w:t>:</w:t>
      </w:r>
      <w:r w:rsidRPr="003A5617">
        <w:t xml:space="preserve"> K. A. </w:t>
      </w:r>
      <w:proofErr w:type="spellStart"/>
      <w:r w:rsidRPr="003A5617">
        <w:t>Bollen</w:t>
      </w:r>
      <w:proofErr w:type="spellEnd"/>
      <w:r w:rsidRPr="003A5617">
        <w:t xml:space="preserve"> &amp; J. S. Long (Eds.), </w:t>
      </w:r>
      <w:r w:rsidRPr="00BA3ACA">
        <w:rPr>
          <w:iCs/>
        </w:rPr>
        <w:t>Testing Structural Equation Models</w:t>
      </w:r>
      <w:r>
        <w:rPr>
          <w:iCs/>
        </w:rPr>
        <w:t>.</w:t>
      </w:r>
      <w:r w:rsidRPr="003A5617">
        <w:rPr>
          <w:i/>
          <w:iCs/>
        </w:rPr>
        <w:t xml:space="preserve"> </w:t>
      </w:r>
      <w:r w:rsidRPr="003A5617">
        <w:t xml:space="preserve">Newbury Park, </w:t>
      </w:r>
      <w:smartTag w:uri="urn:schemas-microsoft-com:office:smarttags" w:element="country-region">
        <w:r w:rsidRPr="003A5617">
          <w:t>USA</w:t>
        </w:r>
      </w:smartTag>
      <w:r>
        <w:t>: Sage, pp. 136–162</w:t>
      </w:r>
      <w:r w:rsidRPr="003A5617">
        <w:t>.</w:t>
      </w:r>
    </w:p>
    <w:p w:rsidR="00B75DE8" w:rsidRDefault="00B75DE8" w:rsidP="00B75DE8">
      <w:pPr>
        <w:pStyle w:val="EndNoteBibliography"/>
        <w:spacing w:line="480" w:lineRule="auto"/>
        <w:ind w:left="720" w:hanging="720"/>
        <w:jc w:val="both"/>
        <w:rPr>
          <w:noProof/>
        </w:rPr>
      </w:pPr>
      <w:r w:rsidRPr="003B2313">
        <w:rPr>
          <w:noProof/>
        </w:rPr>
        <w:t>Caselli, G.</w:t>
      </w:r>
      <w:r>
        <w:rPr>
          <w:noProof/>
        </w:rPr>
        <w:t>,</w:t>
      </w:r>
      <w:r w:rsidRPr="003B2313">
        <w:rPr>
          <w:noProof/>
        </w:rPr>
        <w:t xml:space="preserve"> Spada, M.M.</w:t>
      </w:r>
      <w:r>
        <w:rPr>
          <w:noProof/>
        </w:rPr>
        <w:t>, 2015</w:t>
      </w:r>
      <w:r w:rsidRPr="003B2313">
        <w:rPr>
          <w:noProof/>
        </w:rPr>
        <w:t xml:space="preserve">. Desire Thinking: what is </w:t>
      </w:r>
      <w:r>
        <w:rPr>
          <w:noProof/>
        </w:rPr>
        <w:t>it and what drives it? Addict.</w:t>
      </w:r>
      <w:r w:rsidRPr="003B2313">
        <w:rPr>
          <w:noProof/>
        </w:rPr>
        <w:t xml:space="preserve"> Behav</w:t>
      </w:r>
      <w:r>
        <w:rPr>
          <w:noProof/>
        </w:rPr>
        <w:t>.</w:t>
      </w:r>
      <w:r w:rsidRPr="003B2313">
        <w:rPr>
          <w:noProof/>
        </w:rPr>
        <w:t>, 44, 71-79.</w:t>
      </w:r>
    </w:p>
    <w:p w:rsidR="00B75DE8" w:rsidRPr="003A5617" w:rsidRDefault="00B75DE8" w:rsidP="00B75DE8">
      <w:pPr>
        <w:pStyle w:val="EndNoteBibliography"/>
        <w:spacing w:line="480" w:lineRule="auto"/>
        <w:ind w:left="720" w:hanging="720"/>
        <w:jc w:val="both"/>
        <w:rPr>
          <w:noProof/>
        </w:rPr>
      </w:pPr>
      <w:r w:rsidRPr="003A5617">
        <w:rPr>
          <w:noProof/>
        </w:rPr>
        <w:t>Cowlishaw, S., Merkouris, S., Dowling, N., Anderson,</w:t>
      </w:r>
      <w:r>
        <w:rPr>
          <w:noProof/>
        </w:rPr>
        <w:t xml:space="preserve"> C., Jackson, A., Thomas, S., </w:t>
      </w:r>
      <w:r w:rsidRPr="003A5617">
        <w:rPr>
          <w:noProof/>
        </w:rPr>
        <w:t>2</w:t>
      </w:r>
      <w:r>
        <w:rPr>
          <w:noProof/>
        </w:rPr>
        <w:t>012</w:t>
      </w:r>
      <w:r w:rsidRPr="003A5617">
        <w:rPr>
          <w:noProof/>
        </w:rPr>
        <w:t xml:space="preserve">. Psychological therapies for pathological and problem gambling. </w:t>
      </w:r>
      <w:r w:rsidRPr="00BA3ACA">
        <w:rPr>
          <w:noProof/>
        </w:rPr>
        <w:t>The Cochrane Library</w:t>
      </w:r>
      <w:r w:rsidRPr="003A5617">
        <w:rPr>
          <w:noProof/>
        </w:rPr>
        <w:t xml:space="preserve">. </w:t>
      </w:r>
    </w:p>
    <w:p w:rsidR="00B75DE8" w:rsidRPr="003A5617" w:rsidRDefault="00B75DE8" w:rsidP="00B75DE8">
      <w:pPr>
        <w:pStyle w:val="EndNoteBibliography"/>
        <w:spacing w:line="480" w:lineRule="auto"/>
        <w:ind w:left="720" w:hanging="720"/>
        <w:jc w:val="both"/>
        <w:rPr>
          <w:noProof/>
        </w:rPr>
      </w:pPr>
      <w:r w:rsidRPr="003A5617">
        <w:rPr>
          <w:noProof/>
        </w:rPr>
        <w:t>Dickerson, M.G.</w:t>
      </w:r>
      <w:r>
        <w:rPr>
          <w:noProof/>
        </w:rPr>
        <w:t>, 1989</w:t>
      </w:r>
      <w:r w:rsidRPr="003A5617">
        <w:rPr>
          <w:noProof/>
        </w:rPr>
        <w:t>. Gambling — a dependence without a drug. I</w:t>
      </w:r>
      <w:r>
        <w:rPr>
          <w:noProof/>
        </w:rPr>
        <w:t>nt. Rev. Psychiatr.</w:t>
      </w:r>
      <w:r w:rsidRPr="003A5617">
        <w:rPr>
          <w:i/>
          <w:noProof/>
        </w:rPr>
        <w:t xml:space="preserve">, </w:t>
      </w:r>
      <w:r w:rsidRPr="00BA3ACA">
        <w:rPr>
          <w:noProof/>
        </w:rPr>
        <w:t>1</w:t>
      </w:r>
      <w:r w:rsidRPr="003A5617">
        <w:rPr>
          <w:noProof/>
        </w:rPr>
        <w:t>, 157–172.</w:t>
      </w:r>
    </w:p>
    <w:p w:rsidR="00B75DE8" w:rsidRPr="00BA3ACA" w:rsidRDefault="00B75DE8" w:rsidP="00B75DE8">
      <w:pPr>
        <w:pStyle w:val="EndNoteBibliography"/>
        <w:spacing w:line="480" w:lineRule="auto"/>
        <w:ind w:left="720" w:hanging="720"/>
        <w:jc w:val="both"/>
        <w:rPr>
          <w:noProof/>
        </w:rPr>
      </w:pPr>
      <w:r>
        <w:rPr>
          <w:noProof/>
        </w:rPr>
        <w:t>Gambino, B., Lesieur, H., 2006</w:t>
      </w:r>
      <w:r w:rsidRPr="003A5617">
        <w:rPr>
          <w:noProof/>
        </w:rPr>
        <w:t xml:space="preserve">. The south oaks gambling screen (SOGS): A rebuttal to critics. </w:t>
      </w:r>
      <w:r w:rsidRPr="00BA3ACA">
        <w:rPr>
          <w:noProof/>
        </w:rPr>
        <w:t>Journal of Gambling Issues, 17.</w:t>
      </w:r>
    </w:p>
    <w:p w:rsidR="00B75DE8" w:rsidRPr="003A5617" w:rsidRDefault="00B75DE8" w:rsidP="00B75DE8">
      <w:pPr>
        <w:pStyle w:val="BodyText"/>
        <w:spacing w:line="480" w:lineRule="auto"/>
        <w:ind w:left="720" w:hanging="720"/>
        <w:rPr>
          <w:sz w:val="24"/>
          <w:szCs w:val="24"/>
        </w:rPr>
      </w:pPr>
      <w:r w:rsidRPr="003A5617">
        <w:rPr>
          <w:sz w:val="24"/>
          <w:szCs w:val="24"/>
          <w:lang w:val="en-GB"/>
        </w:rPr>
        <w:t xml:space="preserve">Hu, L., </w:t>
      </w:r>
      <w:proofErr w:type="spellStart"/>
      <w:r w:rsidRPr="003A5617">
        <w:rPr>
          <w:sz w:val="24"/>
          <w:szCs w:val="24"/>
          <w:lang w:val="en-GB"/>
        </w:rPr>
        <w:t>Bentler</w:t>
      </w:r>
      <w:proofErr w:type="spellEnd"/>
      <w:r w:rsidRPr="003A5617">
        <w:rPr>
          <w:sz w:val="24"/>
          <w:szCs w:val="24"/>
          <w:lang w:val="en-GB"/>
        </w:rPr>
        <w:t>, P. M.</w:t>
      </w:r>
      <w:r>
        <w:rPr>
          <w:sz w:val="24"/>
          <w:szCs w:val="24"/>
          <w:lang w:val="en-GB"/>
        </w:rPr>
        <w:t>, 1999</w:t>
      </w:r>
      <w:r w:rsidRPr="003A5617">
        <w:rPr>
          <w:sz w:val="24"/>
          <w:szCs w:val="24"/>
          <w:lang w:val="en-GB"/>
        </w:rPr>
        <w:t xml:space="preserve">. </w:t>
      </w:r>
      <w:r w:rsidRPr="003A5617">
        <w:rPr>
          <w:sz w:val="24"/>
          <w:szCs w:val="24"/>
        </w:rPr>
        <w:t xml:space="preserve">Cutoff criteria for fit indices in covariance structure analysis: Conventional versus new alternatives. </w:t>
      </w:r>
      <w:proofErr w:type="spellStart"/>
      <w:proofErr w:type="gramStart"/>
      <w:r>
        <w:rPr>
          <w:sz w:val="24"/>
          <w:szCs w:val="24"/>
        </w:rPr>
        <w:t>Struct</w:t>
      </w:r>
      <w:proofErr w:type="spellEnd"/>
      <w:r>
        <w:rPr>
          <w:sz w:val="24"/>
          <w:szCs w:val="24"/>
        </w:rPr>
        <w:t>.</w:t>
      </w:r>
      <w:proofErr w:type="gramEnd"/>
      <w:r>
        <w:rPr>
          <w:sz w:val="24"/>
          <w:szCs w:val="24"/>
        </w:rPr>
        <w:t xml:space="preserve"> </w:t>
      </w:r>
      <w:proofErr w:type="spellStart"/>
      <w:proofErr w:type="gramStart"/>
      <w:r>
        <w:rPr>
          <w:sz w:val="24"/>
          <w:szCs w:val="24"/>
        </w:rPr>
        <w:t>Equ</w:t>
      </w:r>
      <w:proofErr w:type="spellEnd"/>
      <w:r>
        <w:rPr>
          <w:sz w:val="24"/>
          <w:szCs w:val="24"/>
        </w:rPr>
        <w:t>.</w:t>
      </w:r>
      <w:proofErr w:type="gramEnd"/>
      <w:r>
        <w:rPr>
          <w:sz w:val="24"/>
          <w:szCs w:val="24"/>
        </w:rPr>
        <w:t xml:space="preserve"> Modeling</w:t>
      </w:r>
      <w:r w:rsidRPr="003A5617">
        <w:rPr>
          <w:i/>
          <w:sz w:val="24"/>
          <w:szCs w:val="24"/>
        </w:rPr>
        <w:t xml:space="preserve">, </w:t>
      </w:r>
      <w:r w:rsidRPr="00BA3ACA">
        <w:rPr>
          <w:sz w:val="24"/>
          <w:szCs w:val="24"/>
        </w:rPr>
        <w:t>6,</w:t>
      </w:r>
      <w:r w:rsidRPr="003A5617">
        <w:rPr>
          <w:sz w:val="24"/>
          <w:szCs w:val="24"/>
        </w:rPr>
        <w:t xml:space="preserve"> 1-55.</w:t>
      </w:r>
    </w:p>
    <w:p w:rsidR="00B75DE8" w:rsidRPr="003A5617" w:rsidRDefault="00B75DE8" w:rsidP="00B75DE8">
      <w:pPr>
        <w:pStyle w:val="BodyText"/>
        <w:spacing w:line="480" w:lineRule="auto"/>
        <w:ind w:left="720" w:hanging="720"/>
        <w:rPr>
          <w:sz w:val="24"/>
          <w:szCs w:val="24"/>
        </w:rPr>
      </w:pPr>
      <w:r w:rsidRPr="003A5617">
        <w:rPr>
          <w:sz w:val="24"/>
          <w:szCs w:val="24"/>
        </w:rPr>
        <w:t>Kim, S.W., Grant, J.E., Potenza, M.N., Blanco, C.</w:t>
      </w:r>
      <w:r>
        <w:rPr>
          <w:sz w:val="24"/>
          <w:szCs w:val="24"/>
        </w:rPr>
        <w:t>,</w:t>
      </w:r>
      <w:r w:rsidRPr="003A5617">
        <w:rPr>
          <w:sz w:val="24"/>
          <w:szCs w:val="24"/>
        </w:rPr>
        <w:t xml:space="preserve"> Hollander, E.</w:t>
      </w:r>
      <w:r>
        <w:rPr>
          <w:sz w:val="24"/>
          <w:szCs w:val="24"/>
        </w:rPr>
        <w:t>, 2009</w:t>
      </w:r>
      <w:r w:rsidRPr="003A5617">
        <w:rPr>
          <w:sz w:val="24"/>
          <w:szCs w:val="24"/>
        </w:rPr>
        <w:t xml:space="preserve">. The Gambling </w:t>
      </w:r>
      <w:proofErr w:type="spellStart"/>
      <w:r w:rsidRPr="003A5617">
        <w:rPr>
          <w:sz w:val="24"/>
          <w:szCs w:val="24"/>
        </w:rPr>
        <w:t>Symtpom</w:t>
      </w:r>
      <w:proofErr w:type="spellEnd"/>
      <w:r w:rsidRPr="003A5617">
        <w:rPr>
          <w:sz w:val="24"/>
          <w:szCs w:val="24"/>
        </w:rPr>
        <w:t xml:space="preserve"> Assessment Scale (G-SAS): A reliability and validity study. </w:t>
      </w:r>
      <w:r>
        <w:rPr>
          <w:sz w:val="24"/>
          <w:szCs w:val="24"/>
        </w:rPr>
        <w:t xml:space="preserve"> </w:t>
      </w:r>
      <w:proofErr w:type="spellStart"/>
      <w:proofErr w:type="gramStart"/>
      <w:r>
        <w:rPr>
          <w:sz w:val="24"/>
          <w:szCs w:val="24"/>
        </w:rPr>
        <w:t>Psyhiat</w:t>
      </w:r>
      <w:proofErr w:type="spellEnd"/>
      <w:r>
        <w:rPr>
          <w:sz w:val="24"/>
          <w:szCs w:val="24"/>
        </w:rPr>
        <w:t>.</w:t>
      </w:r>
      <w:proofErr w:type="gramEnd"/>
      <w:r>
        <w:rPr>
          <w:sz w:val="24"/>
          <w:szCs w:val="24"/>
        </w:rPr>
        <w:t xml:space="preserve"> Res.</w:t>
      </w:r>
      <w:r w:rsidRPr="003A5617">
        <w:rPr>
          <w:i/>
          <w:sz w:val="24"/>
          <w:szCs w:val="24"/>
        </w:rPr>
        <w:t>,</w:t>
      </w:r>
      <w:r w:rsidRPr="00BA3ACA">
        <w:rPr>
          <w:sz w:val="24"/>
          <w:szCs w:val="24"/>
        </w:rPr>
        <w:t xml:space="preserve"> 166</w:t>
      </w:r>
      <w:r w:rsidRPr="003A5617">
        <w:rPr>
          <w:i/>
          <w:sz w:val="24"/>
          <w:szCs w:val="24"/>
        </w:rPr>
        <w:t xml:space="preserve">, </w:t>
      </w:r>
      <w:r w:rsidRPr="003A5617">
        <w:rPr>
          <w:sz w:val="24"/>
          <w:szCs w:val="24"/>
        </w:rPr>
        <w:t>76-84.</w:t>
      </w:r>
    </w:p>
    <w:p w:rsidR="00B75DE8" w:rsidRPr="003A5617" w:rsidRDefault="00B75DE8" w:rsidP="00B75DE8">
      <w:pPr>
        <w:pStyle w:val="BodyText"/>
        <w:spacing w:line="480" w:lineRule="auto"/>
        <w:ind w:left="720" w:hanging="720"/>
        <w:rPr>
          <w:sz w:val="24"/>
          <w:szCs w:val="24"/>
          <w:lang w:val="en-GB"/>
        </w:rPr>
      </w:pPr>
      <w:r w:rsidRPr="003A5617">
        <w:rPr>
          <w:sz w:val="24"/>
          <w:szCs w:val="24"/>
          <w:lang w:val="pl-PL"/>
        </w:rPr>
        <w:t>Jöreskog, K.G., Sörbom, D.</w:t>
      </w:r>
      <w:r>
        <w:rPr>
          <w:sz w:val="24"/>
          <w:szCs w:val="24"/>
          <w:lang w:val="pl-PL"/>
        </w:rPr>
        <w:t>, 1996</w:t>
      </w:r>
      <w:r w:rsidRPr="003A5617">
        <w:rPr>
          <w:sz w:val="24"/>
          <w:szCs w:val="24"/>
          <w:lang w:val="pl-PL"/>
        </w:rPr>
        <w:t xml:space="preserve">. </w:t>
      </w:r>
      <w:r w:rsidRPr="00BA3ACA">
        <w:rPr>
          <w:sz w:val="24"/>
          <w:szCs w:val="24"/>
          <w:lang w:val="en-GB"/>
        </w:rPr>
        <w:t>LISREL 8: User’s reference guide.</w:t>
      </w:r>
      <w:r w:rsidRPr="003A5617">
        <w:rPr>
          <w:sz w:val="24"/>
          <w:szCs w:val="24"/>
          <w:lang w:val="en-GB"/>
        </w:rPr>
        <w:t xml:space="preserve"> </w:t>
      </w:r>
      <w:smartTag w:uri="urn:schemas-microsoft-com:office:smarttags" w:element="place">
        <w:smartTag w:uri="urn:schemas-microsoft-com:office:smarttags" w:element="City">
          <w:r w:rsidRPr="003A5617">
            <w:rPr>
              <w:sz w:val="24"/>
              <w:szCs w:val="24"/>
              <w:lang w:val="en-GB"/>
            </w:rPr>
            <w:t>Chicago</w:t>
          </w:r>
        </w:smartTag>
      </w:smartTag>
      <w:r w:rsidRPr="003A5617">
        <w:rPr>
          <w:sz w:val="24"/>
          <w:szCs w:val="24"/>
          <w:lang w:val="en-GB"/>
        </w:rPr>
        <w:t>: Scientific Software International.</w:t>
      </w:r>
    </w:p>
    <w:p w:rsidR="00B75DE8" w:rsidRPr="003A5617" w:rsidRDefault="00B75DE8" w:rsidP="00B75DE8">
      <w:pPr>
        <w:pStyle w:val="BodyText"/>
        <w:spacing w:line="480" w:lineRule="auto"/>
        <w:ind w:left="720" w:hanging="720"/>
        <w:rPr>
          <w:sz w:val="24"/>
          <w:szCs w:val="24"/>
          <w:lang w:val="en-GB"/>
        </w:rPr>
      </w:pPr>
      <w:proofErr w:type="spellStart"/>
      <w:proofErr w:type="gramStart"/>
      <w:r>
        <w:rPr>
          <w:sz w:val="24"/>
          <w:szCs w:val="24"/>
          <w:lang w:val="en-GB"/>
        </w:rPr>
        <w:t>Ladouceur</w:t>
      </w:r>
      <w:proofErr w:type="spellEnd"/>
      <w:r>
        <w:rPr>
          <w:sz w:val="24"/>
          <w:szCs w:val="24"/>
          <w:lang w:val="en-GB"/>
        </w:rPr>
        <w:t xml:space="preserve">, R., </w:t>
      </w:r>
      <w:r w:rsidRPr="003A5617">
        <w:rPr>
          <w:sz w:val="24"/>
          <w:szCs w:val="24"/>
          <w:lang w:val="en-GB"/>
        </w:rPr>
        <w:t>Walker, M.</w:t>
      </w:r>
      <w:r>
        <w:rPr>
          <w:sz w:val="24"/>
          <w:szCs w:val="24"/>
          <w:lang w:val="en-GB"/>
        </w:rPr>
        <w:t>, 1996.</w:t>
      </w:r>
      <w:proofErr w:type="gramEnd"/>
      <w:r w:rsidRPr="003A5617">
        <w:rPr>
          <w:sz w:val="24"/>
          <w:szCs w:val="24"/>
          <w:lang w:val="en-GB"/>
        </w:rPr>
        <w:t xml:space="preserve"> </w:t>
      </w:r>
      <w:proofErr w:type="gramStart"/>
      <w:r w:rsidRPr="003A5617">
        <w:rPr>
          <w:sz w:val="24"/>
          <w:szCs w:val="24"/>
          <w:lang w:val="en-GB"/>
        </w:rPr>
        <w:t>A cognitive perspective on gambling.</w:t>
      </w:r>
      <w:proofErr w:type="gramEnd"/>
      <w:r w:rsidRPr="003A5617">
        <w:rPr>
          <w:sz w:val="24"/>
          <w:szCs w:val="24"/>
          <w:lang w:val="en-GB"/>
        </w:rPr>
        <w:t xml:space="preserve"> In: </w:t>
      </w:r>
      <w:proofErr w:type="spellStart"/>
      <w:r w:rsidRPr="003A5617">
        <w:rPr>
          <w:sz w:val="24"/>
          <w:szCs w:val="24"/>
          <w:lang w:val="en-GB"/>
        </w:rPr>
        <w:t>Salkovskies</w:t>
      </w:r>
      <w:proofErr w:type="spellEnd"/>
      <w:r w:rsidRPr="003A5617">
        <w:rPr>
          <w:sz w:val="24"/>
          <w:szCs w:val="24"/>
          <w:lang w:val="en-GB"/>
        </w:rPr>
        <w:t>, P. M., ed.</w:t>
      </w:r>
      <w:r w:rsidRPr="003A5617">
        <w:rPr>
          <w:i/>
          <w:sz w:val="24"/>
          <w:szCs w:val="24"/>
          <w:lang w:val="en-GB"/>
        </w:rPr>
        <w:t xml:space="preserve"> </w:t>
      </w:r>
      <w:r w:rsidRPr="00BA3ACA">
        <w:rPr>
          <w:sz w:val="24"/>
          <w:szCs w:val="24"/>
          <w:lang w:val="en-GB"/>
        </w:rPr>
        <w:t>Trends in Cognitive and Behavioural Therapies</w:t>
      </w:r>
      <w:r w:rsidRPr="003A5617">
        <w:rPr>
          <w:sz w:val="24"/>
          <w:szCs w:val="24"/>
          <w:lang w:val="en-GB"/>
        </w:rPr>
        <w:t>, Chichester: John Wiley and Sons</w:t>
      </w:r>
      <w:r>
        <w:rPr>
          <w:sz w:val="24"/>
          <w:szCs w:val="24"/>
          <w:lang w:val="en-GB"/>
        </w:rPr>
        <w:t xml:space="preserve">, </w:t>
      </w:r>
      <w:r w:rsidRPr="003A5617">
        <w:rPr>
          <w:sz w:val="24"/>
          <w:szCs w:val="24"/>
          <w:lang w:val="en-GB"/>
        </w:rPr>
        <w:t>pp. 89–120</w:t>
      </w:r>
    </w:p>
    <w:p w:rsidR="00B75DE8" w:rsidRPr="00350158" w:rsidRDefault="00B75DE8" w:rsidP="00B75DE8">
      <w:pPr>
        <w:spacing w:line="480" w:lineRule="auto"/>
        <w:ind w:left="709" w:hanging="709"/>
        <w:jc w:val="both"/>
        <w:rPr>
          <w:lang w:eastAsia="en-US"/>
        </w:rPr>
      </w:pPr>
      <w:proofErr w:type="spellStart"/>
      <w:r w:rsidRPr="00350158">
        <w:rPr>
          <w:lang w:eastAsia="en-US"/>
        </w:rPr>
        <w:lastRenderedPageBreak/>
        <w:t>Lesieur</w:t>
      </w:r>
      <w:proofErr w:type="spellEnd"/>
      <w:r w:rsidRPr="00350158">
        <w:rPr>
          <w:lang w:eastAsia="en-US"/>
        </w:rPr>
        <w:t xml:space="preserve">, H., Blume, S., 1987. The South Oaks Gambling Screen (SOGS): A new instrument for the identification of pathological gamblers. Am. J. </w:t>
      </w:r>
      <w:proofErr w:type="spellStart"/>
      <w:r w:rsidRPr="00350158">
        <w:rPr>
          <w:lang w:eastAsia="en-US"/>
        </w:rPr>
        <w:t>Psychiat</w:t>
      </w:r>
      <w:proofErr w:type="spellEnd"/>
      <w:r w:rsidRPr="00350158">
        <w:rPr>
          <w:lang w:eastAsia="en-US"/>
        </w:rPr>
        <w:t>., 144, 1184-1188.</w:t>
      </w:r>
    </w:p>
    <w:p w:rsidR="00B75DE8" w:rsidRPr="003A5617" w:rsidRDefault="00B75DE8" w:rsidP="00B75DE8">
      <w:pPr>
        <w:pStyle w:val="EndNoteBibliography"/>
        <w:spacing w:line="480" w:lineRule="auto"/>
        <w:ind w:left="720" w:hanging="720"/>
        <w:jc w:val="both"/>
        <w:rPr>
          <w:noProof/>
        </w:rPr>
      </w:pPr>
      <w:r w:rsidRPr="003A5617">
        <w:rPr>
          <w:noProof/>
        </w:rPr>
        <w:t>Lindberg, A., Fernie, B. A., Spada, M. M.</w:t>
      </w:r>
      <w:r>
        <w:rPr>
          <w:noProof/>
        </w:rPr>
        <w:t>,</w:t>
      </w:r>
      <w:r w:rsidRPr="003A5617">
        <w:rPr>
          <w:noProof/>
        </w:rPr>
        <w:t xml:space="preserve"> </w:t>
      </w:r>
      <w:r>
        <w:rPr>
          <w:noProof/>
        </w:rPr>
        <w:t>2011</w:t>
      </w:r>
      <w:r w:rsidRPr="003A5617">
        <w:rPr>
          <w:noProof/>
        </w:rPr>
        <w:t xml:space="preserve">. Metacognitions in problem gambling. </w:t>
      </w:r>
      <w:r>
        <w:rPr>
          <w:noProof/>
        </w:rPr>
        <w:t>J. Gambl. Stud.</w:t>
      </w:r>
      <w:r w:rsidRPr="003A5617">
        <w:rPr>
          <w:i/>
          <w:noProof/>
        </w:rPr>
        <w:t>,</w:t>
      </w:r>
      <w:r w:rsidRPr="00BA3ACA">
        <w:rPr>
          <w:noProof/>
        </w:rPr>
        <w:t xml:space="preserve"> 27,</w:t>
      </w:r>
      <w:r w:rsidRPr="003A5617">
        <w:rPr>
          <w:noProof/>
        </w:rPr>
        <w:t xml:space="preserve"> 73-81.</w:t>
      </w:r>
    </w:p>
    <w:p w:rsidR="00B75DE8" w:rsidRPr="003A5617" w:rsidRDefault="00B75DE8" w:rsidP="00B75DE8">
      <w:pPr>
        <w:pStyle w:val="EndNoteBibliography"/>
        <w:spacing w:line="480" w:lineRule="auto"/>
        <w:ind w:left="720" w:hanging="720"/>
        <w:jc w:val="both"/>
        <w:rPr>
          <w:noProof/>
        </w:rPr>
      </w:pPr>
      <w:r w:rsidRPr="003A5617">
        <w:rPr>
          <w:noProof/>
        </w:rPr>
        <w:t>Marchetti, D., Whelan, J.P., Verrocchio, M.C., Ginley, M.K., Fulcheri, M., Relyea, G.E., Meyers, A.W.</w:t>
      </w:r>
      <w:r>
        <w:rPr>
          <w:noProof/>
        </w:rPr>
        <w:t>, 2016</w:t>
      </w:r>
      <w:r w:rsidRPr="003A5617">
        <w:rPr>
          <w:noProof/>
        </w:rPr>
        <w:t xml:space="preserve">. Psychometric evaluation of the Italian translation of the Gamblers' Beliefs Questionnaire. </w:t>
      </w:r>
      <w:r w:rsidRPr="00B2077E">
        <w:rPr>
          <w:noProof/>
        </w:rPr>
        <w:t>Int</w:t>
      </w:r>
      <w:r>
        <w:rPr>
          <w:noProof/>
        </w:rPr>
        <w:t>. Gambl. Stud.</w:t>
      </w:r>
      <w:r w:rsidRPr="00B2077E">
        <w:rPr>
          <w:noProof/>
        </w:rPr>
        <w:t>, 16, 17-30</w:t>
      </w:r>
      <w:r w:rsidRPr="003A5617">
        <w:rPr>
          <w:noProof/>
        </w:rPr>
        <w:t>.</w:t>
      </w:r>
    </w:p>
    <w:p w:rsidR="00B75DE8" w:rsidRPr="003A5617" w:rsidRDefault="00B75DE8" w:rsidP="00B75DE8">
      <w:pPr>
        <w:pStyle w:val="EndNoteBibliography"/>
        <w:spacing w:line="480" w:lineRule="auto"/>
        <w:ind w:left="720" w:hanging="720"/>
        <w:jc w:val="both"/>
        <w:rPr>
          <w:noProof/>
        </w:rPr>
      </w:pPr>
      <w:r w:rsidRPr="003A5617">
        <w:rPr>
          <w:noProof/>
        </w:rPr>
        <w:t>Normann, N., van Emmerik, A. A., Morina, N.</w:t>
      </w:r>
      <w:r>
        <w:rPr>
          <w:noProof/>
        </w:rPr>
        <w:t>, 2014</w:t>
      </w:r>
      <w:r w:rsidRPr="003A5617">
        <w:rPr>
          <w:noProof/>
        </w:rPr>
        <w:t xml:space="preserve">. The efficacy of metacognitive therapy for anxiety and depression: a meta-analytic review. </w:t>
      </w:r>
      <w:r>
        <w:rPr>
          <w:noProof/>
        </w:rPr>
        <w:t>Depress. Anxiety,</w:t>
      </w:r>
      <w:r w:rsidRPr="00B2077E">
        <w:rPr>
          <w:noProof/>
        </w:rPr>
        <w:t xml:space="preserve"> 31,</w:t>
      </w:r>
      <w:r w:rsidRPr="003A5617">
        <w:rPr>
          <w:noProof/>
        </w:rPr>
        <w:t xml:space="preserve"> 402-411.</w:t>
      </w:r>
    </w:p>
    <w:p w:rsidR="00B75DE8" w:rsidRPr="003A5617" w:rsidRDefault="00B75DE8" w:rsidP="00B75DE8">
      <w:pPr>
        <w:pStyle w:val="EndNoteBibliography"/>
        <w:spacing w:line="480" w:lineRule="auto"/>
        <w:ind w:left="720" w:hanging="720"/>
        <w:jc w:val="both"/>
        <w:rPr>
          <w:noProof/>
        </w:rPr>
      </w:pPr>
      <w:r w:rsidRPr="003A5617">
        <w:rPr>
          <w:noProof/>
        </w:rPr>
        <w:t>Shaffer, H. J., Korn, D. A.</w:t>
      </w:r>
      <w:r>
        <w:rPr>
          <w:noProof/>
        </w:rPr>
        <w:t>, 2002</w:t>
      </w:r>
      <w:r w:rsidRPr="003A5617">
        <w:rPr>
          <w:noProof/>
        </w:rPr>
        <w:t xml:space="preserve">. Gambling and related mental disorders: A public health analysis. </w:t>
      </w:r>
      <w:r>
        <w:rPr>
          <w:noProof/>
        </w:rPr>
        <w:t>Annu. Rev. Public Health</w:t>
      </w:r>
      <w:r w:rsidRPr="00B2077E">
        <w:rPr>
          <w:noProof/>
        </w:rPr>
        <w:t>, 23,</w:t>
      </w:r>
      <w:r w:rsidRPr="003A5617">
        <w:rPr>
          <w:noProof/>
        </w:rPr>
        <w:t xml:space="preserve"> 171-212. </w:t>
      </w:r>
    </w:p>
    <w:p w:rsidR="00B75DE8" w:rsidRPr="003A5617" w:rsidRDefault="00B75DE8" w:rsidP="00B75DE8">
      <w:pPr>
        <w:pStyle w:val="EndNoteBibliography"/>
        <w:spacing w:line="480" w:lineRule="auto"/>
        <w:ind w:left="720" w:hanging="720"/>
        <w:jc w:val="both"/>
        <w:rPr>
          <w:noProof/>
        </w:rPr>
      </w:pPr>
      <w:r w:rsidRPr="003A5617">
        <w:rPr>
          <w:noProof/>
        </w:rPr>
        <w:t>Sharpe, L., Tarrier, N.</w:t>
      </w:r>
      <w:r>
        <w:rPr>
          <w:noProof/>
        </w:rPr>
        <w:t>, 1993</w:t>
      </w:r>
      <w:r w:rsidRPr="003A5617">
        <w:rPr>
          <w:noProof/>
        </w:rPr>
        <w:t xml:space="preserve">. Towards a cognitive–behavioral theory of problem gambling. </w:t>
      </w:r>
      <w:r>
        <w:rPr>
          <w:noProof/>
        </w:rPr>
        <w:t>Br. J. Psychiatry</w:t>
      </w:r>
      <w:r w:rsidRPr="003A5617">
        <w:rPr>
          <w:i/>
          <w:noProof/>
        </w:rPr>
        <w:t>,</w:t>
      </w:r>
      <w:r w:rsidRPr="00B2077E">
        <w:rPr>
          <w:noProof/>
        </w:rPr>
        <w:t xml:space="preserve"> 162</w:t>
      </w:r>
      <w:r w:rsidRPr="003A5617">
        <w:rPr>
          <w:i/>
          <w:noProof/>
        </w:rPr>
        <w:t>,</w:t>
      </w:r>
      <w:r w:rsidRPr="003A5617">
        <w:rPr>
          <w:noProof/>
        </w:rPr>
        <w:t xml:space="preserve"> 407–412</w:t>
      </w:r>
    </w:p>
    <w:p w:rsidR="00B75DE8" w:rsidRPr="003A5617" w:rsidRDefault="00B75DE8" w:rsidP="00B75DE8">
      <w:pPr>
        <w:spacing w:line="480" w:lineRule="auto"/>
        <w:jc w:val="both"/>
      </w:pPr>
      <w:proofErr w:type="spellStart"/>
      <w:r w:rsidRPr="003A5617">
        <w:t>Spada</w:t>
      </w:r>
      <w:proofErr w:type="spellEnd"/>
      <w:r w:rsidRPr="003A5617">
        <w:t>, M. M., Caselli, G., Wells, A.</w:t>
      </w:r>
      <w:r>
        <w:t>, 2013</w:t>
      </w:r>
      <w:r w:rsidRPr="003A5617">
        <w:t xml:space="preserve">. A </w:t>
      </w:r>
      <w:proofErr w:type="spellStart"/>
      <w:r w:rsidRPr="003A5617">
        <w:t>triphasic</w:t>
      </w:r>
      <w:proofErr w:type="spellEnd"/>
      <w:r w:rsidRPr="003A5617">
        <w:t xml:space="preserve"> metacognitive formulation of </w:t>
      </w:r>
    </w:p>
    <w:p w:rsidR="00B75DE8" w:rsidRPr="003A5617" w:rsidRDefault="00B75DE8" w:rsidP="00B75DE8">
      <w:pPr>
        <w:spacing w:line="480" w:lineRule="auto"/>
        <w:ind w:firstLine="720"/>
        <w:jc w:val="both"/>
      </w:pPr>
      <w:proofErr w:type="gramStart"/>
      <w:r w:rsidRPr="003A5617">
        <w:t>problem</w:t>
      </w:r>
      <w:proofErr w:type="gramEnd"/>
      <w:r w:rsidRPr="003A5617">
        <w:t xml:space="preserve"> drinking. </w:t>
      </w:r>
      <w:proofErr w:type="spellStart"/>
      <w:proofErr w:type="gramStart"/>
      <w:r>
        <w:t>Clin</w:t>
      </w:r>
      <w:proofErr w:type="spellEnd"/>
      <w:r>
        <w:t>.</w:t>
      </w:r>
      <w:proofErr w:type="gramEnd"/>
      <w:r>
        <w:t xml:space="preserve"> Psychol. </w:t>
      </w:r>
      <w:proofErr w:type="spellStart"/>
      <w:r>
        <w:t>Psychother</w:t>
      </w:r>
      <w:proofErr w:type="spellEnd"/>
      <w:r>
        <w:t>.</w:t>
      </w:r>
      <w:r w:rsidRPr="00B2077E">
        <w:t>, 20,</w:t>
      </w:r>
      <w:r w:rsidRPr="003A5617">
        <w:t xml:space="preserve"> 494-500.</w:t>
      </w:r>
    </w:p>
    <w:p w:rsidR="00B75DE8" w:rsidRPr="003A5617" w:rsidRDefault="00B75DE8" w:rsidP="00B75DE8">
      <w:pPr>
        <w:spacing w:line="480" w:lineRule="auto"/>
        <w:ind w:left="720" w:hanging="720"/>
        <w:contextualSpacing/>
        <w:jc w:val="both"/>
      </w:pPr>
      <w:proofErr w:type="spellStart"/>
      <w:r w:rsidRPr="003A5617">
        <w:t>Spada</w:t>
      </w:r>
      <w:proofErr w:type="spellEnd"/>
      <w:r w:rsidRPr="003A5617">
        <w:t xml:space="preserve">, M. M., Caselli, G., </w:t>
      </w:r>
      <w:proofErr w:type="spellStart"/>
      <w:r w:rsidRPr="003A5617">
        <w:t>Nikčević</w:t>
      </w:r>
      <w:proofErr w:type="spellEnd"/>
      <w:r w:rsidRPr="003A5617">
        <w:t>, A. V., Wells, A.</w:t>
      </w:r>
      <w:r>
        <w:t>, 2015</w:t>
      </w:r>
      <w:r w:rsidRPr="003A5617">
        <w:t xml:space="preserve">. </w:t>
      </w:r>
      <w:proofErr w:type="gramStart"/>
      <w:r w:rsidRPr="003A5617">
        <w:t xml:space="preserve">Metacognition in addictive </w:t>
      </w:r>
      <w:proofErr w:type="spellStart"/>
      <w:r w:rsidRPr="003A5617">
        <w:t>behaviors</w:t>
      </w:r>
      <w:proofErr w:type="spellEnd"/>
      <w:r w:rsidRPr="003A5617">
        <w:t>.</w:t>
      </w:r>
      <w:proofErr w:type="gramEnd"/>
      <w:r w:rsidRPr="003A5617">
        <w:t xml:space="preserve"> </w:t>
      </w:r>
      <w:r>
        <w:t xml:space="preserve">Addict. </w:t>
      </w:r>
      <w:proofErr w:type="spellStart"/>
      <w:proofErr w:type="gramStart"/>
      <w:r>
        <w:t>Behav</w:t>
      </w:r>
      <w:proofErr w:type="spellEnd"/>
      <w:r>
        <w:t>.</w:t>
      </w:r>
      <w:r w:rsidRPr="00B2077E">
        <w:t>,</w:t>
      </w:r>
      <w:proofErr w:type="gramEnd"/>
      <w:r w:rsidRPr="00B2077E">
        <w:t xml:space="preserve"> 44,</w:t>
      </w:r>
      <w:r w:rsidRPr="003A5617">
        <w:t xml:space="preserve"> 9-15. </w:t>
      </w:r>
    </w:p>
    <w:p w:rsidR="00B75DE8" w:rsidRPr="003A5617" w:rsidRDefault="00B75DE8" w:rsidP="00B75DE8">
      <w:pPr>
        <w:pStyle w:val="EndNoteBibliography"/>
        <w:spacing w:line="480" w:lineRule="auto"/>
        <w:ind w:left="720" w:hanging="720"/>
        <w:jc w:val="both"/>
        <w:rPr>
          <w:noProof/>
        </w:rPr>
      </w:pPr>
      <w:r w:rsidRPr="003A5617">
        <w:rPr>
          <w:noProof/>
        </w:rPr>
        <w:t>Spada, M. M., Giustina, L., Rolandi, S., Fernie, B. A., Caselli, G.</w:t>
      </w:r>
      <w:r>
        <w:rPr>
          <w:noProof/>
        </w:rPr>
        <w:t>, 2015</w:t>
      </w:r>
      <w:r w:rsidRPr="003A5617">
        <w:rPr>
          <w:noProof/>
        </w:rPr>
        <w:t xml:space="preserve">. Profiling Metacognition in Gambling Disorder. </w:t>
      </w:r>
      <w:r>
        <w:rPr>
          <w:noProof/>
        </w:rPr>
        <w:t>Behav. Cogn. Psychother.</w:t>
      </w:r>
      <w:r w:rsidRPr="00B2077E">
        <w:rPr>
          <w:noProof/>
        </w:rPr>
        <w:t>, 43</w:t>
      </w:r>
      <w:r w:rsidRPr="003A5617">
        <w:rPr>
          <w:noProof/>
        </w:rPr>
        <w:t xml:space="preserve">, 614-622. </w:t>
      </w:r>
    </w:p>
    <w:p w:rsidR="00B75DE8" w:rsidRPr="003A5617" w:rsidRDefault="00B75DE8" w:rsidP="00B75DE8">
      <w:pPr>
        <w:pStyle w:val="EndNoteBibliography"/>
        <w:spacing w:line="480" w:lineRule="auto"/>
        <w:ind w:left="720" w:hanging="720"/>
        <w:jc w:val="both"/>
        <w:rPr>
          <w:noProof/>
        </w:rPr>
      </w:pPr>
      <w:r w:rsidRPr="003A5617">
        <w:rPr>
          <w:noProof/>
        </w:rPr>
        <w:t>Steenbergh, T.A., Meyers, A.W., May, R.K., Whelan, J.P.</w:t>
      </w:r>
      <w:r>
        <w:rPr>
          <w:noProof/>
        </w:rPr>
        <w:t>, 2002</w:t>
      </w:r>
      <w:r w:rsidRPr="003A5617">
        <w:rPr>
          <w:noProof/>
        </w:rPr>
        <w:t xml:space="preserve">. Development and Validation of the Gamblers' Beliefs Questionnaire. </w:t>
      </w:r>
      <w:r>
        <w:rPr>
          <w:noProof/>
        </w:rPr>
        <w:t xml:space="preserve">Psychol. Addict Behav., </w:t>
      </w:r>
      <w:r w:rsidRPr="00B2077E">
        <w:rPr>
          <w:noProof/>
        </w:rPr>
        <w:t>16,</w:t>
      </w:r>
      <w:r w:rsidRPr="003A5617">
        <w:rPr>
          <w:noProof/>
        </w:rPr>
        <w:t xml:space="preserve"> 143-149.</w:t>
      </w:r>
    </w:p>
    <w:p w:rsidR="00B75DE8" w:rsidRPr="00B2077E" w:rsidRDefault="00B75DE8" w:rsidP="00B75DE8">
      <w:pPr>
        <w:spacing w:line="480" w:lineRule="auto"/>
        <w:ind w:left="720" w:hanging="720"/>
        <w:jc w:val="both"/>
        <w:rPr>
          <w:rFonts w:eastAsia="Calibri"/>
          <w:spacing w:val="-3"/>
          <w:lang w:eastAsia="en-US"/>
        </w:rPr>
      </w:pPr>
      <w:proofErr w:type="spellStart"/>
      <w:r w:rsidRPr="00B2077E">
        <w:rPr>
          <w:rFonts w:eastAsia="Calibri"/>
          <w:spacing w:val="-3"/>
          <w:lang w:eastAsia="en-US"/>
        </w:rPr>
        <w:t>Toneatto</w:t>
      </w:r>
      <w:proofErr w:type="spellEnd"/>
      <w:r w:rsidRPr="00B2077E">
        <w:rPr>
          <w:rFonts w:eastAsia="Calibri"/>
          <w:spacing w:val="-3"/>
          <w:lang w:eastAsia="en-US"/>
        </w:rPr>
        <w:t>, T.</w:t>
      </w:r>
      <w:proofErr w:type="gramStart"/>
      <w:r w:rsidRPr="00B2077E">
        <w:rPr>
          <w:rFonts w:eastAsia="Calibri"/>
          <w:spacing w:val="-3"/>
          <w:lang w:eastAsia="en-US"/>
        </w:rPr>
        <w:t>,  2005</w:t>
      </w:r>
      <w:proofErr w:type="gramEnd"/>
      <w:r w:rsidRPr="00B2077E">
        <w:rPr>
          <w:rFonts w:eastAsia="Calibri"/>
          <w:spacing w:val="-3"/>
          <w:lang w:eastAsia="en-US"/>
        </w:rPr>
        <w:t xml:space="preserve">. A perspective on gambling treatment: issues and challenges. J. </w:t>
      </w:r>
      <w:proofErr w:type="spellStart"/>
      <w:r w:rsidRPr="00B2077E">
        <w:rPr>
          <w:rFonts w:eastAsia="Calibri"/>
          <w:spacing w:val="-3"/>
          <w:lang w:eastAsia="en-US"/>
        </w:rPr>
        <w:t>Gambl</w:t>
      </w:r>
      <w:proofErr w:type="spellEnd"/>
      <w:r w:rsidRPr="00B2077E">
        <w:rPr>
          <w:rFonts w:eastAsia="Calibri"/>
          <w:spacing w:val="-3"/>
          <w:lang w:eastAsia="en-US"/>
        </w:rPr>
        <w:t>. Stud., 21, 92-100.</w:t>
      </w:r>
    </w:p>
    <w:p w:rsidR="00B75DE8" w:rsidRPr="00B2077E" w:rsidRDefault="00B75DE8" w:rsidP="00B75DE8">
      <w:pPr>
        <w:autoSpaceDE w:val="0"/>
        <w:autoSpaceDN w:val="0"/>
        <w:adjustRightInd w:val="0"/>
        <w:spacing w:line="480" w:lineRule="auto"/>
        <w:ind w:left="720" w:hanging="720"/>
        <w:jc w:val="both"/>
        <w:rPr>
          <w:rFonts w:eastAsia="Calibri"/>
          <w:lang w:val="en-US" w:eastAsia="en-US"/>
        </w:rPr>
      </w:pPr>
      <w:proofErr w:type="spellStart"/>
      <w:proofErr w:type="gramStart"/>
      <w:r w:rsidRPr="00B2077E">
        <w:rPr>
          <w:rFonts w:eastAsia="Calibri"/>
          <w:lang w:val="en-US" w:eastAsia="en-US"/>
        </w:rPr>
        <w:t>Toneatto</w:t>
      </w:r>
      <w:proofErr w:type="spellEnd"/>
      <w:r w:rsidRPr="00B2077E">
        <w:rPr>
          <w:rFonts w:eastAsia="Calibri"/>
          <w:lang w:val="en-US" w:eastAsia="en-US"/>
        </w:rPr>
        <w:t>, T.</w:t>
      </w:r>
      <w:r>
        <w:rPr>
          <w:rFonts w:eastAsia="Calibri"/>
          <w:lang w:val="en-US" w:eastAsia="en-US"/>
        </w:rPr>
        <w:t>,</w:t>
      </w:r>
      <w:r w:rsidRPr="00B2077E">
        <w:rPr>
          <w:rFonts w:eastAsia="Calibri"/>
          <w:lang w:val="en-US" w:eastAsia="en-US"/>
        </w:rPr>
        <w:t xml:space="preserve"> Millar, G. (2004).</w:t>
      </w:r>
      <w:proofErr w:type="gramEnd"/>
      <w:r w:rsidRPr="00B2077E">
        <w:rPr>
          <w:rFonts w:eastAsia="Calibri"/>
          <w:lang w:val="en-US" w:eastAsia="en-US"/>
        </w:rPr>
        <w:t xml:space="preserve"> The assessment and treatment of problem gambling:</w:t>
      </w:r>
      <w:r>
        <w:rPr>
          <w:rFonts w:eastAsia="Calibri"/>
          <w:lang w:val="en-US" w:eastAsia="en-US"/>
        </w:rPr>
        <w:t xml:space="preserve"> </w:t>
      </w:r>
      <w:r w:rsidRPr="003A5617">
        <w:rPr>
          <w:rFonts w:eastAsia="Calibri"/>
          <w:sz w:val="22"/>
          <w:szCs w:val="22"/>
          <w:lang w:val="en-US" w:eastAsia="en-US"/>
        </w:rPr>
        <w:t xml:space="preserve">Empirical status and promising trends. </w:t>
      </w:r>
      <w:r>
        <w:rPr>
          <w:rFonts w:eastAsia="Calibri"/>
          <w:iCs/>
          <w:sz w:val="22"/>
          <w:szCs w:val="22"/>
          <w:lang w:val="en-US" w:eastAsia="en-US"/>
        </w:rPr>
        <w:t xml:space="preserve">Can. J. </w:t>
      </w:r>
      <w:proofErr w:type="spellStart"/>
      <w:r>
        <w:rPr>
          <w:rFonts w:eastAsia="Calibri"/>
          <w:iCs/>
          <w:sz w:val="22"/>
          <w:szCs w:val="22"/>
          <w:lang w:val="en-US" w:eastAsia="en-US"/>
        </w:rPr>
        <w:t>Psychatry</w:t>
      </w:r>
      <w:proofErr w:type="spellEnd"/>
      <w:r w:rsidRPr="00B2077E">
        <w:rPr>
          <w:rFonts w:eastAsia="Calibri"/>
          <w:iCs/>
          <w:sz w:val="22"/>
          <w:szCs w:val="22"/>
          <w:lang w:val="en-US" w:eastAsia="en-US"/>
        </w:rPr>
        <w:t>, 49</w:t>
      </w:r>
      <w:r w:rsidRPr="00B2077E">
        <w:rPr>
          <w:rFonts w:eastAsia="Calibri"/>
          <w:sz w:val="22"/>
          <w:szCs w:val="22"/>
          <w:lang w:val="en-US" w:eastAsia="en-US"/>
        </w:rPr>
        <w:t>,</w:t>
      </w:r>
      <w:r w:rsidRPr="003A5617">
        <w:rPr>
          <w:rFonts w:eastAsia="Calibri"/>
          <w:sz w:val="22"/>
          <w:szCs w:val="22"/>
          <w:lang w:val="en-US" w:eastAsia="en-US"/>
        </w:rPr>
        <w:t xml:space="preserve"> 173–181.</w:t>
      </w:r>
    </w:p>
    <w:p w:rsidR="00B75DE8" w:rsidRPr="003A5617" w:rsidRDefault="00B75DE8" w:rsidP="00B75DE8">
      <w:pPr>
        <w:pStyle w:val="EndNoteBibliography"/>
        <w:spacing w:line="480" w:lineRule="auto"/>
        <w:ind w:left="720" w:hanging="720"/>
        <w:jc w:val="both"/>
        <w:rPr>
          <w:noProof/>
        </w:rPr>
      </w:pPr>
      <w:r>
        <w:rPr>
          <w:noProof/>
        </w:rPr>
        <w:lastRenderedPageBreak/>
        <w:t>Wells, A.,</w:t>
      </w:r>
      <w:r w:rsidRPr="003A5617">
        <w:rPr>
          <w:noProof/>
        </w:rPr>
        <w:t xml:space="preserve"> </w:t>
      </w:r>
      <w:r>
        <w:rPr>
          <w:noProof/>
        </w:rPr>
        <w:t>1995</w:t>
      </w:r>
      <w:r w:rsidRPr="003A5617">
        <w:rPr>
          <w:noProof/>
        </w:rPr>
        <w:t xml:space="preserve">. Meta-cognition and worry: A cognitive model of generalized anxiety disorder. </w:t>
      </w:r>
      <w:r w:rsidRPr="00B2077E">
        <w:rPr>
          <w:noProof/>
        </w:rPr>
        <w:t>Behav</w:t>
      </w:r>
      <w:r>
        <w:rPr>
          <w:noProof/>
        </w:rPr>
        <w:t>.</w:t>
      </w:r>
      <w:r w:rsidRPr="00B2077E">
        <w:rPr>
          <w:noProof/>
        </w:rPr>
        <w:t xml:space="preserve"> Cogn</w:t>
      </w:r>
      <w:r>
        <w:rPr>
          <w:noProof/>
        </w:rPr>
        <w:t>.</w:t>
      </w:r>
      <w:r w:rsidRPr="00B2077E">
        <w:rPr>
          <w:noProof/>
        </w:rPr>
        <w:t xml:space="preserve"> Psychother</w:t>
      </w:r>
      <w:r>
        <w:rPr>
          <w:noProof/>
        </w:rPr>
        <w:t>.</w:t>
      </w:r>
      <w:r w:rsidRPr="00B2077E">
        <w:rPr>
          <w:noProof/>
        </w:rPr>
        <w:t>, 23,</w:t>
      </w:r>
      <w:r w:rsidRPr="003A5617">
        <w:rPr>
          <w:noProof/>
        </w:rPr>
        <w:t xml:space="preserve"> 301-320. </w:t>
      </w:r>
    </w:p>
    <w:p w:rsidR="00B75DE8" w:rsidRPr="003A5617" w:rsidRDefault="00B75DE8" w:rsidP="00B75DE8">
      <w:pPr>
        <w:pStyle w:val="EndNoteBibliography"/>
        <w:spacing w:line="480" w:lineRule="auto"/>
        <w:ind w:left="720" w:hanging="720"/>
        <w:jc w:val="both"/>
        <w:rPr>
          <w:noProof/>
        </w:rPr>
      </w:pPr>
      <w:r>
        <w:rPr>
          <w:noProof/>
        </w:rPr>
        <w:t>Wells, A., 2002</w:t>
      </w:r>
      <w:r w:rsidRPr="003A5617">
        <w:rPr>
          <w:noProof/>
        </w:rPr>
        <w:t xml:space="preserve">. </w:t>
      </w:r>
      <w:r w:rsidRPr="00B2077E">
        <w:rPr>
          <w:noProof/>
        </w:rPr>
        <w:t>Emotional Disorders and Metacognition: Innovative Cognitive Therapy</w:t>
      </w:r>
      <w:r w:rsidRPr="003A5617">
        <w:rPr>
          <w:noProof/>
        </w:rPr>
        <w:t>. Chichester, UK: John Wiley &amp; Sons.</w:t>
      </w:r>
    </w:p>
    <w:p w:rsidR="00B75DE8" w:rsidRPr="003A5617" w:rsidRDefault="00B75DE8" w:rsidP="00B75DE8">
      <w:pPr>
        <w:spacing w:line="480" w:lineRule="auto"/>
        <w:jc w:val="both"/>
        <w:rPr>
          <w:lang w:val="en-US"/>
        </w:rPr>
      </w:pPr>
      <w:r w:rsidRPr="003A5617">
        <w:rPr>
          <w:lang w:val="en-US"/>
        </w:rPr>
        <w:t>Wells, A.</w:t>
      </w:r>
      <w:r>
        <w:rPr>
          <w:lang w:val="en-US"/>
        </w:rPr>
        <w:t>, 2009</w:t>
      </w:r>
      <w:r w:rsidRPr="003A5617">
        <w:rPr>
          <w:lang w:val="en-US"/>
        </w:rPr>
        <w:t xml:space="preserve">. </w:t>
      </w:r>
      <w:proofErr w:type="gramStart"/>
      <w:r w:rsidRPr="00B2077E">
        <w:rPr>
          <w:iCs/>
          <w:lang w:val="en-US"/>
        </w:rPr>
        <w:t>Metacognitive Therapy for Anxiety and Depression</w:t>
      </w:r>
      <w:r w:rsidRPr="00B2077E">
        <w:rPr>
          <w:lang w:val="en-US"/>
        </w:rPr>
        <w:t>.</w:t>
      </w:r>
      <w:proofErr w:type="gramEnd"/>
      <w:r w:rsidRPr="00B2077E">
        <w:rPr>
          <w:lang w:val="en-US"/>
        </w:rPr>
        <w:t xml:space="preserve"> New York</w:t>
      </w:r>
      <w:r w:rsidRPr="003A5617">
        <w:rPr>
          <w:lang w:val="en-US"/>
        </w:rPr>
        <w:t xml:space="preserve">, USA: </w:t>
      </w:r>
    </w:p>
    <w:p w:rsidR="00B75DE8" w:rsidRPr="003A5617" w:rsidRDefault="00B75DE8" w:rsidP="00B75DE8">
      <w:pPr>
        <w:spacing w:line="480" w:lineRule="auto"/>
        <w:ind w:firstLine="720"/>
        <w:jc w:val="both"/>
      </w:pPr>
      <w:proofErr w:type="gramStart"/>
      <w:r w:rsidRPr="003A5617">
        <w:rPr>
          <w:lang w:val="en-US"/>
        </w:rPr>
        <w:t>Guilford Press.</w:t>
      </w:r>
      <w:proofErr w:type="gramEnd"/>
      <w:r w:rsidRPr="003A5617">
        <w:rPr>
          <w:lang w:val="en-US"/>
        </w:rPr>
        <w:t xml:space="preserve"> </w:t>
      </w:r>
    </w:p>
    <w:p w:rsidR="00B75DE8" w:rsidRPr="003A5617" w:rsidRDefault="00B75DE8" w:rsidP="00B75DE8">
      <w:pPr>
        <w:spacing w:line="480" w:lineRule="auto"/>
        <w:jc w:val="both"/>
      </w:pPr>
      <w:r>
        <w:rPr>
          <w:lang w:val="en-US"/>
        </w:rPr>
        <w:t>Wells, A., 2013</w:t>
      </w:r>
      <w:r w:rsidRPr="003A5617">
        <w:rPr>
          <w:lang w:val="en-US"/>
        </w:rPr>
        <w:t xml:space="preserve">. </w:t>
      </w:r>
      <w:proofErr w:type="gramStart"/>
      <w:r w:rsidRPr="003A5617">
        <w:rPr>
          <w:lang w:val="en-US"/>
        </w:rPr>
        <w:t>Advances in Metacognitive Therapy.</w:t>
      </w:r>
      <w:proofErr w:type="gramEnd"/>
      <w:r w:rsidRPr="003A5617">
        <w:rPr>
          <w:lang w:val="en-US"/>
        </w:rPr>
        <w:t xml:space="preserve"> </w:t>
      </w:r>
      <w:r>
        <w:rPr>
          <w:iCs/>
          <w:lang w:val="en-US"/>
        </w:rPr>
        <w:t xml:space="preserve">Int. J. </w:t>
      </w:r>
      <w:proofErr w:type="spellStart"/>
      <w:r>
        <w:rPr>
          <w:iCs/>
          <w:lang w:val="en-US"/>
        </w:rPr>
        <w:t>Cogn</w:t>
      </w:r>
      <w:proofErr w:type="spellEnd"/>
      <w:r>
        <w:rPr>
          <w:iCs/>
          <w:lang w:val="en-US"/>
        </w:rPr>
        <w:t xml:space="preserve">. </w:t>
      </w:r>
      <w:proofErr w:type="spellStart"/>
      <w:proofErr w:type="gramStart"/>
      <w:r>
        <w:rPr>
          <w:iCs/>
          <w:lang w:val="en-US"/>
        </w:rPr>
        <w:t>Ther</w:t>
      </w:r>
      <w:proofErr w:type="spellEnd"/>
      <w:r>
        <w:rPr>
          <w:iCs/>
          <w:lang w:val="en-US"/>
        </w:rPr>
        <w:t>.</w:t>
      </w:r>
      <w:r w:rsidRPr="00B2077E">
        <w:rPr>
          <w:iCs/>
          <w:lang w:val="en-US"/>
        </w:rPr>
        <w:t>,</w:t>
      </w:r>
      <w:proofErr w:type="gramEnd"/>
      <w:r w:rsidRPr="00B2077E">
        <w:rPr>
          <w:iCs/>
          <w:lang w:val="en-US"/>
        </w:rPr>
        <w:t xml:space="preserve"> 6</w:t>
      </w:r>
      <w:r w:rsidRPr="00B2077E">
        <w:rPr>
          <w:lang w:val="en-US"/>
        </w:rPr>
        <w:t xml:space="preserve">, </w:t>
      </w:r>
      <w:r w:rsidRPr="003A5617">
        <w:rPr>
          <w:lang w:val="en-US"/>
        </w:rPr>
        <w:t>186-201.</w:t>
      </w:r>
    </w:p>
    <w:p w:rsidR="00B75DE8" w:rsidRPr="003A5617" w:rsidRDefault="00B75DE8" w:rsidP="00B75DE8">
      <w:pPr>
        <w:pStyle w:val="EndNoteBibliography"/>
        <w:spacing w:line="480" w:lineRule="auto"/>
        <w:ind w:left="720" w:hanging="720"/>
        <w:jc w:val="both"/>
        <w:rPr>
          <w:noProof/>
        </w:rPr>
      </w:pPr>
      <w:r w:rsidRPr="003A5617">
        <w:rPr>
          <w:noProof/>
        </w:rPr>
        <w:t>Wells, A., Matthews, G.</w:t>
      </w:r>
      <w:r>
        <w:rPr>
          <w:noProof/>
        </w:rPr>
        <w:t>, 1994</w:t>
      </w:r>
      <w:r w:rsidRPr="003A5617">
        <w:rPr>
          <w:noProof/>
        </w:rPr>
        <w:t xml:space="preserve">. </w:t>
      </w:r>
      <w:r w:rsidRPr="00B2077E">
        <w:rPr>
          <w:noProof/>
        </w:rPr>
        <w:t>Attention and Emotion: A Clinical Perspective. London, UK</w:t>
      </w:r>
      <w:r w:rsidRPr="003A5617">
        <w:rPr>
          <w:noProof/>
        </w:rPr>
        <w:t>:  Psychology Press.</w:t>
      </w:r>
    </w:p>
    <w:p w:rsidR="00B75DE8" w:rsidRPr="003A5617" w:rsidRDefault="00B75DE8" w:rsidP="00B75DE8">
      <w:pPr>
        <w:tabs>
          <w:tab w:val="left" w:pos="-720"/>
        </w:tabs>
        <w:suppressAutoHyphens/>
        <w:spacing w:line="480" w:lineRule="auto"/>
        <w:ind w:left="720" w:hanging="720"/>
        <w:rPr>
          <w:spacing w:val="-3"/>
        </w:rPr>
      </w:pPr>
      <w:r>
        <w:rPr>
          <w:spacing w:val="-3"/>
        </w:rPr>
        <w:t>Wells, A., Matthews, G., 1996</w:t>
      </w:r>
      <w:r w:rsidRPr="003A5617">
        <w:rPr>
          <w:spacing w:val="-3"/>
        </w:rPr>
        <w:t xml:space="preserve">. </w:t>
      </w:r>
      <w:proofErr w:type="gramStart"/>
      <w:r w:rsidRPr="003A5617">
        <w:rPr>
          <w:spacing w:val="-3"/>
        </w:rPr>
        <w:t>Modelling cognition in emotional disorder: the S-REF model.</w:t>
      </w:r>
      <w:proofErr w:type="gramEnd"/>
      <w:r w:rsidRPr="003A5617">
        <w:rPr>
          <w:spacing w:val="-3"/>
        </w:rPr>
        <w:t xml:space="preserve"> </w:t>
      </w:r>
      <w:proofErr w:type="spellStart"/>
      <w:r>
        <w:rPr>
          <w:spacing w:val="-3"/>
        </w:rPr>
        <w:t>Behav</w:t>
      </w:r>
      <w:proofErr w:type="spellEnd"/>
      <w:r>
        <w:rPr>
          <w:spacing w:val="-3"/>
        </w:rPr>
        <w:t xml:space="preserve"> Res </w:t>
      </w:r>
      <w:proofErr w:type="spellStart"/>
      <w:r>
        <w:rPr>
          <w:spacing w:val="-3"/>
        </w:rPr>
        <w:t>Ther</w:t>
      </w:r>
      <w:proofErr w:type="spellEnd"/>
      <w:r w:rsidRPr="00B2077E">
        <w:rPr>
          <w:spacing w:val="-3"/>
        </w:rPr>
        <w:t>, 34,</w:t>
      </w:r>
      <w:r w:rsidRPr="003A5617">
        <w:rPr>
          <w:i/>
          <w:spacing w:val="-3"/>
        </w:rPr>
        <w:t xml:space="preserve"> </w:t>
      </w:r>
      <w:r w:rsidRPr="003A5617">
        <w:rPr>
          <w:spacing w:val="-3"/>
        </w:rPr>
        <w:t>881-888.</w:t>
      </w:r>
    </w:p>
    <w:p w:rsidR="00B75DE8" w:rsidRDefault="00B75DE8" w:rsidP="00B75DE8">
      <w:pPr>
        <w:spacing w:line="480" w:lineRule="auto"/>
        <w:ind w:left="720" w:hanging="720"/>
      </w:pPr>
      <w:proofErr w:type="spellStart"/>
      <w:r w:rsidRPr="003A5617">
        <w:rPr>
          <w:spacing w:val="-3"/>
        </w:rPr>
        <w:t>Zigmond</w:t>
      </w:r>
      <w:proofErr w:type="spellEnd"/>
      <w:r w:rsidRPr="003A5617">
        <w:rPr>
          <w:spacing w:val="-3"/>
        </w:rPr>
        <w:t>, A. S.</w:t>
      </w:r>
      <w:r>
        <w:rPr>
          <w:spacing w:val="-3"/>
        </w:rPr>
        <w:t>,</w:t>
      </w:r>
      <w:r w:rsidRPr="003A5617">
        <w:rPr>
          <w:spacing w:val="-3"/>
        </w:rPr>
        <w:t xml:space="preserve"> </w:t>
      </w:r>
      <w:proofErr w:type="spellStart"/>
      <w:r w:rsidRPr="003A5617">
        <w:rPr>
          <w:spacing w:val="-3"/>
        </w:rPr>
        <w:t>Snaith</w:t>
      </w:r>
      <w:proofErr w:type="spellEnd"/>
      <w:r w:rsidRPr="003A5617">
        <w:rPr>
          <w:spacing w:val="-3"/>
        </w:rPr>
        <w:t>, R. P.</w:t>
      </w:r>
      <w:r>
        <w:rPr>
          <w:spacing w:val="-3"/>
        </w:rPr>
        <w:t>, 1983</w:t>
      </w:r>
      <w:r w:rsidRPr="003A5617">
        <w:rPr>
          <w:spacing w:val="-3"/>
        </w:rPr>
        <w:t xml:space="preserve">. </w:t>
      </w:r>
      <w:proofErr w:type="gramStart"/>
      <w:r w:rsidRPr="003A5617">
        <w:rPr>
          <w:spacing w:val="-3"/>
        </w:rPr>
        <w:t>The Hospital Anxiety and Depression Scale.</w:t>
      </w:r>
      <w:proofErr w:type="gramEnd"/>
      <w:r w:rsidRPr="003A5617">
        <w:rPr>
          <w:spacing w:val="-3"/>
        </w:rPr>
        <w:t xml:space="preserve"> </w:t>
      </w:r>
      <w:r>
        <w:rPr>
          <w:spacing w:val="-3"/>
        </w:rPr>
        <w:t xml:space="preserve">Act. </w:t>
      </w:r>
      <w:proofErr w:type="spellStart"/>
      <w:proofErr w:type="gramStart"/>
      <w:r>
        <w:rPr>
          <w:spacing w:val="-3"/>
        </w:rPr>
        <w:t>Psychiatr</w:t>
      </w:r>
      <w:proofErr w:type="spellEnd"/>
      <w:r>
        <w:rPr>
          <w:spacing w:val="-3"/>
        </w:rPr>
        <w:t>.</w:t>
      </w:r>
      <w:proofErr w:type="gramEnd"/>
      <w:r>
        <w:rPr>
          <w:spacing w:val="-3"/>
        </w:rPr>
        <w:t xml:space="preserve"> Scand.</w:t>
      </w:r>
      <w:r w:rsidRPr="00B2077E">
        <w:rPr>
          <w:spacing w:val="-3"/>
        </w:rPr>
        <w:t>, 67,</w:t>
      </w:r>
      <w:r w:rsidRPr="003A5617">
        <w:rPr>
          <w:i/>
          <w:spacing w:val="-3"/>
        </w:rPr>
        <w:t xml:space="preserve"> </w:t>
      </w:r>
      <w:r w:rsidRPr="003A5617">
        <w:rPr>
          <w:spacing w:val="-3"/>
        </w:rPr>
        <w:t>361-370.</w:t>
      </w:r>
    </w:p>
    <w:p w:rsidR="00B75DE8" w:rsidRDefault="00B75DE8" w:rsidP="008C7770">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rsidR="00B75DE8" w:rsidRDefault="00B75DE8" w:rsidP="008C7770">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rsidR="00B75DE8" w:rsidRDefault="00B75DE8" w:rsidP="008C7770">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rsidR="00B75DE8" w:rsidRDefault="00B75DE8" w:rsidP="008C7770">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rsidR="00B75DE8" w:rsidRDefault="00B75DE8" w:rsidP="008C7770">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rsidR="00B75DE8" w:rsidRDefault="00B75DE8" w:rsidP="008C7770">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rsidR="00B75DE8" w:rsidRDefault="00B75DE8" w:rsidP="008C7770">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rsidR="00B75DE8" w:rsidRDefault="00B75DE8" w:rsidP="008C7770">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rsidR="00B75DE8" w:rsidRDefault="00B75DE8" w:rsidP="008C7770">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rsidR="00B75DE8" w:rsidRDefault="00B75DE8" w:rsidP="008C7770">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rsidR="00B75DE8" w:rsidRDefault="00B75DE8" w:rsidP="008C7770">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rsidR="00B75DE8" w:rsidRDefault="00B75DE8" w:rsidP="008C7770">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rsidR="00B75DE8" w:rsidRDefault="00B75DE8" w:rsidP="008C7770">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rsidR="00B75DE8" w:rsidRDefault="00B75DE8" w:rsidP="008C7770">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rsidR="00B75DE8" w:rsidRDefault="00B75DE8" w:rsidP="008C7770">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rsidR="00B75DE8" w:rsidRDefault="00B75DE8" w:rsidP="008C7770">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rsidR="00B75DE8" w:rsidRDefault="00B75DE8" w:rsidP="008C7770">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rsidR="00B75DE8" w:rsidRDefault="00B75DE8" w:rsidP="008C7770">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rsidR="00B75DE8" w:rsidRDefault="00B75DE8" w:rsidP="008C7770">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rsidR="00B75DE8" w:rsidRDefault="00B75DE8" w:rsidP="008C7770">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rsidR="00B75DE8" w:rsidRDefault="00B75DE8" w:rsidP="008C7770">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rsidR="00B75DE8" w:rsidRDefault="00B75DE8" w:rsidP="008C7770">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rsidR="00B75DE8" w:rsidRDefault="00B75DE8" w:rsidP="008C7770">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rsidR="00B75DE8" w:rsidRDefault="00B75DE8" w:rsidP="008C7770">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rsidR="00B75DE8" w:rsidRDefault="00B75DE8" w:rsidP="008C7770">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rsidR="00B75DE8" w:rsidRDefault="00B75DE8" w:rsidP="008C7770">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rsidR="00B75DE8" w:rsidRDefault="00B75DE8" w:rsidP="00B75DE8">
      <w:pPr>
        <w:spacing w:line="480" w:lineRule="auto"/>
        <w:ind w:right="-40"/>
        <w:jc w:val="both"/>
        <w:outlineLvl w:val="0"/>
        <w:rPr>
          <w:b/>
        </w:rPr>
      </w:pPr>
      <w:r w:rsidRPr="000D5BCC">
        <w:rPr>
          <w:b/>
        </w:rPr>
        <w:lastRenderedPageBreak/>
        <w:t xml:space="preserve">Table 1 </w:t>
      </w:r>
    </w:p>
    <w:p w:rsidR="00B75DE8" w:rsidRPr="000D5BCC" w:rsidRDefault="00B75DE8" w:rsidP="00B75DE8">
      <w:pPr>
        <w:spacing w:line="480" w:lineRule="auto"/>
        <w:ind w:right="-40"/>
        <w:jc w:val="both"/>
        <w:outlineLvl w:val="0"/>
      </w:pPr>
      <w:r w:rsidRPr="000D5BCC">
        <w:t>Factor loadings for individual items of the MGQ in Study 1 and Study 2 based on exploratory factor analyses</w:t>
      </w:r>
    </w:p>
    <w:tbl>
      <w:tblPr>
        <w:tblW w:w="10554" w:type="dxa"/>
        <w:tblInd w:w="108" w:type="dxa"/>
        <w:tblLayout w:type="fixed"/>
        <w:tblLook w:val="04A0" w:firstRow="1" w:lastRow="0" w:firstColumn="1" w:lastColumn="0" w:noHBand="0" w:noVBand="1"/>
      </w:tblPr>
      <w:tblGrid>
        <w:gridCol w:w="7010"/>
        <w:gridCol w:w="709"/>
        <w:gridCol w:w="709"/>
        <w:gridCol w:w="708"/>
        <w:gridCol w:w="1418"/>
      </w:tblGrid>
      <w:tr w:rsidR="00B75DE8" w:rsidRPr="003A5617" w:rsidTr="00007BB2">
        <w:tc>
          <w:tcPr>
            <w:tcW w:w="7010" w:type="dxa"/>
            <w:tcBorders>
              <w:top w:val="single" w:sz="4" w:space="0" w:color="000000"/>
              <w:bottom w:val="single" w:sz="4" w:space="0" w:color="000000"/>
            </w:tcBorders>
          </w:tcPr>
          <w:p w:rsidR="00B75DE8" w:rsidRPr="003A5617" w:rsidRDefault="00B75DE8" w:rsidP="00007BB2">
            <w:pPr>
              <w:ind w:right="-40"/>
              <w:jc w:val="both"/>
              <w:rPr>
                <w:b/>
                <w:sz w:val="20"/>
                <w:szCs w:val="20"/>
                <w:lang w:val="en-US"/>
              </w:rPr>
            </w:pPr>
          </w:p>
        </w:tc>
        <w:tc>
          <w:tcPr>
            <w:tcW w:w="709" w:type="dxa"/>
            <w:tcBorders>
              <w:top w:val="single" w:sz="4" w:space="0" w:color="000000"/>
              <w:bottom w:val="single" w:sz="4" w:space="0" w:color="000000"/>
            </w:tcBorders>
          </w:tcPr>
          <w:p w:rsidR="00B75DE8" w:rsidRPr="003A5617" w:rsidRDefault="00B75DE8" w:rsidP="00007BB2">
            <w:pPr>
              <w:ind w:right="-40"/>
              <w:jc w:val="both"/>
              <w:rPr>
                <w:b/>
                <w:sz w:val="20"/>
                <w:szCs w:val="20"/>
                <w:lang w:val="en-US"/>
              </w:rPr>
            </w:pPr>
            <w:r w:rsidRPr="003A5617">
              <w:rPr>
                <w:b/>
                <w:sz w:val="20"/>
                <w:szCs w:val="20"/>
                <w:lang w:val="en-US"/>
              </w:rPr>
              <w:t>F1</w:t>
            </w:r>
          </w:p>
        </w:tc>
        <w:tc>
          <w:tcPr>
            <w:tcW w:w="709" w:type="dxa"/>
            <w:tcBorders>
              <w:top w:val="single" w:sz="4" w:space="0" w:color="000000"/>
              <w:bottom w:val="single" w:sz="4" w:space="0" w:color="000000"/>
            </w:tcBorders>
          </w:tcPr>
          <w:p w:rsidR="00B75DE8" w:rsidRPr="003A5617" w:rsidRDefault="00B75DE8" w:rsidP="00007BB2">
            <w:pPr>
              <w:ind w:right="-40"/>
              <w:jc w:val="both"/>
              <w:rPr>
                <w:b/>
                <w:sz w:val="20"/>
                <w:szCs w:val="20"/>
                <w:lang w:val="en-US"/>
              </w:rPr>
            </w:pPr>
            <w:r w:rsidRPr="003A5617">
              <w:rPr>
                <w:b/>
                <w:sz w:val="20"/>
                <w:szCs w:val="20"/>
                <w:lang w:val="en-US"/>
              </w:rPr>
              <w:t>F2</w:t>
            </w:r>
          </w:p>
        </w:tc>
        <w:tc>
          <w:tcPr>
            <w:tcW w:w="708" w:type="dxa"/>
            <w:tcBorders>
              <w:top w:val="single" w:sz="4" w:space="0" w:color="000000"/>
              <w:bottom w:val="single" w:sz="4" w:space="0" w:color="000000"/>
            </w:tcBorders>
          </w:tcPr>
          <w:p w:rsidR="00B75DE8" w:rsidRPr="003A5617" w:rsidRDefault="00B75DE8" w:rsidP="00007BB2">
            <w:pPr>
              <w:ind w:right="-40"/>
              <w:jc w:val="both"/>
              <w:rPr>
                <w:b/>
                <w:sz w:val="20"/>
                <w:szCs w:val="20"/>
                <w:lang w:val="en-US"/>
              </w:rPr>
            </w:pPr>
            <w:r w:rsidRPr="003A5617">
              <w:rPr>
                <w:b/>
                <w:sz w:val="20"/>
                <w:szCs w:val="20"/>
                <w:lang w:val="en-US"/>
              </w:rPr>
              <w:t>F3</w:t>
            </w:r>
          </w:p>
        </w:tc>
        <w:tc>
          <w:tcPr>
            <w:tcW w:w="1418" w:type="dxa"/>
            <w:tcBorders>
              <w:top w:val="single" w:sz="4" w:space="0" w:color="000000"/>
              <w:bottom w:val="single" w:sz="4" w:space="0" w:color="000000"/>
            </w:tcBorders>
          </w:tcPr>
          <w:p w:rsidR="00B75DE8" w:rsidRPr="003A5617" w:rsidRDefault="00B75DE8" w:rsidP="00007BB2">
            <w:pPr>
              <w:ind w:right="-40"/>
              <w:jc w:val="center"/>
              <w:rPr>
                <w:b/>
                <w:sz w:val="20"/>
                <w:szCs w:val="20"/>
                <w:lang w:val="en-US"/>
              </w:rPr>
            </w:pPr>
            <w:r w:rsidRPr="003A5617">
              <w:rPr>
                <w:b/>
                <w:sz w:val="20"/>
                <w:szCs w:val="20"/>
                <w:lang w:val="en-US"/>
              </w:rPr>
              <w:t>Communality</w:t>
            </w:r>
          </w:p>
        </w:tc>
      </w:tr>
      <w:tr w:rsidR="00B75DE8" w:rsidRPr="003A5617" w:rsidTr="00007BB2">
        <w:tc>
          <w:tcPr>
            <w:tcW w:w="7010" w:type="dxa"/>
            <w:tcBorders>
              <w:top w:val="single" w:sz="4" w:space="0" w:color="000000"/>
            </w:tcBorders>
          </w:tcPr>
          <w:p w:rsidR="00B75DE8" w:rsidRPr="003A5617" w:rsidRDefault="00B75DE8" w:rsidP="00007BB2">
            <w:pPr>
              <w:ind w:right="-40"/>
              <w:jc w:val="both"/>
              <w:rPr>
                <w:b/>
                <w:i/>
                <w:sz w:val="20"/>
                <w:szCs w:val="20"/>
                <w:lang w:val="en-US"/>
              </w:rPr>
            </w:pPr>
            <w:r w:rsidRPr="003A5617">
              <w:rPr>
                <w:b/>
                <w:i/>
                <w:sz w:val="20"/>
                <w:szCs w:val="20"/>
                <w:lang w:val="en-US"/>
              </w:rPr>
              <w:t xml:space="preserve">Factor 1: Negative Metacognitions about Gambling </w:t>
            </w:r>
          </w:p>
        </w:tc>
        <w:tc>
          <w:tcPr>
            <w:tcW w:w="709" w:type="dxa"/>
            <w:tcBorders>
              <w:top w:val="single" w:sz="4" w:space="0" w:color="000000"/>
            </w:tcBorders>
          </w:tcPr>
          <w:p w:rsidR="00B75DE8" w:rsidRPr="003A5617" w:rsidRDefault="00B75DE8" w:rsidP="00007BB2">
            <w:pPr>
              <w:ind w:right="-40"/>
              <w:jc w:val="both"/>
              <w:rPr>
                <w:b/>
                <w:sz w:val="20"/>
                <w:szCs w:val="20"/>
                <w:lang w:val="en-US"/>
              </w:rPr>
            </w:pPr>
          </w:p>
        </w:tc>
        <w:tc>
          <w:tcPr>
            <w:tcW w:w="709" w:type="dxa"/>
            <w:tcBorders>
              <w:top w:val="single" w:sz="4" w:space="0" w:color="000000"/>
            </w:tcBorders>
          </w:tcPr>
          <w:p w:rsidR="00B75DE8" w:rsidRPr="003A5617" w:rsidRDefault="00B75DE8" w:rsidP="00007BB2">
            <w:pPr>
              <w:ind w:right="-40"/>
              <w:jc w:val="both"/>
              <w:rPr>
                <w:b/>
                <w:sz w:val="20"/>
                <w:szCs w:val="20"/>
                <w:lang w:val="en-US"/>
              </w:rPr>
            </w:pPr>
          </w:p>
        </w:tc>
        <w:tc>
          <w:tcPr>
            <w:tcW w:w="708" w:type="dxa"/>
            <w:tcBorders>
              <w:top w:val="single" w:sz="4" w:space="0" w:color="000000"/>
            </w:tcBorders>
          </w:tcPr>
          <w:p w:rsidR="00B75DE8" w:rsidRPr="003A5617" w:rsidRDefault="00B75DE8" w:rsidP="00007BB2">
            <w:pPr>
              <w:ind w:right="-40"/>
              <w:jc w:val="both"/>
              <w:rPr>
                <w:b/>
                <w:sz w:val="20"/>
                <w:szCs w:val="20"/>
                <w:lang w:val="en-US"/>
              </w:rPr>
            </w:pPr>
          </w:p>
        </w:tc>
        <w:tc>
          <w:tcPr>
            <w:tcW w:w="1418" w:type="dxa"/>
            <w:tcBorders>
              <w:top w:val="single" w:sz="4" w:space="0" w:color="000000"/>
            </w:tcBorders>
          </w:tcPr>
          <w:p w:rsidR="00B75DE8" w:rsidRPr="003A5617" w:rsidRDefault="00B75DE8" w:rsidP="00007BB2">
            <w:pPr>
              <w:ind w:right="-40"/>
              <w:jc w:val="center"/>
              <w:rPr>
                <w:b/>
                <w:sz w:val="20"/>
                <w:szCs w:val="20"/>
                <w:lang w:val="en-US"/>
              </w:rPr>
            </w:pPr>
          </w:p>
        </w:tc>
      </w:tr>
      <w:tr w:rsidR="00B75DE8" w:rsidRPr="003A5617" w:rsidTr="00007BB2">
        <w:tc>
          <w:tcPr>
            <w:tcW w:w="7010" w:type="dxa"/>
          </w:tcPr>
          <w:p w:rsidR="00B75DE8" w:rsidRPr="003A5617" w:rsidRDefault="00B75DE8" w:rsidP="00007BB2">
            <w:pPr>
              <w:ind w:right="-40"/>
              <w:jc w:val="both"/>
              <w:rPr>
                <w:b/>
                <w:i/>
                <w:sz w:val="20"/>
                <w:szCs w:val="20"/>
                <w:lang w:val="en-US"/>
              </w:rPr>
            </w:pPr>
            <w:r w:rsidRPr="003A5617">
              <w:rPr>
                <w:sz w:val="20"/>
                <w:szCs w:val="20"/>
              </w:rPr>
              <w:t xml:space="preserve">(1) I cannot stop thinking about gambling </w:t>
            </w:r>
          </w:p>
        </w:tc>
        <w:tc>
          <w:tcPr>
            <w:tcW w:w="709" w:type="dxa"/>
          </w:tcPr>
          <w:p w:rsidR="00B75DE8" w:rsidRPr="003A5617" w:rsidRDefault="00B75DE8" w:rsidP="00007BB2">
            <w:pPr>
              <w:ind w:right="-40"/>
              <w:jc w:val="both"/>
              <w:rPr>
                <w:b/>
                <w:sz w:val="20"/>
                <w:szCs w:val="20"/>
                <w:lang w:val="en-US"/>
              </w:rPr>
            </w:pPr>
            <w:r w:rsidRPr="003A5617">
              <w:rPr>
                <w:b/>
                <w:sz w:val="20"/>
                <w:szCs w:val="20"/>
                <w:lang w:val="en-US"/>
              </w:rPr>
              <w:t>.80</w:t>
            </w:r>
          </w:p>
        </w:tc>
        <w:tc>
          <w:tcPr>
            <w:tcW w:w="709" w:type="dxa"/>
          </w:tcPr>
          <w:p w:rsidR="00B75DE8" w:rsidRPr="003A5617" w:rsidRDefault="00B75DE8" w:rsidP="00007BB2">
            <w:pPr>
              <w:ind w:right="-40"/>
              <w:jc w:val="both"/>
              <w:rPr>
                <w:sz w:val="20"/>
                <w:szCs w:val="20"/>
                <w:lang w:val="en-US"/>
              </w:rPr>
            </w:pPr>
            <w:r w:rsidRPr="003A5617">
              <w:rPr>
                <w:sz w:val="20"/>
                <w:szCs w:val="20"/>
                <w:lang w:val="en-US"/>
              </w:rPr>
              <w:t>.24</w:t>
            </w:r>
          </w:p>
        </w:tc>
        <w:tc>
          <w:tcPr>
            <w:tcW w:w="708" w:type="dxa"/>
          </w:tcPr>
          <w:p w:rsidR="00B75DE8" w:rsidRPr="003A5617" w:rsidRDefault="00B75DE8" w:rsidP="00007BB2">
            <w:pPr>
              <w:ind w:right="-40"/>
              <w:jc w:val="both"/>
              <w:rPr>
                <w:sz w:val="20"/>
                <w:szCs w:val="20"/>
                <w:lang w:val="en-US"/>
              </w:rPr>
            </w:pPr>
            <w:r w:rsidRPr="003A5617">
              <w:rPr>
                <w:sz w:val="20"/>
                <w:szCs w:val="20"/>
                <w:lang w:val="en-US"/>
              </w:rPr>
              <w:t>.12</w:t>
            </w:r>
          </w:p>
        </w:tc>
        <w:tc>
          <w:tcPr>
            <w:tcW w:w="1418" w:type="dxa"/>
          </w:tcPr>
          <w:p w:rsidR="00B75DE8" w:rsidRPr="003A5617" w:rsidRDefault="00B75DE8" w:rsidP="00007BB2">
            <w:pPr>
              <w:ind w:right="-40"/>
              <w:jc w:val="center"/>
              <w:rPr>
                <w:sz w:val="20"/>
                <w:szCs w:val="20"/>
                <w:lang w:val="en-US"/>
              </w:rPr>
            </w:pPr>
            <w:r w:rsidRPr="003A5617">
              <w:rPr>
                <w:sz w:val="20"/>
                <w:szCs w:val="20"/>
                <w:lang w:val="en-US"/>
              </w:rPr>
              <w:t>.71</w:t>
            </w:r>
          </w:p>
        </w:tc>
      </w:tr>
      <w:tr w:rsidR="00B75DE8" w:rsidRPr="003A5617" w:rsidTr="00007BB2">
        <w:tc>
          <w:tcPr>
            <w:tcW w:w="7010" w:type="dxa"/>
          </w:tcPr>
          <w:p w:rsidR="00B75DE8" w:rsidRPr="003A5617" w:rsidRDefault="00B75DE8" w:rsidP="00007BB2">
            <w:pPr>
              <w:ind w:right="-40"/>
              <w:jc w:val="both"/>
              <w:rPr>
                <w:sz w:val="20"/>
                <w:szCs w:val="20"/>
              </w:rPr>
            </w:pPr>
            <w:r w:rsidRPr="003A5617">
              <w:rPr>
                <w:sz w:val="20"/>
                <w:szCs w:val="20"/>
                <w:lang w:val="en-US"/>
              </w:rPr>
              <w:t xml:space="preserve">(2) </w:t>
            </w:r>
            <w:r w:rsidRPr="003A5617">
              <w:rPr>
                <w:sz w:val="20"/>
                <w:szCs w:val="20"/>
              </w:rPr>
              <w:t>Thinking about gambling is difficult to control</w:t>
            </w:r>
          </w:p>
        </w:tc>
        <w:tc>
          <w:tcPr>
            <w:tcW w:w="709" w:type="dxa"/>
          </w:tcPr>
          <w:p w:rsidR="00B75DE8" w:rsidRPr="003A5617" w:rsidRDefault="00B75DE8" w:rsidP="00007BB2">
            <w:pPr>
              <w:autoSpaceDE w:val="0"/>
              <w:autoSpaceDN w:val="0"/>
              <w:adjustRightInd w:val="0"/>
              <w:ind w:left="60" w:right="60"/>
              <w:jc w:val="both"/>
              <w:rPr>
                <w:b/>
                <w:color w:val="000000"/>
                <w:sz w:val="20"/>
                <w:szCs w:val="20"/>
              </w:rPr>
            </w:pPr>
            <w:r w:rsidRPr="003A5617">
              <w:rPr>
                <w:b/>
                <w:color w:val="000000"/>
                <w:sz w:val="20"/>
                <w:szCs w:val="20"/>
              </w:rPr>
              <w:t>.77</w:t>
            </w:r>
          </w:p>
        </w:tc>
        <w:tc>
          <w:tcPr>
            <w:tcW w:w="709" w:type="dxa"/>
          </w:tcPr>
          <w:p w:rsidR="00B75DE8" w:rsidRPr="003A5617" w:rsidRDefault="00B75DE8" w:rsidP="00007BB2">
            <w:pPr>
              <w:autoSpaceDE w:val="0"/>
              <w:autoSpaceDN w:val="0"/>
              <w:adjustRightInd w:val="0"/>
              <w:ind w:left="60" w:right="60"/>
              <w:jc w:val="both"/>
              <w:rPr>
                <w:color w:val="000000"/>
                <w:sz w:val="20"/>
                <w:szCs w:val="20"/>
              </w:rPr>
            </w:pPr>
            <w:r w:rsidRPr="003A5617">
              <w:rPr>
                <w:color w:val="000000"/>
                <w:sz w:val="20"/>
                <w:szCs w:val="20"/>
              </w:rPr>
              <w:t>.24</w:t>
            </w:r>
          </w:p>
        </w:tc>
        <w:tc>
          <w:tcPr>
            <w:tcW w:w="708" w:type="dxa"/>
          </w:tcPr>
          <w:p w:rsidR="00B75DE8" w:rsidRPr="003A5617" w:rsidRDefault="00B75DE8" w:rsidP="00007BB2">
            <w:pPr>
              <w:autoSpaceDE w:val="0"/>
              <w:autoSpaceDN w:val="0"/>
              <w:adjustRightInd w:val="0"/>
              <w:ind w:left="60" w:right="60"/>
              <w:jc w:val="both"/>
              <w:rPr>
                <w:color w:val="000000"/>
                <w:sz w:val="20"/>
                <w:szCs w:val="20"/>
              </w:rPr>
            </w:pPr>
            <w:r w:rsidRPr="003A5617">
              <w:rPr>
                <w:color w:val="000000"/>
                <w:sz w:val="20"/>
                <w:szCs w:val="20"/>
              </w:rPr>
              <w:t>.09</w:t>
            </w:r>
          </w:p>
        </w:tc>
        <w:tc>
          <w:tcPr>
            <w:tcW w:w="1418" w:type="dxa"/>
          </w:tcPr>
          <w:p w:rsidR="00B75DE8" w:rsidRPr="003A5617" w:rsidRDefault="00B75DE8" w:rsidP="00007BB2">
            <w:pPr>
              <w:ind w:right="-40"/>
              <w:jc w:val="center"/>
              <w:rPr>
                <w:sz w:val="20"/>
                <w:szCs w:val="20"/>
                <w:lang w:val="en-US"/>
              </w:rPr>
            </w:pPr>
            <w:r w:rsidRPr="003A5617">
              <w:rPr>
                <w:sz w:val="20"/>
                <w:szCs w:val="20"/>
                <w:lang w:val="en-US"/>
              </w:rPr>
              <w:t>.65</w:t>
            </w:r>
          </w:p>
        </w:tc>
      </w:tr>
      <w:tr w:rsidR="00B75DE8" w:rsidRPr="003A5617" w:rsidTr="00007BB2">
        <w:tc>
          <w:tcPr>
            <w:tcW w:w="7010" w:type="dxa"/>
          </w:tcPr>
          <w:p w:rsidR="00B75DE8" w:rsidRPr="003A5617" w:rsidRDefault="00B75DE8" w:rsidP="00007BB2">
            <w:pPr>
              <w:ind w:right="-40"/>
              <w:jc w:val="both"/>
              <w:rPr>
                <w:b/>
                <w:i/>
                <w:sz w:val="20"/>
                <w:szCs w:val="20"/>
                <w:lang w:val="en-US"/>
              </w:rPr>
            </w:pPr>
            <w:r w:rsidRPr="003A5617">
              <w:rPr>
                <w:sz w:val="20"/>
                <w:szCs w:val="20"/>
                <w:lang w:val="en-US"/>
              </w:rPr>
              <w:t xml:space="preserve">(3) </w:t>
            </w:r>
            <w:r w:rsidRPr="003A5617">
              <w:rPr>
                <w:sz w:val="20"/>
                <w:szCs w:val="20"/>
              </w:rPr>
              <w:t>Gambling absorbs all my mental resources</w:t>
            </w:r>
          </w:p>
        </w:tc>
        <w:tc>
          <w:tcPr>
            <w:tcW w:w="709" w:type="dxa"/>
          </w:tcPr>
          <w:p w:rsidR="00B75DE8" w:rsidRPr="003A5617" w:rsidRDefault="00B75DE8" w:rsidP="00007BB2">
            <w:pPr>
              <w:autoSpaceDE w:val="0"/>
              <w:autoSpaceDN w:val="0"/>
              <w:adjustRightInd w:val="0"/>
              <w:ind w:left="60" w:right="60"/>
              <w:jc w:val="both"/>
              <w:rPr>
                <w:b/>
                <w:color w:val="000000"/>
                <w:sz w:val="20"/>
                <w:szCs w:val="20"/>
              </w:rPr>
            </w:pPr>
            <w:r w:rsidRPr="003A5617">
              <w:rPr>
                <w:b/>
                <w:color w:val="000000"/>
                <w:sz w:val="20"/>
                <w:szCs w:val="20"/>
              </w:rPr>
              <w:t>.72</w:t>
            </w:r>
          </w:p>
        </w:tc>
        <w:tc>
          <w:tcPr>
            <w:tcW w:w="709" w:type="dxa"/>
          </w:tcPr>
          <w:p w:rsidR="00B75DE8" w:rsidRPr="003A5617" w:rsidRDefault="00B75DE8" w:rsidP="00007BB2">
            <w:pPr>
              <w:autoSpaceDE w:val="0"/>
              <w:autoSpaceDN w:val="0"/>
              <w:adjustRightInd w:val="0"/>
              <w:ind w:left="60" w:right="60"/>
              <w:jc w:val="both"/>
              <w:rPr>
                <w:color w:val="000000"/>
                <w:sz w:val="20"/>
                <w:szCs w:val="20"/>
              </w:rPr>
            </w:pPr>
            <w:r w:rsidRPr="003A5617">
              <w:rPr>
                <w:color w:val="000000"/>
                <w:sz w:val="20"/>
                <w:szCs w:val="20"/>
              </w:rPr>
              <w:t>.14</w:t>
            </w:r>
          </w:p>
        </w:tc>
        <w:tc>
          <w:tcPr>
            <w:tcW w:w="708" w:type="dxa"/>
          </w:tcPr>
          <w:p w:rsidR="00B75DE8" w:rsidRPr="003A5617" w:rsidRDefault="00B75DE8" w:rsidP="00007BB2">
            <w:pPr>
              <w:autoSpaceDE w:val="0"/>
              <w:autoSpaceDN w:val="0"/>
              <w:adjustRightInd w:val="0"/>
              <w:ind w:left="60" w:right="60"/>
              <w:jc w:val="both"/>
              <w:rPr>
                <w:color w:val="000000"/>
                <w:sz w:val="20"/>
                <w:szCs w:val="20"/>
              </w:rPr>
            </w:pPr>
            <w:r w:rsidRPr="003A5617">
              <w:rPr>
                <w:color w:val="000000"/>
                <w:sz w:val="20"/>
                <w:szCs w:val="20"/>
              </w:rPr>
              <w:t>.24</w:t>
            </w:r>
          </w:p>
        </w:tc>
        <w:tc>
          <w:tcPr>
            <w:tcW w:w="1418" w:type="dxa"/>
          </w:tcPr>
          <w:p w:rsidR="00B75DE8" w:rsidRPr="003A5617" w:rsidRDefault="00B75DE8" w:rsidP="00007BB2">
            <w:pPr>
              <w:ind w:right="-40"/>
              <w:jc w:val="center"/>
              <w:rPr>
                <w:sz w:val="20"/>
                <w:szCs w:val="20"/>
                <w:lang w:val="en-US"/>
              </w:rPr>
            </w:pPr>
            <w:r w:rsidRPr="003A5617">
              <w:rPr>
                <w:sz w:val="20"/>
                <w:szCs w:val="20"/>
                <w:lang w:val="en-US"/>
              </w:rPr>
              <w:t>.60</w:t>
            </w:r>
          </w:p>
        </w:tc>
      </w:tr>
      <w:tr w:rsidR="00B75DE8" w:rsidRPr="003A5617" w:rsidTr="00007BB2">
        <w:tc>
          <w:tcPr>
            <w:tcW w:w="7010" w:type="dxa"/>
          </w:tcPr>
          <w:p w:rsidR="00B75DE8" w:rsidRPr="003A5617" w:rsidRDefault="00B75DE8" w:rsidP="00007BB2">
            <w:pPr>
              <w:ind w:right="-40"/>
              <w:jc w:val="both"/>
              <w:rPr>
                <w:b/>
                <w:i/>
                <w:sz w:val="20"/>
                <w:szCs w:val="20"/>
                <w:lang w:val="en-US"/>
              </w:rPr>
            </w:pPr>
            <w:r w:rsidRPr="003A5617">
              <w:rPr>
                <w:sz w:val="20"/>
                <w:szCs w:val="20"/>
                <w:lang w:val="en-US"/>
              </w:rPr>
              <w:t xml:space="preserve">(4) </w:t>
            </w:r>
            <w:r w:rsidRPr="003A5617">
              <w:rPr>
                <w:sz w:val="20"/>
                <w:szCs w:val="20"/>
              </w:rPr>
              <w:t xml:space="preserve">When I start to gamble I cannot stop </w:t>
            </w:r>
          </w:p>
        </w:tc>
        <w:tc>
          <w:tcPr>
            <w:tcW w:w="709" w:type="dxa"/>
          </w:tcPr>
          <w:p w:rsidR="00B75DE8" w:rsidRPr="003A5617" w:rsidRDefault="00B75DE8" w:rsidP="00007BB2">
            <w:pPr>
              <w:autoSpaceDE w:val="0"/>
              <w:autoSpaceDN w:val="0"/>
              <w:adjustRightInd w:val="0"/>
              <w:ind w:left="60" w:right="60"/>
              <w:jc w:val="both"/>
              <w:rPr>
                <w:b/>
                <w:color w:val="000000"/>
                <w:sz w:val="20"/>
                <w:szCs w:val="20"/>
              </w:rPr>
            </w:pPr>
            <w:r w:rsidRPr="003A5617">
              <w:rPr>
                <w:b/>
                <w:color w:val="000000"/>
                <w:sz w:val="20"/>
                <w:szCs w:val="20"/>
              </w:rPr>
              <w:t>.71</w:t>
            </w:r>
          </w:p>
        </w:tc>
        <w:tc>
          <w:tcPr>
            <w:tcW w:w="709" w:type="dxa"/>
          </w:tcPr>
          <w:p w:rsidR="00B75DE8" w:rsidRPr="003A5617" w:rsidRDefault="00B75DE8" w:rsidP="00007BB2">
            <w:pPr>
              <w:autoSpaceDE w:val="0"/>
              <w:autoSpaceDN w:val="0"/>
              <w:adjustRightInd w:val="0"/>
              <w:ind w:left="60" w:right="60"/>
              <w:jc w:val="both"/>
              <w:rPr>
                <w:color w:val="000000"/>
                <w:sz w:val="20"/>
                <w:szCs w:val="20"/>
              </w:rPr>
            </w:pPr>
            <w:r w:rsidRPr="003A5617">
              <w:rPr>
                <w:color w:val="000000"/>
                <w:sz w:val="20"/>
                <w:szCs w:val="20"/>
              </w:rPr>
              <w:t>.19</w:t>
            </w:r>
          </w:p>
        </w:tc>
        <w:tc>
          <w:tcPr>
            <w:tcW w:w="708" w:type="dxa"/>
          </w:tcPr>
          <w:p w:rsidR="00B75DE8" w:rsidRPr="003A5617" w:rsidRDefault="00B75DE8" w:rsidP="00007BB2">
            <w:pPr>
              <w:autoSpaceDE w:val="0"/>
              <w:autoSpaceDN w:val="0"/>
              <w:adjustRightInd w:val="0"/>
              <w:ind w:left="60" w:right="60"/>
              <w:jc w:val="both"/>
              <w:rPr>
                <w:color w:val="000000"/>
                <w:sz w:val="20"/>
                <w:szCs w:val="20"/>
              </w:rPr>
            </w:pPr>
            <w:r w:rsidRPr="003A5617">
              <w:rPr>
                <w:color w:val="000000"/>
                <w:sz w:val="20"/>
                <w:szCs w:val="20"/>
              </w:rPr>
              <w:t>.11</w:t>
            </w:r>
          </w:p>
        </w:tc>
        <w:tc>
          <w:tcPr>
            <w:tcW w:w="1418" w:type="dxa"/>
          </w:tcPr>
          <w:p w:rsidR="00B75DE8" w:rsidRPr="003A5617" w:rsidRDefault="00B75DE8" w:rsidP="00007BB2">
            <w:pPr>
              <w:ind w:right="-40"/>
              <w:jc w:val="center"/>
              <w:rPr>
                <w:sz w:val="20"/>
                <w:szCs w:val="20"/>
                <w:lang w:val="en-US"/>
              </w:rPr>
            </w:pPr>
            <w:r w:rsidRPr="003A5617">
              <w:rPr>
                <w:sz w:val="20"/>
                <w:szCs w:val="20"/>
                <w:lang w:val="en-US"/>
              </w:rPr>
              <w:t>.54</w:t>
            </w:r>
          </w:p>
        </w:tc>
      </w:tr>
      <w:tr w:rsidR="00B75DE8" w:rsidRPr="003A5617" w:rsidTr="00007BB2">
        <w:trPr>
          <w:trHeight w:val="161"/>
        </w:trPr>
        <w:tc>
          <w:tcPr>
            <w:tcW w:w="7010" w:type="dxa"/>
          </w:tcPr>
          <w:p w:rsidR="00B75DE8" w:rsidRPr="003A5617" w:rsidRDefault="00B75DE8" w:rsidP="00007BB2">
            <w:pPr>
              <w:ind w:right="-40"/>
              <w:jc w:val="both"/>
              <w:rPr>
                <w:sz w:val="20"/>
                <w:szCs w:val="20"/>
              </w:rPr>
            </w:pPr>
            <w:r w:rsidRPr="003A5617">
              <w:rPr>
                <w:sz w:val="20"/>
                <w:szCs w:val="20"/>
                <w:lang w:val="en-US"/>
              </w:rPr>
              <w:t xml:space="preserve">(5) </w:t>
            </w:r>
            <w:r w:rsidRPr="003A5617">
              <w:rPr>
                <w:sz w:val="20"/>
                <w:szCs w:val="20"/>
              </w:rPr>
              <w:t>When I gamble nothing can distract me</w:t>
            </w:r>
          </w:p>
        </w:tc>
        <w:tc>
          <w:tcPr>
            <w:tcW w:w="709" w:type="dxa"/>
          </w:tcPr>
          <w:p w:rsidR="00B75DE8" w:rsidRPr="003A5617" w:rsidRDefault="00B75DE8" w:rsidP="00007BB2">
            <w:pPr>
              <w:autoSpaceDE w:val="0"/>
              <w:autoSpaceDN w:val="0"/>
              <w:adjustRightInd w:val="0"/>
              <w:ind w:left="60" w:right="60"/>
              <w:jc w:val="both"/>
              <w:rPr>
                <w:b/>
                <w:color w:val="000000"/>
                <w:sz w:val="20"/>
                <w:szCs w:val="20"/>
              </w:rPr>
            </w:pPr>
            <w:r w:rsidRPr="003A5617">
              <w:rPr>
                <w:b/>
                <w:color w:val="000000"/>
                <w:sz w:val="20"/>
                <w:szCs w:val="20"/>
              </w:rPr>
              <w:t>.69</w:t>
            </w:r>
          </w:p>
        </w:tc>
        <w:tc>
          <w:tcPr>
            <w:tcW w:w="709" w:type="dxa"/>
          </w:tcPr>
          <w:p w:rsidR="00B75DE8" w:rsidRPr="003A5617" w:rsidRDefault="00B75DE8" w:rsidP="00007BB2">
            <w:pPr>
              <w:autoSpaceDE w:val="0"/>
              <w:autoSpaceDN w:val="0"/>
              <w:adjustRightInd w:val="0"/>
              <w:ind w:left="60" w:right="60"/>
              <w:jc w:val="both"/>
              <w:rPr>
                <w:color w:val="000000"/>
                <w:sz w:val="20"/>
                <w:szCs w:val="20"/>
              </w:rPr>
            </w:pPr>
            <w:r w:rsidRPr="003A5617">
              <w:rPr>
                <w:color w:val="000000"/>
                <w:sz w:val="20"/>
                <w:szCs w:val="20"/>
              </w:rPr>
              <w:t>.09</w:t>
            </w:r>
          </w:p>
        </w:tc>
        <w:tc>
          <w:tcPr>
            <w:tcW w:w="708" w:type="dxa"/>
          </w:tcPr>
          <w:p w:rsidR="00B75DE8" w:rsidRPr="003A5617" w:rsidRDefault="00B75DE8" w:rsidP="00007BB2">
            <w:pPr>
              <w:autoSpaceDE w:val="0"/>
              <w:autoSpaceDN w:val="0"/>
              <w:adjustRightInd w:val="0"/>
              <w:ind w:left="60" w:right="60"/>
              <w:jc w:val="both"/>
              <w:rPr>
                <w:color w:val="000000"/>
                <w:sz w:val="20"/>
                <w:szCs w:val="20"/>
              </w:rPr>
            </w:pPr>
            <w:r w:rsidRPr="003A5617">
              <w:rPr>
                <w:color w:val="000000"/>
                <w:sz w:val="20"/>
                <w:szCs w:val="20"/>
              </w:rPr>
              <w:t>.15</w:t>
            </w:r>
          </w:p>
        </w:tc>
        <w:tc>
          <w:tcPr>
            <w:tcW w:w="1418" w:type="dxa"/>
          </w:tcPr>
          <w:p w:rsidR="00B75DE8" w:rsidRPr="003A5617" w:rsidRDefault="00B75DE8" w:rsidP="00007BB2">
            <w:pPr>
              <w:ind w:right="-40"/>
              <w:jc w:val="center"/>
              <w:rPr>
                <w:sz w:val="20"/>
                <w:szCs w:val="20"/>
                <w:lang w:val="en-US"/>
              </w:rPr>
            </w:pPr>
            <w:r w:rsidRPr="003A5617">
              <w:rPr>
                <w:sz w:val="20"/>
                <w:szCs w:val="20"/>
                <w:lang w:val="en-US"/>
              </w:rPr>
              <w:t>.50</w:t>
            </w:r>
          </w:p>
        </w:tc>
      </w:tr>
      <w:tr w:rsidR="00B75DE8" w:rsidRPr="003A5617" w:rsidTr="00007BB2">
        <w:tc>
          <w:tcPr>
            <w:tcW w:w="7010" w:type="dxa"/>
          </w:tcPr>
          <w:p w:rsidR="00B75DE8" w:rsidRPr="003A5617" w:rsidRDefault="00B75DE8" w:rsidP="00007BB2">
            <w:pPr>
              <w:ind w:right="-40"/>
              <w:jc w:val="both"/>
              <w:rPr>
                <w:b/>
                <w:i/>
                <w:sz w:val="20"/>
                <w:szCs w:val="20"/>
                <w:lang w:val="en-US"/>
              </w:rPr>
            </w:pPr>
          </w:p>
        </w:tc>
        <w:tc>
          <w:tcPr>
            <w:tcW w:w="709" w:type="dxa"/>
          </w:tcPr>
          <w:p w:rsidR="00B75DE8" w:rsidRPr="003A5617" w:rsidRDefault="00B75DE8" w:rsidP="00007BB2">
            <w:pPr>
              <w:autoSpaceDE w:val="0"/>
              <w:autoSpaceDN w:val="0"/>
              <w:adjustRightInd w:val="0"/>
              <w:ind w:left="60" w:right="60"/>
              <w:jc w:val="both"/>
              <w:rPr>
                <w:color w:val="000000"/>
                <w:sz w:val="20"/>
                <w:szCs w:val="20"/>
              </w:rPr>
            </w:pPr>
          </w:p>
        </w:tc>
        <w:tc>
          <w:tcPr>
            <w:tcW w:w="709" w:type="dxa"/>
          </w:tcPr>
          <w:p w:rsidR="00B75DE8" w:rsidRPr="003A5617" w:rsidRDefault="00B75DE8" w:rsidP="00007BB2">
            <w:pPr>
              <w:autoSpaceDE w:val="0"/>
              <w:autoSpaceDN w:val="0"/>
              <w:adjustRightInd w:val="0"/>
              <w:ind w:left="60" w:right="60"/>
              <w:jc w:val="both"/>
              <w:rPr>
                <w:color w:val="000000"/>
                <w:sz w:val="20"/>
                <w:szCs w:val="20"/>
              </w:rPr>
            </w:pPr>
          </w:p>
        </w:tc>
        <w:tc>
          <w:tcPr>
            <w:tcW w:w="708" w:type="dxa"/>
          </w:tcPr>
          <w:p w:rsidR="00B75DE8" w:rsidRPr="003A5617" w:rsidRDefault="00B75DE8" w:rsidP="00007BB2">
            <w:pPr>
              <w:autoSpaceDE w:val="0"/>
              <w:autoSpaceDN w:val="0"/>
              <w:adjustRightInd w:val="0"/>
              <w:ind w:left="60" w:right="60"/>
              <w:jc w:val="both"/>
              <w:rPr>
                <w:color w:val="000000"/>
                <w:sz w:val="20"/>
                <w:szCs w:val="20"/>
              </w:rPr>
            </w:pPr>
          </w:p>
        </w:tc>
        <w:tc>
          <w:tcPr>
            <w:tcW w:w="1418" w:type="dxa"/>
          </w:tcPr>
          <w:p w:rsidR="00B75DE8" w:rsidRPr="003A5617" w:rsidRDefault="00B75DE8" w:rsidP="00007BB2">
            <w:pPr>
              <w:ind w:right="-40"/>
              <w:jc w:val="center"/>
              <w:rPr>
                <w:sz w:val="20"/>
                <w:szCs w:val="20"/>
                <w:lang w:val="en-US"/>
              </w:rPr>
            </w:pPr>
          </w:p>
        </w:tc>
      </w:tr>
      <w:tr w:rsidR="00B75DE8" w:rsidRPr="003A5617" w:rsidTr="00007BB2">
        <w:tc>
          <w:tcPr>
            <w:tcW w:w="7010" w:type="dxa"/>
          </w:tcPr>
          <w:p w:rsidR="00B75DE8" w:rsidRPr="003A5617" w:rsidRDefault="00B75DE8" w:rsidP="00007BB2">
            <w:pPr>
              <w:ind w:right="-40"/>
              <w:jc w:val="both"/>
              <w:rPr>
                <w:sz w:val="20"/>
                <w:szCs w:val="20"/>
                <w:lang w:val="en-US"/>
              </w:rPr>
            </w:pPr>
            <w:r w:rsidRPr="003A5617">
              <w:rPr>
                <w:b/>
                <w:i/>
                <w:sz w:val="20"/>
                <w:szCs w:val="20"/>
                <w:lang w:val="en-US"/>
              </w:rPr>
              <w:t xml:space="preserve">Factor 2: Positive Metacognitions about Gambling </w:t>
            </w:r>
          </w:p>
        </w:tc>
        <w:tc>
          <w:tcPr>
            <w:tcW w:w="709" w:type="dxa"/>
          </w:tcPr>
          <w:p w:rsidR="00B75DE8" w:rsidRPr="003A5617" w:rsidRDefault="00B75DE8" w:rsidP="00007BB2">
            <w:pPr>
              <w:autoSpaceDE w:val="0"/>
              <w:autoSpaceDN w:val="0"/>
              <w:adjustRightInd w:val="0"/>
              <w:ind w:left="60" w:right="60"/>
              <w:jc w:val="both"/>
              <w:rPr>
                <w:color w:val="000000"/>
                <w:sz w:val="20"/>
                <w:szCs w:val="20"/>
              </w:rPr>
            </w:pPr>
          </w:p>
        </w:tc>
        <w:tc>
          <w:tcPr>
            <w:tcW w:w="709" w:type="dxa"/>
          </w:tcPr>
          <w:p w:rsidR="00B75DE8" w:rsidRPr="003A5617" w:rsidRDefault="00B75DE8" w:rsidP="00007BB2">
            <w:pPr>
              <w:autoSpaceDE w:val="0"/>
              <w:autoSpaceDN w:val="0"/>
              <w:adjustRightInd w:val="0"/>
              <w:ind w:left="60" w:right="60"/>
              <w:jc w:val="both"/>
              <w:rPr>
                <w:color w:val="000000"/>
                <w:sz w:val="20"/>
                <w:szCs w:val="20"/>
              </w:rPr>
            </w:pPr>
          </w:p>
        </w:tc>
        <w:tc>
          <w:tcPr>
            <w:tcW w:w="708" w:type="dxa"/>
          </w:tcPr>
          <w:p w:rsidR="00B75DE8" w:rsidRPr="003A5617" w:rsidRDefault="00B75DE8" w:rsidP="00007BB2">
            <w:pPr>
              <w:autoSpaceDE w:val="0"/>
              <w:autoSpaceDN w:val="0"/>
              <w:adjustRightInd w:val="0"/>
              <w:ind w:left="60" w:right="60"/>
              <w:jc w:val="both"/>
              <w:rPr>
                <w:color w:val="000000"/>
                <w:sz w:val="20"/>
                <w:szCs w:val="20"/>
              </w:rPr>
            </w:pPr>
          </w:p>
        </w:tc>
        <w:tc>
          <w:tcPr>
            <w:tcW w:w="1418" w:type="dxa"/>
          </w:tcPr>
          <w:p w:rsidR="00B75DE8" w:rsidRPr="003A5617" w:rsidRDefault="00B75DE8" w:rsidP="00007BB2">
            <w:pPr>
              <w:ind w:right="-40"/>
              <w:jc w:val="center"/>
              <w:rPr>
                <w:sz w:val="20"/>
                <w:szCs w:val="20"/>
                <w:lang w:val="en-US"/>
              </w:rPr>
            </w:pPr>
          </w:p>
        </w:tc>
      </w:tr>
      <w:tr w:rsidR="00B75DE8" w:rsidRPr="003A5617" w:rsidTr="00007BB2">
        <w:tc>
          <w:tcPr>
            <w:tcW w:w="7010" w:type="dxa"/>
          </w:tcPr>
          <w:p w:rsidR="00B75DE8" w:rsidRPr="003A5617" w:rsidRDefault="00B75DE8" w:rsidP="00007BB2">
            <w:pPr>
              <w:ind w:right="-40"/>
              <w:jc w:val="both"/>
              <w:rPr>
                <w:sz w:val="20"/>
                <w:szCs w:val="20"/>
                <w:lang w:val="en-US"/>
              </w:rPr>
            </w:pPr>
            <w:r w:rsidRPr="003A5617">
              <w:rPr>
                <w:sz w:val="20"/>
                <w:szCs w:val="20"/>
                <w:lang w:val="en-US"/>
              </w:rPr>
              <w:t>(1) Gambling reduces my worries</w:t>
            </w:r>
            <w:r w:rsidRPr="003A5617">
              <w:rPr>
                <w:sz w:val="20"/>
                <w:szCs w:val="20"/>
              </w:rPr>
              <w:t xml:space="preserve"> </w:t>
            </w:r>
          </w:p>
        </w:tc>
        <w:tc>
          <w:tcPr>
            <w:tcW w:w="709" w:type="dxa"/>
          </w:tcPr>
          <w:p w:rsidR="00B75DE8" w:rsidRPr="003A5617" w:rsidRDefault="00B75DE8" w:rsidP="00007BB2">
            <w:pPr>
              <w:autoSpaceDE w:val="0"/>
              <w:autoSpaceDN w:val="0"/>
              <w:adjustRightInd w:val="0"/>
              <w:ind w:left="60" w:right="60"/>
              <w:jc w:val="both"/>
              <w:rPr>
                <w:color w:val="000000"/>
                <w:sz w:val="20"/>
                <w:szCs w:val="20"/>
              </w:rPr>
            </w:pPr>
            <w:r w:rsidRPr="003A5617">
              <w:rPr>
                <w:color w:val="000000"/>
                <w:sz w:val="20"/>
                <w:szCs w:val="20"/>
              </w:rPr>
              <w:t>.18</w:t>
            </w:r>
          </w:p>
        </w:tc>
        <w:tc>
          <w:tcPr>
            <w:tcW w:w="709" w:type="dxa"/>
          </w:tcPr>
          <w:p w:rsidR="00B75DE8" w:rsidRPr="003A5617" w:rsidRDefault="00B75DE8" w:rsidP="00007BB2">
            <w:pPr>
              <w:autoSpaceDE w:val="0"/>
              <w:autoSpaceDN w:val="0"/>
              <w:adjustRightInd w:val="0"/>
              <w:ind w:left="60" w:right="60"/>
              <w:jc w:val="both"/>
              <w:rPr>
                <w:b/>
                <w:color w:val="000000"/>
                <w:sz w:val="20"/>
                <w:szCs w:val="20"/>
              </w:rPr>
            </w:pPr>
            <w:r w:rsidRPr="003A5617">
              <w:rPr>
                <w:b/>
                <w:color w:val="000000"/>
                <w:sz w:val="20"/>
                <w:szCs w:val="20"/>
              </w:rPr>
              <w:t>.86</w:t>
            </w:r>
          </w:p>
        </w:tc>
        <w:tc>
          <w:tcPr>
            <w:tcW w:w="708" w:type="dxa"/>
          </w:tcPr>
          <w:p w:rsidR="00B75DE8" w:rsidRPr="003A5617" w:rsidRDefault="00B75DE8" w:rsidP="00007BB2">
            <w:pPr>
              <w:autoSpaceDE w:val="0"/>
              <w:autoSpaceDN w:val="0"/>
              <w:adjustRightInd w:val="0"/>
              <w:ind w:left="60" w:right="60"/>
              <w:jc w:val="both"/>
              <w:rPr>
                <w:color w:val="000000"/>
                <w:sz w:val="20"/>
                <w:szCs w:val="20"/>
              </w:rPr>
            </w:pPr>
            <w:r w:rsidRPr="003A5617">
              <w:rPr>
                <w:color w:val="000000"/>
                <w:sz w:val="20"/>
                <w:szCs w:val="20"/>
              </w:rPr>
              <w:t>.08</w:t>
            </w:r>
          </w:p>
        </w:tc>
        <w:tc>
          <w:tcPr>
            <w:tcW w:w="1418" w:type="dxa"/>
          </w:tcPr>
          <w:p w:rsidR="00B75DE8" w:rsidRPr="003A5617" w:rsidRDefault="00B75DE8" w:rsidP="00007BB2">
            <w:pPr>
              <w:ind w:right="-40"/>
              <w:jc w:val="center"/>
              <w:rPr>
                <w:sz w:val="20"/>
                <w:szCs w:val="20"/>
                <w:lang w:val="en-US"/>
              </w:rPr>
            </w:pPr>
            <w:r w:rsidRPr="003A5617">
              <w:rPr>
                <w:sz w:val="20"/>
                <w:szCs w:val="20"/>
                <w:lang w:val="en-US"/>
              </w:rPr>
              <w:t>.77</w:t>
            </w:r>
          </w:p>
        </w:tc>
      </w:tr>
      <w:tr w:rsidR="00B75DE8" w:rsidRPr="003A5617" w:rsidTr="00007BB2">
        <w:tc>
          <w:tcPr>
            <w:tcW w:w="7010" w:type="dxa"/>
          </w:tcPr>
          <w:p w:rsidR="00B75DE8" w:rsidRPr="003A5617" w:rsidRDefault="00B75DE8" w:rsidP="00007BB2">
            <w:pPr>
              <w:ind w:right="-40"/>
              <w:jc w:val="both"/>
              <w:rPr>
                <w:sz w:val="20"/>
                <w:szCs w:val="20"/>
                <w:lang w:val="en-US"/>
              </w:rPr>
            </w:pPr>
            <w:r w:rsidRPr="003A5617">
              <w:rPr>
                <w:sz w:val="20"/>
                <w:szCs w:val="20"/>
                <w:lang w:val="en-US"/>
              </w:rPr>
              <w:t>(2) Gambling makes my worries more bearable</w:t>
            </w:r>
          </w:p>
        </w:tc>
        <w:tc>
          <w:tcPr>
            <w:tcW w:w="709" w:type="dxa"/>
          </w:tcPr>
          <w:p w:rsidR="00B75DE8" w:rsidRPr="003A5617" w:rsidRDefault="00B75DE8" w:rsidP="00007BB2">
            <w:pPr>
              <w:autoSpaceDE w:val="0"/>
              <w:autoSpaceDN w:val="0"/>
              <w:adjustRightInd w:val="0"/>
              <w:ind w:left="60" w:right="60"/>
              <w:jc w:val="both"/>
              <w:rPr>
                <w:color w:val="000000"/>
                <w:sz w:val="20"/>
                <w:szCs w:val="20"/>
              </w:rPr>
            </w:pPr>
            <w:r w:rsidRPr="003A5617">
              <w:rPr>
                <w:color w:val="000000"/>
                <w:sz w:val="20"/>
                <w:szCs w:val="20"/>
              </w:rPr>
              <w:t>.19</w:t>
            </w:r>
          </w:p>
        </w:tc>
        <w:tc>
          <w:tcPr>
            <w:tcW w:w="709" w:type="dxa"/>
          </w:tcPr>
          <w:p w:rsidR="00B75DE8" w:rsidRPr="003A5617" w:rsidRDefault="00B75DE8" w:rsidP="00007BB2">
            <w:pPr>
              <w:autoSpaceDE w:val="0"/>
              <w:autoSpaceDN w:val="0"/>
              <w:adjustRightInd w:val="0"/>
              <w:ind w:left="60" w:right="60"/>
              <w:jc w:val="both"/>
              <w:rPr>
                <w:b/>
                <w:color w:val="000000"/>
                <w:sz w:val="20"/>
                <w:szCs w:val="20"/>
              </w:rPr>
            </w:pPr>
            <w:r w:rsidRPr="003A5617">
              <w:rPr>
                <w:b/>
                <w:color w:val="000000"/>
                <w:sz w:val="20"/>
                <w:szCs w:val="20"/>
              </w:rPr>
              <w:t>.82</w:t>
            </w:r>
          </w:p>
        </w:tc>
        <w:tc>
          <w:tcPr>
            <w:tcW w:w="708" w:type="dxa"/>
          </w:tcPr>
          <w:p w:rsidR="00B75DE8" w:rsidRPr="003A5617" w:rsidRDefault="00B75DE8" w:rsidP="00007BB2">
            <w:pPr>
              <w:autoSpaceDE w:val="0"/>
              <w:autoSpaceDN w:val="0"/>
              <w:adjustRightInd w:val="0"/>
              <w:ind w:left="60" w:right="60"/>
              <w:jc w:val="both"/>
              <w:rPr>
                <w:color w:val="000000"/>
                <w:sz w:val="20"/>
                <w:szCs w:val="20"/>
              </w:rPr>
            </w:pPr>
            <w:r w:rsidRPr="003A5617">
              <w:rPr>
                <w:color w:val="000000"/>
                <w:sz w:val="20"/>
                <w:szCs w:val="20"/>
              </w:rPr>
              <w:t>.06</w:t>
            </w:r>
          </w:p>
        </w:tc>
        <w:tc>
          <w:tcPr>
            <w:tcW w:w="1418" w:type="dxa"/>
          </w:tcPr>
          <w:p w:rsidR="00B75DE8" w:rsidRPr="003A5617" w:rsidRDefault="00B75DE8" w:rsidP="00007BB2">
            <w:pPr>
              <w:ind w:right="-40"/>
              <w:jc w:val="center"/>
              <w:rPr>
                <w:sz w:val="20"/>
                <w:szCs w:val="20"/>
                <w:lang w:val="en-US"/>
              </w:rPr>
            </w:pPr>
            <w:r w:rsidRPr="003A5617">
              <w:rPr>
                <w:sz w:val="20"/>
                <w:szCs w:val="20"/>
                <w:lang w:val="en-US"/>
              </w:rPr>
              <w:t>.71</w:t>
            </w:r>
          </w:p>
        </w:tc>
      </w:tr>
      <w:tr w:rsidR="00B75DE8" w:rsidRPr="003A5617" w:rsidTr="00007BB2">
        <w:tc>
          <w:tcPr>
            <w:tcW w:w="7010" w:type="dxa"/>
          </w:tcPr>
          <w:p w:rsidR="00B75DE8" w:rsidRPr="003A5617" w:rsidRDefault="00B75DE8" w:rsidP="00007BB2">
            <w:pPr>
              <w:pStyle w:val="ListParagraph"/>
              <w:spacing w:after="0" w:line="240" w:lineRule="auto"/>
              <w:ind w:left="0"/>
              <w:jc w:val="both"/>
              <w:rPr>
                <w:rFonts w:ascii="Times New Roman" w:hAnsi="Times New Roman"/>
                <w:sz w:val="20"/>
                <w:szCs w:val="20"/>
                <w:lang w:val="en-GB"/>
              </w:rPr>
            </w:pPr>
            <w:r w:rsidRPr="003A5617">
              <w:rPr>
                <w:rFonts w:ascii="Times New Roman" w:hAnsi="Times New Roman"/>
                <w:sz w:val="20"/>
                <w:szCs w:val="20"/>
                <w:lang w:val="en-US"/>
              </w:rPr>
              <w:t>(3) Gambling can get me away from my worries</w:t>
            </w:r>
            <w:r w:rsidRPr="003A5617">
              <w:rPr>
                <w:rFonts w:ascii="Times New Roman" w:hAnsi="Times New Roman"/>
                <w:sz w:val="20"/>
                <w:szCs w:val="20"/>
                <w:lang w:val="en-GB"/>
              </w:rPr>
              <w:t xml:space="preserve"> </w:t>
            </w:r>
          </w:p>
        </w:tc>
        <w:tc>
          <w:tcPr>
            <w:tcW w:w="709" w:type="dxa"/>
          </w:tcPr>
          <w:p w:rsidR="00B75DE8" w:rsidRPr="003A5617" w:rsidRDefault="00B75DE8" w:rsidP="00007BB2">
            <w:pPr>
              <w:autoSpaceDE w:val="0"/>
              <w:autoSpaceDN w:val="0"/>
              <w:adjustRightInd w:val="0"/>
              <w:ind w:left="60" w:right="60"/>
              <w:jc w:val="both"/>
              <w:rPr>
                <w:color w:val="000000"/>
                <w:sz w:val="20"/>
                <w:szCs w:val="20"/>
              </w:rPr>
            </w:pPr>
            <w:r w:rsidRPr="003A5617">
              <w:rPr>
                <w:color w:val="000000"/>
                <w:sz w:val="20"/>
                <w:szCs w:val="20"/>
              </w:rPr>
              <w:t>.02</w:t>
            </w:r>
          </w:p>
        </w:tc>
        <w:tc>
          <w:tcPr>
            <w:tcW w:w="709" w:type="dxa"/>
          </w:tcPr>
          <w:p w:rsidR="00B75DE8" w:rsidRPr="003A5617" w:rsidRDefault="00B75DE8" w:rsidP="00007BB2">
            <w:pPr>
              <w:autoSpaceDE w:val="0"/>
              <w:autoSpaceDN w:val="0"/>
              <w:adjustRightInd w:val="0"/>
              <w:ind w:left="60" w:right="60"/>
              <w:jc w:val="both"/>
              <w:rPr>
                <w:b/>
                <w:color w:val="000000"/>
                <w:sz w:val="20"/>
                <w:szCs w:val="20"/>
              </w:rPr>
            </w:pPr>
            <w:r w:rsidRPr="003A5617">
              <w:rPr>
                <w:b/>
                <w:color w:val="000000"/>
                <w:sz w:val="20"/>
                <w:szCs w:val="20"/>
              </w:rPr>
              <w:t>.76</w:t>
            </w:r>
          </w:p>
        </w:tc>
        <w:tc>
          <w:tcPr>
            <w:tcW w:w="708" w:type="dxa"/>
          </w:tcPr>
          <w:p w:rsidR="00B75DE8" w:rsidRPr="003A5617" w:rsidRDefault="00B75DE8" w:rsidP="00007BB2">
            <w:pPr>
              <w:autoSpaceDE w:val="0"/>
              <w:autoSpaceDN w:val="0"/>
              <w:adjustRightInd w:val="0"/>
              <w:ind w:left="60" w:right="60"/>
              <w:jc w:val="both"/>
              <w:rPr>
                <w:color w:val="000000"/>
                <w:sz w:val="20"/>
                <w:szCs w:val="20"/>
              </w:rPr>
            </w:pPr>
            <w:r w:rsidRPr="003A5617">
              <w:rPr>
                <w:color w:val="000000"/>
                <w:sz w:val="20"/>
                <w:szCs w:val="20"/>
              </w:rPr>
              <w:t>.12</w:t>
            </w:r>
          </w:p>
        </w:tc>
        <w:tc>
          <w:tcPr>
            <w:tcW w:w="1418" w:type="dxa"/>
          </w:tcPr>
          <w:p w:rsidR="00B75DE8" w:rsidRPr="003A5617" w:rsidRDefault="00B75DE8" w:rsidP="00007BB2">
            <w:pPr>
              <w:ind w:right="-40"/>
              <w:jc w:val="center"/>
              <w:rPr>
                <w:sz w:val="20"/>
                <w:szCs w:val="20"/>
                <w:lang w:val="en-US"/>
              </w:rPr>
            </w:pPr>
            <w:r w:rsidRPr="003A5617">
              <w:rPr>
                <w:sz w:val="20"/>
                <w:szCs w:val="20"/>
                <w:lang w:val="en-US"/>
              </w:rPr>
              <w:t>.59</w:t>
            </w:r>
          </w:p>
        </w:tc>
      </w:tr>
      <w:tr w:rsidR="00B75DE8" w:rsidRPr="003A5617" w:rsidTr="00007BB2">
        <w:tc>
          <w:tcPr>
            <w:tcW w:w="7010" w:type="dxa"/>
          </w:tcPr>
          <w:p w:rsidR="00B75DE8" w:rsidRPr="003A5617" w:rsidRDefault="00B75DE8" w:rsidP="00007BB2">
            <w:pPr>
              <w:ind w:right="-40"/>
              <w:jc w:val="both"/>
              <w:rPr>
                <w:sz w:val="20"/>
                <w:szCs w:val="20"/>
                <w:lang w:val="en-US"/>
              </w:rPr>
            </w:pPr>
            <w:r w:rsidRPr="003A5617">
              <w:rPr>
                <w:sz w:val="20"/>
                <w:szCs w:val="20"/>
                <w:lang w:val="en-US"/>
              </w:rPr>
              <w:t>(4) Gambling helps to stop worry about my problems</w:t>
            </w:r>
          </w:p>
        </w:tc>
        <w:tc>
          <w:tcPr>
            <w:tcW w:w="709" w:type="dxa"/>
          </w:tcPr>
          <w:p w:rsidR="00B75DE8" w:rsidRPr="003A5617" w:rsidRDefault="00B75DE8" w:rsidP="00007BB2">
            <w:pPr>
              <w:autoSpaceDE w:val="0"/>
              <w:autoSpaceDN w:val="0"/>
              <w:adjustRightInd w:val="0"/>
              <w:ind w:left="60" w:right="60"/>
              <w:jc w:val="both"/>
              <w:rPr>
                <w:color w:val="000000"/>
                <w:sz w:val="20"/>
                <w:szCs w:val="20"/>
              </w:rPr>
            </w:pPr>
            <w:r w:rsidRPr="003A5617">
              <w:rPr>
                <w:color w:val="000000"/>
                <w:sz w:val="20"/>
                <w:szCs w:val="20"/>
              </w:rPr>
              <w:t>.30</w:t>
            </w:r>
          </w:p>
        </w:tc>
        <w:tc>
          <w:tcPr>
            <w:tcW w:w="709" w:type="dxa"/>
          </w:tcPr>
          <w:p w:rsidR="00B75DE8" w:rsidRPr="003A5617" w:rsidRDefault="00B75DE8" w:rsidP="00007BB2">
            <w:pPr>
              <w:autoSpaceDE w:val="0"/>
              <w:autoSpaceDN w:val="0"/>
              <w:adjustRightInd w:val="0"/>
              <w:ind w:left="60" w:right="60"/>
              <w:jc w:val="both"/>
              <w:rPr>
                <w:b/>
                <w:color w:val="000000"/>
                <w:sz w:val="20"/>
                <w:szCs w:val="20"/>
              </w:rPr>
            </w:pPr>
            <w:r w:rsidRPr="003A5617">
              <w:rPr>
                <w:b/>
                <w:color w:val="000000"/>
                <w:sz w:val="20"/>
                <w:szCs w:val="20"/>
              </w:rPr>
              <w:t>.74</w:t>
            </w:r>
          </w:p>
        </w:tc>
        <w:tc>
          <w:tcPr>
            <w:tcW w:w="708" w:type="dxa"/>
          </w:tcPr>
          <w:p w:rsidR="00B75DE8" w:rsidRPr="003A5617" w:rsidRDefault="00B75DE8" w:rsidP="00007BB2">
            <w:pPr>
              <w:autoSpaceDE w:val="0"/>
              <w:autoSpaceDN w:val="0"/>
              <w:adjustRightInd w:val="0"/>
              <w:ind w:left="60" w:right="60"/>
              <w:jc w:val="both"/>
              <w:rPr>
                <w:color w:val="000000"/>
                <w:sz w:val="20"/>
                <w:szCs w:val="20"/>
              </w:rPr>
            </w:pPr>
            <w:r w:rsidRPr="003A5617">
              <w:rPr>
                <w:color w:val="000000"/>
                <w:sz w:val="20"/>
                <w:szCs w:val="20"/>
              </w:rPr>
              <w:t>.03</w:t>
            </w:r>
          </w:p>
        </w:tc>
        <w:tc>
          <w:tcPr>
            <w:tcW w:w="1418" w:type="dxa"/>
          </w:tcPr>
          <w:p w:rsidR="00B75DE8" w:rsidRPr="003A5617" w:rsidRDefault="00B75DE8" w:rsidP="00007BB2">
            <w:pPr>
              <w:ind w:right="-40"/>
              <w:jc w:val="center"/>
              <w:rPr>
                <w:sz w:val="20"/>
                <w:szCs w:val="20"/>
                <w:lang w:val="en-US"/>
              </w:rPr>
            </w:pPr>
            <w:r w:rsidRPr="003A5617">
              <w:rPr>
                <w:sz w:val="20"/>
                <w:szCs w:val="20"/>
                <w:lang w:val="en-US"/>
              </w:rPr>
              <w:t>.64</w:t>
            </w:r>
          </w:p>
        </w:tc>
      </w:tr>
      <w:tr w:rsidR="00B75DE8" w:rsidRPr="003A5617" w:rsidTr="00007BB2">
        <w:tc>
          <w:tcPr>
            <w:tcW w:w="7010" w:type="dxa"/>
          </w:tcPr>
          <w:p w:rsidR="00B75DE8" w:rsidRPr="003A5617" w:rsidRDefault="00B75DE8" w:rsidP="00007BB2">
            <w:pPr>
              <w:pStyle w:val="ListParagraph"/>
              <w:spacing w:after="0" w:line="240" w:lineRule="auto"/>
              <w:ind w:left="0"/>
              <w:jc w:val="both"/>
              <w:rPr>
                <w:rFonts w:ascii="Times New Roman" w:hAnsi="Times New Roman"/>
                <w:sz w:val="20"/>
                <w:szCs w:val="20"/>
                <w:lang w:val="en-US"/>
              </w:rPr>
            </w:pPr>
            <w:r w:rsidRPr="003A5617">
              <w:rPr>
                <w:rFonts w:ascii="Times New Roman" w:hAnsi="Times New Roman"/>
                <w:sz w:val="20"/>
                <w:szCs w:val="20"/>
                <w:lang w:val="en-US"/>
              </w:rPr>
              <w:t>(5) Gambling helps to control my thoughts</w:t>
            </w:r>
          </w:p>
        </w:tc>
        <w:tc>
          <w:tcPr>
            <w:tcW w:w="709" w:type="dxa"/>
          </w:tcPr>
          <w:p w:rsidR="00B75DE8" w:rsidRPr="003A5617" w:rsidRDefault="00B75DE8" w:rsidP="00007BB2">
            <w:pPr>
              <w:autoSpaceDE w:val="0"/>
              <w:autoSpaceDN w:val="0"/>
              <w:adjustRightInd w:val="0"/>
              <w:ind w:left="60" w:right="60"/>
              <w:jc w:val="both"/>
              <w:rPr>
                <w:color w:val="000000"/>
                <w:sz w:val="20"/>
                <w:szCs w:val="20"/>
              </w:rPr>
            </w:pPr>
            <w:r w:rsidRPr="003A5617">
              <w:rPr>
                <w:color w:val="000000"/>
                <w:sz w:val="20"/>
                <w:szCs w:val="20"/>
              </w:rPr>
              <w:t>.22</w:t>
            </w:r>
          </w:p>
        </w:tc>
        <w:tc>
          <w:tcPr>
            <w:tcW w:w="709" w:type="dxa"/>
          </w:tcPr>
          <w:p w:rsidR="00B75DE8" w:rsidRPr="003A5617" w:rsidRDefault="00B75DE8" w:rsidP="00007BB2">
            <w:pPr>
              <w:autoSpaceDE w:val="0"/>
              <w:autoSpaceDN w:val="0"/>
              <w:adjustRightInd w:val="0"/>
              <w:ind w:left="60" w:right="60"/>
              <w:jc w:val="both"/>
              <w:rPr>
                <w:b/>
                <w:color w:val="000000"/>
                <w:sz w:val="20"/>
                <w:szCs w:val="20"/>
              </w:rPr>
            </w:pPr>
            <w:r w:rsidRPr="003A5617">
              <w:rPr>
                <w:b/>
                <w:color w:val="000000"/>
                <w:sz w:val="20"/>
                <w:szCs w:val="20"/>
              </w:rPr>
              <w:t>.73</w:t>
            </w:r>
          </w:p>
        </w:tc>
        <w:tc>
          <w:tcPr>
            <w:tcW w:w="708" w:type="dxa"/>
          </w:tcPr>
          <w:p w:rsidR="00B75DE8" w:rsidRPr="003A5617" w:rsidRDefault="00B75DE8" w:rsidP="00007BB2">
            <w:pPr>
              <w:autoSpaceDE w:val="0"/>
              <w:autoSpaceDN w:val="0"/>
              <w:adjustRightInd w:val="0"/>
              <w:ind w:left="60" w:right="60"/>
              <w:jc w:val="both"/>
              <w:rPr>
                <w:color w:val="000000"/>
                <w:sz w:val="20"/>
                <w:szCs w:val="20"/>
              </w:rPr>
            </w:pPr>
            <w:r w:rsidRPr="003A5617">
              <w:rPr>
                <w:color w:val="000000"/>
                <w:sz w:val="20"/>
                <w:szCs w:val="20"/>
              </w:rPr>
              <w:t>.02</w:t>
            </w:r>
          </w:p>
        </w:tc>
        <w:tc>
          <w:tcPr>
            <w:tcW w:w="1418" w:type="dxa"/>
          </w:tcPr>
          <w:p w:rsidR="00B75DE8" w:rsidRPr="003A5617" w:rsidRDefault="00B75DE8" w:rsidP="00007BB2">
            <w:pPr>
              <w:ind w:right="-40"/>
              <w:jc w:val="center"/>
              <w:rPr>
                <w:sz w:val="20"/>
                <w:szCs w:val="20"/>
                <w:lang w:val="en-US"/>
              </w:rPr>
            </w:pPr>
            <w:r w:rsidRPr="003A5617">
              <w:rPr>
                <w:sz w:val="20"/>
                <w:szCs w:val="20"/>
                <w:lang w:val="en-US"/>
              </w:rPr>
              <w:t>.57</w:t>
            </w:r>
          </w:p>
        </w:tc>
      </w:tr>
      <w:tr w:rsidR="00B75DE8" w:rsidRPr="003A5617" w:rsidTr="00007BB2">
        <w:tc>
          <w:tcPr>
            <w:tcW w:w="7010" w:type="dxa"/>
          </w:tcPr>
          <w:p w:rsidR="00B75DE8" w:rsidRPr="003A5617" w:rsidRDefault="00B75DE8" w:rsidP="00007BB2">
            <w:pPr>
              <w:ind w:right="-40"/>
              <w:jc w:val="both"/>
              <w:rPr>
                <w:b/>
                <w:i/>
                <w:sz w:val="20"/>
                <w:szCs w:val="20"/>
                <w:lang w:val="en-US"/>
              </w:rPr>
            </w:pPr>
          </w:p>
        </w:tc>
        <w:tc>
          <w:tcPr>
            <w:tcW w:w="709" w:type="dxa"/>
          </w:tcPr>
          <w:p w:rsidR="00B75DE8" w:rsidRPr="003A5617" w:rsidRDefault="00B75DE8" w:rsidP="00007BB2">
            <w:pPr>
              <w:ind w:right="-40"/>
              <w:jc w:val="both"/>
              <w:rPr>
                <w:sz w:val="20"/>
                <w:szCs w:val="20"/>
                <w:lang w:val="en-US"/>
              </w:rPr>
            </w:pPr>
          </w:p>
        </w:tc>
        <w:tc>
          <w:tcPr>
            <w:tcW w:w="709" w:type="dxa"/>
          </w:tcPr>
          <w:p w:rsidR="00B75DE8" w:rsidRPr="003A5617" w:rsidRDefault="00B75DE8" w:rsidP="00007BB2">
            <w:pPr>
              <w:ind w:right="-40"/>
              <w:jc w:val="both"/>
              <w:rPr>
                <w:sz w:val="20"/>
                <w:szCs w:val="20"/>
                <w:lang w:val="en-US"/>
              </w:rPr>
            </w:pPr>
          </w:p>
        </w:tc>
        <w:tc>
          <w:tcPr>
            <w:tcW w:w="708" w:type="dxa"/>
          </w:tcPr>
          <w:p w:rsidR="00B75DE8" w:rsidRPr="003A5617" w:rsidRDefault="00B75DE8" w:rsidP="00007BB2">
            <w:pPr>
              <w:ind w:right="-40"/>
              <w:jc w:val="both"/>
              <w:rPr>
                <w:sz w:val="20"/>
                <w:szCs w:val="20"/>
                <w:lang w:val="en-US"/>
              </w:rPr>
            </w:pPr>
          </w:p>
        </w:tc>
        <w:tc>
          <w:tcPr>
            <w:tcW w:w="1418" w:type="dxa"/>
          </w:tcPr>
          <w:p w:rsidR="00B75DE8" w:rsidRPr="003A5617" w:rsidRDefault="00B75DE8" w:rsidP="00007BB2">
            <w:pPr>
              <w:ind w:right="-40"/>
              <w:jc w:val="center"/>
              <w:rPr>
                <w:sz w:val="20"/>
                <w:szCs w:val="20"/>
                <w:lang w:val="en-US"/>
              </w:rPr>
            </w:pPr>
          </w:p>
        </w:tc>
      </w:tr>
      <w:tr w:rsidR="00B75DE8" w:rsidRPr="003A5617" w:rsidTr="00007BB2">
        <w:tc>
          <w:tcPr>
            <w:tcW w:w="7010" w:type="dxa"/>
          </w:tcPr>
          <w:p w:rsidR="00B75DE8" w:rsidRPr="003A5617" w:rsidRDefault="00B75DE8" w:rsidP="00007BB2">
            <w:pPr>
              <w:ind w:right="-40"/>
              <w:jc w:val="both"/>
              <w:rPr>
                <w:b/>
                <w:i/>
                <w:sz w:val="20"/>
                <w:szCs w:val="20"/>
                <w:lang w:val="en-US"/>
              </w:rPr>
            </w:pPr>
            <w:r w:rsidRPr="003A5617">
              <w:rPr>
                <w:b/>
                <w:i/>
                <w:sz w:val="20"/>
                <w:szCs w:val="20"/>
                <w:lang w:val="en-US"/>
              </w:rPr>
              <w:t>Factor 3: Metacognitions about Consequences of Gambling</w:t>
            </w:r>
          </w:p>
        </w:tc>
        <w:tc>
          <w:tcPr>
            <w:tcW w:w="709" w:type="dxa"/>
          </w:tcPr>
          <w:p w:rsidR="00B75DE8" w:rsidRPr="003A5617" w:rsidRDefault="00B75DE8" w:rsidP="00007BB2">
            <w:pPr>
              <w:ind w:right="-40"/>
              <w:jc w:val="both"/>
              <w:rPr>
                <w:sz w:val="20"/>
                <w:szCs w:val="20"/>
                <w:lang w:val="en-US"/>
              </w:rPr>
            </w:pPr>
          </w:p>
        </w:tc>
        <w:tc>
          <w:tcPr>
            <w:tcW w:w="709" w:type="dxa"/>
          </w:tcPr>
          <w:p w:rsidR="00B75DE8" w:rsidRPr="003A5617" w:rsidRDefault="00B75DE8" w:rsidP="00007BB2">
            <w:pPr>
              <w:ind w:right="-40"/>
              <w:jc w:val="both"/>
              <w:rPr>
                <w:sz w:val="20"/>
                <w:szCs w:val="20"/>
                <w:lang w:val="en-US"/>
              </w:rPr>
            </w:pPr>
          </w:p>
        </w:tc>
        <w:tc>
          <w:tcPr>
            <w:tcW w:w="708" w:type="dxa"/>
          </w:tcPr>
          <w:p w:rsidR="00B75DE8" w:rsidRPr="003A5617" w:rsidRDefault="00B75DE8" w:rsidP="00007BB2">
            <w:pPr>
              <w:ind w:right="-40"/>
              <w:jc w:val="both"/>
              <w:rPr>
                <w:sz w:val="20"/>
                <w:szCs w:val="20"/>
                <w:lang w:val="en-US"/>
              </w:rPr>
            </w:pPr>
          </w:p>
        </w:tc>
        <w:tc>
          <w:tcPr>
            <w:tcW w:w="1418" w:type="dxa"/>
          </w:tcPr>
          <w:p w:rsidR="00B75DE8" w:rsidRPr="003A5617" w:rsidRDefault="00B75DE8" w:rsidP="00007BB2">
            <w:pPr>
              <w:ind w:right="-40"/>
              <w:jc w:val="center"/>
              <w:rPr>
                <w:sz w:val="20"/>
                <w:szCs w:val="20"/>
                <w:lang w:val="en-US"/>
              </w:rPr>
            </w:pPr>
          </w:p>
        </w:tc>
      </w:tr>
      <w:tr w:rsidR="00B75DE8" w:rsidRPr="003A5617" w:rsidTr="00007BB2">
        <w:tc>
          <w:tcPr>
            <w:tcW w:w="7010" w:type="dxa"/>
          </w:tcPr>
          <w:p w:rsidR="00B75DE8" w:rsidRPr="003A5617" w:rsidRDefault="00B75DE8" w:rsidP="00007BB2">
            <w:pPr>
              <w:ind w:right="-40"/>
              <w:jc w:val="both"/>
              <w:rPr>
                <w:sz w:val="20"/>
                <w:szCs w:val="20"/>
                <w:lang w:val="en-US"/>
              </w:rPr>
            </w:pPr>
            <w:r w:rsidRPr="003A5617">
              <w:rPr>
                <w:sz w:val="20"/>
                <w:szCs w:val="20"/>
                <w:lang w:val="en-US"/>
              </w:rPr>
              <w:t>(1) Gambling makes me lose power over my life</w:t>
            </w:r>
          </w:p>
        </w:tc>
        <w:tc>
          <w:tcPr>
            <w:tcW w:w="709" w:type="dxa"/>
          </w:tcPr>
          <w:p w:rsidR="00B75DE8" w:rsidRPr="003A5617" w:rsidRDefault="00B75DE8" w:rsidP="00007BB2">
            <w:pPr>
              <w:autoSpaceDE w:val="0"/>
              <w:autoSpaceDN w:val="0"/>
              <w:adjustRightInd w:val="0"/>
              <w:ind w:left="60" w:right="60"/>
              <w:jc w:val="both"/>
              <w:rPr>
                <w:color w:val="000000"/>
                <w:sz w:val="20"/>
                <w:szCs w:val="20"/>
              </w:rPr>
            </w:pPr>
            <w:r w:rsidRPr="003A5617">
              <w:rPr>
                <w:color w:val="000000"/>
                <w:sz w:val="20"/>
                <w:szCs w:val="20"/>
              </w:rPr>
              <w:t>.18</w:t>
            </w:r>
          </w:p>
        </w:tc>
        <w:tc>
          <w:tcPr>
            <w:tcW w:w="709" w:type="dxa"/>
          </w:tcPr>
          <w:p w:rsidR="00B75DE8" w:rsidRPr="003A5617" w:rsidRDefault="00B75DE8" w:rsidP="00007BB2">
            <w:pPr>
              <w:autoSpaceDE w:val="0"/>
              <w:autoSpaceDN w:val="0"/>
              <w:adjustRightInd w:val="0"/>
              <w:ind w:left="60" w:right="60"/>
              <w:jc w:val="both"/>
              <w:rPr>
                <w:color w:val="000000"/>
                <w:sz w:val="20"/>
                <w:szCs w:val="20"/>
              </w:rPr>
            </w:pPr>
            <w:r w:rsidRPr="003A5617">
              <w:rPr>
                <w:color w:val="000000"/>
                <w:sz w:val="20"/>
                <w:szCs w:val="20"/>
              </w:rPr>
              <w:t>.01</w:t>
            </w:r>
          </w:p>
        </w:tc>
        <w:tc>
          <w:tcPr>
            <w:tcW w:w="708" w:type="dxa"/>
          </w:tcPr>
          <w:p w:rsidR="00B75DE8" w:rsidRPr="003A5617" w:rsidRDefault="00B75DE8" w:rsidP="00007BB2">
            <w:pPr>
              <w:autoSpaceDE w:val="0"/>
              <w:autoSpaceDN w:val="0"/>
              <w:adjustRightInd w:val="0"/>
              <w:ind w:left="60" w:right="60"/>
              <w:jc w:val="both"/>
              <w:rPr>
                <w:b/>
                <w:color w:val="000000"/>
                <w:sz w:val="20"/>
                <w:szCs w:val="20"/>
              </w:rPr>
            </w:pPr>
            <w:r w:rsidRPr="003A5617">
              <w:rPr>
                <w:b/>
                <w:color w:val="000000"/>
                <w:sz w:val="20"/>
                <w:szCs w:val="20"/>
              </w:rPr>
              <w:t>.81</w:t>
            </w:r>
          </w:p>
        </w:tc>
        <w:tc>
          <w:tcPr>
            <w:tcW w:w="1418" w:type="dxa"/>
          </w:tcPr>
          <w:p w:rsidR="00B75DE8" w:rsidRPr="003A5617" w:rsidRDefault="00B75DE8" w:rsidP="00007BB2">
            <w:pPr>
              <w:ind w:right="-40"/>
              <w:jc w:val="center"/>
              <w:rPr>
                <w:sz w:val="20"/>
                <w:szCs w:val="20"/>
                <w:lang w:val="en-US"/>
              </w:rPr>
            </w:pPr>
            <w:r w:rsidRPr="003A5617">
              <w:rPr>
                <w:sz w:val="20"/>
                <w:szCs w:val="20"/>
                <w:lang w:val="en-US"/>
              </w:rPr>
              <w:t>.68</w:t>
            </w:r>
          </w:p>
        </w:tc>
      </w:tr>
      <w:tr w:rsidR="00B75DE8" w:rsidRPr="003A5617" w:rsidTr="00007BB2">
        <w:tc>
          <w:tcPr>
            <w:tcW w:w="7010" w:type="dxa"/>
          </w:tcPr>
          <w:p w:rsidR="00B75DE8" w:rsidRPr="003A5617" w:rsidRDefault="00B75DE8" w:rsidP="00007BB2">
            <w:pPr>
              <w:ind w:right="-40"/>
              <w:jc w:val="both"/>
              <w:rPr>
                <w:sz w:val="20"/>
                <w:szCs w:val="20"/>
                <w:lang w:val="en-US"/>
              </w:rPr>
            </w:pPr>
            <w:r w:rsidRPr="003A5617">
              <w:rPr>
                <w:sz w:val="20"/>
                <w:szCs w:val="20"/>
                <w:lang w:val="en-US"/>
              </w:rPr>
              <w:t>(2) Gambling in this way means my mind is weak</w:t>
            </w:r>
          </w:p>
        </w:tc>
        <w:tc>
          <w:tcPr>
            <w:tcW w:w="709" w:type="dxa"/>
          </w:tcPr>
          <w:p w:rsidR="00B75DE8" w:rsidRPr="003A5617" w:rsidRDefault="00B75DE8" w:rsidP="00007BB2">
            <w:pPr>
              <w:autoSpaceDE w:val="0"/>
              <w:autoSpaceDN w:val="0"/>
              <w:adjustRightInd w:val="0"/>
              <w:ind w:left="60" w:right="60"/>
              <w:jc w:val="both"/>
              <w:rPr>
                <w:color w:val="000000"/>
                <w:sz w:val="20"/>
                <w:szCs w:val="20"/>
              </w:rPr>
            </w:pPr>
            <w:r w:rsidRPr="003A5617">
              <w:rPr>
                <w:color w:val="000000"/>
                <w:sz w:val="20"/>
                <w:szCs w:val="20"/>
              </w:rPr>
              <w:t>.07</w:t>
            </w:r>
          </w:p>
        </w:tc>
        <w:tc>
          <w:tcPr>
            <w:tcW w:w="709" w:type="dxa"/>
          </w:tcPr>
          <w:p w:rsidR="00B75DE8" w:rsidRPr="003A5617" w:rsidRDefault="00B75DE8" w:rsidP="00007BB2">
            <w:pPr>
              <w:autoSpaceDE w:val="0"/>
              <w:autoSpaceDN w:val="0"/>
              <w:adjustRightInd w:val="0"/>
              <w:ind w:left="60" w:right="60"/>
              <w:jc w:val="both"/>
              <w:rPr>
                <w:color w:val="000000"/>
                <w:sz w:val="20"/>
                <w:szCs w:val="20"/>
              </w:rPr>
            </w:pPr>
            <w:r w:rsidRPr="003A5617">
              <w:rPr>
                <w:color w:val="000000"/>
                <w:sz w:val="20"/>
                <w:szCs w:val="20"/>
              </w:rPr>
              <w:t>.24</w:t>
            </w:r>
          </w:p>
        </w:tc>
        <w:tc>
          <w:tcPr>
            <w:tcW w:w="708" w:type="dxa"/>
          </w:tcPr>
          <w:p w:rsidR="00B75DE8" w:rsidRPr="003A5617" w:rsidRDefault="00B75DE8" w:rsidP="00007BB2">
            <w:pPr>
              <w:autoSpaceDE w:val="0"/>
              <w:autoSpaceDN w:val="0"/>
              <w:adjustRightInd w:val="0"/>
              <w:ind w:left="60" w:right="60"/>
              <w:jc w:val="both"/>
              <w:rPr>
                <w:b/>
                <w:color w:val="000000"/>
                <w:sz w:val="20"/>
                <w:szCs w:val="20"/>
              </w:rPr>
            </w:pPr>
            <w:r w:rsidRPr="003A5617">
              <w:rPr>
                <w:b/>
                <w:color w:val="000000"/>
                <w:sz w:val="20"/>
                <w:szCs w:val="20"/>
              </w:rPr>
              <w:t>.79</w:t>
            </w:r>
          </w:p>
        </w:tc>
        <w:tc>
          <w:tcPr>
            <w:tcW w:w="1418" w:type="dxa"/>
          </w:tcPr>
          <w:p w:rsidR="00B75DE8" w:rsidRPr="003A5617" w:rsidRDefault="00B75DE8" w:rsidP="00007BB2">
            <w:pPr>
              <w:ind w:right="-40"/>
              <w:jc w:val="center"/>
              <w:rPr>
                <w:sz w:val="20"/>
                <w:szCs w:val="20"/>
                <w:lang w:val="en-US"/>
              </w:rPr>
            </w:pPr>
            <w:r w:rsidRPr="003A5617">
              <w:rPr>
                <w:sz w:val="20"/>
                <w:szCs w:val="20"/>
                <w:lang w:val="en-US"/>
              </w:rPr>
              <w:t>.69</w:t>
            </w:r>
          </w:p>
        </w:tc>
      </w:tr>
      <w:tr w:rsidR="00B75DE8" w:rsidRPr="003A5617" w:rsidTr="00007BB2">
        <w:tc>
          <w:tcPr>
            <w:tcW w:w="7010" w:type="dxa"/>
          </w:tcPr>
          <w:p w:rsidR="00B75DE8" w:rsidRPr="003A5617" w:rsidRDefault="00B75DE8" w:rsidP="00007BB2">
            <w:pPr>
              <w:ind w:right="-40"/>
              <w:jc w:val="both"/>
              <w:rPr>
                <w:sz w:val="20"/>
                <w:szCs w:val="20"/>
              </w:rPr>
            </w:pPr>
            <w:r w:rsidRPr="003A5617">
              <w:rPr>
                <w:sz w:val="20"/>
                <w:szCs w:val="20"/>
                <w:lang w:val="en-US"/>
              </w:rPr>
              <w:t>(3) Gambling can make me lose my mind</w:t>
            </w:r>
          </w:p>
        </w:tc>
        <w:tc>
          <w:tcPr>
            <w:tcW w:w="709" w:type="dxa"/>
          </w:tcPr>
          <w:p w:rsidR="00B75DE8" w:rsidRPr="003A5617" w:rsidRDefault="00B75DE8" w:rsidP="00007BB2">
            <w:pPr>
              <w:autoSpaceDE w:val="0"/>
              <w:autoSpaceDN w:val="0"/>
              <w:adjustRightInd w:val="0"/>
              <w:ind w:left="60" w:right="60"/>
              <w:jc w:val="both"/>
              <w:rPr>
                <w:color w:val="000000"/>
                <w:sz w:val="20"/>
                <w:szCs w:val="20"/>
              </w:rPr>
            </w:pPr>
            <w:r w:rsidRPr="003A5617">
              <w:rPr>
                <w:color w:val="000000"/>
                <w:sz w:val="20"/>
                <w:szCs w:val="20"/>
              </w:rPr>
              <w:t>.25</w:t>
            </w:r>
          </w:p>
        </w:tc>
        <w:tc>
          <w:tcPr>
            <w:tcW w:w="709" w:type="dxa"/>
          </w:tcPr>
          <w:p w:rsidR="00B75DE8" w:rsidRPr="003A5617" w:rsidRDefault="00B75DE8" w:rsidP="00007BB2">
            <w:pPr>
              <w:autoSpaceDE w:val="0"/>
              <w:autoSpaceDN w:val="0"/>
              <w:adjustRightInd w:val="0"/>
              <w:ind w:left="60" w:right="60"/>
              <w:jc w:val="both"/>
              <w:rPr>
                <w:color w:val="000000"/>
                <w:sz w:val="20"/>
                <w:szCs w:val="20"/>
              </w:rPr>
            </w:pPr>
            <w:r w:rsidRPr="003A5617">
              <w:rPr>
                <w:color w:val="000000"/>
                <w:sz w:val="20"/>
                <w:szCs w:val="20"/>
              </w:rPr>
              <w:t>.05</w:t>
            </w:r>
          </w:p>
        </w:tc>
        <w:tc>
          <w:tcPr>
            <w:tcW w:w="708" w:type="dxa"/>
          </w:tcPr>
          <w:p w:rsidR="00B75DE8" w:rsidRPr="003A5617" w:rsidRDefault="00B75DE8" w:rsidP="00007BB2">
            <w:pPr>
              <w:autoSpaceDE w:val="0"/>
              <w:autoSpaceDN w:val="0"/>
              <w:adjustRightInd w:val="0"/>
              <w:ind w:left="60" w:right="60"/>
              <w:jc w:val="both"/>
              <w:rPr>
                <w:b/>
                <w:color w:val="000000"/>
                <w:sz w:val="20"/>
                <w:szCs w:val="20"/>
              </w:rPr>
            </w:pPr>
            <w:r w:rsidRPr="003A5617">
              <w:rPr>
                <w:b/>
                <w:color w:val="000000"/>
                <w:sz w:val="20"/>
                <w:szCs w:val="20"/>
              </w:rPr>
              <w:t>.77</w:t>
            </w:r>
          </w:p>
        </w:tc>
        <w:tc>
          <w:tcPr>
            <w:tcW w:w="1418" w:type="dxa"/>
          </w:tcPr>
          <w:p w:rsidR="00B75DE8" w:rsidRPr="003A5617" w:rsidRDefault="00B75DE8" w:rsidP="00007BB2">
            <w:pPr>
              <w:ind w:right="-40"/>
              <w:jc w:val="center"/>
              <w:rPr>
                <w:sz w:val="20"/>
                <w:szCs w:val="20"/>
                <w:lang w:val="en-US"/>
              </w:rPr>
            </w:pPr>
            <w:r w:rsidRPr="003A5617">
              <w:rPr>
                <w:sz w:val="20"/>
                <w:szCs w:val="20"/>
                <w:lang w:val="en-US"/>
              </w:rPr>
              <w:t>.65</w:t>
            </w:r>
          </w:p>
        </w:tc>
      </w:tr>
      <w:tr w:rsidR="00B75DE8" w:rsidRPr="003A5617" w:rsidTr="00007BB2">
        <w:tc>
          <w:tcPr>
            <w:tcW w:w="7010" w:type="dxa"/>
          </w:tcPr>
          <w:p w:rsidR="00B75DE8" w:rsidRPr="003A5617" w:rsidRDefault="00B75DE8" w:rsidP="00007BB2">
            <w:pPr>
              <w:ind w:right="-40"/>
              <w:jc w:val="both"/>
              <w:rPr>
                <w:sz w:val="20"/>
                <w:szCs w:val="20"/>
                <w:lang w:val="en-US"/>
              </w:rPr>
            </w:pPr>
            <w:r w:rsidRPr="003A5617">
              <w:rPr>
                <w:sz w:val="20"/>
                <w:szCs w:val="20"/>
                <w:lang w:val="en-US"/>
              </w:rPr>
              <w:t>(4) Thoughts of gambling should always been avoided</w:t>
            </w:r>
          </w:p>
        </w:tc>
        <w:tc>
          <w:tcPr>
            <w:tcW w:w="709" w:type="dxa"/>
          </w:tcPr>
          <w:p w:rsidR="00B75DE8" w:rsidRPr="003A5617" w:rsidRDefault="00B75DE8" w:rsidP="00007BB2">
            <w:pPr>
              <w:autoSpaceDE w:val="0"/>
              <w:autoSpaceDN w:val="0"/>
              <w:adjustRightInd w:val="0"/>
              <w:ind w:left="60" w:right="60"/>
              <w:jc w:val="both"/>
              <w:rPr>
                <w:color w:val="000000"/>
                <w:sz w:val="20"/>
                <w:szCs w:val="20"/>
              </w:rPr>
            </w:pPr>
            <w:r w:rsidRPr="003A5617">
              <w:rPr>
                <w:color w:val="000000"/>
                <w:sz w:val="20"/>
                <w:szCs w:val="20"/>
              </w:rPr>
              <w:t>.11</w:t>
            </w:r>
          </w:p>
        </w:tc>
        <w:tc>
          <w:tcPr>
            <w:tcW w:w="709" w:type="dxa"/>
          </w:tcPr>
          <w:p w:rsidR="00B75DE8" w:rsidRPr="003A5617" w:rsidRDefault="00B75DE8" w:rsidP="00007BB2">
            <w:pPr>
              <w:autoSpaceDE w:val="0"/>
              <w:autoSpaceDN w:val="0"/>
              <w:adjustRightInd w:val="0"/>
              <w:ind w:left="60" w:right="60"/>
              <w:jc w:val="both"/>
              <w:rPr>
                <w:color w:val="000000"/>
                <w:sz w:val="20"/>
                <w:szCs w:val="20"/>
              </w:rPr>
            </w:pPr>
            <w:r w:rsidRPr="003A5617">
              <w:rPr>
                <w:color w:val="000000"/>
                <w:sz w:val="20"/>
                <w:szCs w:val="20"/>
              </w:rPr>
              <w:t>.01</w:t>
            </w:r>
          </w:p>
        </w:tc>
        <w:tc>
          <w:tcPr>
            <w:tcW w:w="708" w:type="dxa"/>
          </w:tcPr>
          <w:p w:rsidR="00B75DE8" w:rsidRPr="003A5617" w:rsidRDefault="00B75DE8" w:rsidP="00007BB2">
            <w:pPr>
              <w:autoSpaceDE w:val="0"/>
              <w:autoSpaceDN w:val="0"/>
              <w:adjustRightInd w:val="0"/>
              <w:ind w:left="60" w:right="60"/>
              <w:jc w:val="both"/>
              <w:rPr>
                <w:b/>
                <w:color w:val="000000"/>
                <w:sz w:val="20"/>
                <w:szCs w:val="20"/>
              </w:rPr>
            </w:pPr>
            <w:r w:rsidRPr="003A5617">
              <w:rPr>
                <w:b/>
                <w:color w:val="000000"/>
                <w:sz w:val="20"/>
                <w:szCs w:val="20"/>
              </w:rPr>
              <w:t>.67</w:t>
            </w:r>
          </w:p>
        </w:tc>
        <w:tc>
          <w:tcPr>
            <w:tcW w:w="1418" w:type="dxa"/>
          </w:tcPr>
          <w:p w:rsidR="00B75DE8" w:rsidRPr="003A5617" w:rsidRDefault="00B75DE8" w:rsidP="00007BB2">
            <w:pPr>
              <w:ind w:right="-40"/>
              <w:jc w:val="center"/>
              <w:rPr>
                <w:sz w:val="20"/>
                <w:szCs w:val="20"/>
                <w:lang w:val="en-US"/>
              </w:rPr>
            </w:pPr>
            <w:r w:rsidRPr="003A5617">
              <w:rPr>
                <w:sz w:val="20"/>
                <w:szCs w:val="20"/>
                <w:lang w:val="en-US"/>
              </w:rPr>
              <w:t>.46</w:t>
            </w:r>
          </w:p>
        </w:tc>
      </w:tr>
      <w:tr w:rsidR="00B75DE8" w:rsidRPr="003A5617" w:rsidTr="00007BB2">
        <w:tc>
          <w:tcPr>
            <w:tcW w:w="7010" w:type="dxa"/>
            <w:tcBorders>
              <w:bottom w:val="single" w:sz="4" w:space="0" w:color="000000"/>
            </w:tcBorders>
          </w:tcPr>
          <w:p w:rsidR="00B75DE8" w:rsidRPr="003A5617" w:rsidRDefault="00B75DE8" w:rsidP="00007BB2">
            <w:pPr>
              <w:ind w:right="-40"/>
              <w:jc w:val="both"/>
              <w:rPr>
                <w:sz w:val="20"/>
                <w:szCs w:val="20"/>
              </w:rPr>
            </w:pPr>
            <w:r w:rsidRPr="003A5617">
              <w:rPr>
                <w:sz w:val="20"/>
                <w:szCs w:val="20"/>
                <w:lang w:val="en-US"/>
              </w:rPr>
              <w:t>(5) I should been able not to think about gambling</w:t>
            </w:r>
            <w:r w:rsidRPr="003A5617">
              <w:rPr>
                <w:sz w:val="20"/>
                <w:szCs w:val="20"/>
              </w:rPr>
              <w:t xml:space="preserve"> </w:t>
            </w:r>
          </w:p>
        </w:tc>
        <w:tc>
          <w:tcPr>
            <w:tcW w:w="709" w:type="dxa"/>
            <w:tcBorders>
              <w:bottom w:val="single" w:sz="4" w:space="0" w:color="000000"/>
            </w:tcBorders>
          </w:tcPr>
          <w:p w:rsidR="00B75DE8" w:rsidRPr="003A5617" w:rsidRDefault="00B75DE8" w:rsidP="00007BB2">
            <w:pPr>
              <w:autoSpaceDE w:val="0"/>
              <w:autoSpaceDN w:val="0"/>
              <w:adjustRightInd w:val="0"/>
              <w:ind w:left="60" w:right="60"/>
              <w:jc w:val="both"/>
              <w:rPr>
                <w:color w:val="000000"/>
                <w:sz w:val="20"/>
                <w:szCs w:val="20"/>
              </w:rPr>
            </w:pPr>
            <w:r w:rsidRPr="003A5617">
              <w:rPr>
                <w:color w:val="000000"/>
                <w:sz w:val="20"/>
                <w:szCs w:val="20"/>
              </w:rPr>
              <w:t>.33</w:t>
            </w:r>
          </w:p>
        </w:tc>
        <w:tc>
          <w:tcPr>
            <w:tcW w:w="709" w:type="dxa"/>
            <w:tcBorders>
              <w:bottom w:val="single" w:sz="4" w:space="0" w:color="000000"/>
            </w:tcBorders>
          </w:tcPr>
          <w:p w:rsidR="00B75DE8" w:rsidRPr="003A5617" w:rsidRDefault="00B75DE8" w:rsidP="00007BB2">
            <w:pPr>
              <w:autoSpaceDE w:val="0"/>
              <w:autoSpaceDN w:val="0"/>
              <w:adjustRightInd w:val="0"/>
              <w:ind w:left="60" w:right="60"/>
              <w:jc w:val="both"/>
              <w:rPr>
                <w:color w:val="000000"/>
                <w:sz w:val="20"/>
                <w:szCs w:val="20"/>
              </w:rPr>
            </w:pPr>
            <w:r w:rsidRPr="003A5617">
              <w:rPr>
                <w:color w:val="000000"/>
                <w:sz w:val="20"/>
                <w:szCs w:val="20"/>
              </w:rPr>
              <w:t>.03</w:t>
            </w:r>
          </w:p>
        </w:tc>
        <w:tc>
          <w:tcPr>
            <w:tcW w:w="708" w:type="dxa"/>
            <w:tcBorders>
              <w:bottom w:val="single" w:sz="4" w:space="0" w:color="000000"/>
            </w:tcBorders>
          </w:tcPr>
          <w:p w:rsidR="00B75DE8" w:rsidRPr="003A5617" w:rsidRDefault="00B75DE8" w:rsidP="00007BB2">
            <w:pPr>
              <w:autoSpaceDE w:val="0"/>
              <w:autoSpaceDN w:val="0"/>
              <w:adjustRightInd w:val="0"/>
              <w:ind w:left="60" w:right="60"/>
              <w:jc w:val="both"/>
              <w:rPr>
                <w:b/>
                <w:color w:val="000000"/>
                <w:sz w:val="20"/>
                <w:szCs w:val="20"/>
              </w:rPr>
            </w:pPr>
            <w:r w:rsidRPr="003A5617">
              <w:rPr>
                <w:b/>
                <w:color w:val="000000"/>
                <w:sz w:val="20"/>
                <w:szCs w:val="20"/>
              </w:rPr>
              <w:t>.65</w:t>
            </w:r>
          </w:p>
        </w:tc>
        <w:tc>
          <w:tcPr>
            <w:tcW w:w="1418" w:type="dxa"/>
            <w:tcBorders>
              <w:bottom w:val="single" w:sz="4" w:space="0" w:color="000000"/>
            </w:tcBorders>
          </w:tcPr>
          <w:p w:rsidR="00B75DE8" w:rsidRPr="003A5617" w:rsidRDefault="00B75DE8" w:rsidP="00007BB2">
            <w:pPr>
              <w:ind w:right="-40"/>
              <w:jc w:val="center"/>
              <w:rPr>
                <w:sz w:val="20"/>
                <w:szCs w:val="20"/>
                <w:lang w:val="en-US"/>
              </w:rPr>
            </w:pPr>
            <w:r w:rsidRPr="003A5617">
              <w:rPr>
                <w:sz w:val="20"/>
                <w:szCs w:val="20"/>
                <w:lang w:val="en-US"/>
              </w:rPr>
              <w:t>.53</w:t>
            </w:r>
          </w:p>
        </w:tc>
      </w:tr>
    </w:tbl>
    <w:p w:rsidR="00B75DE8" w:rsidRPr="003A5617" w:rsidRDefault="00B75DE8" w:rsidP="00B75DE8">
      <w:pPr>
        <w:spacing w:line="480" w:lineRule="auto"/>
        <w:ind w:right="-40"/>
        <w:jc w:val="both"/>
      </w:pPr>
    </w:p>
    <w:p w:rsidR="00B75DE8" w:rsidRPr="003A5617" w:rsidRDefault="00B75DE8" w:rsidP="00B75DE8">
      <w:pPr>
        <w:spacing w:line="480" w:lineRule="auto"/>
        <w:ind w:right="-40"/>
        <w:jc w:val="both"/>
      </w:pPr>
    </w:p>
    <w:p w:rsidR="00B75DE8" w:rsidRPr="003A5617" w:rsidRDefault="00B75DE8" w:rsidP="00B75DE8">
      <w:pPr>
        <w:spacing w:line="480" w:lineRule="auto"/>
        <w:ind w:right="-40"/>
        <w:jc w:val="both"/>
        <w:sectPr w:rsidR="00B75DE8" w:rsidRPr="003A5617" w:rsidSect="00B75DE8">
          <w:footerReference w:type="default" r:id="rId10"/>
          <w:pgSz w:w="11906" w:h="16838"/>
          <w:pgMar w:top="1134" w:right="1134" w:bottom="1134" w:left="1134" w:header="709" w:footer="709" w:gutter="0"/>
          <w:cols w:space="708"/>
          <w:docGrid w:linePitch="360"/>
        </w:sectPr>
      </w:pPr>
    </w:p>
    <w:p w:rsidR="00B75DE8" w:rsidRPr="000D5BCC" w:rsidRDefault="00B75DE8" w:rsidP="00B75DE8">
      <w:pPr>
        <w:spacing w:line="480" w:lineRule="auto"/>
        <w:ind w:right="561"/>
        <w:jc w:val="both"/>
        <w:outlineLvl w:val="0"/>
        <w:rPr>
          <w:b/>
          <w:lang w:val="en-US"/>
        </w:rPr>
      </w:pPr>
      <w:r w:rsidRPr="000D5BCC">
        <w:rPr>
          <w:b/>
          <w:lang w:val="en-US"/>
        </w:rPr>
        <w:lastRenderedPageBreak/>
        <w:t>Table 2</w:t>
      </w:r>
    </w:p>
    <w:p w:rsidR="00B75DE8" w:rsidRPr="003A5617" w:rsidRDefault="00B75DE8" w:rsidP="00B75DE8">
      <w:pPr>
        <w:spacing w:after="120" w:line="480" w:lineRule="auto"/>
        <w:ind w:right="561"/>
        <w:jc w:val="both"/>
        <w:outlineLvl w:val="0"/>
        <w:rPr>
          <w:lang w:val="en-US"/>
        </w:rPr>
      </w:pPr>
      <w:proofErr w:type="gramStart"/>
      <w:r w:rsidRPr="003A5617">
        <w:rPr>
          <w:lang w:val="en-US"/>
        </w:rPr>
        <w:t>Means, standard deviations, ranges and inter-correlations of the Study 2 variables.</w:t>
      </w:r>
      <w:proofErr w:type="gramEnd"/>
    </w:p>
    <w:tbl>
      <w:tblPr>
        <w:tblW w:w="10963" w:type="dxa"/>
        <w:tblBorders>
          <w:top w:val="single" w:sz="12" w:space="0" w:color="008000"/>
          <w:left w:val="nil"/>
          <w:bottom w:val="single" w:sz="12" w:space="0" w:color="008000"/>
          <w:right w:val="nil"/>
          <w:insideH w:val="nil"/>
          <w:insideV w:val="nil"/>
        </w:tblBorders>
        <w:tblLayout w:type="fixed"/>
        <w:tblCellMar>
          <w:left w:w="28" w:type="dxa"/>
          <w:right w:w="28" w:type="dxa"/>
        </w:tblCellMar>
        <w:tblLook w:val="00A0" w:firstRow="1" w:lastRow="0" w:firstColumn="1" w:lastColumn="0" w:noHBand="0" w:noVBand="0"/>
      </w:tblPr>
      <w:tblGrid>
        <w:gridCol w:w="1708"/>
        <w:gridCol w:w="730"/>
        <w:gridCol w:w="730"/>
        <w:gridCol w:w="580"/>
        <w:gridCol w:w="840"/>
        <w:gridCol w:w="910"/>
        <w:gridCol w:w="910"/>
        <w:gridCol w:w="911"/>
        <w:gridCol w:w="911"/>
        <w:gridCol w:w="911"/>
        <w:gridCol w:w="911"/>
        <w:gridCol w:w="911"/>
      </w:tblGrid>
      <w:tr w:rsidR="00B75DE8" w:rsidRPr="003A5617" w:rsidTr="00007BB2">
        <w:trPr>
          <w:trHeight w:val="76"/>
        </w:trPr>
        <w:tc>
          <w:tcPr>
            <w:tcW w:w="1708" w:type="dxa"/>
            <w:tcBorders>
              <w:top w:val="single" w:sz="12" w:space="0" w:color="auto"/>
              <w:bottom w:val="single" w:sz="12" w:space="0" w:color="auto"/>
            </w:tcBorders>
          </w:tcPr>
          <w:p w:rsidR="00B75DE8" w:rsidRPr="003A5617" w:rsidRDefault="00B75DE8" w:rsidP="00007BB2">
            <w:pPr>
              <w:jc w:val="both"/>
              <w:rPr>
                <w:b/>
                <w:sz w:val="20"/>
                <w:szCs w:val="20"/>
                <w:lang w:val="en-US"/>
              </w:rPr>
            </w:pPr>
          </w:p>
        </w:tc>
        <w:tc>
          <w:tcPr>
            <w:tcW w:w="730" w:type="dxa"/>
            <w:tcBorders>
              <w:top w:val="single" w:sz="12" w:space="0" w:color="auto"/>
              <w:bottom w:val="single" w:sz="12" w:space="0" w:color="auto"/>
            </w:tcBorders>
          </w:tcPr>
          <w:p w:rsidR="00B75DE8" w:rsidRPr="00970CA9" w:rsidRDefault="00B75DE8" w:rsidP="00007BB2">
            <w:pPr>
              <w:jc w:val="both"/>
              <w:rPr>
                <w:rFonts w:eastAsia="PMingLiU"/>
                <w:b/>
                <w:bCs/>
                <w:sz w:val="20"/>
                <w:szCs w:val="20"/>
                <w:highlight w:val="yellow"/>
                <w:lang w:eastAsia="zh-TW"/>
              </w:rPr>
            </w:pPr>
            <w:r w:rsidRPr="00970CA9">
              <w:rPr>
                <w:rFonts w:eastAsia="PMingLiU"/>
                <w:b/>
                <w:bCs/>
                <w:sz w:val="20"/>
                <w:szCs w:val="20"/>
                <w:highlight w:val="yellow"/>
                <w:lang w:eastAsia="zh-TW"/>
              </w:rPr>
              <w:t>Alpha</w:t>
            </w:r>
          </w:p>
        </w:tc>
        <w:tc>
          <w:tcPr>
            <w:tcW w:w="730" w:type="dxa"/>
            <w:tcBorders>
              <w:top w:val="single" w:sz="12" w:space="0" w:color="auto"/>
              <w:left w:val="nil"/>
              <w:bottom w:val="single" w:sz="12" w:space="0" w:color="auto"/>
              <w:right w:val="nil"/>
            </w:tcBorders>
          </w:tcPr>
          <w:p w:rsidR="00B75DE8" w:rsidRPr="003A5617" w:rsidRDefault="00B75DE8" w:rsidP="00007BB2">
            <w:pPr>
              <w:jc w:val="both"/>
              <w:rPr>
                <w:rFonts w:eastAsia="PMingLiU"/>
                <w:b/>
                <w:bCs/>
                <w:sz w:val="20"/>
                <w:szCs w:val="20"/>
                <w:lang w:eastAsia="zh-TW"/>
              </w:rPr>
            </w:pPr>
            <w:r w:rsidRPr="003A5617">
              <w:rPr>
                <w:rFonts w:eastAsia="PMingLiU"/>
                <w:b/>
                <w:bCs/>
                <w:sz w:val="20"/>
                <w:szCs w:val="20"/>
                <w:lang w:eastAsia="zh-TW"/>
              </w:rPr>
              <w:t>X</w:t>
            </w:r>
          </w:p>
        </w:tc>
        <w:tc>
          <w:tcPr>
            <w:tcW w:w="580" w:type="dxa"/>
            <w:tcBorders>
              <w:top w:val="single" w:sz="12" w:space="0" w:color="auto"/>
              <w:left w:val="nil"/>
              <w:bottom w:val="single" w:sz="12" w:space="0" w:color="auto"/>
              <w:right w:val="nil"/>
            </w:tcBorders>
          </w:tcPr>
          <w:p w:rsidR="00B75DE8" w:rsidRPr="003A5617" w:rsidRDefault="00B75DE8" w:rsidP="00007BB2">
            <w:pPr>
              <w:jc w:val="both"/>
              <w:rPr>
                <w:rFonts w:eastAsia="PMingLiU"/>
                <w:b/>
                <w:bCs/>
                <w:sz w:val="20"/>
                <w:szCs w:val="20"/>
                <w:lang w:eastAsia="zh-TW"/>
              </w:rPr>
            </w:pPr>
            <w:r w:rsidRPr="003A5617">
              <w:rPr>
                <w:rFonts w:eastAsia="PMingLiU"/>
                <w:b/>
                <w:bCs/>
                <w:sz w:val="20"/>
                <w:szCs w:val="20"/>
                <w:lang w:eastAsia="zh-TW"/>
              </w:rPr>
              <w:t>SD</w:t>
            </w:r>
          </w:p>
        </w:tc>
        <w:tc>
          <w:tcPr>
            <w:tcW w:w="840" w:type="dxa"/>
            <w:tcBorders>
              <w:top w:val="single" w:sz="12" w:space="0" w:color="auto"/>
              <w:left w:val="nil"/>
              <w:bottom w:val="single" w:sz="12" w:space="0" w:color="auto"/>
              <w:right w:val="nil"/>
            </w:tcBorders>
          </w:tcPr>
          <w:p w:rsidR="00B75DE8" w:rsidRPr="003A5617" w:rsidRDefault="00B75DE8" w:rsidP="00007BB2">
            <w:pPr>
              <w:jc w:val="both"/>
              <w:rPr>
                <w:rFonts w:eastAsia="PMingLiU"/>
                <w:b/>
                <w:sz w:val="20"/>
                <w:szCs w:val="20"/>
                <w:lang w:eastAsia="zh-TW"/>
              </w:rPr>
            </w:pPr>
            <w:r w:rsidRPr="003A5617">
              <w:rPr>
                <w:rFonts w:eastAsia="PMingLiU"/>
                <w:b/>
                <w:sz w:val="20"/>
                <w:szCs w:val="20"/>
                <w:lang w:eastAsia="zh-TW"/>
              </w:rPr>
              <w:t>Range</w:t>
            </w:r>
          </w:p>
        </w:tc>
        <w:tc>
          <w:tcPr>
            <w:tcW w:w="910" w:type="dxa"/>
            <w:tcBorders>
              <w:top w:val="single" w:sz="12" w:space="0" w:color="auto"/>
              <w:bottom w:val="single" w:sz="12" w:space="0" w:color="auto"/>
            </w:tcBorders>
          </w:tcPr>
          <w:p w:rsidR="00B75DE8" w:rsidRPr="003A5617" w:rsidRDefault="00B75DE8" w:rsidP="00007BB2">
            <w:pPr>
              <w:jc w:val="both"/>
              <w:rPr>
                <w:rFonts w:eastAsia="PMingLiU"/>
                <w:b/>
                <w:sz w:val="20"/>
                <w:szCs w:val="20"/>
                <w:lang w:eastAsia="zh-TW"/>
              </w:rPr>
            </w:pPr>
            <w:r>
              <w:rPr>
                <w:rFonts w:eastAsia="PMingLiU"/>
                <w:b/>
                <w:sz w:val="20"/>
                <w:szCs w:val="20"/>
                <w:lang w:eastAsia="zh-TW"/>
              </w:rPr>
              <w:t>G-SAS</w:t>
            </w:r>
          </w:p>
        </w:tc>
        <w:tc>
          <w:tcPr>
            <w:tcW w:w="910" w:type="dxa"/>
            <w:tcBorders>
              <w:top w:val="single" w:sz="12" w:space="0" w:color="auto"/>
              <w:bottom w:val="single" w:sz="12" w:space="0" w:color="auto"/>
            </w:tcBorders>
          </w:tcPr>
          <w:p w:rsidR="00B75DE8" w:rsidRPr="003A5617" w:rsidRDefault="00B75DE8" w:rsidP="00007BB2">
            <w:pPr>
              <w:jc w:val="both"/>
              <w:rPr>
                <w:rFonts w:eastAsia="PMingLiU"/>
                <w:b/>
                <w:sz w:val="20"/>
                <w:szCs w:val="20"/>
                <w:lang w:eastAsia="zh-TW"/>
              </w:rPr>
            </w:pPr>
            <w:r w:rsidRPr="003A5617">
              <w:rPr>
                <w:rFonts w:eastAsia="PMingLiU"/>
                <w:b/>
                <w:sz w:val="20"/>
                <w:szCs w:val="20"/>
                <w:lang w:eastAsia="zh-TW"/>
              </w:rPr>
              <w:t>SOGS</w:t>
            </w:r>
          </w:p>
        </w:tc>
        <w:tc>
          <w:tcPr>
            <w:tcW w:w="911" w:type="dxa"/>
            <w:tcBorders>
              <w:top w:val="single" w:sz="12" w:space="0" w:color="auto"/>
              <w:bottom w:val="single" w:sz="12" w:space="0" w:color="auto"/>
            </w:tcBorders>
          </w:tcPr>
          <w:p w:rsidR="00B75DE8" w:rsidRPr="003A5617" w:rsidRDefault="00B75DE8" w:rsidP="00007BB2">
            <w:pPr>
              <w:jc w:val="both"/>
              <w:rPr>
                <w:rFonts w:eastAsia="PMingLiU"/>
                <w:b/>
                <w:sz w:val="20"/>
                <w:szCs w:val="20"/>
                <w:lang w:eastAsia="zh-TW"/>
              </w:rPr>
            </w:pPr>
            <w:r w:rsidRPr="003A5617">
              <w:rPr>
                <w:rFonts w:eastAsia="PMingLiU"/>
                <w:b/>
                <w:sz w:val="20"/>
                <w:szCs w:val="20"/>
                <w:lang w:eastAsia="zh-TW"/>
              </w:rPr>
              <w:t>HADS-A</w:t>
            </w:r>
          </w:p>
        </w:tc>
        <w:tc>
          <w:tcPr>
            <w:tcW w:w="911" w:type="dxa"/>
            <w:tcBorders>
              <w:top w:val="single" w:sz="12" w:space="0" w:color="auto"/>
              <w:bottom w:val="single" w:sz="12" w:space="0" w:color="auto"/>
            </w:tcBorders>
          </w:tcPr>
          <w:p w:rsidR="00B75DE8" w:rsidRPr="003A5617" w:rsidRDefault="00B75DE8" w:rsidP="00007BB2">
            <w:pPr>
              <w:jc w:val="both"/>
              <w:rPr>
                <w:rFonts w:eastAsia="PMingLiU"/>
                <w:b/>
                <w:sz w:val="20"/>
                <w:szCs w:val="20"/>
                <w:lang w:eastAsia="zh-TW"/>
              </w:rPr>
            </w:pPr>
            <w:r w:rsidRPr="003A5617">
              <w:rPr>
                <w:rFonts w:eastAsia="PMingLiU"/>
                <w:b/>
                <w:sz w:val="20"/>
                <w:szCs w:val="20"/>
                <w:lang w:eastAsia="zh-TW"/>
              </w:rPr>
              <w:t>HADS-D</w:t>
            </w:r>
          </w:p>
        </w:tc>
        <w:tc>
          <w:tcPr>
            <w:tcW w:w="911" w:type="dxa"/>
            <w:tcBorders>
              <w:top w:val="single" w:sz="12" w:space="0" w:color="auto"/>
              <w:bottom w:val="single" w:sz="12" w:space="0" w:color="auto"/>
            </w:tcBorders>
          </w:tcPr>
          <w:p w:rsidR="00B75DE8" w:rsidRPr="003A5617" w:rsidRDefault="00B75DE8" w:rsidP="00007BB2">
            <w:pPr>
              <w:jc w:val="both"/>
              <w:rPr>
                <w:b/>
                <w:sz w:val="20"/>
                <w:szCs w:val="20"/>
              </w:rPr>
            </w:pPr>
            <w:r w:rsidRPr="003A5617">
              <w:rPr>
                <w:b/>
                <w:sz w:val="20"/>
                <w:szCs w:val="20"/>
              </w:rPr>
              <w:t>GBQ</w:t>
            </w:r>
          </w:p>
        </w:tc>
        <w:tc>
          <w:tcPr>
            <w:tcW w:w="911" w:type="dxa"/>
            <w:tcBorders>
              <w:top w:val="single" w:sz="12" w:space="0" w:color="auto"/>
              <w:bottom w:val="single" w:sz="12" w:space="0" w:color="auto"/>
            </w:tcBorders>
          </w:tcPr>
          <w:p w:rsidR="00B75DE8" w:rsidRPr="003A5617" w:rsidRDefault="00B75DE8" w:rsidP="00007BB2">
            <w:pPr>
              <w:jc w:val="both"/>
              <w:rPr>
                <w:rFonts w:eastAsia="PMingLiU"/>
                <w:b/>
                <w:sz w:val="20"/>
                <w:szCs w:val="20"/>
                <w:lang w:eastAsia="zh-TW"/>
              </w:rPr>
            </w:pPr>
            <w:r w:rsidRPr="003A5617">
              <w:rPr>
                <w:rFonts w:eastAsia="PMingLiU"/>
                <w:b/>
                <w:sz w:val="20"/>
                <w:szCs w:val="20"/>
                <w:lang w:eastAsia="zh-TW"/>
              </w:rPr>
              <w:t>NMG</w:t>
            </w:r>
          </w:p>
        </w:tc>
        <w:tc>
          <w:tcPr>
            <w:tcW w:w="911" w:type="dxa"/>
            <w:tcBorders>
              <w:top w:val="single" w:sz="12" w:space="0" w:color="auto"/>
              <w:bottom w:val="single" w:sz="12" w:space="0" w:color="auto"/>
            </w:tcBorders>
          </w:tcPr>
          <w:p w:rsidR="00B75DE8" w:rsidRPr="003A5617" w:rsidRDefault="00B75DE8" w:rsidP="00007BB2">
            <w:pPr>
              <w:jc w:val="both"/>
              <w:rPr>
                <w:rFonts w:eastAsia="PMingLiU"/>
                <w:b/>
                <w:sz w:val="20"/>
                <w:szCs w:val="20"/>
                <w:lang w:eastAsia="zh-TW"/>
              </w:rPr>
            </w:pPr>
            <w:r w:rsidRPr="003A5617">
              <w:rPr>
                <w:rFonts w:eastAsia="PMingLiU"/>
                <w:b/>
                <w:sz w:val="20"/>
                <w:szCs w:val="20"/>
                <w:lang w:eastAsia="zh-TW"/>
              </w:rPr>
              <w:t>PMG</w:t>
            </w:r>
          </w:p>
        </w:tc>
      </w:tr>
      <w:tr w:rsidR="00B75DE8" w:rsidRPr="003A5617" w:rsidTr="00007BB2">
        <w:trPr>
          <w:trHeight w:val="80"/>
        </w:trPr>
        <w:tc>
          <w:tcPr>
            <w:tcW w:w="1708" w:type="dxa"/>
            <w:tcBorders>
              <w:top w:val="nil"/>
              <w:left w:val="nil"/>
              <w:bottom w:val="nil"/>
              <w:right w:val="nil"/>
            </w:tcBorders>
          </w:tcPr>
          <w:p w:rsidR="00B75DE8" w:rsidRPr="004D4EE2" w:rsidRDefault="00B75DE8" w:rsidP="00007BB2">
            <w:pPr>
              <w:jc w:val="both"/>
              <w:rPr>
                <w:highlight w:val="yellow"/>
              </w:rPr>
            </w:pPr>
            <w:r w:rsidRPr="004D4EE2">
              <w:rPr>
                <w:highlight w:val="yellow"/>
              </w:rPr>
              <w:t>Gender</w:t>
            </w:r>
          </w:p>
        </w:tc>
        <w:tc>
          <w:tcPr>
            <w:tcW w:w="730" w:type="dxa"/>
            <w:tcBorders>
              <w:top w:val="nil"/>
              <w:left w:val="nil"/>
              <w:bottom w:val="nil"/>
              <w:right w:val="nil"/>
            </w:tcBorders>
          </w:tcPr>
          <w:p w:rsidR="00B75DE8" w:rsidRPr="004D4EE2" w:rsidRDefault="00B75DE8" w:rsidP="00007BB2">
            <w:pPr>
              <w:pStyle w:val="BodyText"/>
              <w:tabs>
                <w:tab w:val="left" w:pos="900"/>
                <w:tab w:val="left" w:pos="1080"/>
              </w:tabs>
              <w:spacing w:line="240" w:lineRule="auto"/>
              <w:jc w:val="both"/>
              <w:rPr>
                <w:sz w:val="24"/>
                <w:szCs w:val="24"/>
                <w:highlight w:val="yellow"/>
              </w:rPr>
            </w:pPr>
          </w:p>
        </w:tc>
        <w:tc>
          <w:tcPr>
            <w:tcW w:w="730" w:type="dxa"/>
            <w:tcBorders>
              <w:top w:val="nil"/>
              <w:left w:val="nil"/>
              <w:bottom w:val="nil"/>
              <w:right w:val="nil"/>
            </w:tcBorders>
          </w:tcPr>
          <w:p w:rsidR="00B75DE8" w:rsidRPr="004D4EE2" w:rsidRDefault="00B75DE8" w:rsidP="00007BB2">
            <w:pPr>
              <w:pStyle w:val="BodyText"/>
              <w:tabs>
                <w:tab w:val="left" w:pos="900"/>
                <w:tab w:val="left" w:pos="1080"/>
              </w:tabs>
              <w:spacing w:line="240" w:lineRule="auto"/>
              <w:jc w:val="both"/>
              <w:rPr>
                <w:sz w:val="24"/>
                <w:szCs w:val="24"/>
                <w:highlight w:val="yellow"/>
              </w:rPr>
            </w:pPr>
          </w:p>
        </w:tc>
        <w:tc>
          <w:tcPr>
            <w:tcW w:w="580" w:type="dxa"/>
            <w:tcBorders>
              <w:top w:val="nil"/>
              <w:left w:val="nil"/>
              <w:bottom w:val="nil"/>
              <w:right w:val="nil"/>
            </w:tcBorders>
          </w:tcPr>
          <w:p w:rsidR="00B75DE8" w:rsidRPr="004D4EE2" w:rsidRDefault="00B75DE8" w:rsidP="00007BB2">
            <w:pPr>
              <w:pStyle w:val="BodyText"/>
              <w:tabs>
                <w:tab w:val="left" w:pos="900"/>
                <w:tab w:val="left" w:pos="1080"/>
              </w:tabs>
              <w:spacing w:line="240" w:lineRule="auto"/>
              <w:jc w:val="both"/>
              <w:rPr>
                <w:sz w:val="24"/>
                <w:szCs w:val="24"/>
                <w:highlight w:val="yellow"/>
              </w:rPr>
            </w:pPr>
          </w:p>
        </w:tc>
        <w:tc>
          <w:tcPr>
            <w:tcW w:w="840" w:type="dxa"/>
            <w:tcBorders>
              <w:top w:val="nil"/>
              <w:left w:val="nil"/>
              <w:bottom w:val="nil"/>
              <w:right w:val="nil"/>
            </w:tcBorders>
          </w:tcPr>
          <w:p w:rsidR="00B75DE8" w:rsidRPr="004D4EE2" w:rsidRDefault="00B75DE8" w:rsidP="00007BB2">
            <w:pPr>
              <w:tabs>
                <w:tab w:val="left" w:pos="900"/>
                <w:tab w:val="left" w:pos="1080"/>
              </w:tabs>
              <w:jc w:val="both"/>
              <w:rPr>
                <w:highlight w:val="yellow"/>
              </w:rPr>
            </w:pPr>
          </w:p>
        </w:tc>
        <w:tc>
          <w:tcPr>
            <w:tcW w:w="910" w:type="dxa"/>
            <w:tcBorders>
              <w:top w:val="nil"/>
              <w:left w:val="nil"/>
              <w:bottom w:val="nil"/>
              <w:right w:val="nil"/>
            </w:tcBorders>
          </w:tcPr>
          <w:p w:rsidR="00B75DE8" w:rsidRPr="004D4EE2" w:rsidRDefault="00B75DE8" w:rsidP="00007BB2">
            <w:pPr>
              <w:pStyle w:val="BodyText"/>
              <w:tabs>
                <w:tab w:val="left" w:pos="900"/>
                <w:tab w:val="left" w:pos="1080"/>
              </w:tabs>
              <w:spacing w:line="240" w:lineRule="auto"/>
              <w:jc w:val="both"/>
              <w:rPr>
                <w:sz w:val="24"/>
                <w:szCs w:val="24"/>
                <w:highlight w:val="yellow"/>
              </w:rPr>
            </w:pPr>
            <w:r w:rsidRPr="004D4EE2">
              <w:rPr>
                <w:sz w:val="24"/>
                <w:szCs w:val="24"/>
                <w:highlight w:val="yellow"/>
              </w:rPr>
              <w:t>.17</w:t>
            </w:r>
          </w:p>
        </w:tc>
        <w:tc>
          <w:tcPr>
            <w:tcW w:w="910" w:type="dxa"/>
            <w:tcBorders>
              <w:top w:val="nil"/>
              <w:left w:val="nil"/>
              <w:bottom w:val="nil"/>
              <w:right w:val="nil"/>
            </w:tcBorders>
          </w:tcPr>
          <w:p w:rsidR="00B75DE8" w:rsidRPr="004D4EE2" w:rsidRDefault="00B75DE8" w:rsidP="00007BB2">
            <w:pPr>
              <w:pStyle w:val="BodyText"/>
              <w:tabs>
                <w:tab w:val="left" w:pos="900"/>
                <w:tab w:val="left" w:pos="1080"/>
              </w:tabs>
              <w:spacing w:line="240" w:lineRule="auto"/>
              <w:jc w:val="both"/>
              <w:rPr>
                <w:sz w:val="24"/>
                <w:szCs w:val="24"/>
                <w:highlight w:val="yellow"/>
              </w:rPr>
            </w:pPr>
            <w:r w:rsidRPr="004D4EE2">
              <w:rPr>
                <w:sz w:val="24"/>
                <w:szCs w:val="24"/>
                <w:highlight w:val="yellow"/>
              </w:rPr>
              <w:t>.07</w:t>
            </w:r>
          </w:p>
        </w:tc>
        <w:tc>
          <w:tcPr>
            <w:tcW w:w="911" w:type="dxa"/>
            <w:tcBorders>
              <w:top w:val="nil"/>
              <w:left w:val="nil"/>
              <w:bottom w:val="nil"/>
              <w:right w:val="nil"/>
            </w:tcBorders>
          </w:tcPr>
          <w:p w:rsidR="00B75DE8" w:rsidRPr="004D4EE2" w:rsidRDefault="00B75DE8" w:rsidP="00007BB2">
            <w:pPr>
              <w:pStyle w:val="BodyText"/>
              <w:tabs>
                <w:tab w:val="left" w:pos="900"/>
                <w:tab w:val="left" w:pos="1080"/>
              </w:tabs>
              <w:spacing w:line="240" w:lineRule="auto"/>
              <w:jc w:val="both"/>
              <w:rPr>
                <w:sz w:val="24"/>
                <w:szCs w:val="24"/>
                <w:highlight w:val="yellow"/>
              </w:rPr>
            </w:pPr>
            <w:r w:rsidRPr="004D4EE2">
              <w:rPr>
                <w:sz w:val="24"/>
                <w:szCs w:val="24"/>
                <w:highlight w:val="yellow"/>
              </w:rPr>
              <w:t>.22*</w:t>
            </w:r>
          </w:p>
        </w:tc>
        <w:tc>
          <w:tcPr>
            <w:tcW w:w="911" w:type="dxa"/>
            <w:tcBorders>
              <w:top w:val="nil"/>
              <w:left w:val="nil"/>
              <w:bottom w:val="nil"/>
              <w:right w:val="nil"/>
            </w:tcBorders>
          </w:tcPr>
          <w:p w:rsidR="00B75DE8" w:rsidRPr="004D4EE2" w:rsidRDefault="00B75DE8" w:rsidP="00007BB2">
            <w:pPr>
              <w:pStyle w:val="BodyText"/>
              <w:tabs>
                <w:tab w:val="left" w:pos="900"/>
                <w:tab w:val="left" w:pos="1080"/>
              </w:tabs>
              <w:spacing w:line="240" w:lineRule="auto"/>
              <w:jc w:val="both"/>
              <w:rPr>
                <w:sz w:val="24"/>
                <w:szCs w:val="24"/>
                <w:highlight w:val="yellow"/>
              </w:rPr>
            </w:pPr>
            <w:r w:rsidRPr="004D4EE2">
              <w:rPr>
                <w:sz w:val="24"/>
                <w:szCs w:val="24"/>
                <w:highlight w:val="yellow"/>
              </w:rPr>
              <w:t>-.15</w:t>
            </w:r>
          </w:p>
        </w:tc>
        <w:tc>
          <w:tcPr>
            <w:tcW w:w="911" w:type="dxa"/>
            <w:tcBorders>
              <w:top w:val="nil"/>
              <w:left w:val="nil"/>
              <w:bottom w:val="nil"/>
              <w:right w:val="nil"/>
            </w:tcBorders>
          </w:tcPr>
          <w:p w:rsidR="00B75DE8" w:rsidRPr="004D4EE2" w:rsidRDefault="00B75DE8" w:rsidP="00007BB2">
            <w:pPr>
              <w:jc w:val="both"/>
              <w:rPr>
                <w:highlight w:val="yellow"/>
              </w:rPr>
            </w:pPr>
            <w:r w:rsidRPr="004D4EE2">
              <w:rPr>
                <w:highlight w:val="yellow"/>
              </w:rPr>
              <w:t>.15</w:t>
            </w:r>
          </w:p>
        </w:tc>
        <w:tc>
          <w:tcPr>
            <w:tcW w:w="911" w:type="dxa"/>
            <w:tcBorders>
              <w:top w:val="nil"/>
              <w:left w:val="nil"/>
              <w:bottom w:val="nil"/>
              <w:right w:val="nil"/>
            </w:tcBorders>
          </w:tcPr>
          <w:p w:rsidR="00B75DE8" w:rsidRPr="004D4EE2" w:rsidRDefault="00B75DE8" w:rsidP="00007BB2">
            <w:pPr>
              <w:jc w:val="both"/>
              <w:rPr>
                <w:highlight w:val="yellow"/>
              </w:rPr>
            </w:pPr>
            <w:r w:rsidRPr="004D4EE2">
              <w:rPr>
                <w:highlight w:val="yellow"/>
              </w:rPr>
              <w:t>-.06</w:t>
            </w:r>
          </w:p>
        </w:tc>
        <w:tc>
          <w:tcPr>
            <w:tcW w:w="911" w:type="dxa"/>
            <w:tcBorders>
              <w:top w:val="nil"/>
              <w:left w:val="nil"/>
              <w:bottom w:val="nil"/>
              <w:right w:val="nil"/>
            </w:tcBorders>
          </w:tcPr>
          <w:p w:rsidR="00B75DE8" w:rsidRPr="003A5617" w:rsidRDefault="00B75DE8" w:rsidP="00007BB2">
            <w:pPr>
              <w:jc w:val="both"/>
            </w:pPr>
            <w:r w:rsidRPr="004D4EE2">
              <w:rPr>
                <w:highlight w:val="yellow"/>
              </w:rPr>
              <w:t>-.11</w:t>
            </w:r>
          </w:p>
        </w:tc>
      </w:tr>
      <w:tr w:rsidR="00B75DE8" w:rsidRPr="003A5617" w:rsidTr="00007BB2">
        <w:trPr>
          <w:trHeight w:val="80"/>
        </w:trPr>
        <w:tc>
          <w:tcPr>
            <w:tcW w:w="1708" w:type="dxa"/>
            <w:tcBorders>
              <w:top w:val="nil"/>
              <w:left w:val="nil"/>
              <w:bottom w:val="nil"/>
              <w:right w:val="nil"/>
            </w:tcBorders>
          </w:tcPr>
          <w:p w:rsidR="00B75DE8" w:rsidRPr="003A5617" w:rsidRDefault="00B75DE8" w:rsidP="00007BB2">
            <w:pPr>
              <w:jc w:val="both"/>
            </w:pPr>
            <w:r w:rsidRPr="003A5617">
              <w:t>G-SAS</w:t>
            </w:r>
          </w:p>
        </w:tc>
        <w:tc>
          <w:tcPr>
            <w:tcW w:w="730" w:type="dxa"/>
            <w:tcBorders>
              <w:top w:val="nil"/>
              <w:left w:val="nil"/>
              <w:bottom w:val="nil"/>
              <w:right w:val="nil"/>
            </w:tcBorders>
          </w:tcPr>
          <w:p w:rsidR="00B75DE8" w:rsidRPr="00970CA9" w:rsidRDefault="00B75DE8" w:rsidP="00007BB2">
            <w:pPr>
              <w:pStyle w:val="BodyText"/>
              <w:tabs>
                <w:tab w:val="left" w:pos="900"/>
                <w:tab w:val="left" w:pos="1080"/>
              </w:tabs>
              <w:spacing w:line="240" w:lineRule="auto"/>
              <w:jc w:val="both"/>
              <w:rPr>
                <w:sz w:val="24"/>
                <w:szCs w:val="24"/>
                <w:highlight w:val="yellow"/>
              </w:rPr>
            </w:pPr>
            <w:r w:rsidRPr="00970CA9">
              <w:rPr>
                <w:sz w:val="24"/>
                <w:szCs w:val="24"/>
                <w:highlight w:val="yellow"/>
              </w:rPr>
              <w:t>.91</w:t>
            </w:r>
          </w:p>
        </w:tc>
        <w:tc>
          <w:tcPr>
            <w:tcW w:w="730" w:type="dxa"/>
            <w:tcBorders>
              <w:top w:val="nil"/>
              <w:left w:val="nil"/>
              <w:bottom w:val="nil"/>
              <w:right w:val="nil"/>
            </w:tcBorders>
          </w:tcPr>
          <w:p w:rsidR="00B75DE8" w:rsidRPr="003A5617" w:rsidRDefault="00B75DE8" w:rsidP="00007BB2">
            <w:pPr>
              <w:pStyle w:val="BodyText"/>
              <w:tabs>
                <w:tab w:val="left" w:pos="900"/>
                <w:tab w:val="left" w:pos="1080"/>
              </w:tabs>
              <w:spacing w:line="240" w:lineRule="auto"/>
              <w:jc w:val="both"/>
              <w:rPr>
                <w:sz w:val="24"/>
                <w:szCs w:val="24"/>
              </w:rPr>
            </w:pPr>
            <w:r w:rsidRPr="003A5617">
              <w:rPr>
                <w:sz w:val="24"/>
                <w:szCs w:val="24"/>
              </w:rPr>
              <w:t>14.6</w:t>
            </w:r>
          </w:p>
        </w:tc>
        <w:tc>
          <w:tcPr>
            <w:tcW w:w="580" w:type="dxa"/>
            <w:tcBorders>
              <w:top w:val="nil"/>
              <w:left w:val="nil"/>
              <w:bottom w:val="nil"/>
              <w:right w:val="nil"/>
            </w:tcBorders>
          </w:tcPr>
          <w:p w:rsidR="00B75DE8" w:rsidRPr="003A5617" w:rsidRDefault="00B75DE8" w:rsidP="00007BB2">
            <w:pPr>
              <w:pStyle w:val="BodyText"/>
              <w:tabs>
                <w:tab w:val="left" w:pos="900"/>
                <w:tab w:val="left" w:pos="1080"/>
              </w:tabs>
              <w:spacing w:line="240" w:lineRule="auto"/>
              <w:jc w:val="both"/>
              <w:rPr>
                <w:sz w:val="24"/>
                <w:szCs w:val="24"/>
              </w:rPr>
            </w:pPr>
            <w:r w:rsidRPr="003A5617">
              <w:rPr>
                <w:sz w:val="24"/>
                <w:szCs w:val="24"/>
              </w:rPr>
              <w:t>11.3</w:t>
            </w:r>
          </w:p>
        </w:tc>
        <w:tc>
          <w:tcPr>
            <w:tcW w:w="840" w:type="dxa"/>
            <w:tcBorders>
              <w:top w:val="nil"/>
              <w:left w:val="nil"/>
              <w:bottom w:val="nil"/>
              <w:right w:val="nil"/>
            </w:tcBorders>
          </w:tcPr>
          <w:p w:rsidR="00B75DE8" w:rsidRPr="003A5617" w:rsidRDefault="00B75DE8" w:rsidP="00007BB2">
            <w:pPr>
              <w:tabs>
                <w:tab w:val="left" w:pos="900"/>
                <w:tab w:val="left" w:pos="1080"/>
              </w:tabs>
              <w:jc w:val="both"/>
            </w:pPr>
            <w:r w:rsidRPr="003A5617">
              <w:t>0-44</w:t>
            </w:r>
          </w:p>
        </w:tc>
        <w:tc>
          <w:tcPr>
            <w:tcW w:w="910" w:type="dxa"/>
            <w:tcBorders>
              <w:top w:val="nil"/>
              <w:left w:val="nil"/>
              <w:bottom w:val="nil"/>
              <w:right w:val="nil"/>
            </w:tcBorders>
          </w:tcPr>
          <w:p w:rsidR="00B75DE8" w:rsidRPr="003A5617" w:rsidRDefault="00B75DE8" w:rsidP="00007BB2">
            <w:pPr>
              <w:pStyle w:val="BodyText"/>
              <w:tabs>
                <w:tab w:val="left" w:pos="900"/>
                <w:tab w:val="left" w:pos="1080"/>
              </w:tabs>
              <w:spacing w:line="240" w:lineRule="auto"/>
              <w:rPr>
                <w:sz w:val="24"/>
                <w:szCs w:val="24"/>
              </w:rPr>
            </w:pPr>
            <w:r>
              <w:rPr>
                <w:sz w:val="24"/>
                <w:szCs w:val="24"/>
              </w:rPr>
              <w:t>1</w:t>
            </w:r>
          </w:p>
        </w:tc>
        <w:tc>
          <w:tcPr>
            <w:tcW w:w="910" w:type="dxa"/>
            <w:tcBorders>
              <w:top w:val="nil"/>
              <w:left w:val="nil"/>
              <w:bottom w:val="nil"/>
              <w:right w:val="nil"/>
            </w:tcBorders>
          </w:tcPr>
          <w:p w:rsidR="00B75DE8" w:rsidRPr="003A5617" w:rsidRDefault="00B75DE8" w:rsidP="00007BB2">
            <w:pPr>
              <w:pStyle w:val="BodyText"/>
              <w:tabs>
                <w:tab w:val="left" w:pos="900"/>
                <w:tab w:val="left" w:pos="1080"/>
              </w:tabs>
              <w:spacing w:line="240" w:lineRule="auto"/>
              <w:jc w:val="both"/>
              <w:rPr>
                <w:sz w:val="24"/>
                <w:szCs w:val="24"/>
              </w:rPr>
            </w:pPr>
            <w:r w:rsidRPr="003A5617">
              <w:rPr>
                <w:sz w:val="24"/>
                <w:szCs w:val="24"/>
              </w:rPr>
              <w:t>.18</w:t>
            </w:r>
          </w:p>
        </w:tc>
        <w:tc>
          <w:tcPr>
            <w:tcW w:w="911" w:type="dxa"/>
            <w:tcBorders>
              <w:top w:val="nil"/>
              <w:left w:val="nil"/>
              <w:bottom w:val="nil"/>
              <w:right w:val="nil"/>
            </w:tcBorders>
          </w:tcPr>
          <w:p w:rsidR="00B75DE8" w:rsidRPr="003A5617" w:rsidRDefault="00B75DE8" w:rsidP="00007BB2">
            <w:pPr>
              <w:pStyle w:val="BodyText"/>
              <w:tabs>
                <w:tab w:val="left" w:pos="900"/>
                <w:tab w:val="left" w:pos="1080"/>
              </w:tabs>
              <w:spacing w:line="240" w:lineRule="auto"/>
              <w:jc w:val="both"/>
              <w:rPr>
                <w:sz w:val="24"/>
                <w:szCs w:val="24"/>
              </w:rPr>
            </w:pPr>
            <w:r w:rsidRPr="003A5617">
              <w:rPr>
                <w:sz w:val="24"/>
                <w:szCs w:val="24"/>
              </w:rPr>
              <w:t>.49**</w:t>
            </w:r>
          </w:p>
        </w:tc>
        <w:tc>
          <w:tcPr>
            <w:tcW w:w="911" w:type="dxa"/>
            <w:tcBorders>
              <w:top w:val="nil"/>
              <w:left w:val="nil"/>
              <w:bottom w:val="nil"/>
              <w:right w:val="nil"/>
            </w:tcBorders>
          </w:tcPr>
          <w:p w:rsidR="00B75DE8" w:rsidRPr="003A5617" w:rsidRDefault="00B75DE8" w:rsidP="00007BB2">
            <w:pPr>
              <w:pStyle w:val="BodyText"/>
              <w:tabs>
                <w:tab w:val="left" w:pos="900"/>
                <w:tab w:val="left" w:pos="1080"/>
              </w:tabs>
              <w:spacing w:line="240" w:lineRule="auto"/>
              <w:jc w:val="both"/>
              <w:rPr>
                <w:sz w:val="24"/>
                <w:szCs w:val="24"/>
              </w:rPr>
            </w:pPr>
            <w:r w:rsidRPr="003A5617">
              <w:rPr>
                <w:sz w:val="24"/>
                <w:szCs w:val="24"/>
              </w:rPr>
              <w:t>.47**</w:t>
            </w:r>
          </w:p>
        </w:tc>
        <w:tc>
          <w:tcPr>
            <w:tcW w:w="911" w:type="dxa"/>
            <w:tcBorders>
              <w:top w:val="nil"/>
              <w:left w:val="nil"/>
              <w:bottom w:val="nil"/>
              <w:right w:val="nil"/>
            </w:tcBorders>
          </w:tcPr>
          <w:p w:rsidR="00B75DE8" w:rsidRPr="003A5617" w:rsidRDefault="00B75DE8" w:rsidP="00007BB2">
            <w:pPr>
              <w:jc w:val="both"/>
            </w:pPr>
            <w:r w:rsidRPr="003A5617">
              <w:t>.24*</w:t>
            </w:r>
          </w:p>
        </w:tc>
        <w:tc>
          <w:tcPr>
            <w:tcW w:w="911" w:type="dxa"/>
            <w:tcBorders>
              <w:top w:val="nil"/>
              <w:left w:val="nil"/>
              <w:bottom w:val="nil"/>
              <w:right w:val="nil"/>
            </w:tcBorders>
          </w:tcPr>
          <w:p w:rsidR="00B75DE8" w:rsidRPr="003A5617" w:rsidRDefault="00B75DE8" w:rsidP="00007BB2">
            <w:pPr>
              <w:jc w:val="both"/>
            </w:pPr>
            <w:r w:rsidRPr="003A5617">
              <w:t>.37**</w:t>
            </w:r>
          </w:p>
        </w:tc>
        <w:tc>
          <w:tcPr>
            <w:tcW w:w="911" w:type="dxa"/>
            <w:tcBorders>
              <w:top w:val="nil"/>
              <w:left w:val="nil"/>
              <w:bottom w:val="nil"/>
              <w:right w:val="nil"/>
            </w:tcBorders>
          </w:tcPr>
          <w:p w:rsidR="00B75DE8" w:rsidRPr="003A5617" w:rsidRDefault="00B75DE8" w:rsidP="00007BB2">
            <w:pPr>
              <w:jc w:val="both"/>
            </w:pPr>
            <w:r w:rsidRPr="003A5617">
              <w:t>.25**</w:t>
            </w:r>
          </w:p>
        </w:tc>
      </w:tr>
      <w:tr w:rsidR="00B75DE8" w:rsidRPr="003A5617" w:rsidTr="00007BB2">
        <w:trPr>
          <w:trHeight w:val="70"/>
        </w:trPr>
        <w:tc>
          <w:tcPr>
            <w:tcW w:w="1708" w:type="dxa"/>
          </w:tcPr>
          <w:p w:rsidR="00B75DE8" w:rsidRPr="003A5617" w:rsidRDefault="00B75DE8" w:rsidP="00007BB2">
            <w:pPr>
              <w:jc w:val="both"/>
              <w:rPr>
                <w:bCs/>
              </w:rPr>
            </w:pPr>
            <w:r w:rsidRPr="003A5617">
              <w:t>SOGS</w:t>
            </w:r>
          </w:p>
        </w:tc>
        <w:tc>
          <w:tcPr>
            <w:tcW w:w="730" w:type="dxa"/>
          </w:tcPr>
          <w:p w:rsidR="00B75DE8" w:rsidRPr="00970CA9" w:rsidRDefault="00B75DE8" w:rsidP="00007BB2">
            <w:pPr>
              <w:pStyle w:val="BodyText"/>
              <w:tabs>
                <w:tab w:val="left" w:pos="900"/>
                <w:tab w:val="left" w:pos="1080"/>
              </w:tabs>
              <w:spacing w:line="240" w:lineRule="auto"/>
              <w:jc w:val="both"/>
              <w:rPr>
                <w:sz w:val="24"/>
                <w:szCs w:val="24"/>
                <w:highlight w:val="yellow"/>
              </w:rPr>
            </w:pPr>
            <w:r w:rsidRPr="00970CA9">
              <w:rPr>
                <w:sz w:val="24"/>
                <w:szCs w:val="24"/>
                <w:highlight w:val="yellow"/>
              </w:rPr>
              <w:t>.75</w:t>
            </w:r>
          </w:p>
        </w:tc>
        <w:tc>
          <w:tcPr>
            <w:tcW w:w="730" w:type="dxa"/>
            <w:tcBorders>
              <w:left w:val="nil"/>
              <w:right w:val="nil"/>
            </w:tcBorders>
          </w:tcPr>
          <w:p w:rsidR="00B75DE8" w:rsidRPr="003A5617" w:rsidRDefault="00B75DE8" w:rsidP="00007BB2">
            <w:pPr>
              <w:pStyle w:val="BodyText"/>
              <w:tabs>
                <w:tab w:val="left" w:pos="900"/>
                <w:tab w:val="left" w:pos="1080"/>
              </w:tabs>
              <w:spacing w:line="240" w:lineRule="auto"/>
              <w:jc w:val="both"/>
              <w:rPr>
                <w:sz w:val="24"/>
                <w:szCs w:val="24"/>
              </w:rPr>
            </w:pPr>
            <w:r w:rsidRPr="003A5617">
              <w:rPr>
                <w:sz w:val="24"/>
                <w:szCs w:val="24"/>
              </w:rPr>
              <w:t>12.0</w:t>
            </w:r>
          </w:p>
        </w:tc>
        <w:tc>
          <w:tcPr>
            <w:tcW w:w="580" w:type="dxa"/>
            <w:tcBorders>
              <w:left w:val="nil"/>
              <w:right w:val="nil"/>
            </w:tcBorders>
          </w:tcPr>
          <w:p w:rsidR="00B75DE8" w:rsidRPr="003A5617" w:rsidRDefault="00B75DE8" w:rsidP="00007BB2">
            <w:pPr>
              <w:pStyle w:val="BodyText"/>
              <w:tabs>
                <w:tab w:val="left" w:pos="900"/>
                <w:tab w:val="left" w:pos="1080"/>
              </w:tabs>
              <w:spacing w:line="240" w:lineRule="auto"/>
              <w:jc w:val="both"/>
              <w:rPr>
                <w:sz w:val="24"/>
                <w:szCs w:val="24"/>
              </w:rPr>
            </w:pPr>
            <w:r w:rsidRPr="003A5617">
              <w:rPr>
                <w:sz w:val="24"/>
                <w:szCs w:val="24"/>
              </w:rPr>
              <w:t>3.6</w:t>
            </w:r>
          </w:p>
        </w:tc>
        <w:tc>
          <w:tcPr>
            <w:tcW w:w="840" w:type="dxa"/>
            <w:tcBorders>
              <w:left w:val="nil"/>
              <w:right w:val="nil"/>
            </w:tcBorders>
          </w:tcPr>
          <w:p w:rsidR="00B75DE8" w:rsidRPr="003A5617" w:rsidRDefault="00B75DE8" w:rsidP="00007BB2">
            <w:pPr>
              <w:pStyle w:val="BodyText"/>
              <w:tabs>
                <w:tab w:val="left" w:pos="900"/>
                <w:tab w:val="left" w:pos="1080"/>
              </w:tabs>
              <w:spacing w:line="240" w:lineRule="auto"/>
              <w:jc w:val="both"/>
              <w:rPr>
                <w:sz w:val="24"/>
                <w:szCs w:val="24"/>
              </w:rPr>
            </w:pPr>
            <w:r w:rsidRPr="003A5617">
              <w:rPr>
                <w:sz w:val="24"/>
                <w:szCs w:val="24"/>
              </w:rPr>
              <w:t>4-28</w:t>
            </w:r>
          </w:p>
        </w:tc>
        <w:tc>
          <w:tcPr>
            <w:tcW w:w="910" w:type="dxa"/>
          </w:tcPr>
          <w:p w:rsidR="00B75DE8" w:rsidRPr="003A5617" w:rsidRDefault="00B75DE8" w:rsidP="00007BB2">
            <w:r>
              <w:t>-</w:t>
            </w:r>
          </w:p>
        </w:tc>
        <w:tc>
          <w:tcPr>
            <w:tcW w:w="910" w:type="dxa"/>
          </w:tcPr>
          <w:p w:rsidR="00B75DE8" w:rsidRPr="003A5617" w:rsidRDefault="00B75DE8" w:rsidP="00007BB2">
            <w:r w:rsidRPr="003A5617">
              <w:t>1</w:t>
            </w:r>
          </w:p>
        </w:tc>
        <w:tc>
          <w:tcPr>
            <w:tcW w:w="911" w:type="dxa"/>
          </w:tcPr>
          <w:p w:rsidR="00B75DE8" w:rsidRPr="003A5617" w:rsidRDefault="00B75DE8" w:rsidP="00007BB2">
            <w:pPr>
              <w:jc w:val="both"/>
            </w:pPr>
            <w:r w:rsidRPr="003A5617">
              <w:t>.13</w:t>
            </w:r>
          </w:p>
        </w:tc>
        <w:tc>
          <w:tcPr>
            <w:tcW w:w="911" w:type="dxa"/>
          </w:tcPr>
          <w:p w:rsidR="00B75DE8" w:rsidRPr="003A5617" w:rsidRDefault="00B75DE8" w:rsidP="00007BB2">
            <w:pPr>
              <w:jc w:val="both"/>
            </w:pPr>
            <w:r w:rsidRPr="003A5617">
              <w:t>.19*</w:t>
            </w:r>
          </w:p>
        </w:tc>
        <w:tc>
          <w:tcPr>
            <w:tcW w:w="911" w:type="dxa"/>
          </w:tcPr>
          <w:p w:rsidR="00B75DE8" w:rsidRPr="003A5617" w:rsidRDefault="00B75DE8" w:rsidP="00007BB2">
            <w:pPr>
              <w:pStyle w:val="Header"/>
              <w:tabs>
                <w:tab w:val="left" w:pos="900"/>
                <w:tab w:val="left" w:pos="1080"/>
              </w:tabs>
              <w:jc w:val="both"/>
            </w:pPr>
            <w:r w:rsidRPr="003A5617">
              <w:t>.33**</w:t>
            </w:r>
          </w:p>
        </w:tc>
        <w:tc>
          <w:tcPr>
            <w:tcW w:w="911" w:type="dxa"/>
          </w:tcPr>
          <w:p w:rsidR="00B75DE8" w:rsidRPr="003A5617" w:rsidRDefault="00B75DE8" w:rsidP="00007BB2">
            <w:pPr>
              <w:pStyle w:val="Header"/>
              <w:tabs>
                <w:tab w:val="left" w:pos="900"/>
                <w:tab w:val="left" w:pos="1080"/>
              </w:tabs>
              <w:jc w:val="both"/>
            </w:pPr>
            <w:r w:rsidRPr="003A5617">
              <w:t>.36**</w:t>
            </w:r>
          </w:p>
        </w:tc>
        <w:tc>
          <w:tcPr>
            <w:tcW w:w="911" w:type="dxa"/>
          </w:tcPr>
          <w:p w:rsidR="00B75DE8" w:rsidRPr="003A5617" w:rsidRDefault="00B75DE8" w:rsidP="00007BB2">
            <w:pPr>
              <w:pStyle w:val="Header"/>
              <w:tabs>
                <w:tab w:val="left" w:pos="900"/>
                <w:tab w:val="left" w:pos="1080"/>
              </w:tabs>
              <w:jc w:val="both"/>
            </w:pPr>
            <w:r w:rsidRPr="003A5617">
              <w:t>.22**</w:t>
            </w:r>
          </w:p>
        </w:tc>
      </w:tr>
      <w:tr w:rsidR="00B75DE8" w:rsidRPr="003A5617" w:rsidTr="00007BB2">
        <w:trPr>
          <w:trHeight w:val="80"/>
        </w:trPr>
        <w:tc>
          <w:tcPr>
            <w:tcW w:w="1708" w:type="dxa"/>
            <w:tcBorders>
              <w:top w:val="nil"/>
              <w:left w:val="nil"/>
              <w:bottom w:val="nil"/>
              <w:right w:val="nil"/>
            </w:tcBorders>
          </w:tcPr>
          <w:p w:rsidR="00B75DE8" w:rsidRPr="003A5617" w:rsidRDefault="00B75DE8" w:rsidP="00007BB2">
            <w:pPr>
              <w:jc w:val="both"/>
            </w:pPr>
            <w:r w:rsidRPr="003A5617">
              <w:t>HADS-A</w:t>
            </w:r>
          </w:p>
        </w:tc>
        <w:tc>
          <w:tcPr>
            <w:tcW w:w="730" w:type="dxa"/>
            <w:tcBorders>
              <w:top w:val="nil"/>
              <w:left w:val="nil"/>
              <w:bottom w:val="nil"/>
              <w:right w:val="nil"/>
            </w:tcBorders>
          </w:tcPr>
          <w:p w:rsidR="00B75DE8" w:rsidRPr="00970CA9" w:rsidRDefault="00B75DE8" w:rsidP="00007BB2">
            <w:pPr>
              <w:pStyle w:val="BodyText"/>
              <w:tabs>
                <w:tab w:val="left" w:pos="900"/>
                <w:tab w:val="left" w:pos="1080"/>
              </w:tabs>
              <w:spacing w:line="240" w:lineRule="auto"/>
              <w:jc w:val="both"/>
              <w:rPr>
                <w:sz w:val="24"/>
                <w:szCs w:val="24"/>
                <w:highlight w:val="yellow"/>
              </w:rPr>
            </w:pPr>
            <w:r w:rsidRPr="00970CA9">
              <w:rPr>
                <w:sz w:val="24"/>
                <w:szCs w:val="24"/>
                <w:highlight w:val="yellow"/>
              </w:rPr>
              <w:t>.83</w:t>
            </w:r>
          </w:p>
        </w:tc>
        <w:tc>
          <w:tcPr>
            <w:tcW w:w="730" w:type="dxa"/>
            <w:tcBorders>
              <w:top w:val="nil"/>
              <w:left w:val="nil"/>
              <w:bottom w:val="nil"/>
              <w:right w:val="nil"/>
            </w:tcBorders>
          </w:tcPr>
          <w:p w:rsidR="00B75DE8" w:rsidRPr="003A5617" w:rsidRDefault="00B75DE8" w:rsidP="00007BB2">
            <w:pPr>
              <w:pStyle w:val="BodyText"/>
              <w:tabs>
                <w:tab w:val="left" w:pos="900"/>
                <w:tab w:val="left" w:pos="1080"/>
              </w:tabs>
              <w:spacing w:line="240" w:lineRule="auto"/>
              <w:jc w:val="both"/>
              <w:rPr>
                <w:sz w:val="24"/>
                <w:szCs w:val="24"/>
              </w:rPr>
            </w:pPr>
            <w:r w:rsidRPr="003A5617">
              <w:rPr>
                <w:sz w:val="24"/>
                <w:szCs w:val="24"/>
              </w:rPr>
              <w:t>13.0</w:t>
            </w:r>
          </w:p>
        </w:tc>
        <w:tc>
          <w:tcPr>
            <w:tcW w:w="580" w:type="dxa"/>
            <w:tcBorders>
              <w:top w:val="nil"/>
              <w:left w:val="nil"/>
              <w:bottom w:val="nil"/>
              <w:right w:val="nil"/>
            </w:tcBorders>
          </w:tcPr>
          <w:p w:rsidR="00B75DE8" w:rsidRPr="003A5617" w:rsidRDefault="00B75DE8" w:rsidP="00007BB2">
            <w:pPr>
              <w:pStyle w:val="BodyText"/>
              <w:tabs>
                <w:tab w:val="left" w:pos="900"/>
                <w:tab w:val="left" w:pos="1080"/>
              </w:tabs>
              <w:spacing w:line="240" w:lineRule="auto"/>
              <w:jc w:val="both"/>
              <w:rPr>
                <w:sz w:val="24"/>
                <w:szCs w:val="24"/>
              </w:rPr>
            </w:pPr>
            <w:r w:rsidRPr="003A5617">
              <w:rPr>
                <w:sz w:val="24"/>
                <w:szCs w:val="24"/>
              </w:rPr>
              <w:t>5.3</w:t>
            </w:r>
          </w:p>
        </w:tc>
        <w:tc>
          <w:tcPr>
            <w:tcW w:w="840" w:type="dxa"/>
            <w:tcBorders>
              <w:top w:val="nil"/>
              <w:left w:val="nil"/>
              <w:bottom w:val="nil"/>
              <w:right w:val="nil"/>
            </w:tcBorders>
          </w:tcPr>
          <w:p w:rsidR="00B75DE8" w:rsidRPr="003A5617" w:rsidRDefault="00B75DE8" w:rsidP="00007BB2">
            <w:pPr>
              <w:tabs>
                <w:tab w:val="left" w:pos="900"/>
                <w:tab w:val="left" w:pos="1080"/>
              </w:tabs>
              <w:jc w:val="both"/>
            </w:pPr>
            <w:r w:rsidRPr="003A5617">
              <w:t>0-21</w:t>
            </w:r>
          </w:p>
        </w:tc>
        <w:tc>
          <w:tcPr>
            <w:tcW w:w="910" w:type="dxa"/>
            <w:tcBorders>
              <w:top w:val="nil"/>
              <w:left w:val="nil"/>
              <w:bottom w:val="nil"/>
              <w:right w:val="nil"/>
            </w:tcBorders>
          </w:tcPr>
          <w:p w:rsidR="00B75DE8" w:rsidRPr="003A5617" w:rsidRDefault="00B75DE8" w:rsidP="00007BB2">
            <w:pPr>
              <w:pStyle w:val="BodyText"/>
              <w:tabs>
                <w:tab w:val="left" w:pos="900"/>
                <w:tab w:val="left" w:pos="1080"/>
              </w:tabs>
              <w:spacing w:line="240" w:lineRule="auto"/>
              <w:rPr>
                <w:sz w:val="24"/>
                <w:szCs w:val="24"/>
              </w:rPr>
            </w:pPr>
            <w:r>
              <w:rPr>
                <w:sz w:val="24"/>
                <w:szCs w:val="24"/>
              </w:rPr>
              <w:t>-</w:t>
            </w:r>
          </w:p>
        </w:tc>
        <w:tc>
          <w:tcPr>
            <w:tcW w:w="910" w:type="dxa"/>
            <w:tcBorders>
              <w:top w:val="nil"/>
              <w:left w:val="nil"/>
              <w:bottom w:val="nil"/>
              <w:right w:val="nil"/>
            </w:tcBorders>
          </w:tcPr>
          <w:p w:rsidR="00B75DE8" w:rsidRPr="003A5617" w:rsidRDefault="00B75DE8" w:rsidP="00007BB2">
            <w:pPr>
              <w:pStyle w:val="BodyText"/>
              <w:tabs>
                <w:tab w:val="left" w:pos="900"/>
                <w:tab w:val="left" w:pos="1080"/>
              </w:tabs>
              <w:spacing w:line="240" w:lineRule="auto"/>
              <w:jc w:val="both"/>
              <w:rPr>
                <w:sz w:val="24"/>
                <w:szCs w:val="24"/>
              </w:rPr>
            </w:pPr>
            <w:r w:rsidRPr="003A5617">
              <w:rPr>
                <w:sz w:val="24"/>
                <w:szCs w:val="24"/>
              </w:rPr>
              <w:t>-</w:t>
            </w:r>
          </w:p>
        </w:tc>
        <w:tc>
          <w:tcPr>
            <w:tcW w:w="911" w:type="dxa"/>
            <w:tcBorders>
              <w:top w:val="nil"/>
              <w:left w:val="nil"/>
              <w:bottom w:val="nil"/>
              <w:right w:val="nil"/>
            </w:tcBorders>
          </w:tcPr>
          <w:p w:rsidR="00B75DE8" w:rsidRPr="003A5617" w:rsidRDefault="00B75DE8" w:rsidP="00007BB2">
            <w:pPr>
              <w:pStyle w:val="BodyText"/>
              <w:tabs>
                <w:tab w:val="left" w:pos="900"/>
                <w:tab w:val="left" w:pos="1080"/>
              </w:tabs>
              <w:spacing w:line="240" w:lineRule="auto"/>
              <w:jc w:val="both"/>
              <w:rPr>
                <w:sz w:val="24"/>
                <w:szCs w:val="24"/>
              </w:rPr>
            </w:pPr>
            <w:r w:rsidRPr="003A5617">
              <w:rPr>
                <w:sz w:val="24"/>
                <w:szCs w:val="24"/>
              </w:rPr>
              <w:t>1</w:t>
            </w:r>
          </w:p>
        </w:tc>
        <w:tc>
          <w:tcPr>
            <w:tcW w:w="911" w:type="dxa"/>
            <w:tcBorders>
              <w:top w:val="nil"/>
              <w:left w:val="nil"/>
              <w:bottom w:val="nil"/>
              <w:right w:val="nil"/>
            </w:tcBorders>
          </w:tcPr>
          <w:p w:rsidR="00B75DE8" w:rsidRPr="003A5617" w:rsidRDefault="00B75DE8" w:rsidP="00007BB2">
            <w:pPr>
              <w:pStyle w:val="BodyText"/>
              <w:tabs>
                <w:tab w:val="left" w:pos="900"/>
                <w:tab w:val="left" w:pos="1080"/>
              </w:tabs>
              <w:spacing w:line="240" w:lineRule="auto"/>
              <w:jc w:val="both"/>
              <w:rPr>
                <w:sz w:val="24"/>
                <w:szCs w:val="24"/>
              </w:rPr>
            </w:pPr>
            <w:r w:rsidRPr="003A5617">
              <w:rPr>
                <w:sz w:val="24"/>
                <w:szCs w:val="24"/>
              </w:rPr>
              <w:t>.70**</w:t>
            </w:r>
          </w:p>
        </w:tc>
        <w:tc>
          <w:tcPr>
            <w:tcW w:w="911" w:type="dxa"/>
            <w:tcBorders>
              <w:top w:val="nil"/>
              <w:left w:val="nil"/>
              <w:bottom w:val="nil"/>
              <w:right w:val="nil"/>
            </w:tcBorders>
          </w:tcPr>
          <w:p w:rsidR="00B75DE8" w:rsidRPr="003A5617" w:rsidRDefault="00B75DE8" w:rsidP="00007BB2">
            <w:pPr>
              <w:jc w:val="both"/>
            </w:pPr>
            <w:r w:rsidRPr="003A5617">
              <w:t>.26**</w:t>
            </w:r>
          </w:p>
        </w:tc>
        <w:tc>
          <w:tcPr>
            <w:tcW w:w="911" w:type="dxa"/>
            <w:tcBorders>
              <w:top w:val="nil"/>
              <w:left w:val="nil"/>
              <w:bottom w:val="nil"/>
              <w:right w:val="nil"/>
            </w:tcBorders>
          </w:tcPr>
          <w:p w:rsidR="00B75DE8" w:rsidRPr="003A5617" w:rsidRDefault="00B75DE8" w:rsidP="00007BB2">
            <w:pPr>
              <w:jc w:val="both"/>
            </w:pPr>
            <w:r w:rsidRPr="003A5617">
              <w:t>.23*</w:t>
            </w:r>
          </w:p>
        </w:tc>
        <w:tc>
          <w:tcPr>
            <w:tcW w:w="911" w:type="dxa"/>
            <w:tcBorders>
              <w:top w:val="nil"/>
              <w:left w:val="nil"/>
              <w:bottom w:val="nil"/>
              <w:right w:val="nil"/>
            </w:tcBorders>
          </w:tcPr>
          <w:p w:rsidR="00B75DE8" w:rsidRPr="003A5617" w:rsidRDefault="00B75DE8" w:rsidP="00007BB2">
            <w:pPr>
              <w:jc w:val="both"/>
            </w:pPr>
            <w:r w:rsidRPr="003A5617">
              <w:t>.20*</w:t>
            </w:r>
          </w:p>
        </w:tc>
      </w:tr>
      <w:tr w:rsidR="00B75DE8" w:rsidRPr="003A5617" w:rsidTr="00007BB2">
        <w:trPr>
          <w:trHeight w:val="80"/>
        </w:trPr>
        <w:tc>
          <w:tcPr>
            <w:tcW w:w="1708" w:type="dxa"/>
            <w:tcBorders>
              <w:top w:val="nil"/>
              <w:left w:val="nil"/>
              <w:bottom w:val="nil"/>
              <w:right w:val="nil"/>
            </w:tcBorders>
          </w:tcPr>
          <w:p w:rsidR="00B75DE8" w:rsidRPr="003A5617" w:rsidRDefault="00B75DE8" w:rsidP="00007BB2">
            <w:pPr>
              <w:jc w:val="both"/>
            </w:pPr>
            <w:r w:rsidRPr="003A5617">
              <w:t>HADS-D</w:t>
            </w:r>
          </w:p>
        </w:tc>
        <w:tc>
          <w:tcPr>
            <w:tcW w:w="730" w:type="dxa"/>
            <w:tcBorders>
              <w:top w:val="nil"/>
              <w:left w:val="nil"/>
              <w:bottom w:val="nil"/>
              <w:right w:val="nil"/>
            </w:tcBorders>
          </w:tcPr>
          <w:p w:rsidR="00B75DE8" w:rsidRPr="00970CA9" w:rsidRDefault="00B75DE8" w:rsidP="00007BB2">
            <w:pPr>
              <w:pStyle w:val="BodyText"/>
              <w:tabs>
                <w:tab w:val="left" w:pos="900"/>
                <w:tab w:val="left" w:pos="1080"/>
              </w:tabs>
              <w:spacing w:line="240" w:lineRule="auto"/>
              <w:jc w:val="both"/>
              <w:rPr>
                <w:sz w:val="24"/>
                <w:szCs w:val="24"/>
                <w:highlight w:val="yellow"/>
              </w:rPr>
            </w:pPr>
            <w:r w:rsidRPr="00970CA9">
              <w:rPr>
                <w:sz w:val="24"/>
                <w:szCs w:val="24"/>
                <w:highlight w:val="yellow"/>
              </w:rPr>
              <w:t>.85</w:t>
            </w:r>
          </w:p>
        </w:tc>
        <w:tc>
          <w:tcPr>
            <w:tcW w:w="730" w:type="dxa"/>
            <w:tcBorders>
              <w:top w:val="nil"/>
              <w:left w:val="nil"/>
              <w:bottom w:val="nil"/>
              <w:right w:val="nil"/>
            </w:tcBorders>
          </w:tcPr>
          <w:p w:rsidR="00B75DE8" w:rsidRPr="003A5617" w:rsidRDefault="00B75DE8" w:rsidP="00007BB2">
            <w:pPr>
              <w:pStyle w:val="BodyText"/>
              <w:tabs>
                <w:tab w:val="left" w:pos="900"/>
                <w:tab w:val="left" w:pos="1080"/>
              </w:tabs>
              <w:spacing w:line="240" w:lineRule="auto"/>
              <w:jc w:val="both"/>
              <w:rPr>
                <w:sz w:val="24"/>
                <w:szCs w:val="24"/>
              </w:rPr>
            </w:pPr>
            <w:r w:rsidRPr="003A5617">
              <w:rPr>
                <w:sz w:val="24"/>
                <w:szCs w:val="24"/>
              </w:rPr>
              <w:t>7.6</w:t>
            </w:r>
          </w:p>
        </w:tc>
        <w:tc>
          <w:tcPr>
            <w:tcW w:w="580" w:type="dxa"/>
            <w:tcBorders>
              <w:top w:val="nil"/>
              <w:left w:val="nil"/>
              <w:bottom w:val="nil"/>
              <w:right w:val="nil"/>
            </w:tcBorders>
          </w:tcPr>
          <w:p w:rsidR="00B75DE8" w:rsidRPr="003A5617" w:rsidRDefault="00B75DE8" w:rsidP="00007BB2">
            <w:pPr>
              <w:pStyle w:val="BodyText"/>
              <w:tabs>
                <w:tab w:val="left" w:pos="900"/>
                <w:tab w:val="left" w:pos="1080"/>
              </w:tabs>
              <w:spacing w:line="240" w:lineRule="auto"/>
              <w:jc w:val="both"/>
              <w:rPr>
                <w:sz w:val="24"/>
                <w:szCs w:val="24"/>
              </w:rPr>
            </w:pPr>
            <w:r w:rsidRPr="003A5617">
              <w:rPr>
                <w:sz w:val="24"/>
                <w:szCs w:val="24"/>
              </w:rPr>
              <w:t>4.3</w:t>
            </w:r>
          </w:p>
        </w:tc>
        <w:tc>
          <w:tcPr>
            <w:tcW w:w="840" w:type="dxa"/>
            <w:tcBorders>
              <w:top w:val="nil"/>
              <w:left w:val="nil"/>
              <w:bottom w:val="nil"/>
              <w:right w:val="nil"/>
            </w:tcBorders>
          </w:tcPr>
          <w:p w:rsidR="00B75DE8" w:rsidRPr="003A5617" w:rsidRDefault="00B75DE8" w:rsidP="00007BB2">
            <w:pPr>
              <w:tabs>
                <w:tab w:val="left" w:pos="900"/>
                <w:tab w:val="left" w:pos="1080"/>
              </w:tabs>
              <w:jc w:val="both"/>
            </w:pPr>
            <w:r w:rsidRPr="003A5617">
              <w:t>0-18</w:t>
            </w:r>
          </w:p>
        </w:tc>
        <w:tc>
          <w:tcPr>
            <w:tcW w:w="910" w:type="dxa"/>
            <w:tcBorders>
              <w:top w:val="nil"/>
              <w:left w:val="nil"/>
              <w:bottom w:val="nil"/>
              <w:right w:val="nil"/>
            </w:tcBorders>
          </w:tcPr>
          <w:p w:rsidR="00B75DE8" w:rsidRPr="003A5617" w:rsidRDefault="00B75DE8" w:rsidP="00007BB2">
            <w:pPr>
              <w:pStyle w:val="BodyText"/>
              <w:tabs>
                <w:tab w:val="left" w:pos="900"/>
                <w:tab w:val="left" w:pos="1080"/>
              </w:tabs>
              <w:spacing w:line="240" w:lineRule="auto"/>
              <w:rPr>
                <w:sz w:val="24"/>
                <w:szCs w:val="24"/>
              </w:rPr>
            </w:pPr>
            <w:r>
              <w:rPr>
                <w:sz w:val="24"/>
                <w:szCs w:val="24"/>
              </w:rPr>
              <w:t>-</w:t>
            </w:r>
          </w:p>
        </w:tc>
        <w:tc>
          <w:tcPr>
            <w:tcW w:w="910" w:type="dxa"/>
            <w:tcBorders>
              <w:top w:val="nil"/>
              <w:left w:val="nil"/>
              <w:bottom w:val="nil"/>
              <w:right w:val="nil"/>
            </w:tcBorders>
          </w:tcPr>
          <w:p w:rsidR="00B75DE8" w:rsidRPr="003A5617" w:rsidRDefault="00B75DE8" w:rsidP="00007BB2">
            <w:pPr>
              <w:pStyle w:val="BodyText"/>
              <w:tabs>
                <w:tab w:val="left" w:pos="900"/>
                <w:tab w:val="left" w:pos="1080"/>
              </w:tabs>
              <w:spacing w:line="240" w:lineRule="auto"/>
              <w:jc w:val="both"/>
              <w:rPr>
                <w:sz w:val="24"/>
                <w:szCs w:val="24"/>
              </w:rPr>
            </w:pPr>
            <w:r w:rsidRPr="003A5617">
              <w:rPr>
                <w:sz w:val="24"/>
                <w:szCs w:val="24"/>
              </w:rPr>
              <w:t>-</w:t>
            </w:r>
          </w:p>
        </w:tc>
        <w:tc>
          <w:tcPr>
            <w:tcW w:w="911" w:type="dxa"/>
            <w:tcBorders>
              <w:top w:val="nil"/>
              <w:left w:val="nil"/>
              <w:bottom w:val="nil"/>
              <w:right w:val="nil"/>
            </w:tcBorders>
          </w:tcPr>
          <w:p w:rsidR="00B75DE8" w:rsidRPr="003A5617" w:rsidRDefault="00B75DE8" w:rsidP="00007BB2">
            <w:pPr>
              <w:pStyle w:val="BodyText"/>
              <w:tabs>
                <w:tab w:val="left" w:pos="900"/>
                <w:tab w:val="left" w:pos="1080"/>
              </w:tabs>
              <w:spacing w:line="240" w:lineRule="auto"/>
              <w:jc w:val="both"/>
              <w:rPr>
                <w:sz w:val="24"/>
                <w:szCs w:val="24"/>
              </w:rPr>
            </w:pPr>
            <w:r w:rsidRPr="003A5617">
              <w:rPr>
                <w:sz w:val="24"/>
                <w:szCs w:val="24"/>
              </w:rPr>
              <w:t>-</w:t>
            </w:r>
          </w:p>
        </w:tc>
        <w:tc>
          <w:tcPr>
            <w:tcW w:w="911" w:type="dxa"/>
            <w:tcBorders>
              <w:top w:val="nil"/>
              <w:left w:val="nil"/>
              <w:bottom w:val="nil"/>
              <w:right w:val="nil"/>
            </w:tcBorders>
          </w:tcPr>
          <w:p w:rsidR="00B75DE8" w:rsidRPr="003A5617" w:rsidRDefault="00B75DE8" w:rsidP="00007BB2">
            <w:pPr>
              <w:pStyle w:val="BodyText"/>
              <w:tabs>
                <w:tab w:val="left" w:pos="900"/>
                <w:tab w:val="left" w:pos="1080"/>
              </w:tabs>
              <w:spacing w:line="240" w:lineRule="auto"/>
              <w:jc w:val="both"/>
              <w:rPr>
                <w:sz w:val="24"/>
                <w:szCs w:val="24"/>
              </w:rPr>
            </w:pPr>
            <w:r w:rsidRPr="003A5617">
              <w:rPr>
                <w:sz w:val="24"/>
                <w:szCs w:val="24"/>
              </w:rPr>
              <w:t>1</w:t>
            </w:r>
          </w:p>
        </w:tc>
        <w:tc>
          <w:tcPr>
            <w:tcW w:w="911" w:type="dxa"/>
            <w:tcBorders>
              <w:top w:val="nil"/>
              <w:left w:val="nil"/>
              <w:bottom w:val="nil"/>
              <w:right w:val="nil"/>
            </w:tcBorders>
          </w:tcPr>
          <w:p w:rsidR="00B75DE8" w:rsidRPr="003A5617" w:rsidRDefault="00B75DE8" w:rsidP="00007BB2">
            <w:pPr>
              <w:jc w:val="both"/>
            </w:pPr>
            <w:r w:rsidRPr="003A5617">
              <w:t>.25**</w:t>
            </w:r>
          </w:p>
        </w:tc>
        <w:tc>
          <w:tcPr>
            <w:tcW w:w="911" w:type="dxa"/>
            <w:tcBorders>
              <w:top w:val="nil"/>
              <w:left w:val="nil"/>
              <w:bottom w:val="nil"/>
              <w:right w:val="nil"/>
            </w:tcBorders>
          </w:tcPr>
          <w:p w:rsidR="00B75DE8" w:rsidRPr="003A5617" w:rsidRDefault="00B75DE8" w:rsidP="00007BB2">
            <w:pPr>
              <w:jc w:val="both"/>
            </w:pPr>
            <w:r w:rsidRPr="003A5617">
              <w:t>.23*</w:t>
            </w:r>
          </w:p>
        </w:tc>
        <w:tc>
          <w:tcPr>
            <w:tcW w:w="911" w:type="dxa"/>
            <w:tcBorders>
              <w:top w:val="nil"/>
              <w:left w:val="nil"/>
              <w:bottom w:val="nil"/>
              <w:right w:val="nil"/>
            </w:tcBorders>
          </w:tcPr>
          <w:p w:rsidR="00B75DE8" w:rsidRPr="003A5617" w:rsidRDefault="00B75DE8" w:rsidP="00007BB2">
            <w:pPr>
              <w:jc w:val="both"/>
            </w:pPr>
            <w:r w:rsidRPr="003A5617">
              <w:t>.34**</w:t>
            </w:r>
          </w:p>
        </w:tc>
      </w:tr>
      <w:tr w:rsidR="00B75DE8" w:rsidRPr="003A5617" w:rsidTr="00007BB2">
        <w:trPr>
          <w:trHeight w:val="80"/>
        </w:trPr>
        <w:tc>
          <w:tcPr>
            <w:tcW w:w="1708" w:type="dxa"/>
            <w:tcBorders>
              <w:top w:val="nil"/>
              <w:bottom w:val="nil"/>
            </w:tcBorders>
          </w:tcPr>
          <w:p w:rsidR="00B75DE8" w:rsidRPr="003A5617" w:rsidRDefault="00B75DE8" w:rsidP="00007BB2">
            <w:pPr>
              <w:jc w:val="both"/>
            </w:pPr>
            <w:r w:rsidRPr="003A5617">
              <w:t>GBQ</w:t>
            </w:r>
          </w:p>
        </w:tc>
        <w:tc>
          <w:tcPr>
            <w:tcW w:w="730" w:type="dxa"/>
            <w:tcBorders>
              <w:top w:val="nil"/>
              <w:bottom w:val="nil"/>
            </w:tcBorders>
          </w:tcPr>
          <w:p w:rsidR="00B75DE8" w:rsidRPr="00970CA9" w:rsidRDefault="00B75DE8" w:rsidP="00007BB2">
            <w:pPr>
              <w:pStyle w:val="BodyText"/>
              <w:tabs>
                <w:tab w:val="left" w:pos="900"/>
                <w:tab w:val="left" w:pos="1080"/>
              </w:tabs>
              <w:spacing w:line="240" w:lineRule="auto"/>
              <w:jc w:val="both"/>
              <w:rPr>
                <w:sz w:val="24"/>
                <w:szCs w:val="24"/>
                <w:highlight w:val="yellow"/>
              </w:rPr>
            </w:pPr>
            <w:r w:rsidRPr="00970CA9">
              <w:rPr>
                <w:sz w:val="24"/>
                <w:szCs w:val="24"/>
                <w:highlight w:val="yellow"/>
              </w:rPr>
              <w:t>.90</w:t>
            </w:r>
          </w:p>
        </w:tc>
        <w:tc>
          <w:tcPr>
            <w:tcW w:w="730" w:type="dxa"/>
            <w:tcBorders>
              <w:top w:val="nil"/>
              <w:left w:val="nil"/>
              <w:bottom w:val="nil"/>
              <w:right w:val="nil"/>
            </w:tcBorders>
          </w:tcPr>
          <w:p w:rsidR="00B75DE8" w:rsidRPr="003A5617" w:rsidRDefault="00B75DE8" w:rsidP="00007BB2">
            <w:pPr>
              <w:pStyle w:val="BodyText"/>
              <w:tabs>
                <w:tab w:val="left" w:pos="900"/>
                <w:tab w:val="left" w:pos="1080"/>
              </w:tabs>
              <w:spacing w:line="240" w:lineRule="auto"/>
              <w:jc w:val="both"/>
              <w:rPr>
                <w:sz w:val="24"/>
                <w:szCs w:val="24"/>
              </w:rPr>
            </w:pPr>
            <w:r w:rsidRPr="003A5617">
              <w:rPr>
                <w:sz w:val="24"/>
                <w:szCs w:val="24"/>
              </w:rPr>
              <w:t>106.6</w:t>
            </w:r>
          </w:p>
        </w:tc>
        <w:tc>
          <w:tcPr>
            <w:tcW w:w="580" w:type="dxa"/>
            <w:tcBorders>
              <w:top w:val="nil"/>
              <w:left w:val="nil"/>
              <w:bottom w:val="nil"/>
              <w:right w:val="nil"/>
            </w:tcBorders>
          </w:tcPr>
          <w:p w:rsidR="00B75DE8" w:rsidRPr="003A5617" w:rsidRDefault="00B75DE8" w:rsidP="00007BB2">
            <w:pPr>
              <w:pStyle w:val="BodyText"/>
              <w:tabs>
                <w:tab w:val="left" w:pos="900"/>
                <w:tab w:val="left" w:pos="1080"/>
              </w:tabs>
              <w:spacing w:line="240" w:lineRule="auto"/>
              <w:jc w:val="both"/>
              <w:rPr>
                <w:sz w:val="24"/>
                <w:szCs w:val="24"/>
              </w:rPr>
            </w:pPr>
            <w:r w:rsidRPr="003A5617">
              <w:rPr>
                <w:sz w:val="24"/>
                <w:szCs w:val="24"/>
              </w:rPr>
              <w:t>27.2</w:t>
            </w:r>
          </w:p>
        </w:tc>
        <w:tc>
          <w:tcPr>
            <w:tcW w:w="840" w:type="dxa"/>
            <w:tcBorders>
              <w:top w:val="nil"/>
              <w:left w:val="nil"/>
              <w:bottom w:val="nil"/>
              <w:right w:val="nil"/>
            </w:tcBorders>
          </w:tcPr>
          <w:p w:rsidR="00B75DE8" w:rsidRPr="003A5617" w:rsidRDefault="00B75DE8" w:rsidP="00007BB2">
            <w:pPr>
              <w:tabs>
                <w:tab w:val="left" w:pos="900"/>
                <w:tab w:val="left" w:pos="1080"/>
              </w:tabs>
              <w:jc w:val="both"/>
            </w:pPr>
            <w:r w:rsidRPr="003A5617">
              <w:t>34-147</w:t>
            </w:r>
          </w:p>
        </w:tc>
        <w:tc>
          <w:tcPr>
            <w:tcW w:w="910" w:type="dxa"/>
            <w:tcBorders>
              <w:top w:val="nil"/>
              <w:bottom w:val="nil"/>
            </w:tcBorders>
          </w:tcPr>
          <w:p w:rsidR="00B75DE8" w:rsidRPr="003A5617" w:rsidRDefault="00B75DE8" w:rsidP="00007BB2">
            <w:pPr>
              <w:pStyle w:val="BodyText"/>
              <w:tabs>
                <w:tab w:val="left" w:pos="900"/>
                <w:tab w:val="left" w:pos="1080"/>
              </w:tabs>
              <w:spacing w:line="240" w:lineRule="auto"/>
              <w:rPr>
                <w:sz w:val="24"/>
                <w:szCs w:val="24"/>
              </w:rPr>
            </w:pPr>
            <w:r>
              <w:rPr>
                <w:sz w:val="24"/>
                <w:szCs w:val="24"/>
              </w:rPr>
              <w:t>-</w:t>
            </w:r>
          </w:p>
        </w:tc>
        <w:tc>
          <w:tcPr>
            <w:tcW w:w="910" w:type="dxa"/>
            <w:tcBorders>
              <w:top w:val="nil"/>
              <w:bottom w:val="nil"/>
            </w:tcBorders>
          </w:tcPr>
          <w:p w:rsidR="00B75DE8" w:rsidRPr="003A5617" w:rsidRDefault="00B75DE8" w:rsidP="00007BB2">
            <w:pPr>
              <w:pStyle w:val="BodyText"/>
              <w:tabs>
                <w:tab w:val="left" w:pos="900"/>
                <w:tab w:val="left" w:pos="1080"/>
              </w:tabs>
              <w:spacing w:line="240" w:lineRule="auto"/>
              <w:jc w:val="both"/>
              <w:rPr>
                <w:sz w:val="24"/>
                <w:szCs w:val="24"/>
              </w:rPr>
            </w:pPr>
            <w:r w:rsidRPr="003A5617">
              <w:rPr>
                <w:sz w:val="24"/>
                <w:szCs w:val="24"/>
              </w:rPr>
              <w:t>-</w:t>
            </w:r>
          </w:p>
        </w:tc>
        <w:tc>
          <w:tcPr>
            <w:tcW w:w="911" w:type="dxa"/>
            <w:tcBorders>
              <w:top w:val="nil"/>
              <w:bottom w:val="nil"/>
            </w:tcBorders>
          </w:tcPr>
          <w:p w:rsidR="00B75DE8" w:rsidRPr="003A5617" w:rsidRDefault="00B75DE8" w:rsidP="00007BB2">
            <w:pPr>
              <w:pStyle w:val="BodyText"/>
              <w:tabs>
                <w:tab w:val="left" w:pos="900"/>
                <w:tab w:val="left" w:pos="1080"/>
              </w:tabs>
              <w:spacing w:line="240" w:lineRule="auto"/>
              <w:jc w:val="both"/>
              <w:rPr>
                <w:sz w:val="24"/>
                <w:szCs w:val="24"/>
              </w:rPr>
            </w:pPr>
            <w:r w:rsidRPr="003A5617">
              <w:rPr>
                <w:sz w:val="24"/>
                <w:szCs w:val="24"/>
              </w:rPr>
              <w:t>-</w:t>
            </w:r>
          </w:p>
        </w:tc>
        <w:tc>
          <w:tcPr>
            <w:tcW w:w="911" w:type="dxa"/>
            <w:tcBorders>
              <w:top w:val="nil"/>
              <w:bottom w:val="nil"/>
            </w:tcBorders>
          </w:tcPr>
          <w:p w:rsidR="00B75DE8" w:rsidRPr="003A5617" w:rsidRDefault="00B75DE8" w:rsidP="00007BB2">
            <w:pPr>
              <w:pStyle w:val="BodyText"/>
              <w:tabs>
                <w:tab w:val="left" w:pos="900"/>
                <w:tab w:val="left" w:pos="1080"/>
              </w:tabs>
              <w:spacing w:line="240" w:lineRule="auto"/>
              <w:jc w:val="both"/>
              <w:rPr>
                <w:sz w:val="24"/>
                <w:szCs w:val="24"/>
              </w:rPr>
            </w:pPr>
            <w:r w:rsidRPr="003A5617">
              <w:rPr>
                <w:sz w:val="24"/>
                <w:szCs w:val="24"/>
              </w:rPr>
              <w:t>-</w:t>
            </w:r>
          </w:p>
        </w:tc>
        <w:tc>
          <w:tcPr>
            <w:tcW w:w="911" w:type="dxa"/>
            <w:tcBorders>
              <w:top w:val="nil"/>
              <w:bottom w:val="nil"/>
            </w:tcBorders>
          </w:tcPr>
          <w:p w:rsidR="00B75DE8" w:rsidRPr="003A5617" w:rsidRDefault="00B75DE8" w:rsidP="00007BB2">
            <w:pPr>
              <w:jc w:val="both"/>
            </w:pPr>
            <w:r w:rsidRPr="003A5617">
              <w:t>1</w:t>
            </w:r>
          </w:p>
        </w:tc>
        <w:tc>
          <w:tcPr>
            <w:tcW w:w="911" w:type="dxa"/>
            <w:tcBorders>
              <w:top w:val="nil"/>
              <w:bottom w:val="nil"/>
            </w:tcBorders>
          </w:tcPr>
          <w:p w:rsidR="00B75DE8" w:rsidRPr="003A5617" w:rsidRDefault="00B75DE8" w:rsidP="00007BB2">
            <w:pPr>
              <w:jc w:val="both"/>
            </w:pPr>
            <w:r w:rsidRPr="003A5617">
              <w:t>.30**</w:t>
            </w:r>
          </w:p>
        </w:tc>
        <w:tc>
          <w:tcPr>
            <w:tcW w:w="911" w:type="dxa"/>
            <w:tcBorders>
              <w:top w:val="nil"/>
              <w:bottom w:val="nil"/>
            </w:tcBorders>
          </w:tcPr>
          <w:p w:rsidR="00B75DE8" w:rsidRPr="003A5617" w:rsidRDefault="00B75DE8" w:rsidP="00007BB2">
            <w:pPr>
              <w:jc w:val="both"/>
            </w:pPr>
            <w:r w:rsidRPr="003A5617">
              <w:t>.17</w:t>
            </w:r>
          </w:p>
        </w:tc>
      </w:tr>
      <w:tr w:rsidR="00B75DE8" w:rsidRPr="003A5617" w:rsidTr="00007BB2">
        <w:trPr>
          <w:trHeight w:val="80"/>
        </w:trPr>
        <w:tc>
          <w:tcPr>
            <w:tcW w:w="1708" w:type="dxa"/>
            <w:tcBorders>
              <w:top w:val="nil"/>
              <w:bottom w:val="nil"/>
            </w:tcBorders>
          </w:tcPr>
          <w:p w:rsidR="00B75DE8" w:rsidRPr="003A5617" w:rsidRDefault="00B75DE8" w:rsidP="00007BB2">
            <w:pPr>
              <w:jc w:val="both"/>
            </w:pPr>
            <w:r w:rsidRPr="003A5617">
              <w:t>NMG</w:t>
            </w:r>
          </w:p>
        </w:tc>
        <w:tc>
          <w:tcPr>
            <w:tcW w:w="730" w:type="dxa"/>
            <w:tcBorders>
              <w:top w:val="nil"/>
              <w:bottom w:val="nil"/>
            </w:tcBorders>
          </w:tcPr>
          <w:p w:rsidR="00B75DE8" w:rsidRPr="00970CA9" w:rsidRDefault="00B75DE8" w:rsidP="00007BB2">
            <w:pPr>
              <w:pStyle w:val="BodyText"/>
              <w:tabs>
                <w:tab w:val="left" w:pos="900"/>
                <w:tab w:val="left" w:pos="1080"/>
              </w:tabs>
              <w:spacing w:line="240" w:lineRule="auto"/>
              <w:jc w:val="both"/>
              <w:rPr>
                <w:sz w:val="24"/>
                <w:szCs w:val="24"/>
                <w:highlight w:val="yellow"/>
              </w:rPr>
            </w:pPr>
            <w:r w:rsidRPr="00970CA9">
              <w:rPr>
                <w:sz w:val="24"/>
                <w:szCs w:val="24"/>
                <w:highlight w:val="yellow"/>
              </w:rPr>
              <w:t>.83</w:t>
            </w:r>
          </w:p>
        </w:tc>
        <w:tc>
          <w:tcPr>
            <w:tcW w:w="730" w:type="dxa"/>
            <w:tcBorders>
              <w:top w:val="nil"/>
              <w:left w:val="nil"/>
              <w:bottom w:val="nil"/>
              <w:right w:val="nil"/>
            </w:tcBorders>
          </w:tcPr>
          <w:p w:rsidR="00B75DE8" w:rsidRPr="003A5617" w:rsidRDefault="00B75DE8" w:rsidP="00007BB2">
            <w:pPr>
              <w:pStyle w:val="BodyText"/>
              <w:tabs>
                <w:tab w:val="left" w:pos="900"/>
                <w:tab w:val="left" w:pos="1080"/>
              </w:tabs>
              <w:spacing w:line="240" w:lineRule="auto"/>
              <w:jc w:val="both"/>
              <w:rPr>
                <w:sz w:val="24"/>
                <w:szCs w:val="24"/>
              </w:rPr>
            </w:pPr>
            <w:r w:rsidRPr="003A5617">
              <w:rPr>
                <w:sz w:val="24"/>
                <w:szCs w:val="24"/>
              </w:rPr>
              <w:t>13.7</w:t>
            </w:r>
          </w:p>
        </w:tc>
        <w:tc>
          <w:tcPr>
            <w:tcW w:w="580" w:type="dxa"/>
            <w:tcBorders>
              <w:top w:val="nil"/>
              <w:left w:val="nil"/>
              <w:bottom w:val="nil"/>
              <w:right w:val="nil"/>
            </w:tcBorders>
          </w:tcPr>
          <w:p w:rsidR="00B75DE8" w:rsidRPr="003A5617" w:rsidRDefault="00B75DE8" w:rsidP="00007BB2">
            <w:pPr>
              <w:tabs>
                <w:tab w:val="left" w:pos="900"/>
                <w:tab w:val="left" w:pos="1080"/>
              </w:tabs>
              <w:jc w:val="both"/>
            </w:pPr>
            <w:r w:rsidRPr="003A5617">
              <w:t>4.4</w:t>
            </w:r>
          </w:p>
        </w:tc>
        <w:tc>
          <w:tcPr>
            <w:tcW w:w="840" w:type="dxa"/>
            <w:tcBorders>
              <w:top w:val="nil"/>
              <w:left w:val="nil"/>
              <w:bottom w:val="nil"/>
              <w:right w:val="nil"/>
            </w:tcBorders>
          </w:tcPr>
          <w:p w:rsidR="00B75DE8" w:rsidRPr="003A5617" w:rsidRDefault="00B75DE8" w:rsidP="00007BB2">
            <w:pPr>
              <w:tabs>
                <w:tab w:val="left" w:pos="900"/>
                <w:tab w:val="left" w:pos="1080"/>
              </w:tabs>
              <w:jc w:val="both"/>
            </w:pPr>
            <w:r w:rsidRPr="003A5617">
              <w:t>5-20</w:t>
            </w:r>
          </w:p>
        </w:tc>
        <w:tc>
          <w:tcPr>
            <w:tcW w:w="910" w:type="dxa"/>
            <w:tcBorders>
              <w:top w:val="nil"/>
              <w:bottom w:val="nil"/>
            </w:tcBorders>
          </w:tcPr>
          <w:p w:rsidR="00B75DE8" w:rsidRPr="003A5617" w:rsidRDefault="00B75DE8" w:rsidP="00007BB2">
            <w:pPr>
              <w:pStyle w:val="BodyText"/>
              <w:tabs>
                <w:tab w:val="left" w:pos="900"/>
                <w:tab w:val="left" w:pos="1080"/>
              </w:tabs>
              <w:spacing w:line="240" w:lineRule="auto"/>
              <w:rPr>
                <w:sz w:val="24"/>
                <w:szCs w:val="24"/>
              </w:rPr>
            </w:pPr>
            <w:r>
              <w:rPr>
                <w:sz w:val="24"/>
                <w:szCs w:val="24"/>
              </w:rPr>
              <w:t>-</w:t>
            </w:r>
          </w:p>
        </w:tc>
        <w:tc>
          <w:tcPr>
            <w:tcW w:w="910" w:type="dxa"/>
            <w:tcBorders>
              <w:top w:val="nil"/>
              <w:bottom w:val="nil"/>
            </w:tcBorders>
          </w:tcPr>
          <w:p w:rsidR="00B75DE8" w:rsidRPr="003A5617" w:rsidRDefault="00B75DE8" w:rsidP="00007BB2">
            <w:pPr>
              <w:pStyle w:val="BodyText"/>
              <w:tabs>
                <w:tab w:val="left" w:pos="900"/>
                <w:tab w:val="left" w:pos="1080"/>
              </w:tabs>
              <w:spacing w:line="240" w:lineRule="auto"/>
              <w:jc w:val="both"/>
              <w:rPr>
                <w:sz w:val="24"/>
                <w:szCs w:val="24"/>
              </w:rPr>
            </w:pPr>
            <w:r w:rsidRPr="003A5617">
              <w:rPr>
                <w:sz w:val="24"/>
                <w:szCs w:val="24"/>
              </w:rPr>
              <w:t>-</w:t>
            </w:r>
          </w:p>
        </w:tc>
        <w:tc>
          <w:tcPr>
            <w:tcW w:w="911" w:type="dxa"/>
            <w:tcBorders>
              <w:top w:val="nil"/>
              <w:bottom w:val="nil"/>
            </w:tcBorders>
          </w:tcPr>
          <w:p w:rsidR="00B75DE8" w:rsidRPr="003A5617" w:rsidRDefault="00B75DE8" w:rsidP="00007BB2">
            <w:pPr>
              <w:pStyle w:val="BodyText"/>
              <w:tabs>
                <w:tab w:val="left" w:pos="900"/>
                <w:tab w:val="left" w:pos="1080"/>
              </w:tabs>
              <w:spacing w:line="240" w:lineRule="auto"/>
              <w:jc w:val="both"/>
              <w:rPr>
                <w:sz w:val="24"/>
                <w:szCs w:val="24"/>
              </w:rPr>
            </w:pPr>
            <w:r w:rsidRPr="003A5617">
              <w:rPr>
                <w:sz w:val="24"/>
                <w:szCs w:val="24"/>
              </w:rPr>
              <w:t>-</w:t>
            </w:r>
          </w:p>
        </w:tc>
        <w:tc>
          <w:tcPr>
            <w:tcW w:w="911" w:type="dxa"/>
            <w:tcBorders>
              <w:top w:val="nil"/>
              <w:bottom w:val="nil"/>
            </w:tcBorders>
          </w:tcPr>
          <w:p w:rsidR="00B75DE8" w:rsidRPr="003A5617" w:rsidRDefault="00B75DE8" w:rsidP="00007BB2">
            <w:pPr>
              <w:pStyle w:val="BodyText"/>
              <w:tabs>
                <w:tab w:val="left" w:pos="900"/>
                <w:tab w:val="left" w:pos="1080"/>
              </w:tabs>
              <w:spacing w:line="240" w:lineRule="auto"/>
              <w:jc w:val="both"/>
              <w:rPr>
                <w:sz w:val="24"/>
                <w:szCs w:val="24"/>
              </w:rPr>
            </w:pPr>
            <w:r w:rsidRPr="003A5617">
              <w:rPr>
                <w:sz w:val="24"/>
                <w:szCs w:val="24"/>
              </w:rPr>
              <w:t>-</w:t>
            </w:r>
          </w:p>
        </w:tc>
        <w:tc>
          <w:tcPr>
            <w:tcW w:w="911" w:type="dxa"/>
            <w:tcBorders>
              <w:top w:val="nil"/>
              <w:bottom w:val="nil"/>
            </w:tcBorders>
          </w:tcPr>
          <w:p w:rsidR="00B75DE8" w:rsidRPr="003A5617" w:rsidRDefault="00B75DE8" w:rsidP="00007BB2">
            <w:pPr>
              <w:jc w:val="both"/>
            </w:pPr>
            <w:r w:rsidRPr="003A5617">
              <w:t>-</w:t>
            </w:r>
          </w:p>
        </w:tc>
        <w:tc>
          <w:tcPr>
            <w:tcW w:w="911" w:type="dxa"/>
            <w:tcBorders>
              <w:top w:val="nil"/>
              <w:bottom w:val="nil"/>
            </w:tcBorders>
          </w:tcPr>
          <w:p w:rsidR="00B75DE8" w:rsidRPr="003A5617" w:rsidRDefault="00B75DE8" w:rsidP="00007BB2">
            <w:pPr>
              <w:jc w:val="both"/>
            </w:pPr>
            <w:r w:rsidRPr="003A5617">
              <w:t>1</w:t>
            </w:r>
          </w:p>
        </w:tc>
        <w:tc>
          <w:tcPr>
            <w:tcW w:w="911" w:type="dxa"/>
            <w:tcBorders>
              <w:top w:val="nil"/>
              <w:bottom w:val="nil"/>
            </w:tcBorders>
          </w:tcPr>
          <w:p w:rsidR="00B75DE8" w:rsidRPr="003A5617" w:rsidRDefault="00B75DE8" w:rsidP="00007BB2">
            <w:pPr>
              <w:jc w:val="both"/>
            </w:pPr>
            <w:r w:rsidRPr="003A5617">
              <w:t>.35**</w:t>
            </w:r>
          </w:p>
        </w:tc>
      </w:tr>
      <w:tr w:rsidR="00B75DE8" w:rsidRPr="003A5617" w:rsidTr="00007BB2">
        <w:trPr>
          <w:trHeight w:val="80"/>
        </w:trPr>
        <w:tc>
          <w:tcPr>
            <w:tcW w:w="1708" w:type="dxa"/>
            <w:tcBorders>
              <w:top w:val="nil"/>
              <w:bottom w:val="single" w:sz="12" w:space="0" w:color="auto"/>
            </w:tcBorders>
          </w:tcPr>
          <w:p w:rsidR="00B75DE8" w:rsidRPr="003A5617" w:rsidRDefault="00B75DE8" w:rsidP="00007BB2">
            <w:pPr>
              <w:jc w:val="both"/>
            </w:pPr>
            <w:r w:rsidRPr="003A5617">
              <w:t>PMG</w:t>
            </w:r>
          </w:p>
        </w:tc>
        <w:tc>
          <w:tcPr>
            <w:tcW w:w="730" w:type="dxa"/>
            <w:tcBorders>
              <w:top w:val="nil"/>
              <w:bottom w:val="single" w:sz="12" w:space="0" w:color="auto"/>
            </w:tcBorders>
          </w:tcPr>
          <w:p w:rsidR="00B75DE8" w:rsidRPr="00970CA9" w:rsidRDefault="00B75DE8" w:rsidP="00007BB2">
            <w:pPr>
              <w:pStyle w:val="BodyText"/>
              <w:tabs>
                <w:tab w:val="left" w:pos="900"/>
                <w:tab w:val="left" w:pos="1080"/>
              </w:tabs>
              <w:spacing w:line="240" w:lineRule="auto"/>
              <w:jc w:val="both"/>
              <w:rPr>
                <w:sz w:val="24"/>
                <w:szCs w:val="24"/>
                <w:highlight w:val="yellow"/>
              </w:rPr>
            </w:pPr>
            <w:r w:rsidRPr="00970CA9">
              <w:rPr>
                <w:sz w:val="24"/>
                <w:szCs w:val="24"/>
                <w:highlight w:val="yellow"/>
              </w:rPr>
              <w:t>.78</w:t>
            </w:r>
          </w:p>
        </w:tc>
        <w:tc>
          <w:tcPr>
            <w:tcW w:w="730" w:type="dxa"/>
            <w:tcBorders>
              <w:top w:val="nil"/>
              <w:left w:val="nil"/>
              <w:bottom w:val="single" w:sz="12" w:space="0" w:color="auto"/>
              <w:right w:val="nil"/>
            </w:tcBorders>
          </w:tcPr>
          <w:p w:rsidR="00B75DE8" w:rsidRPr="003A5617" w:rsidRDefault="00B75DE8" w:rsidP="00007BB2">
            <w:pPr>
              <w:pStyle w:val="BodyText"/>
              <w:tabs>
                <w:tab w:val="left" w:pos="900"/>
                <w:tab w:val="left" w:pos="1080"/>
              </w:tabs>
              <w:spacing w:line="240" w:lineRule="auto"/>
              <w:jc w:val="both"/>
              <w:rPr>
                <w:sz w:val="24"/>
                <w:szCs w:val="24"/>
              </w:rPr>
            </w:pPr>
            <w:r w:rsidRPr="003A5617">
              <w:rPr>
                <w:sz w:val="24"/>
                <w:szCs w:val="24"/>
              </w:rPr>
              <w:t>12.4</w:t>
            </w:r>
          </w:p>
        </w:tc>
        <w:tc>
          <w:tcPr>
            <w:tcW w:w="580" w:type="dxa"/>
            <w:tcBorders>
              <w:top w:val="nil"/>
              <w:left w:val="nil"/>
              <w:bottom w:val="single" w:sz="12" w:space="0" w:color="auto"/>
              <w:right w:val="nil"/>
            </w:tcBorders>
          </w:tcPr>
          <w:p w:rsidR="00B75DE8" w:rsidRPr="003A5617" w:rsidRDefault="00B75DE8" w:rsidP="00007BB2">
            <w:pPr>
              <w:pStyle w:val="BodyText"/>
              <w:tabs>
                <w:tab w:val="left" w:pos="900"/>
                <w:tab w:val="left" w:pos="1080"/>
              </w:tabs>
              <w:spacing w:line="240" w:lineRule="auto"/>
              <w:jc w:val="both"/>
              <w:rPr>
                <w:sz w:val="24"/>
                <w:szCs w:val="24"/>
              </w:rPr>
            </w:pPr>
            <w:r w:rsidRPr="003A5617">
              <w:rPr>
                <w:sz w:val="24"/>
                <w:szCs w:val="24"/>
              </w:rPr>
              <w:t>4.3</w:t>
            </w:r>
          </w:p>
        </w:tc>
        <w:tc>
          <w:tcPr>
            <w:tcW w:w="840" w:type="dxa"/>
            <w:tcBorders>
              <w:top w:val="nil"/>
              <w:left w:val="nil"/>
              <w:bottom w:val="single" w:sz="12" w:space="0" w:color="auto"/>
              <w:right w:val="nil"/>
            </w:tcBorders>
          </w:tcPr>
          <w:p w:rsidR="00B75DE8" w:rsidRPr="003A5617" w:rsidRDefault="00B75DE8" w:rsidP="00007BB2">
            <w:pPr>
              <w:tabs>
                <w:tab w:val="left" w:pos="900"/>
                <w:tab w:val="left" w:pos="1080"/>
              </w:tabs>
              <w:jc w:val="both"/>
            </w:pPr>
            <w:r w:rsidRPr="003A5617">
              <w:t>5-20</w:t>
            </w:r>
          </w:p>
        </w:tc>
        <w:tc>
          <w:tcPr>
            <w:tcW w:w="910" w:type="dxa"/>
            <w:tcBorders>
              <w:top w:val="nil"/>
              <w:bottom w:val="single" w:sz="12" w:space="0" w:color="auto"/>
            </w:tcBorders>
          </w:tcPr>
          <w:p w:rsidR="00B75DE8" w:rsidRPr="003A5617" w:rsidRDefault="00B75DE8" w:rsidP="00007BB2">
            <w:pPr>
              <w:pStyle w:val="BodyText"/>
              <w:tabs>
                <w:tab w:val="left" w:pos="900"/>
                <w:tab w:val="left" w:pos="1080"/>
              </w:tabs>
              <w:spacing w:line="240" w:lineRule="auto"/>
              <w:rPr>
                <w:sz w:val="24"/>
                <w:szCs w:val="24"/>
              </w:rPr>
            </w:pPr>
            <w:r>
              <w:rPr>
                <w:sz w:val="24"/>
                <w:szCs w:val="24"/>
              </w:rPr>
              <w:t>-</w:t>
            </w:r>
          </w:p>
        </w:tc>
        <w:tc>
          <w:tcPr>
            <w:tcW w:w="910" w:type="dxa"/>
            <w:tcBorders>
              <w:top w:val="nil"/>
              <w:bottom w:val="single" w:sz="12" w:space="0" w:color="auto"/>
            </w:tcBorders>
          </w:tcPr>
          <w:p w:rsidR="00B75DE8" w:rsidRPr="003A5617" w:rsidRDefault="00B75DE8" w:rsidP="00007BB2">
            <w:pPr>
              <w:pStyle w:val="BodyText"/>
              <w:tabs>
                <w:tab w:val="left" w:pos="900"/>
                <w:tab w:val="left" w:pos="1080"/>
              </w:tabs>
              <w:spacing w:line="240" w:lineRule="auto"/>
              <w:jc w:val="both"/>
              <w:rPr>
                <w:sz w:val="24"/>
                <w:szCs w:val="24"/>
              </w:rPr>
            </w:pPr>
            <w:r w:rsidRPr="003A5617">
              <w:rPr>
                <w:sz w:val="24"/>
                <w:szCs w:val="24"/>
              </w:rPr>
              <w:t>-</w:t>
            </w:r>
          </w:p>
        </w:tc>
        <w:tc>
          <w:tcPr>
            <w:tcW w:w="911" w:type="dxa"/>
            <w:tcBorders>
              <w:top w:val="nil"/>
              <w:bottom w:val="single" w:sz="12" w:space="0" w:color="auto"/>
            </w:tcBorders>
          </w:tcPr>
          <w:p w:rsidR="00B75DE8" w:rsidRPr="003A5617" w:rsidRDefault="00B75DE8" w:rsidP="00007BB2">
            <w:pPr>
              <w:pStyle w:val="BodyText"/>
              <w:tabs>
                <w:tab w:val="left" w:pos="900"/>
                <w:tab w:val="left" w:pos="1080"/>
              </w:tabs>
              <w:spacing w:line="240" w:lineRule="auto"/>
              <w:jc w:val="both"/>
              <w:rPr>
                <w:sz w:val="24"/>
                <w:szCs w:val="24"/>
              </w:rPr>
            </w:pPr>
            <w:r w:rsidRPr="003A5617">
              <w:rPr>
                <w:sz w:val="24"/>
                <w:szCs w:val="24"/>
              </w:rPr>
              <w:t>-</w:t>
            </w:r>
          </w:p>
        </w:tc>
        <w:tc>
          <w:tcPr>
            <w:tcW w:w="911" w:type="dxa"/>
            <w:tcBorders>
              <w:top w:val="nil"/>
              <w:bottom w:val="single" w:sz="12" w:space="0" w:color="auto"/>
            </w:tcBorders>
          </w:tcPr>
          <w:p w:rsidR="00B75DE8" w:rsidRPr="003A5617" w:rsidRDefault="00B75DE8" w:rsidP="00007BB2">
            <w:pPr>
              <w:pStyle w:val="BodyText"/>
              <w:tabs>
                <w:tab w:val="left" w:pos="900"/>
                <w:tab w:val="left" w:pos="1080"/>
              </w:tabs>
              <w:spacing w:line="240" w:lineRule="auto"/>
              <w:jc w:val="both"/>
              <w:rPr>
                <w:sz w:val="24"/>
                <w:szCs w:val="24"/>
              </w:rPr>
            </w:pPr>
            <w:r w:rsidRPr="003A5617">
              <w:rPr>
                <w:sz w:val="24"/>
                <w:szCs w:val="24"/>
              </w:rPr>
              <w:t>-</w:t>
            </w:r>
          </w:p>
        </w:tc>
        <w:tc>
          <w:tcPr>
            <w:tcW w:w="911" w:type="dxa"/>
            <w:tcBorders>
              <w:top w:val="nil"/>
              <w:bottom w:val="single" w:sz="12" w:space="0" w:color="auto"/>
            </w:tcBorders>
          </w:tcPr>
          <w:p w:rsidR="00B75DE8" w:rsidRPr="003A5617" w:rsidRDefault="00B75DE8" w:rsidP="00007BB2">
            <w:pPr>
              <w:jc w:val="both"/>
            </w:pPr>
            <w:r w:rsidRPr="003A5617">
              <w:t>-</w:t>
            </w:r>
          </w:p>
        </w:tc>
        <w:tc>
          <w:tcPr>
            <w:tcW w:w="911" w:type="dxa"/>
            <w:tcBorders>
              <w:top w:val="nil"/>
              <w:bottom w:val="single" w:sz="12" w:space="0" w:color="auto"/>
            </w:tcBorders>
          </w:tcPr>
          <w:p w:rsidR="00B75DE8" w:rsidRPr="003A5617" w:rsidRDefault="00B75DE8" w:rsidP="00007BB2">
            <w:pPr>
              <w:jc w:val="both"/>
            </w:pPr>
            <w:r w:rsidRPr="003A5617">
              <w:t>-</w:t>
            </w:r>
          </w:p>
        </w:tc>
        <w:tc>
          <w:tcPr>
            <w:tcW w:w="911" w:type="dxa"/>
            <w:tcBorders>
              <w:top w:val="nil"/>
              <w:bottom w:val="single" w:sz="12" w:space="0" w:color="auto"/>
            </w:tcBorders>
          </w:tcPr>
          <w:p w:rsidR="00B75DE8" w:rsidRPr="003A5617" w:rsidRDefault="00B75DE8" w:rsidP="00007BB2">
            <w:pPr>
              <w:jc w:val="both"/>
            </w:pPr>
            <w:r w:rsidRPr="003A5617">
              <w:t>1</w:t>
            </w:r>
          </w:p>
        </w:tc>
      </w:tr>
    </w:tbl>
    <w:p w:rsidR="00B75DE8" w:rsidRPr="003A5617" w:rsidRDefault="00B75DE8" w:rsidP="00B75DE8">
      <w:pPr>
        <w:ind w:right="560"/>
        <w:jc w:val="both"/>
        <w:rPr>
          <w:i/>
          <w:lang w:val="en-US"/>
        </w:rPr>
      </w:pPr>
    </w:p>
    <w:p w:rsidR="00B75DE8" w:rsidRPr="003A5617" w:rsidRDefault="00B75DE8" w:rsidP="00B75DE8">
      <w:pPr>
        <w:jc w:val="both"/>
      </w:pPr>
      <w:r w:rsidRPr="003A5617">
        <w:rPr>
          <w:rFonts w:eastAsia="PMingLiU"/>
          <w:i/>
          <w:iCs/>
          <w:lang w:eastAsia="zh-TW"/>
        </w:rPr>
        <w:t>Note</w:t>
      </w:r>
      <w:r w:rsidRPr="003A5617">
        <w:rPr>
          <w:rFonts w:eastAsia="PMingLiU"/>
          <w:i/>
          <w:lang w:eastAsia="zh-TW"/>
        </w:rPr>
        <w:t>. n=</w:t>
      </w:r>
      <w:r w:rsidRPr="003A5617">
        <w:rPr>
          <w:rFonts w:eastAsia="PMingLiU"/>
          <w:lang w:eastAsia="zh-TW"/>
        </w:rPr>
        <w:t>110. G-SAS: Gambling Symptoms Assessment Scale; SOGS=</w:t>
      </w:r>
      <w:r w:rsidRPr="003A5617">
        <w:t>South Oaks Gambling Scale; HADS-A= Hospital Anxiety and Depression Scale - Anxiety; HADS-D=Hospital Anxiety and Depression Scale - Depression; GBQ= Gamblers’ Beliefs Questionnaire; NMG=Negative Metacognitions about Gambling; PMG=Positive Metacognitions about Gambling.</w:t>
      </w:r>
    </w:p>
    <w:p w:rsidR="00B75DE8" w:rsidRPr="003A5617" w:rsidRDefault="00B75DE8" w:rsidP="00B75DE8">
      <w:pPr>
        <w:jc w:val="both"/>
        <w:rPr>
          <w:rFonts w:eastAsia="PMingLiU"/>
          <w:lang w:eastAsia="zh-TW"/>
        </w:rPr>
      </w:pPr>
      <w:proofErr w:type="gramStart"/>
      <w:r w:rsidRPr="003A5617">
        <w:rPr>
          <w:rFonts w:eastAsia="PMingLiU"/>
          <w:lang w:eastAsia="zh-TW"/>
        </w:rPr>
        <w:t>*</w:t>
      </w:r>
      <w:r w:rsidRPr="003A5617">
        <w:rPr>
          <w:rFonts w:eastAsia="PMingLiU"/>
          <w:i/>
          <w:lang w:eastAsia="zh-TW"/>
        </w:rPr>
        <w:t>p</w:t>
      </w:r>
      <w:r w:rsidRPr="003A5617">
        <w:rPr>
          <w:rFonts w:eastAsia="PMingLiU"/>
          <w:lang w:eastAsia="zh-TW"/>
        </w:rPr>
        <w:t>&lt;.05; **</w:t>
      </w:r>
      <w:r w:rsidRPr="003A5617">
        <w:rPr>
          <w:rFonts w:eastAsia="PMingLiU"/>
          <w:i/>
          <w:lang w:eastAsia="zh-TW"/>
        </w:rPr>
        <w:t>p</w:t>
      </w:r>
      <w:r w:rsidRPr="003A5617">
        <w:rPr>
          <w:rFonts w:eastAsia="PMingLiU"/>
          <w:lang w:eastAsia="zh-TW"/>
        </w:rPr>
        <w:t>&lt;.01.</w:t>
      </w:r>
      <w:proofErr w:type="gramEnd"/>
      <w:r w:rsidRPr="003A5617">
        <w:rPr>
          <w:rFonts w:eastAsia="PMingLiU"/>
          <w:lang w:eastAsia="zh-TW"/>
        </w:rPr>
        <w:t xml:space="preserve"> </w:t>
      </w:r>
    </w:p>
    <w:p w:rsidR="00B75DE8" w:rsidRPr="003A5617" w:rsidRDefault="00B75DE8" w:rsidP="00B75DE8">
      <w:pPr>
        <w:ind w:right="561"/>
        <w:jc w:val="both"/>
        <w:rPr>
          <w:lang w:val="en-US"/>
        </w:rPr>
      </w:pPr>
    </w:p>
    <w:p w:rsidR="00B75DE8" w:rsidRPr="003A5617" w:rsidRDefault="00B75DE8" w:rsidP="00B75DE8">
      <w:pPr>
        <w:ind w:right="561"/>
        <w:jc w:val="both"/>
        <w:rPr>
          <w:lang w:val="en-US"/>
        </w:rPr>
        <w:sectPr w:rsidR="00B75DE8" w:rsidRPr="003A5617" w:rsidSect="00970CA9">
          <w:pgSz w:w="16838" w:h="11906" w:orient="landscape"/>
          <w:pgMar w:top="1440" w:right="1440" w:bottom="1440" w:left="1440" w:header="708" w:footer="708" w:gutter="0"/>
          <w:cols w:space="708"/>
          <w:docGrid w:linePitch="360"/>
        </w:sectPr>
      </w:pPr>
    </w:p>
    <w:p w:rsidR="00B75DE8" w:rsidRPr="000D5BCC" w:rsidRDefault="00B75DE8" w:rsidP="00B75DE8">
      <w:pPr>
        <w:ind w:right="561"/>
        <w:jc w:val="both"/>
        <w:rPr>
          <w:b/>
          <w:lang w:val="en-US"/>
        </w:rPr>
      </w:pPr>
      <w:r w:rsidRPr="000D5BCC">
        <w:rPr>
          <w:b/>
          <w:lang w:val="en-US"/>
        </w:rPr>
        <w:lastRenderedPageBreak/>
        <w:t xml:space="preserve">Table 3 </w:t>
      </w:r>
    </w:p>
    <w:p w:rsidR="00B75DE8" w:rsidRDefault="00B75DE8" w:rsidP="00B75DE8">
      <w:pPr>
        <w:ind w:right="561"/>
        <w:jc w:val="both"/>
        <w:rPr>
          <w:lang w:val="en-US"/>
        </w:rPr>
      </w:pPr>
    </w:p>
    <w:p w:rsidR="00B75DE8" w:rsidRPr="003A5617" w:rsidRDefault="00B75DE8" w:rsidP="00B75DE8">
      <w:pPr>
        <w:ind w:right="561"/>
        <w:jc w:val="both"/>
      </w:pPr>
      <w:proofErr w:type="gramStart"/>
      <w:r w:rsidRPr="003A5617">
        <w:t>Hierarchical multiple linear regression statistics with G-SAS and SOGS as dependent variables.</w:t>
      </w:r>
      <w:proofErr w:type="gramEnd"/>
      <w:r w:rsidRPr="003A5617">
        <w:t xml:space="preserve"> </w:t>
      </w:r>
    </w:p>
    <w:p w:rsidR="00B75DE8" w:rsidRPr="003A5617" w:rsidRDefault="00B75DE8" w:rsidP="00B75DE8">
      <w:pPr>
        <w:ind w:right="561"/>
        <w:jc w:val="both"/>
      </w:pPr>
    </w:p>
    <w:tbl>
      <w:tblPr>
        <w:tblW w:w="0" w:type="auto"/>
        <w:tblLook w:val="04A0" w:firstRow="1" w:lastRow="0" w:firstColumn="1" w:lastColumn="0" w:noHBand="0" w:noVBand="1"/>
      </w:tblPr>
      <w:tblGrid>
        <w:gridCol w:w="250"/>
        <w:gridCol w:w="1189"/>
        <w:gridCol w:w="839"/>
        <w:gridCol w:w="828"/>
        <w:gridCol w:w="993"/>
        <w:gridCol w:w="1160"/>
        <w:gridCol w:w="1224"/>
        <w:gridCol w:w="839"/>
        <w:gridCol w:w="851"/>
        <w:gridCol w:w="1134"/>
        <w:gridCol w:w="1417"/>
        <w:gridCol w:w="1418"/>
      </w:tblGrid>
      <w:tr w:rsidR="00B75DE8" w:rsidRPr="003A5617" w:rsidTr="00007BB2">
        <w:tc>
          <w:tcPr>
            <w:tcW w:w="1439" w:type="dxa"/>
            <w:gridSpan w:val="2"/>
            <w:tcBorders>
              <w:top w:val="single" w:sz="4" w:space="0" w:color="auto"/>
              <w:bottom w:val="single" w:sz="4" w:space="0" w:color="auto"/>
            </w:tcBorders>
            <w:shd w:val="clear" w:color="auto" w:fill="auto"/>
          </w:tcPr>
          <w:p w:rsidR="00B75DE8" w:rsidRPr="003A5617" w:rsidRDefault="00B75DE8" w:rsidP="00007BB2">
            <w:pPr>
              <w:rPr>
                <w:b/>
              </w:rPr>
            </w:pPr>
          </w:p>
        </w:tc>
        <w:tc>
          <w:tcPr>
            <w:tcW w:w="839" w:type="dxa"/>
            <w:tcBorders>
              <w:top w:val="single" w:sz="4" w:space="0" w:color="auto"/>
              <w:bottom w:val="single" w:sz="4" w:space="0" w:color="auto"/>
            </w:tcBorders>
            <w:shd w:val="clear" w:color="auto" w:fill="auto"/>
          </w:tcPr>
          <w:p w:rsidR="00B75DE8" w:rsidRPr="003A5617" w:rsidRDefault="00B75DE8" w:rsidP="00007BB2">
            <w:pPr>
              <w:rPr>
                <w:b/>
              </w:rPr>
            </w:pPr>
          </w:p>
        </w:tc>
        <w:tc>
          <w:tcPr>
            <w:tcW w:w="828" w:type="dxa"/>
            <w:tcBorders>
              <w:top w:val="single" w:sz="4" w:space="0" w:color="auto"/>
              <w:bottom w:val="single" w:sz="4" w:space="0" w:color="auto"/>
            </w:tcBorders>
            <w:shd w:val="clear" w:color="auto" w:fill="auto"/>
          </w:tcPr>
          <w:p w:rsidR="00B75DE8" w:rsidRPr="003A5617" w:rsidRDefault="00B75DE8" w:rsidP="00007BB2">
            <w:pPr>
              <w:rPr>
                <w:b/>
              </w:rPr>
            </w:pPr>
          </w:p>
        </w:tc>
        <w:tc>
          <w:tcPr>
            <w:tcW w:w="993" w:type="dxa"/>
            <w:tcBorders>
              <w:top w:val="single" w:sz="4" w:space="0" w:color="auto"/>
              <w:bottom w:val="single" w:sz="4" w:space="0" w:color="auto"/>
            </w:tcBorders>
            <w:shd w:val="clear" w:color="auto" w:fill="auto"/>
          </w:tcPr>
          <w:p w:rsidR="00B75DE8" w:rsidRPr="003A5617" w:rsidRDefault="00B75DE8" w:rsidP="00007BB2">
            <w:pPr>
              <w:rPr>
                <w:b/>
              </w:rPr>
            </w:pPr>
            <w:r w:rsidRPr="003A5617">
              <w:rPr>
                <w:b/>
              </w:rPr>
              <w:t>G-SAS</w:t>
            </w:r>
          </w:p>
        </w:tc>
        <w:tc>
          <w:tcPr>
            <w:tcW w:w="2384" w:type="dxa"/>
            <w:gridSpan w:val="2"/>
            <w:tcBorders>
              <w:top w:val="single" w:sz="4" w:space="0" w:color="auto"/>
              <w:bottom w:val="single" w:sz="4" w:space="0" w:color="auto"/>
            </w:tcBorders>
            <w:shd w:val="clear" w:color="auto" w:fill="auto"/>
          </w:tcPr>
          <w:p w:rsidR="00B75DE8" w:rsidRPr="003A5617" w:rsidRDefault="00B75DE8" w:rsidP="00007BB2">
            <w:pPr>
              <w:jc w:val="center"/>
              <w:rPr>
                <w:b/>
              </w:rPr>
            </w:pPr>
          </w:p>
        </w:tc>
        <w:tc>
          <w:tcPr>
            <w:tcW w:w="839" w:type="dxa"/>
            <w:tcBorders>
              <w:top w:val="single" w:sz="4" w:space="0" w:color="auto"/>
              <w:bottom w:val="single" w:sz="4" w:space="0" w:color="auto"/>
            </w:tcBorders>
          </w:tcPr>
          <w:p w:rsidR="00B75DE8" w:rsidRPr="003A5617" w:rsidRDefault="00B75DE8" w:rsidP="00007BB2">
            <w:pPr>
              <w:jc w:val="center"/>
              <w:rPr>
                <w:b/>
              </w:rPr>
            </w:pPr>
          </w:p>
        </w:tc>
        <w:tc>
          <w:tcPr>
            <w:tcW w:w="851" w:type="dxa"/>
            <w:tcBorders>
              <w:top w:val="single" w:sz="4" w:space="0" w:color="auto"/>
              <w:bottom w:val="single" w:sz="4" w:space="0" w:color="auto"/>
            </w:tcBorders>
          </w:tcPr>
          <w:p w:rsidR="00B75DE8" w:rsidRPr="003A5617" w:rsidRDefault="00B75DE8" w:rsidP="00007BB2">
            <w:pPr>
              <w:jc w:val="center"/>
              <w:rPr>
                <w:b/>
              </w:rPr>
            </w:pPr>
          </w:p>
        </w:tc>
        <w:tc>
          <w:tcPr>
            <w:tcW w:w="1134" w:type="dxa"/>
            <w:tcBorders>
              <w:top w:val="single" w:sz="4" w:space="0" w:color="auto"/>
              <w:bottom w:val="single" w:sz="4" w:space="0" w:color="auto"/>
            </w:tcBorders>
          </w:tcPr>
          <w:p w:rsidR="00B75DE8" w:rsidRPr="003A5617" w:rsidRDefault="00B75DE8" w:rsidP="00007BB2">
            <w:pPr>
              <w:jc w:val="center"/>
              <w:rPr>
                <w:b/>
              </w:rPr>
            </w:pPr>
            <w:r w:rsidRPr="003A5617">
              <w:rPr>
                <w:b/>
              </w:rPr>
              <w:t>SOGS</w:t>
            </w:r>
          </w:p>
        </w:tc>
        <w:tc>
          <w:tcPr>
            <w:tcW w:w="1417" w:type="dxa"/>
            <w:tcBorders>
              <w:top w:val="single" w:sz="4" w:space="0" w:color="auto"/>
              <w:bottom w:val="single" w:sz="4" w:space="0" w:color="auto"/>
            </w:tcBorders>
          </w:tcPr>
          <w:p w:rsidR="00B75DE8" w:rsidRPr="003A5617" w:rsidRDefault="00B75DE8" w:rsidP="00007BB2">
            <w:pPr>
              <w:jc w:val="center"/>
              <w:rPr>
                <w:b/>
              </w:rPr>
            </w:pPr>
          </w:p>
        </w:tc>
        <w:tc>
          <w:tcPr>
            <w:tcW w:w="1418" w:type="dxa"/>
            <w:tcBorders>
              <w:top w:val="single" w:sz="4" w:space="0" w:color="auto"/>
              <w:bottom w:val="single" w:sz="4" w:space="0" w:color="auto"/>
            </w:tcBorders>
          </w:tcPr>
          <w:p w:rsidR="00B75DE8" w:rsidRPr="003A5617" w:rsidRDefault="00B75DE8" w:rsidP="00007BB2">
            <w:pPr>
              <w:jc w:val="center"/>
              <w:rPr>
                <w:b/>
              </w:rPr>
            </w:pPr>
          </w:p>
        </w:tc>
      </w:tr>
      <w:tr w:rsidR="00B75DE8" w:rsidRPr="003A5617" w:rsidTr="00007BB2">
        <w:tc>
          <w:tcPr>
            <w:tcW w:w="1439" w:type="dxa"/>
            <w:gridSpan w:val="2"/>
            <w:tcBorders>
              <w:top w:val="single" w:sz="4" w:space="0" w:color="auto"/>
            </w:tcBorders>
            <w:shd w:val="clear" w:color="auto" w:fill="auto"/>
          </w:tcPr>
          <w:p w:rsidR="00B75DE8" w:rsidRPr="003A5617" w:rsidRDefault="00B75DE8" w:rsidP="00007BB2">
            <w:pPr>
              <w:rPr>
                <w:b/>
              </w:rPr>
            </w:pPr>
          </w:p>
        </w:tc>
        <w:tc>
          <w:tcPr>
            <w:tcW w:w="839" w:type="dxa"/>
            <w:tcBorders>
              <w:top w:val="single" w:sz="4" w:space="0" w:color="auto"/>
            </w:tcBorders>
            <w:shd w:val="clear" w:color="auto" w:fill="auto"/>
          </w:tcPr>
          <w:p w:rsidR="00B75DE8" w:rsidRPr="003A5617" w:rsidRDefault="00B75DE8" w:rsidP="00007BB2">
            <w:pPr>
              <w:rPr>
                <w:b/>
              </w:rPr>
            </w:pPr>
          </w:p>
        </w:tc>
        <w:tc>
          <w:tcPr>
            <w:tcW w:w="828" w:type="dxa"/>
            <w:tcBorders>
              <w:top w:val="single" w:sz="4" w:space="0" w:color="auto"/>
            </w:tcBorders>
            <w:shd w:val="clear" w:color="auto" w:fill="auto"/>
          </w:tcPr>
          <w:p w:rsidR="00B75DE8" w:rsidRPr="003A5617" w:rsidRDefault="00B75DE8" w:rsidP="00007BB2">
            <w:pPr>
              <w:rPr>
                <w:b/>
              </w:rPr>
            </w:pPr>
          </w:p>
        </w:tc>
        <w:tc>
          <w:tcPr>
            <w:tcW w:w="993" w:type="dxa"/>
            <w:tcBorders>
              <w:top w:val="single" w:sz="4" w:space="0" w:color="auto"/>
            </w:tcBorders>
            <w:shd w:val="clear" w:color="auto" w:fill="auto"/>
          </w:tcPr>
          <w:p w:rsidR="00B75DE8" w:rsidRPr="003A5617" w:rsidRDefault="00B75DE8" w:rsidP="00007BB2">
            <w:pPr>
              <w:rPr>
                <w:b/>
              </w:rPr>
            </w:pPr>
          </w:p>
        </w:tc>
        <w:tc>
          <w:tcPr>
            <w:tcW w:w="2384" w:type="dxa"/>
            <w:gridSpan w:val="2"/>
            <w:tcBorders>
              <w:top w:val="single" w:sz="4" w:space="0" w:color="auto"/>
              <w:bottom w:val="single" w:sz="4" w:space="0" w:color="auto"/>
            </w:tcBorders>
            <w:shd w:val="clear" w:color="auto" w:fill="auto"/>
          </w:tcPr>
          <w:p w:rsidR="00B75DE8" w:rsidRPr="003A5617" w:rsidRDefault="00B75DE8" w:rsidP="00007BB2">
            <w:pPr>
              <w:jc w:val="center"/>
              <w:rPr>
                <w:b/>
              </w:rPr>
            </w:pPr>
            <w:r w:rsidRPr="003A5617">
              <w:rPr>
                <w:b/>
                <w:sz w:val="20"/>
              </w:rPr>
              <w:t>95% Confidence Interval</w:t>
            </w:r>
          </w:p>
        </w:tc>
        <w:tc>
          <w:tcPr>
            <w:tcW w:w="734" w:type="dxa"/>
            <w:tcBorders>
              <w:top w:val="single" w:sz="4" w:space="0" w:color="auto"/>
            </w:tcBorders>
          </w:tcPr>
          <w:p w:rsidR="00B75DE8" w:rsidRPr="003A5617" w:rsidRDefault="00B75DE8" w:rsidP="00007BB2">
            <w:pPr>
              <w:jc w:val="center"/>
              <w:rPr>
                <w:b/>
              </w:rPr>
            </w:pPr>
          </w:p>
        </w:tc>
        <w:tc>
          <w:tcPr>
            <w:tcW w:w="851" w:type="dxa"/>
            <w:tcBorders>
              <w:top w:val="single" w:sz="4" w:space="0" w:color="auto"/>
            </w:tcBorders>
          </w:tcPr>
          <w:p w:rsidR="00B75DE8" w:rsidRPr="003A5617" w:rsidRDefault="00B75DE8" w:rsidP="00007BB2">
            <w:pPr>
              <w:jc w:val="center"/>
              <w:rPr>
                <w:b/>
              </w:rPr>
            </w:pPr>
          </w:p>
        </w:tc>
        <w:tc>
          <w:tcPr>
            <w:tcW w:w="1134" w:type="dxa"/>
            <w:tcBorders>
              <w:top w:val="single" w:sz="4" w:space="0" w:color="auto"/>
            </w:tcBorders>
          </w:tcPr>
          <w:p w:rsidR="00B75DE8" w:rsidRPr="003A5617" w:rsidRDefault="00B75DE8" w:rsidP="00007BB2">
            <w:pPr>
              <w:jc w:val="center"/>
              <w:rPr>
                <w:b/>
              </w:rPr>
            </w:pPr>
          </w:p>
        </w:tc>
        <w:tc>
          <w:tcPr>
            <w:tcW w:w="2835" w:type="dxa"/>
            <w:gridSpan w:val="2"/>
            <w:tcBorders>
              <w:top w:val="single" w:sz="4" w:space="0" w:color="auto"/>
              <w:bottom w:val="single" w:sz="4" w:space="0" w:color="auto"/>
            </w:tcBorders>
          </w:tcPr>
          <w:p w:rsidR="00B75DE8" w:rsidRPr="003A5617" w:rsidRDefault="00B75DE8" w:rsidP="00007BB2">
            <w:pPr>
              <w:jc w:val="center"/>
              <w:rPr>
                <w:b/>
              </w:rPr>
            </w:pPr>
            <w:r w:rsidRPr="003A5617">
              <w:rPr>
                <w:b/>
                <w:sz w:val="20"/>
              </w:rPr>
              <w:t>95% Confidence Interval</w:t>
            </w:r>
          </w:p>
        </w:tc>
      </w:tr>
      <w:tr w:rsidR="00B75DE8" w:rsidRPr="003A5617" w:rsidTr="00007BB2">
        <w:tc>
          <w:tcPr>
            <w:tcW w:w="1439" w:type="dxa"/>
            <w:gridSpan w:val="2"/>
            <w:tcBorders>
              <w:bottom w:val="single" w:sz="4" w:space="0" w:color="auto"/>
            </w:tcBorders>
            <w:shd w:val="clear" w:color="auto" w:fill="auto"/>
          </w:tcPr>
          <w:p w:rsidR="00B75DE8" w:rsidRPr="003A5617" w:rsidRDefault="00B75DE8" w:rsidP="00007BB2">
            <w:pPr>
              <w:jc w:val="center"/>
              <w:rPr>
                <w:b/>
              </w:rPr>
            </w:pPr>
          </w:p>
        </w:tc>
        <w:tc>
          <w:tcPr>
            <w:tcW w:w="839" w:type="dxa"/>
            <w:tcBorders>
              <w:bottom w:val="single" w:sz="4" w:space="0" w:color="auto"/>
            </w:tcBorders>
            <w:shd w:val="clear" w:color="auto" w:fill="auto"/>
          </w:tcPr>
          <w:p w:rsidR="00B75DE8" w:rsidRPr="003A5617" w:rsidRDefault="00B75DE8" w:rsidP="00007BB2">
            <w:pPr>
              <w:jc w:val="center"/>
              <w:rPr>
                <w:b/>
              </w:rPr>
            </w:pPr>
            <w:r w:rsidRPr="003A5617">
              <w:rPr>
                <w:b/>
              </w:rPr>
              <w:t>B</w:t>
            </w:r>
          </w:p>
        </w:tc>
        <w:tc>
          <w:tcPr>
            <w:tcW w:w="828" w:type="dxa"/>
            <w:tcBorders>
              <w:bottom w:val="single" w:sz="4" w:space="0" w:color="auto"/>
            </w:tcBorders>
            <w:shd w:val="clear" w:color="auto" w:fill="auto"/>
          </w:tcPr>
          <w:p w:rsidR="00B75DE8" w:rsidRPr="003A5617" w:rsidRDefault="00B75DE8" w:rsidP="00007BB2">
            <w:pPr>
              <w:jc w:val="center"/>
              <w:rPr>
                <w:b/>
              </w:rPr>
            </w:pPr>
            <w:r w:rsidRPr="003A5617">
              <w:rPr>
                <w:b/>
              </w:rPr>
              <w:t>SE</w:t>
            </w:r>
          </w:p>
        </w:tc>
        <w:tc>
          <w:tcPr>
            <w:tcW w:w="993" w:type="dxa"/>
            <w:tcBorders>
              <w:bottom w:val="single" w:sz="4" w:space="0" w:color="auto"/>
            </w:tcBorders>
            <w:shd w:val="clear" w:color="auto" w:fill="auto"/>
          </w:tcPr>
          <w:p w:rsidR="00B75DE8" w:rsidRPr="003A5617" w:rsidRDefault="00B75DE8" w:rsidP="00007BB2">
            <w:pPr>
              <w:jc w:val="center"/>
              <w:rPr>
                <w:b/>
              </w:rPr>
            </w:pPr>
            <w:r w:rsidRPr="003A5617">
              <w:rPr>
                <w:b/>
              </w:rPr>
              <w:t>t</w:t>
            </w:r>
          </w:p>
        </w:tc>
        <w:tc>
          <w:tcPr>
            <w:tcW w:w="1160" w:type="dxa"/>
            <w:tcBorders>
              <w:top w:val="single" w:sz="4" w:space="0" w:color="auto"/>
              <w:bottom w:val="single" w:sz="4" w:space="0" w:color="auto"/>
            </w:tcBorders>
            <w:shd w:val="clear" w:color="auto" w:fill="auto"/>
          </w:tcPr>
          <w:p w:rsidR="00B75DE8" w:rsidRPr="003A5617" w:rsidRDefault="00B75DE8" w:rsidP="00007BB2">
            <w:pPr>
              <w:jc w:val="center"/>
              <w:rPr>
                <w:b/>
              </w:rPr>
            </w:pPr>
            <w:r w:rsidRPr="003A5617">
              <w:rPr>
                <w:b/>
              </w:rPr>
              <w:t>LL</w:t>
            </w:r>
          </w:p>
        </w:tc>
        <w:tc>
          <w:tcPr>
            <w:tcW w:w="1224" w:type="dxa"/>
            <w:tcBorders>
              <w:top w:val="single" w:sz="4" w:space="0" w:color="auto"/>
              <w:bottom w:val="single" w:sz="4" w:space="0" w:color="auto"/>
            </w:tcBorders>
            <w:shd w:val="clear" w:color="auto" w:fill="auto"/>
          </w:tcPr>
          <w:p w:rsidR="00B75DE8" w:rsidRPr="003A5617" w:rsidRDefault="00B75DE8" w:rsidP="00007BB2">
            <w:pPr>
              <w:jc w:val="center"/>
              <w:rPr>
                <w:b/>
              </w:rPr>
            </w:pPr>
            <w:r w:rsidRPr="003A5617">
              <w:rPr>
                <w:b/>
              </w:rPr>
              <w:t>UL</w:t>
            </w:r>
          </w:p>
        </w:tc>
        <w:tc>
          <w:tcPr>
            <w:tcW w:w="734" w:type="dxa"/>
            <w:tcBorders>
              <w:bottom w:val="single" w:sz="4" w:space="0" w:color="auto"/>
            </w:tcBorders>
          </w:tcPr>
          <w:p w:rsidR="00B75DE8" w:rsidRPr="003A5617" w:rsidRDefault="00B75DE8" w:rsidP="00007BB2">
            <w:pPr>
              <w:jc w:val="center"/>
              <w:rPr>
                <w:b/>
              </w:rPr>
            </w:pPr>
            <w:r w:rsidRPr="003A5617">
              <w:rPr>
                <w:b/>
              </w:rPr>
              <w:t>B</w:t>
            </w:r>
          </w:p>
        </w:tc>
        <w:tc>
          <w:tcPr>
            <w:tcW w:w="851" w:type="dxa"/>
            <w:tcBorders>
              <w:bottom w:val="single" w:sz="4" w:space="0" w:color="auto"/>
            </w:tcBorders>
          </w:tcPr>
          <w:p w:rsidR="00B75DE8" w:rsidRPr="003A5617" w:rsidRDefault="00B75DE8" w:rsidP="00007BB2">
            <w:pPr>
              <w:jc w:val="center"/>
              <w:rPr>
                <w:b/>
              </w:rPr>
            </w:pPr>
            <w:r w:rsidRPr="003A5617">
              <w:rPr>
                <w:b/>
              </w:rPr>
              <w:t>SE</w:t>
            </w:r>
          </w:p>
        </w:tc>
        <w:tc>
          <w:tcPr>
            <w:tcW w:w="1134" w:type="dxa"/>
            <w:tcBorders>
              <w:bottom w:val="single" w:sz="4" w:space="0" w:color="auto"/>
            </w:tcBorders>
          </w:tcPr>
          <w:p w:rsidR="00B75DE8" w:rsidRPr="003A5617" w:rsidRDefault="00B75DE8" w:rsidP="00007BB2">
            <w:pPr>
              <w:jc w:val="center"/>
              <w:rPr>
                <w:b/>
              </w:rPr>
            </w:pPr>
            <w:r w:rsidRPr="003A5617">
              <w:rPr>
                <w:b/>
              </w:rPr>
              <w:t>t</w:t>
            </w:r>
          </w:p>
        </w:tc>
        <w:tc>
          <w:tcPr>
            <w:tcW w:w="1417" w:type="dxa"/>
            <w:tcBorders>
              <w:top w:val="single" w:sz="4" w:space="0" w:color="auto"/>
              <w:bottom w:val="single" w:sz="4" w:space="0" w:color="auto"/>
            </w:tcBorders>
          </w:tcPr>
          <w:p w:rsidR="00B75DE8" w:rsidRPr="003A5617" w:rsidRDefault="00B75DE8" w:rsidP="00007BB2">
            <w:pPr>
              <w:jc w:val="center"/>
              <w:rPr>
                <w:b/>
              </w:rPr>
            </w:pPr>
            <w:r w:rsidRPr="003A5617">
              <w:rPr>
                <w:b/>
              </w:rPr>
              <w:t>LL</w:t>
            </w:r>
          </w:p>
        </w:tc>
        <w:tc>
          <w:tcPr>
            <w:tcW w:w="1418" w:type="dxa"/>
            <w:tcBorders>
              <w:top w:val="single" w:sz="4" w:space="0" w:color="auto"/>
              <w:bottom w:val="single" w:sz="4" w:space="0" w:color="auto"/>
            </w:tcBorders>
          </w:tcPr>
          <w:p w:rsidR="00B75DE8" w:rsidRPr="003A5617" w:rsidRDefault="00B75DE8" w:rsidP="00007BB2">
            <w:pPr>
              <w:jc w:val="center"/>
              <w:rPr>
                <w:b/>
              </w:rPr>
            </w:pPr>
            <w:r w:rsidRPr="003A5617">
              <w:rPr>
                <w:b/>
              </w:rPr>
              <w:t>UL</w:t>
            </w:r>
          </w:p>
        </w:tc>
      </w:tr>
      <w:tr w:rsidR="00B75DE8" w:rsidRPr="003A5617" w:rsidTr="00007BB2">
        <w:tc>
          <w:tcPr>
            <w:tcW w:w="1439" w:type="dxa"/>
            <w:gridSpan w:val="2"/>
            <w:tcBorders>
              <w:top w:val="single" w:sz="4" w:space="0" w:color="auto"/>
            </w:tcBorders>
            <w:shd w:val="clear" w:color="auto" w:fill="auto"/>
          </w:tcPr>
          <w:p w:rsidR="00B75DE8" w:rsidRPr="003A5617" w:rsidRDefault="00B75DE8" w:rsidP="00007BB2">
            <w:pPr>
              <w:rPr>
                <w:b/>
              </w:rPr>
            </w:pPr>
            <w:r w:rsidRPr="003A5617">
              <w:rPr>
                <w:b/>
              </w:rPr>
              <w:t>Step 1</w:t>
            </w:r>
          </w:p>
        </w:tc>
        <w:tc>
          <w:tcPr>
            <w:tcW w:w="839" w:type="dxa"/>
            <w:tcBorders>
              <w:top w:val="single" w:sz="4" w:space="0" w:color="auto"/>
            </w:tcBorders>
            <w:shd w:val="clear" w:color="auto" w:fill="auto"/>
          </w:tcPr>
          <w:p w:rsidR="00B75DE8" w:rsidRPr="003A5617" w:rsidRDefault="00B75DE8" w:rsidP="00007BB2">
            <w:pPr>
              <w:jc w:val="center"/>
            </w:pPr>
          </w:p>
        </w:tc>
        <w:tc>
          <w:tcPr>
            <w:tcW w:w="828" w:type="dxa"/>
            <w:tcBorders>
              <w:top w:val="single" w:sz="4" w:space="0" w:color="auto"/>
            </w:tcBorders>
            <w:shd w:val="clear" w:color="auto" w:fill="auto"/>
          </w:tcPr>
          <w:p w:rsidR="00B75DE8" w:rsidRPr="003A5617" w:rsidRDefault="00B75DE8" w:rsidP="00007BB2">
            <w:pPr>
              <w:jc w:val="center"/>
            </w:pPr>
          </w:p>
        </w:tc>
        <w:tc>
          <w:tcPr>
            <w:tcW w:w="993" w:type="dxa"/>
            <w:tcBorders>
              <w:top w:val="single" w:sz="4" w:space="0" w:color="auto"/>
            </w:tcBorders>
            <w:shd w:val="clear" w:color="auto" w:fill="auto"/>
          </w:tcPr>
          <w:p w:rsidR="00B75DE8" w:rsidRPr="003A5617" w:rsidRDefault="00B75DE8" w:rsidP="00007BB2">
            <w:pPr>
              <w:jc w:val="center"/>
            </w:pPr>
          </w:p>
        </w:tc>
        <w:tc>
          <w:tcPr>
            <w:tcW w:w="1160" w:type="dxa"/>
            <w:tcBorders>
              <w:top w:val="single" w:sz="4" w:space="0" w:color="auto"/>
            </w:tcBorders>
            <w:shd w:val="clear" w:color="auto" w:fill="auto"/>
          </w:tcPr>
          <w:p w:rsidR="00B75DE8" w:rsidRPr="003A5617" w:rsidRDefault="00B75DE8" w:rsidP="00007BB2">
            <w:pPr>
              <w:jc w:val="center"/>
            </w:pPr>
          </w:p>
        </w:tc>
        <w:tc>
          <w:tcPr>
            <w:tcW w:w="1224" w:type="dxa"/>
            <w:tcBorders>
              <w:top w:val="single" w:sz="4" w:space="0" w:color="auto"/>
            </w:tcBorders>
            <w:shd w:val="clear" w:color="auto" w:fill="auto"/>
          </w:tcPr>
          <w:p w:rsidR="00B75DE8" w:rsidRPr="003A5617" w:rsidRDefault="00B75DE8" w:rsidP="00007BB2">
            <w:pPr>
              <w:jc w:val="center"/>
            </w:pPr>
          </w:p>
        </w:tc>
        <w:tc>
          <w:tcPr>
            <w:tcW w:w="734" w:type="dxa"/>
            <w:tcBorders>
              <w:top w:val="single" w:sz="4" w:space="0" w:color="auto"/>
            </w:tcBorders>
          </w:tcPr>
          <w:p w:rsidR="00B75DE8" w:rsidRPr="003A5617" w:rsidRDefault="00B75DE8" w:rsidP="00007BB2">
            <w:pPr>
              <w:jc w:val="center"/>
            </w:pPr>
          </w:p>
        </w:tc>
        <w:tc>
          <w:tcPr>
            <w:tcW w:w="851" w:type="dxa"/>
            <w:tcBorders>
              <w:top w:val="single" w:sz="4" w:space="0" w:color="auto"/>
            </w:tcBorders>
          </w:tcPr>
          <w:p w:rsidR="00B75DE8" w:rsidRPr="003A5617" w:rsidRDefault="00B75DE8" w:rsidP="00007BB2">
            <w:pPr>
              <w:jc w:val="center"/>
            </w:pPr>
          </w:p>
        </w:tc>
        <w:tc>
          <w:tcPr>
            <w:tcW w:w="1134" w:type="dxa"/>
            <w:tcBorders>
              <w:top w:val="single" w:sz="4" w:space="0" w:color="auto"/>
            </w:tcBorders>
          </w:tcPr>
          <w:p w:rsidR="00B75DE8" w:rsidRPr="003A5617" w:rsidRDefault="00B75DE8" w:rsidP="00007BB2">
            <w:pPr>
              <w:jc w:val="center"/>
            </w:pPr>
          </w:p>
        </w:tc>
        <w:tc>
          <w:tcPr>
            <w:tcW w:w="1417" w:type="dxa"/>
            <w:tcBorders>
              <w:top w:val="single" w:sz="4" w:space="0" w:color="auto"/>
            </w:tcBorders>
          </w:tcPr>
          <w:p w:rsidR="00B75DE8" w:rsidRPr="003A5617" w:rsidRDefault="00B75DE8" w:rsidP="00007BB2">
            <w:pPr>
              <w:jc w:val="center"/>
            </w:pPr>
          </w:p>
        </w:tc>
        <w:tc>
          <w:tcPr>
            <w:tcW w:w="1418" w:type="dxa"/>
            <w:tcBorders>
              <w:top w:val="single" w:sz="4" w:space="0" w:color="auto"/>
            </w:tcBorders>
          </w:tcPr>
          <w:p w:rsidR="00B75DE8" w:rsidRPr="003A5617" w:rsidRDefault="00B75DE8" w:rsidP="00007BB2">
            <w:pPr>
              <w:jc w:val="center"/>
            </w:pPr>
          </w:p>
        </w:tc>
      </w:tr>
      <w:tr w:rsidR="00B75DE8" w:rsidRPr="003A5617" w:rsidTr="00007BB2">
        <w:tc>
          <w:tcPr>
            <w:tcW w:w="250" w:type="dxa"/>
            <w:shd w:val="clear" w:color="auto" w:fill="auto"/>
          </w:tcPr>
          <w:p w:rsidR="00B75DE8" w:rsidRPr="003A5617" w:rsidRDefault="00B75DE8" w:rsidP="00007BB2"/>
        </w:tc>
        <w:tc>
          <w:tcPr>
            <w:tcW w:w="1189" w:type="dxa"/>
            <w:shd w:val="clear" w:color="auto" w:fill="auto"/>
          </w:tcPr>
          <w:p w:rsidR="00B75DE8" w:rsidRPr="003A5617" w:rsidRDefault="00B75DE8" w:rsidP="00007BB2">
            <w:r w:rsidRPr="003A5617">
              <w:rPr>
                <w:rFonts w:eastAsia="MS Mincho"/>
              </w:rPr>
              <w:t>HADS-A</w:t>
            </w:r>
          </w:p>
        </w:tc>
        <w:tc>
          <w:tcPr>
            <w:tcW w:w="839" w:type="dxa"/>
            <w:shd w:val="clear" w:color="auto" w:fill="auto"/>
          </w:tcPr>
          <w:p w:rsidR="00B75DE8" w:rsidRPr="003A5617" w:rsidRDefault="00B75DE8" w:rsidP="00007BB2">
            <w:pPr>
              <w:jc w:val="center"/>
            </w:pPr>
            <w:r w:rsidRPr="003A5617">
              <w:t>-.61</w:t>
            </w:r>
          </w:p>
        </w:tc>
        <w:tc>
          <w:tcPr>
            <w:tcW w:w="828" w:type="dxa"/>
            <w:shd w:val="clear" w:color="auto" w:fill="auto"/>
          </w:tcPr>
          <w:p w:rsidR="00B75DE8" w:rsidRPr="003A5617" w:rsidRDefault="00B75DE8" w:rsidP="00007BB2">
            <w:pPr>
              <w:jc w:val="center"/>
            </w:pPr>
            <w:r w:rsidRPr="003A5617">
              <w:t>.27</w:t>
            </w:r>
          </w:p>
        </w:tc>
        <w:tc>
          <w:tcPr>
            <w:tcW w:w="993" w:type="dxa"/>
            <w:shd w:val="clear" w:color="auto" w:fill="auto"/>
          </w:tcPr>
          <w:p w:rsidR="00B75DE8" w:rsidRPr="003A5617" w:rsidRDefault="00B75DE8" w:rsidP="00007BB2">
            <w:pPr>
              <w:jc w:val="center"/>
            </w:pPr>
            <w:r w:rsidRPr="003A5617">
              <w:t>-2.44**</w:t>
            </w:r>
          </w:p>
        </w:tc>
        <w:tc>
          <w:tcPr>
            <w:tcW w:w="1160" w:type="dxa"/>
            <w:shd w:val="clear" w:color="auto" w:fill="auto"/>
          </w:tcPr>
          <w:p w:rsidR="00B75DE8" w:rsidRPr="003A5617" w:rsidRDefault="00B75DE8" w:rsidP="00007BB2">
            <w:pPr>
              <w:jc w:val="center"/>
            </w:pPr>
            <w:r w:rsidRPr="003A5617">
              <w:t>-1.20</w:t>
            </w:r>
          </w:p>
        </w:tc>
        <w:tc>
          <w:tcPr>
            <w:tcW w:w="1224" w:type="dxa"/>
            <w:shd w:val="clear" w:color="auto" w:fill="auto"/>
          </w:tcPr>
          <w:p w:rsidR="00B75DE8" w:rsidRPr="003A5617" w:rsidRDefault="00B75DE8" w:rsidP="00007BB2">
            <w:pPr>
              <w:jc w:val="center"/>
            </w:pPr>
            <w:r w:rsidRPr="003A5617">
              <w:t>-.15</w:t>
            </w:r>
          </w:p>
        </w:tc>
        <w:tc>
          <w:tcPr>
            <w:tcW w:w="734" w:type="dxa"/>
          </w:tcPr>
          <w:p w:rsidR="00B75DE8" w:rsidRPr="003A5617" w:rsidRDefault="00B75DE8" w:rsidP="00007BB2">
            <w:pPr>
              <w:jc w:val="center"/>
            </w:pPr>
            <w:r w:rsidRPr="003A5617">
              <w:t>-</w:t>
            </w:r>
          </w:p>
        </w:tc>
        <w:tc>
          <w:tcPr>
            <w:tcW w:w="851" w:type="dxa"/>
          </w:tcPr>
          <w:p w:rsidR="00B75DE8" w:rsidRPr="003A5617" w:rsidRDefault="00B75DE8" w:rsidP="00007BB2">
            <w:pPr>
              <w:jc w:val="center"/>
            </w:pPr>
            <w:r w:rsidRPr="003A5617">
              <w:t>-</w:t>
            </w:r>
          </w:p>
        </w:tc>
        <w:tc>
          <w:tcPr>
            <w:tcW w:w="1134" w:type="dxa"/>
          </w:tcPr>
          <w:p w:rsidR="00B75DE8" w:rsidRPr="003A5617" w:rsidRDefault="00B75DE8" w:rsidP="00007BB2">
            <w:pPr>
              <w:jc w:val="center"/>
            </w:pPr>
            <w:r w:rsidRPr="003A5617">
              <w:t>-</w:t>
            </w:r>
          </w:p>
        </w:tc>
        <w:tc>
          <w:tcPr>
            <w:tcW w:w="1417" w:type="dxa"/>
          </w:tcPr>
          <w:p w:rsidR="00B75DE8" w:rsidRPr="003A5617" w:rsidRDefault="00B75DE8" w:rsidP="00007BB2">
            <w:pPr>
              <w:jc w:val="center"/>
            </w:pPr>
            <w:r w:rsidRPr="003A5617">
              <w:t>-</w:t>
            </w:r>
          </w:p>
        </w:tc>
        <w:tc>
          <w:tcPr>
            <w:tcW w:w="1418" w:type="dxa"/>
          </w:tcPr>
          <w:p w:rsidR="00B75DE8" w:rsidRPr="003A5617" w:rsidRDefault="00B75DE8" w:rsidP="00007BB2">
            <w:pPr>
              <w:jc w:val="center"/>
            </w:pPr>
            <w:r w:rsidRPr="003A5617">
              <w:t>-</w:t>
            </w:r>
          </w:p>
        </w:tc>
      </w:tr>
      <w:tr w:rsidR="00B75DE8" w:rsidRPr="003A5617" w:rsidTr="00007BB2">
        <w:tc>
          <w:tcPr>
            <w:tcW w:w="250" w:type="dxa"/>
            <w:shd w:val="clear" w:color="auto" w:fill="auto"/>
          </w:tcPr>
          <w:p w:rsidR="00B75DE8" w:rsidRPr="003A5617" w:rsidRDefault="00B75DE8" w:rsidP="00007BB2"/>
        </w:tc>
        <w:tc>
          <w:tcPr>
            <w:tcW w:w="1189" w:type="dxa"/>
            <w:shd w:val="clear" w:color="auto" w:fill="auto"/>
          </w:tcPr>
          <w:p w:rsidR="00B75DE8" w:rsidRPr="003A5617" w:rsidRDefault="00B75DE8" w:rsidP="00007BB2">
            <w:pPr>
              <w:rPr>
                <w:rFonts w:eastAsia="MS Mincho"/>
              </w:rPr>
            </w:pPr>
            <w:r w:rsidRPr="003A5617">
              <w:rPr>
                <w:rFonts w:eastAsia="MS Mincho"/>
              </w:rPr>
              <w:t>HADS-D</w:t>
            </w:r>
          </w:p>
        </w:tc>
        <w:tc>
          <w:tcPr>
            <w:tcW w:w="839" w:type="dxa"/>
            <w:shd w:val="clear" w:color="auto" w:fill="auto"/>
          </w:tcPr>
          <w:p w:rsidR="00B75DE8" w:rsidRPr="003A5617" w:rsidRDefault="00B75DE8" w:rsidP="00007BB2">
            <w:pPr>
              <w:jc w:val="center"/>
            </w:pPr>
            <w:r w:rsidRPr="003A5617">
              <w:t>.64</w:t>
            </w:r>
          </w:p>
        </w:tc>
        <w:tc>
          <w:tcPr>
            <w:tcW w:w="828" w:type="dxa"/>
            <w:shd w:val="clear" w:color="auto" w:fill="auto"/>
          </w:tcPr>
          <w:p w:rsidR="00B75DE8" w:rsidRPr="003A5617" w:rsidRDefault="00B75DE8" w:rsidP="00007BB2">
            <w:pPr>
              <w:jc w:val="center"/>
            </w:pPr>
            <w:r w:rsidRPr="003A5617">
              <w:t>.33</w:t>
            </w:r>
          </w:p>
        </w:tc>
        <w:tc>
          <w:tcPr>
            <w:tcW w:w="993" w:type="dxa"/>
            <w:shd w:val="clear" w:color="auto" w:fill="auto"/>
          </w:tcPr>
          <w:p w:rsidR="00B75DE8" w:rsidRPr="003A5617" w:rsidRDefault="00B75DE8" w:rsidP="00007BB2">
            <w:pPr>
              <w:jc w:val="center"/>
            </w:pPr>
            <w:r w:rsidRPr="003A5617">
              <w:t>2.12</w:t>
            </w:r>
          </w:p>
        </w:tc>
        <w:tc>
          <w:tcPr>
            <w:tcW w:w="1160" w:type="dxa"/>
            <w:shd w:val="clear" w:color="auto" w:fill="auto"/>
          </w:tcPr>
          <w:p w:rsidR="00B75DE8" w:rsidRPr="003A5617" w:rsidRDefault="00B75DE8" w:rsidP="00007BB2">
            <w:pPr>
              <w:jc w:val="center"/>
            </w:pPr>
            <w:r w:rsidRPr="003A5617">
              <w:t>-.13</w:t>
            </w:r>
          </w:p>
        </w:tc>
        <w:tc>
          <w:tcPr>
            <w:tcW w:w="1224" w:type="dxa"/>
            <w:shd w:val="clear" w:color="auto" w:fill="auto"/>
          </w:tcPr>
          <w:p w:rsidR="00B75DE8" w:rsidRPr="003A5617" w:rsidRDefault="00B75DE8" w:rsidP="00007BB2">
            <w:pPr>
              <w:jc w:val="center"/>
            </w:pPr>
            <w:r w:rsidRPr="003A5617">
              <w:t>1.22</w:t>
            </w:r>
          </w:p>
        </w:tc>
        <w:tc>
          <w:tcPr>
            <w:tcW w:w="734" w:type="dxa"/>
          </w:tcPr>
          <w:p w:rsidR="00B75DE8" w:rsidRPr="003A5617" w:rsidRDefault="00B75DE8" w:rsidP="00007BB2">
            <w:pPr>
              <w:jc w:val="center"/>
            </w:pPr>
            <w:r w:rsidRPr="003A5617">
              <w:t>.08</w:t>
            </w:r>
          </w:p>
        </w:tc>
        <w:tc>
          <w:tcPr>
            <w:tcW w:w="851" w:type="dxa"/>
          </w:tcPr>
          <w:p w:rsidR="00B75DE8" w:rsidRPr="003A5617" w:rsidRDefault="00B75DE8" w:rsidP="00007BB2">
            <w:pPr>
              <w:jc w:val="center"/>
            </w:pPr>
            <w:r w:rsidRPr="003A5617">
              <w:t>.08</w:t>
            </w:r>
          </w:p>
        </w:tc>
        <w:tc>
          <w:tcPr>
            <w:tcW w:w="1134" w:type="dxa"/>
          </w:tcPr>
          <w:p w:rsidR="00B75DE8" w:rsidRPr="003A5617" w:rsidRDefault="00B75DE8" w:rsidP="00007BB2">
            <w:pPr>
              <w:jc w:val="center"/>
            </w:pPr>
            <w:r w:rsidRPr="003A5617">
              <w:t>1.07</w:t>
            </w:r>
          </w:p>
        </w:tc>
        <w:tc>
          <w:tcPr>
            <w:tcW w:w="1417" w:type="dxa"/>
          </w:tcPr>
          <w:p w:rsidR="00B75DE8" w:rsidRPr="003A5617" w:rsidRDefault="00B75DE8" w:rsidP="00007BB2">
            <w:pPr>
              <w:jc w:val="center"/>
            </w:pPr>
            <w:r w:rsidRPr="003A5617">
              <w:t>-.06</w:t>
            </w:r>
          </w:p>
        </w:tc>
        <w:tc>
          <w:tcPr>
            <w:tcW w:w="1418" w:type="dxa"/>
          </w:tcPr>
          <w:p w:rsidR="00B75DE8" w:rsidRPr="003A5617" w:rsidRDefault="00B75DE8" w:rsidP="00007BB2">
            <w:pPr>
              <w:jc w:val="center"/>
            </w:pPr>
            <w:r w:rsidRPr="003A5617">
              <w:t>.26</w:t>
            </w:r>
          </w:p>
        </w:tc>
      </w:tr>
      <w:tr w:rsidR="00B75DE8" w:rsidRPr="003A5617" w:rsidTr="00007BB2">
        <w:tc>
          <w:tcPr>
            <w:tcW w:w="250" w:type="dxa"/>
            <w:shd w:val="clear" w:color="auto" w:fill="auto"/>
          </w:tcPr>
          <w:p w:rsidR="00B75DE8" w:rsidRPr="003A5617" w:rsidRDefault="00B75DE8" w:rsidP="00007BB2"/>
        </w:tc>
        <w:tc>
          <w:tcPr>
            <w:tcW w:w="1189" w:type="dxa"/>
            <w:shd w:val="clear" w:color="auto" w:fill="auto"/>
          </w:tcPr>
          <w:p w:rsidR="00B75DE8" w:rsidRPr="003A5617" w:rsidRDefault="00B75DE8" w:rsidP="00007BB2">
            <w:pPr>
              <w:rPr>
                <w:rFonts w:eastAsia="MS Mincho"/>
              </w:rPr>
            </w:pPr>
            <w:r w:rsidRPr="003A5617">
              <w:rPr>
                <w:rFonts w:eastAsia="MS Mincho"/>
              </w:rPr>
              <w:t>GBQ</w:t>
            </w:r>
          </w:p>
        </w:tc>
        <w:tc>
          <w:tcPr>
            <w:tcW w:w="839" w:type="dxa"/>
            <w:shd w:val="clear" w:color="auto" w:fill="auto"/>
          </w:tcPr>
          <w:p w:rsidR="00B75DE8" w:rsidRPr="003A5617" w:rsidRDefault="00B75DE8" w:rsidP="00007BB2">
            <w:pPr>
              <w:jc w:val="center"/>
            </w:pPr>
            <w:r w:rsidRPr="003A5617">
              <w:t>-.04</w:t>
            </w:r>
          </w:p>
        </w:tc>
        <w:tc>
          <w:tcPr>
            <w:tcW w:w="828" w:type="dxa"/>
            <w:shd w:val="clear" w:color="auto" w:fill="auto"/>
          </w:tcPr>
          <w:p w:rsidR="00B75DE8" w:rsidRPr="003A5617" w:rsidRDefault="00B75DE8" w:rsidP="00007BB2">
            <w:pPr>
              <w:jc w:val="center"/>
            </w:pPr>
            <w:r w:rsidRPr="003A5617">
              <w:t>.04</w:t>
            </w:r>
          </w:p>
        </w:tc>
        <w:tc>
          <w:tcPr>
            <w:tcW w:w="993" w:type="dxa"/>
            <w:shd w:val="clear" w:color="auto" w:fill="auto"/>
          </w:tcPr>
          <w:p w:rsidR="00B75DE8" w:rsidRPr="003A5617" w:rsidRDefault="00B75DE8" w:rsidP="00007BB2">
            <w:pPr>
              <w:jc w:val="center"/>
            </w:pPr>
            <w:r w:rsidRPr="003A5617">
              <w:t>-1.06</w:t>
            </w:r>
          </w:p>
        </w:tc>
        <w:tc>
          <w:tcPr>
            <w:tcW w:w="1160" w:type="dxa"/>
            <w:shd w:val="clear" w:color="auto" w:fill="auto"/>
          </w:tcPr>
          <w:p w:rsidR="00B75DE8" w:rsidRPr="003A5617" w:rsidRDefault="00B75DE8" w:rsidP="00007BB2">
            <w:pPr>
              <w:jc w:val="center"/>
            </w:pPr>
            <w:r w:rsidRPr="003A5617">
              <w:t>-.10</w:t>
            </w:r>
          </w:p>
        </w:tc>
        <w:tc>
          <w:tcPr>
            <w:tcW w:w="1224" w:type="dxa"/>
            <w:shd w:val="clear" w:color="auto" w:fill="auto"/>
          </w:tcPr>
          <w:p w:rsidR="00B75DE8" w:rsidRPr="003A5617" w:rsidRDefault="00B75DE8" w:rsidP="00007BB2">
            <w:pPr>
              <w:jc w:val="center"/>
            </w:pPr>
            <w:r w:rsidRPr="003A5617">
              <w:t>0.03</w:t>
            </w:r>
          </w:p>
        </w:tc>
        <w:tc>
          <w:tcPr>
            <w:tcW w:w="734" w:type="dxa"/>
          </w:tcPr>
          <w:p w:rsidR="00B75DE8" w:rsidRPr="003A5617" w:rsidRDefault="00B75DE8" w:rsidP="00007BB2">
            <w:pPr>
              <w:jc w:val="center"/>
            </w:pPr>
            <w:r w:rsidRPr="003A5617">
              <w:t>-.04</w:t>
            </w:r>
          </w:p>
        </w:tc>
        <w:tc>
          <w:tcPr>
            <w:tcW w:w="851" w:type="dxa"/>
          </w:tcPr>
          <w:p w:rsidR="00B75DE8" w:rsidRPr="003A5617" w:rsidRDefault="00B75DE8" w:rsidP="00007BB2">
            <w:pPr>
              <w:jc w:val="center"/>
            </w:pPr>
            <w:r w:rsidRPr="003A5617">
              <w:t>.01</w:t>
            </w:r>
          </w:p>
        </w:tc>
        <w:tc>
          <w:tcPr>
            <w:tcW w:w="1134" w:type="dxa"/>
          </w:tcPr>
          <w:p w:rsidR="00B75DE8" w:rsidRPr="003A5617" w:rsidRDefault="00B75DE8" w:rsidP="00007BB2">
            <w:pPr>
              <w:jc w:val="center"/>
            </w:pPr>
            <w:r w:rsidRPr="003A5617">
              <w:t>-3.38</w:t>
            </w:r>
          </w:p>
        </w:tc>
        <w:tc>
          <w:tcPr>
            <w:tcW w:w="1417" w:type="dxa"/>
          </w:tcPr>
          <w:p w:rsidR="00B75DE8" w:rsidRPr="003A5617" w:rsidRDefault="00B75DE8" w:rsidP="00007BB2">
            <w:pPr>
              <w:jc w:val="center"/>
            </w:pPr>
            <w:r w:rsidRPr="003A5617">
              <w:t>-.06</w:t>
            </w:r>
          </w:p>
        </w:tc>
        <w:tc>
          <w:tcPr>
            <w:tcW w:w="1418" w:type="dxa"/>
          </w:tcPr>
          <w:p w:rsidR="00B75DE8" w:rsidRPr="003A5617" w:rsidRDefault="00B75DE8" w:rsidP="00007BB2">
            <w:pPr>
              <w:jc w:val="center"/>
            </w:pPr>
            <w:r w:rsidRPr="003A5617">
              <w:t>-.02</w:t>
            </w:r>
          </w:p>
        </w:tc>
      </w:tr>
      <w:tr w:rsidR="00B75DE8" w:rsidRPr="003A5617" w:rsidTr="00007BB2">
        <w:tc>
          <w:tcPr>
            <w:tcW w:w="250" w:type="dxa"/>
            <w:shd w:val="clear" w:color="auto" w:fill="auto"/>
          </w:tcPr>
          <w:p w:rsidR="00B75DE8" w:rsidRPr="003A5617" w:rsidRDefault="00B75DE8" w:rsidP="00007BB2"/>
        </w:tc>
        <w:tc>
          <w:tcPr>
            <w:tcW w:w="1189" w:type="dxa"/>
            <w:shd w:val="clear" w:color="auto" w:fill="auto"/>
          </w:tcPr>
          <w:p w:rsidR="00B75DE8" w:rsidRPr="003A5617" w:rsidRDefault="00B75DE8" w:rsidP="00007BB2">
            <w:pPr>
              <w:rPr>
                <w:b/>
              </w:rPr>
            </w:pPr>
            <w:r w:rsidRPr="003A5617">
              <w:rPr>
                <w:rFonts w:eastAsia="MS Mincho"/>
                <w:b/>
              </w:rPr>
              <w:t xml:space="preserve"> </w:t>
            </w:r>
          </w:p>
        </w:tc>
        <w:tc>
          <w:tcPr>
            <w:tcW w:w="1667" w:type="dxa"/>
            <w:gridSpan w:val="2"/>
            <w:shd w:val="clear" w:color="auto" w:fill="auto"/>
          </w:tcPr>
          <w:p w:rsidR="00B75DE8" w:rsidRPr="003A5617" w:rsidRDefault="00B75DE8" w:rsidP="00007BB2">
            <w:proofErr w:type="spellStart"/>
            <w:r w:rsidRPr="003A5617">
              <w:rPr>
                <w:i/>
                <w:sz w:val="22"/>
                <w:szCs w:val="22"/>
              </w:rPr>
              <w:t>Adj</w:t>
            </w:r>
            <w:proofErr w:type="spellEnd"/>
            <w:r w:rsidRPr="003A5617">
              <w:rPr>
                <w:i/>
                <w:sz w:val="22"/>
                <w:szCs w:val="22"/>
              </w:rPr>
              <w:t xml:space="preserve"> </w:t>
            </w:r>
            <w:r w:rsidRPr="003A5617">
              <w:rPr>
                <w:bCs/>
                <w:i/>
                <w:sz w:val="22"/>
                <w:szCs w:val="22"/>
              </w:rPr>
              <w:t>r</w:t>
            </w:r>
            <w:r w:rsidRPr="003A5617">
              <w:rPr>
                <w:bCs/>
                <w:sz w:val="22"/>
                <w:szCs w:val="22"/>
                <w:vertAlign w:val="superscript"/>
              </w:rPr>
              <w:t xml:space="preserve">2 </w:t>
            </w:r>
            <w:r w:rsidRPr="003A5617">
              <w:rPr>
                <w:sz w:val="22"/>
                <w:szCs w:val="22"/>
              </w:rPr>
              <w:t>= .25**</w:t>
            </w:r>
          </w:p>
        </w:tc>
        <w:tc>
          <w:tcPr>
            <w:tcW w:w="993" w:type="dxa"/>
            <w:shd w:val="clear" w:color="auto" w:fill="auto"/>
          </w:tcPr>
          <w:p w:rsidR="00B75DE8" w:rsidRPr="003A5617" w:rsidRDefault="00B75DE8" w:rsidP="00007BB2">
            <w:pPr>
              <w:jc w:val="center"/>
            </w:pPr>
            <w:r w:rsidRPr="003A5617">
              <w:t>.</w:t>
            </w:r>
          </w:p>
        </w:tc>
        <w:tc>
          <w:tcPr>
            <w:tcW w:w="1160" w:type="dxa"/>
            <w:shd w:val="clear" w:color="auto" w:fill="auto"/>
          </w:tcPr>
          <w:p w:rsidR="00B75DE8" w:rsidRPr="003A5617" w:rsidRDefault="00B75DE8" w:rsidP="00007BB2">
            <w:pPr>
              <w:jc w:val="center"/>
            </w:pPr>
          </w:p>
        </w:tc>
        <w:tc>
          <w:tcPr>
            <w:tcW w:w="1224" w:type="dxa"/>
            <w:shd w:val="clear" w:color="auto" w:fill="auto"/>
          </w:tcPr>
          <w:p w:rsidR="00B75DE8" w:rsidRPr="003A5617" w:rsidRDefault="00B75DE8" w:rsidP="00007BB2">
            <w:pPr>
              <w:jc w:val="center"/>
            </w:pPr>
          </w:p>
        </w:tc>
        <w:tc>
          <w:tcPr>
            <w:tcW w:w="2719" w:type="dxa"/>
            <w:gridSpan w:val="3"/>
          </w:tcPr>
          <w:p w:rsidR="00B75DE8" w:rsidRPr="003A5617" w:rsidRDefault="00B75DE8" w:rsidP="00007BB2">
            <w:pPr>
              <w:rPr>
                <w:i/>
              </w:rPr>
            </w:pPr>
            <w:proofErr w:type="spellStart"/>
            <w:r w:rsidRPr="003A5617">
              <w:rPr>
                <w:i/>
                <w:sz w:val="22"/>
                <w:szCs w:val="22"/>
              </w:rPr>
              <w:t>Adj</w:t>
            </w:r>
            <w:proofErr w:type="spellEnd"/>
            <w:r w:rsidRPr="003A5617">
              <w:rPr>
                <w:i/>
                <w:sz w:val="22"/>
                <w:szCs w:val="22"/>
              </w:rPr>
              <w:t xml:space="preserve"> </w:t>
            </w:r>
            <w:r w:rsidRPr="003A5617">
              <w:rPr>
                <w:bCs/>
                <w:i/>
                <w:sz w:val="22"/>
                <w:szCs w:val="22"/>
              </w:rPr>
              <w:t>r</w:t>
            </w:r>
            <w:r w:rsidRPr="003A5617">
              <w:rPr>
                <w:bCs/>
                <w:sz w:val="22"/>
                <w:szCs w:val="22"/>
                <w:vertAlign w:val="superscript"/>
              </w:rPr>
              <w:t xml:space="preserve">2 </w:t>
            </w:r>
            <w:r w:rsidRPr="003A5617">
              <w:rPr>
                <w:sz w:val="22"/>
                <w:szCs w:val="22"/>
              </w:rPr>
              <w:t>= .11**</w:t>
            </w:r>
          </w:p>
        </w:tc>
        <w:tc>
          <w:tcPr>
            <w:tcW w:w="1417" w:type="dxa"/>
          </w:tcPr>
          <w:p w:rsidR="00B75DE8" w:rsidRPr="003A5617" w:rsidRDefault="00B75DE8" w:rsidP="00007BB2">
            <w:pPr>
              <w:jc w:val="center"/>
            </w:pPr>
          </w:p>
        </w:tc>
        <w:tc>
          <w:tcPr>
            <w:tcW w:w="1418" w:type="dxa"/>
          </w:tcPr>
          <w:p w:rsidR="00B75DE8" w:rsidRPr="003A5617" w:rsidRDefault="00B75DE8" w:rsidP="00007BB2">
            <w:pPr>
              <w:jc w:val="center"/>
            </w:pPr>
          </w:p>
        </w:tc>
      </w:tr>
      <w:tr w:rsidR="00B75DE8" w:rsidRPr="003A5617" w:rsidTr="00007BB2">
        <w:tc>
          <w:tcPr>
            <w:tcW w:w="1439" w:type="dxa"/>
            <w:gridSpan w:val="2"/>
            <w:shd w:val="clear" w:color="auto" w:fill="auto"/>
          </w:tcPr>
          <w:p w:rsidR="00B75DE8" w:rsidRPr="003A5617" w:rsidRDefault="00B75DE8" w:rsidP="00007BB2">
            <w:pPr>
              <w:rPr>
                <w:b/>
              </w:rPr>
            </w:pPr>
          </w:p>
        </w:tc>
        <w:tc>
          <w:tcPr>
            <w:tcW w:w="1667" w:type="dxa"/>
            <w:gridSpan w:val="2"/>
            <w:shd w:val="clear" w:color="auto" w:fill="auto"/>
          </w:tcPr>
          <w:p w:rsidR="00B75DE8" w:rsidRPr="002833AA" w:rsidRDefault="00B75DE8" w:rsidP="00007BB2">
            <w:pPr>
              <w:rPr>
                <w:sz w:val="22"/>
                <w:szCs w:val="22"/>
                <w:highlight w:val="yellow"/>
              </w:rPr>
            </w:pPr>
            <w:r w:rsidRPr="002833AA">
              <w:rPr>
                <w:bCs/>
                <w:i/>
                <w:sz w:val="22"/>
                <w:szCs w:val="22"/>
                <w:highlight w:val="yellow"/>
              </w:rPr>
              <w:t>r</w:t>
            </w:r>
            <w:r w:rsidRPr="002833AA">
              <w:rPr>
                <w:bCs/>
                <w:sz w:val="22"/>
                <w:szCs w:val="22"/>
                <w:highlight w:val="yellow"/>
                <w:vertAlign w:val="superscript"/>
              </w:rPr>
              <w:t xml:space="preserve">2 </w:t>
            </w:r>
            <w:r w:rsidRPr="002833AA">
              <w:rPr>
                <w:bCs/>
                <w:i/>
                <w:sz w:val="22"/>
                <w:szCs w:val="22"/>
                <w:highlight w:val="yellow"/>
              </w:rPr>
              <w:t xml:space="preserve">Change = </w:t>
            </w:r>
            <w:r w:rsidRPr="002833AA">
              <w:rPr>
                <w:bCs/>
                <w:sz w:val="22"/>
                <w:szCs w:val="22"/>
                <w:highlight w:val="yellow"/>
              </w:rPr>
              <w:t>.25</w:t>
            </w:r>
          </w:p>
        </w:tc>
        <w:tc>
          <w:tcPr>
            <w:tcW w:w="993" w:type="dxa"/>
            <w:shd w:val="clear" w:color="auto" w:fill="auto"/>
          </w:tcPr>
          <w:p w:rsidR="00B75DE8" w:rsidRPr="002833AA" w:rsidRDefault="00B75DE8" w:rsidP="00007BB2">
            <w:pPr>
              <w:jc w:val="center"/>
              <w:rPr>
                <w:highlight w:val="yellow"/>
              </w:rPr>
            </w:pPr>
          </w:p>
        </w:tc>
        <w:tc>
          <w:tcPr>
            <w:tcW w:w="1160" w:type="dxa"/>
            <w:shd w:val="clear" w:color="auto" w:fill="auto"/>
          </w:tcPr>
          <w:p w:rsidR="00B75DE8" w:rsidRPr="002833AA" w:rsidRDefault="00B75DE8" w:rsidP="00007BB2">
            <w:pPr>
              <w:jc w:val="center"/>
              <w:rPr>
                <w:highlight w:val="yellow"/>
              </w:rPr>
            </w:pPr>
          </w:p>
        </w:tc>
        <w:tc>
          <w:tcPr>
            <w:tcW w:w="1224" w:type="dxa"/>
            <w:shd w:val="clear" w:color="auto" w:fill="auto"/>
          </w:tcPr>
          <w:p w:rsidR="00B75DE8" w:rsidRPr="002833AA" w:rsidRDefault="00B75DE8" w:rsidP="00007BB2">
            <w:pPr>
              <w:jc w:val="center"/>
              <w:rPr>
                <w:highlight w:val="yellow"/>
              </w:rPr>
            </w:pPr>
          </w:p>
        </w:tc>
        <w:tc>
          <w:tcPr>
            <w:tcW w:w="1690" w:type="dxa"/>
            <w:gridSpan w:val="2"/>
          </w:tcPr>
          <w:p w:rsidR="00B75DE8" w:rsidRPr="002833AA" w:rsidRDefault="00B75DE8" w:rsidP="00007BB2">
            <w:r w:rsidRPr="002833AA">
              <w:rPr>
                <w:bCs/>
                <w:i/>
                <w:sz w:val="22"/>
                <w:szCs w:val="22"/>
                <w:highlight w:val="yellow"/>
              </w:rPr>
              <w:t>r</w:t>
            </w:r>
            <w:r w:rsidRPr="002833AA">
              <w:rPr>
                <w:bCs/>
                <w:sz w:val="22"/>
                <w:szCs w:val="22"/>
                <w:highlight w:val="yellow"/>
                <w:vertAlign w:val="superscript"/>
              </w:rPr>
              <w:t xml:space="preserve">2 </w:t>
            </w:r>
            <w:r w:rsidRPr="002833AA">
              <w:rPr>
                <w:bCs/>
                <w:i/>
                <w:sz w:val="22"/>
                <w:szCs w:val="22"/>
                <w:highlight w:val="yellow"/>
              </w:rPr>
              <w:t>Change</w:t>
            </w:r>
            <w:r w:rsidRPr="002833AA">
              <w:rPr>
                <w:bCs/>
                <w:i/>
                <w:sz w:val="20"/>
                <w:szCs w:val="20"/>
                <w:highlight w:val="yellow"/>
              </w:rPr>
              <w:t xml:space="preserve"> =</w:t>
            </w:r>
            <w:r w:rsidRPr="002833AA">
              <w:rPr>
                <w:highlight w:val="yellow"/>
              </w:rPr>
              <w:t>.11</w:t>
            </w:r>
          </w:p>
        </w:tc>
        <w:tc>
          <w:tcPr>
            <w:tcW w:w="1134" w:type="dxa"/>
          </w:tcPr>
          <w:p w:rsidR="00B75DE8" w:rsidRPr="003A5617" w:rsidRDefault="00B75DE8" w:rsidP="00007BB2">
            <w:pPr>
              <w:jc w:val="center"/>
            </w:pPr>
          </w:p>
        </w:tc>
        <w:tc>
          <w:tcPr>
            <w:tcW w:w="1417" w:type="dxa"/>
          </w:tcPr>
          <w:p w:rsidR="00B75DE8" w:rsidRPr="003A5617" w:rsidRDefault="00B75DE8" w:rsidP="00007BB2">
            <w:pPr>
              <w:jc w:val="center"/>
            </w:pPr>
          </w:p>
        </w:tc>
        <w:tc>
          <w:tcPr>
            <w:tcW w:w="1418" w:type="dxa"/>
          </w:tcPr>
          <w:p w:rsidR="00B75DE8" w:rsidRPr="003A5617" w:rsidRDefault="00B75DE8" w:rsidP="00007BB2">
            <w:pPr>
              <w:jc w:val="center"/>
            </w:pPr>
          </w:p>
        </w:tc>
      </w:tr>
      <w:tr w:rsidR="00B75DE8" w:rsidRPr="003A5617" w:rsidTr="00007BB2">
        <w:tc>
          <w:tcPr>
            <w:tcW w:w="1439" w:type="dxa"/>
            <w:gridSpan w:val="2"/>
            <w:shd w:val="clear" w:color="auto" w:fill="auto"/>
          </w:tcPr>
          <w:p w:rsidR="00B75DE8" w:rsidRPr="003A5617" w:rsidRDefault="00B75DE8" w:rsidP="00007BB2">
            <w:pPr>
              <w:rPr>
                <w:b/>
              </w:rPr>
            </w:pPr>
          </w:p>
          <w:p w:rsidR="00B75DE8" w:rsidRPr="003A5617" w:rsidRDefault="00B75DE8" w:rsidP="00007BB2">
            <w:pPr>
              <w:rPr>
                <w:b/>
              </w:rPr>
            </w:pPr>
            <w:r w:rsidRPr="003A5617">
              <w:rPr>
                <w:b/>
              </w:rPr>
              <w:t>Step 2</w:t>
            </w:r>
          </w:p>
        </w:tc>
        <w:tc>
          <w:tcPr>
            <w:tcW w:w="839" w:type="dxa"/>
            <w:shd w:val="clear" w:color="auto" w:fill="auto"/>
          </w:tcPr>
          <w:p w:rsidR="00B75DE8" w:rsidRPr="003A5617" w:rsidRDefault="00B75DE8" w:rsidP="00007BB2">
            <w:pPr>
              <w:jc w:val="center"/>
            </w:pPr>
          </w:p>
        </w:tc>
        <w:tc>
          <w:tcPr>
            <w:tcW w:w="828" w:type="dxa"/>
            <w:shd w:val="clear" w:color="auto" w:fill="auto"/>
          </w:tcPr>
          <w:p w:rsidR="00B75DE8" w:rsidRPr="003A5617" w:rsidRDefault="00B75DE8" w:rsidP="00007BB2">
            <w:pPr>
              <w:jc w:val="center"/>
            </w:pPr>
          </w:p>
        </w:tc>
        <w:tc>
          <w:tcPr>
            <w:tcW w:w="993" w:type="dxa"/>
            <w:shd w:val="clear" w:color="auto" w:fill="auto"/>
          </w:tcPr>
          <w:p w:rsidR="00B75DE8" w:rsidRPr="003A5617" w:rsidRDefault="00B75DE8" w:rsidP="00007BB2">
            <w:pPr>
              <w:jc w:val="center"/>
            </w:pPr>
          </w:p>
        </w:tc>
        <w:tc>
          <w:tcPr>
            <w:tcW w:w="1160" w:type="dxa"/>
            <w:shd w:val="clear" w:color="auto" w:fill="auto"/>
          </w:tcPr>
          <w:p w:rsidR="00B75DE8" w:rsidRPr="003A5617" w:rsidRDefault="00B75DE8" w:rsidP="00007BB2">
            <w:pPr>
              <w:jc w:val="center"/>
            </w:pPr>
          </w:p>
        </w:tc>
        <w:tc>
          <w:tcPr>
            <w:tcW w:w="1224" w:type="dxa"/>
            <w:shd w:val="clear" w:color="auto" w:fill="auto"/>
          </w:tcPr>
          <w:p w:rsidR="00B75DE8" w:rsidRPr="003A5617" w:rsidRDefault="00B75DE8" w:rsidP="00007BB2">
            <w:pPr>
              <w:jc w:val="center"/>
            </w:pPr>
          </w:p>
        </w:tc>
        <w:tc>
          <w:tcPr>
            <w:tcW w:w="839" w:type="dxa"/>
          </w:tcPr>
          <w:p w:rsidR="00B75DE8" w:rsidRPr="003A5617" w:rsidRDefault="00B75DE8" w:rsidP="00007BB2">
            <w:pPr>
              <w:jc w:val="center"/>
            </w:pPr>
          </w:p>
        </w:tc>
        <w:tc>
          <w:tcPr>
            <w:tcW w:w="851" w:type="dxa"/>
          </w:tcPr>
          <w:p w:rsidR="00B75DE8" w:rsidRPr="003A5617" w:rsidRDefault="00B75DE8" w:rsidP="00007BB2">
            <w:pPr>
              <w:jc w:val="center"/>
            </w:pPr>
          </w:p>
        </w:tc>
        <w:tc>
          <w:tcPr>
            <w:tcW w:w="1134" w:type="dxa"/>
          </w:tcPr>
          <w:p w:rsidR="00B75DE8" w:rsidRPr="003A5617" w:rsidRDefault="00B75DE8" w:rsidP="00007BB2">
            <w:pPr>
              <w:jc w:val="center"/>
            </w:pPr>
          </w:p>
        </w:tc>
        <w:tc>
          <w:tcPr>
            <w:tcW w:w="1417" w:type="dxa"/>
          </w:tcPr>
          <w:p w:rsidR="00B75DE8" w:rsidRPr="003A5617" w:rsidRDefault="00B75DE8" w:rsidP="00007BB2">
            <w:pPr>
              <w:jc w:val="center"/>
            </w:pPr>
          </w:p>
        </w:tc>
        <w:tc>
          <w:tcPr>
            <w:tcW w:w="1418" w:type="dxa"/>
          </w:tcPr>
          <w:p w:rsidR="00B75DE8" w:rsidRPr="003A5617" w:rsidRDefault="00B75DE8" w:rsidP="00007BB2">
            <w:pPr>
              <w:jc w:val="center"/>
            </w:pPr>
          </w:p>
        </w:tc>
      </w:tr>
      <w:tr w:rsidR="00B75DE8" w:rsidRPr="003A5617" w:rsidTr="00007BB2">
        <w:tc>
          <w:tcPr>
            <w:tcW w:w="250" w:type="dxa"/>
            <w:shd w:val="clear" w:color="auto" w:fill="auto"/>
          </w:tcPr>
          <w:p w:rsidR="00B75DE8" w:rsidRPr="003A5617" w:rsidRDefault="00B75DE8" w:rsidP="00007BB2"/>
        </w:tc>
        <w:tc>
          <w:tcPr>
            <w:tcW w:w="1189" w:type="dxa"/>
            <w:shd w:val="clear" w:color="auto" w:fill="auto"/>
          </w:tcPr>
          <w:p w:rsidR="00B75DE8" w:rsidRPr="003A5617" w:rsidRDefault="00B75DE8" w:rsidP="00007BB2">
            <w:r w:rsidRPr="003A5617">
              <w:rPr>
                <w:rFonts w:eastAsia="MS Mincho"/>
              </w:rPr>
              <w:t>HADS-A</w:t>
            </w:r>
          </w:p>
        </w:tc>
        <w:tc>
          <w:tcPr>
            <w:tcW w:w="839" w:type="dxa"/>
            <w:shd w:val="clear" w:color="auto" w:fill="auto"/>
          </w:tcPr>
          <w:p w:rsidR="00B75DE8" w:rsidRPr="003A5617" w:rsidRDefault="00B75DE8" w:rsidP="00007BB2">
            <w:pPr>
              <w:jc w:val="center"/>
            </w:pPr>
            <w:r w:rsidRPr="003A5617">
              <w:t>-.57</w:t>
            </w:r>
          </w:p>
        </w:tc>
        <w:tc>
          <w:tcPr>
            <w:tcW w:w="828" w:type="dxa"/>
            <w:shd w:val="clear" w:color="auto" w:fill="auto"/>
          </w:tcPr>
          <w:p w:rsidR="00B75DE8" w:rsidRPr="003A5617" w:rsidRDefault="00B75DE8" w:rsidP="00007BB2">
            <w:pPr>
              <w:jc w:val="center"/>
            </w:pPr>
            <w:r w:rsidRPr="003A5617">
              <w:t>.26</w:t>
            </w:r>
          </w:p>
        </w:tc>
        <w:tc>
          <w:tcPr>
            <w:tcW w:w="993" w:type="dxa"/>
            <w:shd w:val="clear" w:color="auto" w:fill="auto"/>
          </w:tcPr>
          <w:p w:rsidR="00B75DE8" w:rsidRPr="003A5617" w:rsidRDefault="00B75DE8" w:rsidP="00007BB2">
            <w:pPr>
              <w:jc w:val="center"/>
            </w:pPr>
            <w:r w:rsidRPr="003A5617">
              <w:t>-2.32*</w:t>
            </w:r>
          </w:p>
        </w:tc>
        <w:tc>
          <w:tcPr>
            <w:tcW w:w="1160" w:type="dxa"/>
            <w:shd w:val="clear" w:color="auto" w:fill="auto"/>
          </w:tcPr>
          <w:p w:rsidR="00B75DE8" w:rsidRPr="003A5617" w:rsidRDefault="00B75DE8" w:rsidP="00007BB2">
            <w:pPr>
              <w:jc w:val="center"/>
            </w:pPr>
            <w:r w:rsidRPr="003A5617">
              <w:t>-1.16</w:t>
            </w:r>
          </w:p>
        </w:tc>
        <w:tc>
          <w:tcPr>
            <w:tcW w:w="1224" w:type="dxa"/>
            <w:shd w:val="clear" w:color="auto" w:fill="auto"/>
          </w:tcPr>
          <w:p w:rsidR="00B75DE8" w:rsidRPr="003A5617" w:rsidRDefault="00B75DE8" w:rsidP="00007BB2">
            <w:pPr>
              <w:jc w:val="center"/>
            </w:pPr>
            <w:r w:rsidRPr="003A5617">
              <w:t>-.11</w:t>
            </w:r>
          </w:p>
        </w:tc>
        <w:tc>
          <w:tcPr>
            <w:tcW w:w="839" w:type="dxa"/>
          </w:tcPr>
          <w:p w:rsidR="00B75DE8" w:rsidRPr="003A5617" w:rsidRDefault="00B75DE8" w:rsidP="00007BB2">
            <w:pPr>
              <w:jc w:val="center"/>
            </w:pPr>
            <w:r w:rsidRPr="003A5617">
              <w:t>-</w:t>
            </w:r>
          </w:p>
        </w:tc>
        <w:tc>
          <w:tcPr>
            <w:tcW w:w="851" w:type="dxa"/>
          </w:tcPr>
          <w:p w:rsidR="00B75DE8" w:rsidRPr="003A5617" w:rsidRDefault="00B75DE8" w:rsidP="00007BB2">
            <w:pPr>
              <w:jc w:val="center"/>
            </w:pPr>
            <w:r w:rsidRPr="003A5617">
              <w:t>-</w:t>
            </w:r>
          </w:p>
        </w:tc>
        <w:tc>
          <w:tcPr>
            <w:tcW w:w="1134" w:type="dxa"/>
          </w:tcPr>
          <w:p w:rsidR="00B75DE8" w:rsidRPr="003A5617" w:rsidRDefault="00B75DE8" w:rsidP="00007BB2">
            <w:pPr>
              <w:jc w:val="center"/>
            </w:pPr>
            <w:r w:rsidRPr="003A5617">
              <w:t>-</w:t>
            </w:r>
          </w:p>
        </w:tc>
        <w:tc>
          <w:tcPr>
            <w:tcW w:w="1417" w:type="dxa"/>
          </w:tcPr>
          <w:p w:rsidR="00B75DE8" w:rsidRPr="003A5617" w:rsidRDefault="00B75DE8" w:rsidP="00007BB2">
            <w:pPr>
              <w:jc w:val="center"/>
            </w:pPr>
            <w:r w:rsidRPr="003A5617">
              <w:t>-</w:t>
            </w:r>
          </w:p>
        </w:tc>
        <w:tc>
          <w:tcPr>
            <w:tcW w:w="1418" w:type="dxa"/>
          </w:tcPr>
          <w:p w:rsidR="00B75DE8" w:rsidRPr="003A5617" w:rsidRDefault="00B75DE8" w:rsidP="00007BB2">
            <w:pPr>
              <w:jc w:val="center"/>
            </w:pPr>
            <w:r w:rsidRPr="003A5617">
              <w:t>-</w:t>
            </w:r>
          </w:p>
        </w:tc>
      </w:tr>
      <w:tr w:rsidR="00B75DE8" w:rsidRPr="003A5617" w:rsidTr="00007BB2">
        <w:tc>
          <w:tcPr>
            <w:tcW w:w="250" w:type="dxa"/>
            <w:shd w:val="clear" w:color="auto" w:fill="auto"/>
          </w:tcPr>
          <w:p w:rsidR="00B75DE8" w:rsidRPr="003A5617" w:rsidRDefault="00B75DE8" w:rsidP="00007BB2"/>
        </w:tc>
        <w:tc>
          <w:tcPr>
            <w:tcW w:w="1189" w:type="dxa"/>
            <w:shd w:val="clear" w:color="auto" w:fill="auto"/>
          </w:tcPr>
          <w:p w:rsidR="00B75DE8" w:rsidRPr="003A5617" w:rsidRDefault="00B75DE8" w:rsidP="00007BB2">
            <w:pPr>
              <w:rPr>
                <w:rFonts w:eastAsia="MS Mincho"/>
              </w:rPr>
            </w:pPr>
            <w:r w:rsidRPr="003A5617">
              <w:rPr>
                <w:rFonts w:eastAsia="MS Mincho"/>
              </w:rPr>
              <w:t>HADS-D</w:t>
            </w:r>
          </w:p>
        </w:tc>
        <w:tc>
          <w:tcPr>
            <w:tcW w:w="839" w:type="dxa"/>
            <w:shd w:val="clear" w:color="auto" w:fill="auto"/>
          </w:tcPr>
          <w:p w:rsidR="00B75DE8" w:rsidRPr="003A5617" w:rsidRDefault="00B75DE8" w:rsidP="00007BB2">
            <w:pPr>
              <w:jc w:val="center"/>
            </w:pPr>
            <w:r w:rsidRPr="003A5617">
              <w:t>.55</w:t>
            </w:r>
          </w:p>
        </w:tc>
        <w:tc>
          <w:tcPr>
            <w:tcW w:w="828" w:type="dxa"/>
            <w:shd w:val="clear" w:color="auto" w:fill="auto"/>
          </w:tcPr>
          <w:p w:rsidR="00B75DE8" w:rsidRPr="003A5617" w:rsidRDefault="00B75DE8" w:rsidP="00007BB2">
            <w:pPr>
              <w:jc w:val="center"/>
            </w:pPr>
            <w:r w:rsidRPr="003A5617">
              <w:t>.34</w:t>
            </w:r>
          </w:p>
        </w:tc>
        <w:tc>
          <w:tcPr>
            <w:tcW w:w="993" w:type="dxa"/>
            <w:shd w:val="clear" w:color="auto" w:fill="auto"/>
          </w:tcPr>
          <w:p w:rsidR="00B75DE8" w:rsidRPr="003A5617" w:rsidRDefault="00B75DE8" w:rsidP="00007BB2">
            <w:pPr>
              <w:jc w:val="center"/>
            </w:pPr>
            <w:r w:rsidRPr="003A5617">
              <w:t>1.79</w:t>
            </w:r>
          </w:p>
        </w:tc>
        <w:tc>
          <w:tcPr>
            <w:tcW w:w="1160" w:type="dxa"/>
            <w:shd w:val="clear" w:color="auto" w:fill="auto"/>
          </w:tcPr>
          <w:p w:rsidR="00B75DE8" w:rsidRPr="003A5617" w:rsidRDefault="00B75DE8" w:rsidP="00007BB2">
            <w:pPr>
              <w:jc w:val="center"/>
            </w:pPr>
            <w:r w:rsidRPr="003A5617">
              <w:t>-.18</w:t>
            </w:r>
          </w:p>
        </w:tc>
        <w:tc>
          <w:tcPr>
            <w:tcW w:w="1224" w:type="dxa"/>
            <w:shd w:val="clear" w:color="auto" w:fill="auto"/>
          </w:tcPr>
          <w:p w:rsidR="00B75DE8" w:rsidRPr="003A5617" w:rsidRDefault="00B75DE8" w:rsidP="00007BB2">
            <w:pPr>
              <w:jc w:val="center"/>
            </w:pPr>
            <w:r w:rsidRPr="003A5617">
              <w:t>1.19</w:t>
            </w:r>
          </w:p>
        </w:tc>
        <w:tc>
          <w:tcPr>
            <w:tcW w:w="839" w:type="dxa"/>
          </w:tcPr>
          <w:p w:rsidR="00B75DE8" w:rsidRPr="003A5617" w:rsidRDefault="00B75DE8" w:rsidP="00007BB2">
            <w:pPr>
              <w:jc w:val="center"/>
            </w:pPr>
            <w:r w:rsidRPr="003A5617">
              <w:t>.03</w:t>
            </w:r>
          </w:p>
        </w:tc>
        <w:tc>
          <w:tcPr>
            <w:tcW w:w="851" w:type="dxa"/>
          </w:tcPr>
          <w:p w:rsidR="00B75DE8" w:rsidRPr="003A5617" w:rsidRDefault="00B75DE8" w:rsidP="00007BB2">
            <w:pPr>
              <w:jc w:val="center"/>
            </w:pPr>
            <w:r w:rsidRPr="003A5617">
              <w:t>.08</w:t>
            </w:r>
          </w:p>
        </w:tc>
        <w:tc>
          <w:tcPr>
            <w:tcW w:w="1134" w:type="dxa"/>
          </w:tcPr>
          <w:p w:rsidR="00B75DE8" w:rsidRPr="003A5617" w:rsidRDefault="00B75DE8" w:rsidP="00007BB2">
            <w:pPr>
              <w:jc w:val="center"/>
            </w:pPr>
            <w:r w:rsidRPr="003A5617">
              <w:t>.37</w:t>
            </w:r>
          </w:p>
        </w:tc>
        <w:tc>
          <w:tcPr>
            <w:tcW w:w="1417" w:type="dxa"/>
          </w:tcPr>
          <w:p w:rsidR="00B75DE8" w:rsidRPr="003A5617" w:rsidRDefault="00B75DE8" w:rsidP="00007BB2">
            <w:pPr>
              <w:jc w:val="center"/>
            </w:pPr>
            <w:r w:rsidRPr="003A5617">
              <w:t>-.12</w:t>
            </w:r>
          </w:p>
        </w:tc>
        <w:tc>
          <w:tcPr>
            <w:tcW w:w="1418" w:type="dxa"/>
          </w:tcPr>
          <w:p w:rsidR="00B75DE8" w:rsidRPr="003A5617" w:rsidRDefault="00B75DE8" w:rsidP="00007BB2">
            <w:pPr>
              <w:jc w:val="center"/>
            </w:pPr>
            <w:r w:rsidRPr="003A5617">
              <w:t>.21</w:t>
            </w:r>
          </w:p>
        </w:tc>
      </w:tr>
      <w:tr w:rsidR="00B75DE8" w:rsidRPr="003A5617" w:rsidTr="00007BB2">
        <w:tc>
          <w:tcPr>
            <w:tcW w:w="250" w:type="dxa"/>
            <w:shd w:val="clear" w:color="auto" w:fill="auto"/>
          </w:tcPr>
          <w:p w:rsidR="00B75DE8" w:rsidRPr="003A5617" w:rsidRDefault="00B75DE8" w:rsidP="00007BB2"/>
        </w:tc>
        <w:tc>
          <w:tcPr>
            <w:tcW w:w="1189" w:type="dxa"/>
            <w:shd w:val="clear" w:color="auto" w:fill="auto"/>
          </w:tcPr>
          <w:p w:rsidR="00B75DE8" w:rsidRPr="003A5617" w:rsidRDefault="00B75DE8" w:rsidP="00007BB2">
            <w:pPr>
              <w:rPr>
                <w:rFonts w:eastAsia="MS Mincho"/>
              </w:rPr>
            </w:pPr>
            <w:r w:rsidRPr="003A5617">
              <w:rPr>
                <w:rFonts w:eastAsia="MS Mincho"/>
              </w:rPr>
              <w:t>GBQ</w:t>
            </w:r>
          </w:p>
        </w:tc>
        <w:tc>
          <w:tcPr>
            <w:tcW w:w="839" w:type="dxa"/>
            <w:shd w:val="clear" w:color="auto" w:fill="auto"/>
          </w:tcPr>
          <w:p w:rsidR="00B75DE8" w:rsidRPr="003A5617" w:rsidRDefault="00B75DE8" w:rsidP="00007BB2">
            <w:pPr>
              <w:jc w:val="center"/>
            </w:pPr>
            <w:r w:rsidRPr="003A5617">
              <w:t>-.01</w:t>
            </w:r>
          </w:p>
        </w:tc>
        <w:tc>
          <w:tcPr>
            <w:tcW w:w="828" w:type="dxa"/>
            <w:shd w:val="clear" w:color="auto" w:fill="auto"/>
          </w:tcPr>
          <w:p w:rsidR="00B75DE8" w:rsidRPr="003A5617" w:rsidRDefault="00B75DE8" w:rsidP="00007BB2">
            <w:pPr>
              <w:jc w:val="center"/>
            </w:pPr>
            <w:r w:rsidRPr="003A5617">
              <w:t>-04</w:t>
            </w:r>
          </w:p>
        </w:tc>
        <w:tc>
          <w:tcPr>
            <w:tcW w:w="993" w:type="dxa"/>
            <w:shd w:val="clear" w:color="auto" w:fill="auto"/>
          </w:tcPr>
          <w:p w:rsidR="00B75DE8" w:rsidRPr="003A5617" w:rsidRDefault="00B75DE8" w:rsidP="00007BB2">
            <w:pPr>
              <w:jc w:val="center"/>
            </w:pPr>
            <w:r w:rsidRPr="003A5617">
              <w:t>-.36</w:t>
            </w:r>
          </w:p>
        </w:tc>
        <w:tc>
          <w:tcPr>
            <w:tcW w:w="1160" w:type="dxa"/>
            <w:shd w:val="clear" w:color="auto" w:fill="auto"/>
          </w:tcPr>
          <w:p w:rsidR="00B75DE8" w:rsidRPr="003A5617" w:rsidRDefault="00B75DE8" w:rsidP="00007BB2">
            <w:pPr>
              <w:jc w:val="center"/>
            </w:pPr>
            <w:r w:rsidRPr="003A5617">
              <w:t>-.08</w:t>
            </w:r>
          </w:p>
        </w:tc>
        <w:tc>
          <w:tcPr>
            <w:tcW w:w="1224" w:type="dxa"/>
            <w:shd w:val="clear" w:color="auto" w:fill="auto"/>
          </w:tcPr>
          <w:p w:rsidR="00B75DE8" w:rsidRPr="003A5617" w:rsidRDefault="00B75DE8" w:rsidP="00007BB2">
            <w:pPr>
              <w:jc w:val="center"/>
            </w:pPr>
            <w:r w:rsidRPr="003A5617">
              <w:t>.06</w:t>
            </w:r>
          </w:p>
        </w:tc>
        <w:tc>
          <w:tcPr>
            <w:tcW w:w="839" w:type="dxa"/>
          </w:tcPr>
          <w:p w:rsidR="00B75DE8" w:rsidRPr="003A5617" w:rsidRDefault="00B75DE8" w:rsidP="00007BB2">
            <w:pPr>
              <w:jc w:val="center"/>
            </w:pPr>
            <w:r w:rsidRPr="003A5617">
              <w:t>-.03</w:t>
            </w:r>
          </w:p>
        </w:tc>
        <w:tc>
          <w:tcPr>
            <w:tcW w:w="851" w:type="dxa"/>
          </w:tcPr>
          <w:p w:rsidR="00B75DE8" w:rsidRPr="003A5617" w:rsidRDefault="00B75DE8" w:rsidP="00007BB2">
            <w:pPr>
              <w:jc w:val="center"/>
            </w:pPr>
            <w:r w:rsidRPr="003A5617">
              <w:t>.01</w:t>
            </w:r>
          </w:p>
        </w:tc>
        <w:tc>
          <w:tcPr>
            <w:tcW w:w="1134" w:type="dxa"/>
          </w:tcPr>
          <w:p w:rsidR="00B75DE8" w:rsidRPr="003A5617" w:rsidRDefault="00B75DE8" w:rsidP="00007BB2">
            <w:pPr>
              <w:jc w:val="center"/>
            </w:pPr>
            <w:r w:rsidRPr="003A5617">
              <w:t>-2.63**</w:t>
            </w:r>
          </w:p>
        </w:tc>
        <w:tc>
          <w:tcPr>
            <w:tcW w:w="1417" w:type="dxa"/>
          </w:tcPr>
          <w:p w:rsidR="00B75DE8" w:rsidRPr="003A5617" w:rsidRDefault="00B75DE8" w:rsidP="00007BB2">
            <w:pPr>
              <w:jc w:val="center"/>
            </w:pPr>
            <w:r w:rsidRPr="003A5617">
              <w:t>-.05</w:t>
            </w:r>
          </w:p>
        </w:tc>
        <w:tc>
          <w:tcPr>
            <w:tcW w:w="1418" w:type="dxa"/>
          </w:tcPr>
          <w:p w:rsidR="00B75DE8" w:rsidRPr="003A5617" w:rsidRDefault="00B75DE8" w:rsidP="00007BB2">
            <w:pPr>
              <w:jc w:val="center"/>
            </w:pPr>
            <w:r w:rsidRPr="003A5617">
              <w:t>-.01</w:t>
            </w:r>
          </w:p>
        </w:tc>
      </w:tr>
      <w:tr w:rsidR="00B75DE8" w:rsidRPr="003A5617" w:rsidTr="00007BB2">
        <w:tc>
          <w:tcPr>
            <w:tcW w:w="250" w:type="dxa"/>
            <w:shd w:val="clear" w:color="auto" w:fill="auto"/>
          </w:tcPr>
          <w:p w:rsidR="00B75DE8" w:rsidRPr="003A5617" w:rsidRDefault="00B75DE8" w:rsidP="00007BB2"/>
        </w:tc>
        <w:tc>
          <w:tcPr>
            <w:tcW w:w="1189" w:type="dxa"/>
            <w:shd w:val="clear" w:color="auto" w:fill="auto"/>
          </w:tcPr>
          <w:p w:rsidR="00B75DE8" w:rsidRPr="003A5617" w:rsidRDefault="00B75DE8" w:rsidP="00007BB2">
            <w:r w:rsidRPr="003A5617">
              <w:rPr>
                <w:rFonts w:eastAsia="MS Mincho"/>
              </w:rPr>
              <w:t>NMG</w:t>
            </w:r>
          </w:p>
        </w:tc>
        <w:tc>
          <w:tcPr>
            <w:tcW w:w="839" w:type="dxa"/>
            <w:shd w:val="clear" w:color="auto" w:fill="auto"/>
          </w:tcPr>
          <w:p w:rsidR="00B75DE8" w:rsidRPr="003A5617" w:rsidRDefault="00B75DE8" w:rsidP="00007BB2">
            <w:pPr>
              <w:jc w:val="center"/>
            </w:pPr>
            <w:r w:rsidRPr="003A5617">
              <w:t>.59</w:t>
            </w:r>
          </w:p>
        </w:tc>
        <w:tc>
          <w:tcPr>
            <w:tcW w:w="828" w:type="dxa"/>
            <w:shd w:val="clear" w:color="auto" w:fill="auto"/>
          </w:tcPr>
          <w:p w:rsidR="00B75DE8" w:rsidRPr="003A5617" w:rsidRDefault="00B75DE8" w:rsidP="00007BB2">
            <w:pPr>
              <w:jc w:val="center"/>
            </w:pPr>
            <w:r w:rsidRPr="003A5617">
              <w:t>.21</w:t>
            </w:r>
          </w:p>
        </w:tc>
        <w:tc>
          <w:tcPr>
            <w:tcW w:w="993" w:type="dxa"/>
            <w:shd w:val="clear" w:color="auto" w:fill="auto"/>
          </w:tcPr>
          <w:p w:rsidR="00B75DE8" w:rsidRPr="003A5617" w:rsidRDefault="00B75DE8" w:rsidP="00007BB2">
            <w:pPr>
              <w:jc w:val="center"/>
            </w:pPr>
            <w:r w:rsidRPr="003A5617">
              <w:t>2.57**</w:t>
            </w:r>
          </w:p>
        </w:tc>
        <w:tc>
          <w:tcPr>
            <w:tcW w:w="1160" w:type="dxa"/>
            <w:shd w:val="clear" w:color="auto" w:fill="auto"/>
          </w:tcPr>
          <w:p w:rsidR="00B75DE8" w:rsidRPr="003A5617" w:rsidRDefault="00B75DE8" w:rsidP="00007BB2">
            <w:pPr>
              <w:jc w:val="center"/>
            </w:pPr>
            <w:r w:rsidRPr="003A5617">
              <w:t>.14</w:t>
            </w:r>
          </w:p>
        </w:tc>
        <w:tc>
          <w:tcPr>
            <w:tcW w:w="1224" w:type="dxa"/>
            <w:shd w:val="clear" w:color="auto" w:fill="auto"/>
          </w:tcPr>
          <w:p w:rsidR="00B75DE8" w:rsidRPr="003A5617" w:rsidRDefault="00B75DE8" w:rsidP="00007BB2">
            <w:pPr>
              <w:jc w:val="center"/>
            </w:pPr>
            <w:r w:rsidRPr="003A5617">
              <w:t>.95</w:t>
            </w:r>
          </w:p>
        </w:tc>
        <w:tc>
          <w:tcPr>
            <w:tcW w:w="839" w:type="dxa"/>
          </w:tcPr>
          <w:p w:rsidR="00B75DE8" w:rsidRPr="003A5617" w:rsidRDefault="00B75DE8" w:rsidP="00007BB2">
            <w:pPr>
              <w:jc w:val="center"/>
            </w:pPr>
            <w:r w:rsidRPr="003A5617">
              <w:t>.21</w:t>
            </w:r>
          </w:p>
        </w:tc>
        <w:tc>
          <w:tcPr>
            <w:tcW w:w="851" w:type="dxa"/>
          </w:tcPr>
          <w:p w:rsidR="00B75DE8" w:rsidRPr="003A5617" w:rsidRDefault="00B75DE8" w:rsidP="00007BB2">
            <w:pPr>
              <w:jc w:val="center"/>
            </w:pPr>
            <w:r w:rsidRPr="003A5617">
              <w:t>.08</w:t>
            </w:r>
          </w:p>
        </w:tc>
        <w:tc>
          <w:tcPr>
            <w:tcW w:w="1134" w:type="dxa"/>
          </w:tcPr>
          <w:p w:rsidR="00B75DE8" w:rsidRPr="003A5617" w:rsidRDefault="00B75DE8" w:rsidP="00007BB2">
            <w:pPr>
              <w:jc w:val="center"/>
            </w:pPr>
            <w:r w:rsidRPr="003A5617">
              <w:t>2.55**</w:t>
            </w:r>
          </w:p>
        </w:tc>
        <w:tc>
          <w:tcPr>
            <w:tcW w:w="1417" w:type="dxa"/>
          </w:tcPr>
          <w:p w:rsidR="00B75DE8" w:rsidRPr="003A5617" w:rsidRDefault="00B75DE8" w:rsidP="00007BB2">
            <w:pPr>
              <w:jc w:val="center"/>
            </w:pPr>
            <w:r w:rsidRPr="003A5617">
              <w:t>.05</w:t>
            </w:r>
          </w:p>
        </w:tc>
        <w:tc>
          <w:tcPr>
            <w:tcW w:w="1418" w:type="dxa"/>
          </w:tcPr>
          <w:p w:rsidR="00B75DE8" w:rsidRPr="003A5617" w:rsidRDefault="00B75DE8" w:rsidP="00007BB2">
            <w:pPr>
              <w:jc w:val="center"/>
            </w:pPr>
            <w:r w:rsidRPr="003A5617">
              <w:t>.36</w:t>
            </w:r>
          </w:p>
        </w:tc>
      </w:tr>
      <w:tr w:rsidR="00B75DE8" w:rsidRPr="003A5617" w:rsidTr="00007BB2">
        <w:tc>
          <w:tcPr>
            <w:tcW w:w="250" w:type="dxa"/>
            <w:shd w:val="clear" w:color="auto" w:fill="auto"/>
          </w:tcPr>
          <w:p w:rsidR="00B75DE8" w:rsidRPr="003A5617" w:rsidRDefault="00B75DE8" w:rsidP="00007BB2"/>
        </w:tc>
        <w:tc>
          <w:tcPr>
            <w:tcW w:w="1189" w:type="dxa"/>
            <w:shd w:val="clear" w:color="auto" w:fill="auto"/>
          </w:tcPr>
          <w:p w:rsidR="00B75DE8" w:rsidRPr="003A5617" w:rsidRDefault="00B75DE8" w:rsidP="00007BB2">
            <w:r w:rsidRPr="003A5617">
              <w:t>PMG</w:t>
            </w:r>
          </w:p>
        </w:tc>
        <w:tc>
          <w:tcPr>
            <w:tcW w:w="839" w:type="dxa"/>
            <w:shd w:val="clear" w:color="auto" w:fill="auto"/>
          </w:tcPr>
          <w:p w:rsidR="00B75DE8" w:rsidRPr="003A5617" w:rsidRDefault="00B75DE8" w:rsidP="00007BB2">
            <w:pPr>
              <w:jc w:val="center"/>
            </w:pPr>
            <w:r w:rsidRPr="003A5617">
              <w:t>.09</w:t>
            </w:r>
          </w:p>
        </w:tc>
        <w:tc>
          <w:tcPr>
            <w:tcW w:w="828" w:type="dxa"/>
            <w:shd w:val="clear" w:color="auto" w:fill="auto"/>
          </w:tcPr>
          <w:p w:rsidR="00B75DE8" w:rsidRPr="003A5617" w:rsidRDefault="00B75DE8" w:rsidP="00007BB2">
            <w:pPr>
              <w:jc w:val="center"/>
            </w:pPr>
            <w:r w:rsidRPr="003A5617">
              <w:t>.27</w:t>
            </w:r>
          </w:p>
        </w:tc>
        <w:tc>
          <w:tcPr>
            <w:tcW w:w="993" w:type="dxa"/>
            <w:shd w:val="clear" w:color="auto" w:fill="auto"/>
          </w:tcPr>
          <w:p w:rsidR="00B75DE8" w:rsidRPr="003A5617" w:rsidRDefault="00B75DE8" w:rsidP="00007BB2">
            <w:pPr>
              <w:jc w:val="center"/>
            </w:pPr>
            <w:r w:rsidRPr="003A5617">
              <w:t>.38</w:t>
            </w:r>
          </w:p>
        </w:tc>
        <w:tc>
          <w:tcPr>
            <w:tcW w:w="1160" w:type="dxa"/>
            <w:shd w:val="clear" w:color="auto" w:fill="auto"/>
          </w:tcPr>
          <w:p w:rsidR="00B75DE8" w:rsidRPr="003A5617" w:rsidRDefault="00B75DE8" w:rsidP="00007BB2">
            <w:pPr>
              <w:jc w:val="center"/>
            </w:pPr>
            <w:r w:rsidRPr="003A5617">
              <w:t>-.41</w:t>
            </w:r>
          </w:p>
        </w:tc>
        <w:tc>
          <w:tcPr>
            <w:tcW w:w="1224" w:type="dxa"/>
            <w:shd w:val="clear" w:color="auto" w:fill="auto"/>
          </w:tcPr>
          <w:p w:rsidR="00B75DE8" w:rsidRPr="003A5617" w:rsidRDefault="00B75DE8" w:rsidP="00007BB2">
            <w:pPr>
              <w:jc w:val="center"/>
            </w:pPr>
            <w:r w:rsidRPr="003A5617">
              <w:t>.63</w:t>
            </w:r>
          </w:p>
        </w:tc>
        <w:tc>
          <w:tcPr>
            <w:tcW w:w="839" w:type="dxa"/>
          </w:tcPr>
          <w:p w:rsidR="00B75DE8" w:rsidRPr="003A5617" w:rsidRDefault="00B75DE8" w:rsidP="00007BB2">
            <w:pPr>
              <w:jc w:val="center"/>
            </w:pPr>
            <w:r w:rsidRPr="003A5617">
              <w:t>.06</w:t>
            </w:r>
          </w:p>
        </w:tc>
        <w:tc>
          <w:tcPr>
            <w:tcW w:w="851" w:type="dxa"/>
          </w:tcPr>
          <w:p w:rsidR="00B75DE8" w:rsidRPr="003A5617" w:rsidRDefault="00B75DE8" w:rsidP="00007BB2">
            <w:pPr>
              <w:jc w:val="center"/>
            </w:pPr>
            <w:r w:rsidRPr="003A5617">
              <w:t>.09</w:t>
            </w:r>
          </w:p>
        </w:tc>
        <w:tc>
          <w:tcPr>
            <w:tcW w:w="1134" w:type="dxa"/>
          </w:tcPr>
          <w:p w:rsidR="00B75DE8" w:rsidRPr="003A5617" w:rsidRDefault="00B75DE8" w:rsidP="00007BB2">
            <w:pPr>
              <w:jc w:val="center"/>
            </w:pPr>
            <w:r w:rsidRPr="003A5617">
              <w:t>.76</w:t>
            </w:r>
          </w:p>
        </w:tc>
        <w:tc>
          <w:tcPr>
            <w:tcW w:w="1417" w:type="dxa"/>
          </w:tcPr>
          <w:p w:rsidR="00B75DE8" w:rsidRPr="003A5617" w:rsidRDefault="00B75DE8" w:rsidP="00007BB2">
            <w:pPr>
              <w:jc w:val="center"/>
            </w:pPr>
            <w:r w:rsidRPr="003A5617">
              <w:t>-.11</w:t>
            </w:r>
          </w:p>
        </w:tc>
        <w:tc>
          <w:tcPr>
            <w:tcW w:w="1418" w:type="dxa"/>
          </w:tcPr>
          <w:p w:rsidR="00B75DE8" w:rsidRPr="003A5617" w:rsidRDefault="00B75DE8" w:rsidP="00007BB2">
            <w:pPr>
              <w:jc w:val="center"/>
            </w:pPr>
            <w:r w:rsidRPr="003A5617">
              <w:t>.22</w:t>
            </w:r>
          </w:p>
        </w:tc>
      </w:tr>
      <w:tr w:rsidR="00B75DE8" w:rsidRPr="003A5617" w:rsidTr="00007BB2">
        <w:tc>
          <w:tcPr>
            <w:tcW w:w="250" w:type="dxa"/>
            <w:shd w:val="clear" w:color="auto" w:fill="auto"/>
          </w:tcPr>
          <w:p w:rsidR="00B75DE8" w:rsidRPr="003A5617" w:rsidRDefault="00B75DE8" w:rsidP="00007BB2"/>
        </w:tc>
        <w:tc>
          <w:tcPr>
            <w:tcW w:w="1189" w:type="dxa"/>
            <w:shd w:val="clear" w:color="auto" w:fill="auto"/>
          </w:tcPr>
          <w:p w:rsidR="00B75DE8" w:rsidRPr="003A5617" w:rsidRDefault="00B75DE8" w:rsidP="00007BB2"/>
        </w:tc>
        <w:tc>
          <w:tcPr>
            <w:tcW w:w="1667" w:type="dxa"/>
            <w:gridSpan w:val="2"/>
            <w:shd w:val="clear" w:color="auto" w:fill="auto"/>
          </w:tcPr>
          <w:p w:rsidR="00B75DE8" w:rsidRPr="003A5617" w:rsidRDefault="00B75DE8" w:rsidP="00007BB2">
            <w:proofErr w:type="spellStart"/>
            <w:r w:rsidRPr="003A5617">
              <w:rPr>
                <w:i/>
                <w:sz w:val="22"/>
                <w:szCs w:val="22"/>
              </w:rPr>
              <w:t>Adj</w:t>
            </w:r>
            <w:proofErr w:type="spellEnd"/>
            <w:r w:rsidRPr="003A5617">
              <w:rPr>
                <w:i/>
                <w:sz w:val="22"/>
                <w:szCs w:val="22"/>
              </w:rPr>
              <w:t xml:space="preserve"> </w:t>
            </w:r>
            <w:r w:rsidRPr="003A5617">
              <w:rPr>
                <w:bCs/>
                <w:i/>
                <w:sz w:val="22"/>
                <w:szCs w:val="22"/>
              </w:rPr>
              <w:t>r</w:t>
            </w:r>
            <w:r w:rsidRPr="003A5617">
              <w:rPr>
                <w:bCs/>
                <w:sz w:val="22"/>
                <w:szCs w:val="22"/>
                <w:vertAlign w:val="superscript"/>
              </w:rPr>
              <w:t xml:space="preserve">2 </w:t>
            </w:r>
            <w:r w:rsidRPr="003A5617">
              <w:rPr>
                <w:sz w:val="22"/>
                <w:szCs w:val="22"/>
              </w:rPr>
              <w:t>= .30*</w:t>
            </w:r>
          </w:p>
        </w:tc>
        <w:tc>
          <w:tcPr>
            <w:tcW w:w="993" w:type="dxa"/>
            <w:shd w:val="clear" w:color="auto" w:fill="auto"/>
          </w:tcPr>
          <w:p w:rsidR="00B75DE8" w:rsidRPr="003A5617" w:rsidRDefault="00B75DE8" w:rsidP="00007BB2">
            <w:pPr>
              <w:jc w:val="center"/>
            </w:pPr>
          </w:p>
        </w:tc>
        <w:tc>
          <w:tcPr>
            <w:tcW w:w="1160" w:type="dxa"/>
            <w:shd w:val="clear" w:color="auto" w:fill="auto"/>
          </w:tcPr>
          <w:p w:rsidR="00B75DE8" w:rsidRPr="003A5617" w:rsidRDefault="00B75DE8" w:rsidP="00007BB2">
            <w:pPr>
              <w:jc w:val="center"/>
            </w:pPr>
          </w:p>
        </w:tc>
        <w:tc>
          <w:tcPr>
            <w:tcW w:w="1224" w:type="dxa"/>
            <w:shd w:val="clear" w:color="auto" w:fill="auto"/>
          </w:tcPr>
          <w:p w:rsidR="00B75DE8" w:rsidRPr="003A5617" w:rsidRDefault="00B75DE8" w:rsidP="00007BB2">
            <w:pPr>
              <w:jc w:val="center"/>
            </w:pPr>
          </w:p>
        </w:tc>
        <w:tc>
          <w:tcPr>
            <w:tcW w:w="1690" w:type="dxa"/>
            <w:gridSpan w:val="2"/>
          </w:tcPr>
          <w:p w:rsidR="00B75DE8" w:rsidRPr="003A5617" w:rsidRDefault="00B75DE8" w:rsidP="00007BB2">
            <w:pPr>
              <w:jc w:val="center"/>
            </w:pPr>
            <w:proofErr w:type="spellStart"/>
            <w:r w:rsidRPr="003A5617">
              <w:rPr>
                <w:i/>
                <w:sz w:val="22"/>
                <w:szCs w:val="22"/>
              </w:rPr>
              <w:t>Adj</w:t>
            </w:r>
            <w:proofErr w:type="spellEnd"/>
            <w:r w:rsidRPr="003A5617">
              <w:rPr>
                <w:i/>
                <w:sz w:val="22"/>
                <w:szCs w:val="22"/>
              </w:rPr>
              <w:t xml:space="preserve"> </w:t>
            </w:r>
            <w:r w:rsidRPr="003A5617">
              <w:rPr>
                <w:bCs/>
                <w:i/>
                <w:sz w:val="22"/>
                <w:szCs w:val="22"/>
              </w:rPr>
              <w:t>r</w:t>
            </w:r>
            <w:r w:rsidRPr="003A5617">
              <w:rPr>
                <w:bCs/>
                <w:sz w:val="22"/>
                <w:szCs w:val="22"/>
                <w:vertAlign w:val="superscript"/>
              </w:rPr>
              <w:t xml:space="preserve">2 </w:t>
            </w:r>
            <w:r w:rsidRPr="003A5617">
              <w:rPr>
                <w:sz w:val="22"/>
                <w:szCs w:val="22"/>
              </w:rPr>
              <w:t>= .17**</w:t>
            </w:r>
          </w:p>
        </w:tc>
        <w:tc>
          <w:tcPr>
            <w:tcW w:w="1134" w:type="dxa"/>
          </w:tcPr>
          <w:p w:rsidR="00B75DE8" w:rsidRPr="003A5617" w:rsidRDefault="00B75DE8" w:rsidP="00007BB2">
            <w:pPr>
              <w:jc w:val="center"/>
            </w:pPr>
          </w:p>
        </w:tc>
        <w:tc>
          <w:tcPr>
            <w:tcW w:w="1417" w:type="dxa"/>
          </w:tcPr>
          <w:p w:rsidR="00B75DE8" w:rsidRPr="003A5617" w:rsidRDefault="00B75DE8" w:rsidP="00007BB2">
            <w:pPr>
              <w:jc w:val="center"/>
            </w:pPr>
          </w:p>
        </w:tc>
        <w:tc>
          <w:tcPr>
            <w:tcW w:w="1418" w:type="dxa"/>
          </w:tcPr>
          <w:p w:rsidR="00B75DE8" w:rsidRPr="003A5617" w:rsidRDefault="00B75DE8" w:rsidP="00007BB2">
            <w:pPr>
              <w:jc w:val="center"/>
            </w:pPr>
          </w:p>
        </w:tc>
      </w:tr>
      <w:tr w:rsidR="00B75DE8" w:rsidRPr="003A5617" w:rsidTr="00007BB2">
        <w:tc>
          <w:tcPr>
            <w:tcW w:w="250" w:type="dxa"/>
            <w:tcBorders>
              <w:bottom w:val="single" w:sz="4" w:space="0" w:color="auto"/>
            </w:tcBorders>
            <w:shd w:val="clear" w:color="auto" w:fill="auto"/>
          </w:tcPr>
          <w:p w:rsidR="00B75DE8" w:rsidRPr="003A5617" w:rsidRDefault="00B75DE8" w:rsidP="00007BB2"/>
        </w:tc>
        <w:tc>
          <w:tcPr>
            <w:tcW w:w="1189" w:type="dxa"/>
            <w:tcBorders>
              <w:bottom w:val="single" w:sz="4" w:space="0" w:color="auto"/>
            </w:tcBorders>
            <w:shd w:val="clear" w:color="auto" w:fill="auto"/>
          </w:tcPr>
          <w:p w:rsidR="00B75DE8" w:rsidRPr="003A5617" w:rsidRDefault="00B75DE8" w:rsidP="00007BB2"/>
        </w:tc>
        <w:tc>
          <w:tcPr>
            <w:tcW w:w="1667" w:type="dxa"/>
            <w:gridSpan w:val="2"/>
            <w:tcBorders>
              <w:bottom w:val="single" w:sz="4" w:space="0" w:color="auto"/>
            </w:tcBorders>
            <w:shd w:val="clear" w:color="auto" w:fill="auto"/>
          </w:tcPr>
          <w:p w:rsidR="00B75DE8" w:rsidRPr="002833AA" w:rsidRDefault="00B75DE8" w:rsidP="00007BB2">
            <w:pPr>
              <w:rPr>
                <w:highlight w:val="yellow"/>
              </w:rPr>
            </w:pPr>
            <w:r w:rsidRPr="002833AA">
              <w:rPr>
                <w:bCs/>
                <w:i/>
                <w:sz w:val="22"/>
                <w:szCs w:val="22"/>
                <w:highlight w:val="yellow"/>
              </w:rPr>
              <w:t>r</w:t>
            </w:r>
            <w:r w:rsidRPr="002833AA">
              <w:rPr>
                <w:bCs/>
                <w:sz w:val="22"/>
                <w:szCs w:val="22"/>
                <w:highlight w:val="yellow"/>
                <w:vertAlign w:val="superscript"/>
              </w:rPr>
              <w:t xml:space="preserve">2 </w:t>
            </w:r>
            <w:r w:rsidRPr="002833AA">
              <w:rPr>
                <w:bCs/>
                <w:i/>
                <w:sz w:val="22"/>
                <w:szCs w:val="22"/>
                <w:highlight w:val="yellow"/>
              </w:rPr>
              <w:t>Change</w:t>
            </w:r>
            <w:r w:rsidRPr="002833AA">
              <w:rPr>
                <w:bCs/>
                <w:i/>
                <w:sz w:val="20"/>
                <w:szCs w:val="20"/>
                <w:highlight w:val="yellow"/>
              </w:rPr>
              <w:t xml:space="preserve"> =</w:t>
            </w:r>
            <w:r w:rsidRPr="002833AA">
              <w:rPr>
                <w:highlight w:val="yellow"/>
              </w:rPr>
              <w:t>.05</w:t>
            </w:r>
          </w:p>
        </w:tc>
        <w:tc>
          <w:tcPr>
            <w:tcW w:w="993" w:type="dxa"/>
            <w:tcBorders>
              <w:bottom w:val="single" w:sz="4" w:space="0" w:color="auto"/>
            </w:tcBorders>
            <w:shd w:val="clear" w:color="auto" w:fill="auto"/>
          </w:tcPr>
          <w:p w:rsidR="00B75DE8" w:rsidRPr="002833AA" w:rsidRDefault="00B75DE8" w:rsidP="00007BB2">
            <w:pPr>
              <w:jc w:val="center"/>
              <w:rPr>
                <w:highlight w:val="yellow"/>
              </w:rPr>
            </w:pPr>
          </w:p>
        </w:tc>
        <w:tc>
          <w:tcPr>
            <w:tcW w:w="1160" w:type="dxa"/>
            <w:tcBorders>
              <w:bottom w:val="single" w:sz="4" w:space="0" w:color="auto"/>
            </w:tcBorders>
            <w:shd w:val="clear" w:color="auto" w:fill="auto"/>
          </w:tcPr>
          <w:p w:rsidR="00B75DE8" w:rsidRPr="002833AA" w:rsidRDefault="00B75DE8" w:rsidP="00007BB2">
            <w:pPr>
              <w:jc w:val="center"/>
              <w:rPr>
                <w:highlight w:val="yellow"/>
              </w:rPr>
            </w:pPr>
          </w:p>
        </w:tc>
        <w:tc>
          <w:tcPr>
            <w:tcW w:w="1224" w:type="dxa"/>
            <w:tcBorders>
              <w:bottom w:val="single" w:sz="4" w:space="0" w:color="auto"/>
            </w:tcBorders>
            <w:shd w:val="clear" w:color="auto" w:fill="auto"/>
          </w:tcPr>
          <w:p w:rsidR="00B75DE8" w:rsidRPr="002833AA" w:rsidRDefault="00B75DE8" w:rsidP="00007BB2">
            <w:pPr>
              <w:jc w:val="center"/>
              <w:rPr>
                <w:highlight w:val="yellow"/>
              </w:rPr>
            </w:pPr>
          </w:p>
        </w:tc>
        <w:tc>
          <w:tcPr>
            <w:tcW w:w="1690" w:type="dxa"/>
            <w:gridSpan w:val="2"/>
            <w:tcBorders>
              <w:bottom w:val="single" w:sz="4" w:space="0" w:color="auto"/>
            </w:tcBorders>
          </w:tcPr>
          <w:p w:rsidR="00B75DE8" w:rsidRPr="002833AA" w:rsidRDefault="00B75DE8" w:rsidP="00007BB2">
            <w:pPr>
              <w:rPr>
                <w:sz w:val="22"/>
                <w:szCs w:val="22"/>
              </w:rPr>
            </w:pPr>
            <w:r w:rsidRPr="002833AA">
              <w:rPr>
                <w:bCs/>
                <w:i/>
                <w:sz w:val="22"/>
                <w:szCs w:val="22"/>
                <w:highlight w:val="yellow"/>
              </w:rPr>
              <w:t>r</w:t>
            </w:r>
            <w:r w:rsidRPr="002833AA">
              <w:rPr>
                <w:bCs/>
                <w:sz w:val="22"/>
                <w:szCs w:val="22"/>
                <w:highlight w:val="yellow"/>
                <w:vertAlign w:val="superscript"/>
              </w:rPr>
              <w:t xml:space="preserve">2 </w:t>
            </w:r>
            <w:r w:rsidRPr="002833AA">
              <w:rPr>
                <w:bCs/>
                <w:i/>
                <w:sz w:val="22"/>
                <w:szCs w:val="22"/>
                <w:highlight w:val="yellow"/>
              </w:rPr>
              <w:t>Change</w:t>
            </w:r>
            <w:r w:rsidRPr="002833AA">
              <w:rPr>
                <w:bCs/>
                <w:i/>
                <w:sz w:val="20"/>
                <w:szCs w:val="20"/>
                <w:highlight w:val="yellow"/>
              </w:rPr>
              <w:t xml:space="preserve"> </w:t>
            </w:r>
            <w:r w:rsidRPr="002833AA">
              <w:rPr>
                <w:bCs/>
                <w:i/>
                <w:sz w:val="22"/>
                <w:szCs w:val="22"/>
                <w:highlight w:val="yellow"/>
              </w:rPr>
              <w:t>=</w:t>
            </w:r>
            <w:r w:rsidRPr="002833AA">
              <w:rPr>
                <w:bCs/>
                <w:sz w:val="22"/>
                <w:szCs w:val="22"/>
                <w:highlight w:val="yellow"/>
              </w:rPr>
              <w:t xml:space="preserve"> .06</w:t>
            </w:r>
          </w:p>
        </w:tc>
        <w:tc>
          <w:tcPr>
            <w:tcW w:w="1134" w:type="dxa"/>
            <w:tcBorders>
              <w:bottom w:val="single" w:sz="4" w:space="0" w:color="auto"/>
            </w:tcBorders>
          </w:tcPr>
          <w:p w:rsidR="00B75DE8" w:rsidRPr="003A5617" w:rsidRDefault="00B75DE8" w:rsidP="00007BB2">
            <w:pPr>
              <w:jc w:val="center"/>
            </w:pPr>
          </w:p>
        </w:tc>
        <w:tc>
          <w:tcPr>
            <w:tcW w:w="1417" w:type="dxa"/>
            <w:tcBorders>
              <w:bottom w:val="single" w:sz="4" w:space="0" w:color="auto"/>
            </w:tcBorders>
          </w:tcPr>
          <w:p w:rsidR="00B75DE8" w:rsidRPr="003A5617" w:rsidRDefault="00B75DE8" w:rsidP="00007BB2">
            <w:pPr>
              <w:jc w:val="center"/>
            </w:pPr>
          </w:p>
        </w:tc>
        <w:tc>
          <w:tcPr>
            <w:tcW w:w="1418" w:type="dxa"/>
            <w:tcBorders>
              <w:bottom w:val="single" w:sz="4" w:space="0" w:color="auto"/>
            </w:tcBorders>
          </w:tcPr>
          <w:p w:rsidR="00B75DE8" w:rsidRPr="003A5617" w:rsidRDefault="00B75DE8" w:rsidP="00007BB2">
            <w:pPr>
              <w:jc w:val="center"/>
            </w:pPr>
          </w:p>
        </w:tc>
      </w:tr>
    </w:tbl>
    <w:p w:rsidR="00B75DE8" w:rsidRPr="003A5617" w:rsidRDefault="00B75DE8" w:rsidP="00B75DE8">
      <w:pPr>
        <w:ind w:right="2192"/>
        <w:jc w:val="both"/>
      </w:pPr>
    </w:p>
    <w:p w:rsidR="00B75DE8" w:rsidRPr="003A5617" w:rsidRDefault="00B75DE8" w:rsidP="00B75DE8">
      <w:pPr>
        <w:ind w:right="2192"/>
        <w:jc w:val="both"/>
      </w:pPr>
      <w:r w:rsidRPr="003A5617">
        <w:rPr>
          <w:i/>
          <w:iCs/>
        </w:rPr>
        <w:t>Note</w:t>
      </w:r>
      <w:r w:rsidRPr="003A5617">
        <w:rPr>
          <w:i/>
        </w:rPr>
        <w:t xml:space="preserve">. </w:t>
      </w:r>
      <w:r w:rsidRPr="003A5617">
        <w:rPr>
          <w:rFonts w:eastAsia="PMingLiU"/>
          <w:i/>
          <w:lang w:eastAsia="zh-TW"/>
        </w:rPr>
        <w:t>n=</w:t>
      </w:r>
      <w:r w:rsidRPr="003A5617">
        <w:rPr>
          <w:rFonts w:eastAsia="PMingLiU"/>
          <w:lang w:eastAsia="zh-TW"/>
        </w:rPr>
        <w:t>110. G-SAS: Gambling Symptoms Assessment Scale; SOGS=</w:t>
      </w:r>
      <w:r w:rsidRPr="003A5617">
        <w:t>South Oaks Gambling Scale; HADS-A= Hospital Anxiety and Depression Scale - Anxiety; HADS-D=Hospital Anxiety and Depression Scale - Depression; GBQ= Gamblers’ Beliefs Questionnaire; NMG=Negative Metacognitions about Gambling; PMG=Positive Metacognitions about Gambling</w:t>
      </w:r>
    </w:p>
    <w:p w:rsidR="00B75DE8" w:rsidRPr="003A5617" w:rsidRDefault="00B75DE8" w:rsidP="00B75DE8">
      <w:pPr>
        <w:sectPr w:rsidR="00B75DE8" w:rsidRPr="003A5617" w:rsidSect="00945459">
          <w:pgSz w:w="16838" w:h="11906" w:orient="landscape"/>
          <w:pgMar w:top="1440" w:right="1440" w:bottom="1440" w:left="1440" w:header="708" w:footer="708" w:gutter="0"/>
          <w:cols w:space="708"/>
          <w:docGrid w:linePitch="360"/>
        </w:sectPr>
      </w:pPr>
    </w:p>
    <w:p w:rsidR="00B75DE8" w:rsidRPr="000D5BCC" w:rsidRDefault="00B75DE8" w:rsidP="00B75DE8">
      <w:pPr>
        <w:rPr>
          <w:b/>
        </w:rPr>
      </w:pPr>
      <w:r w:rsidRPr="000D5BCC">
        <w:rPr>
          <w:b/>
        </w:rPr>
        <w:lastRenderedPageBreak/>
        <w:t>Table 4</w:t>
      </w:r>
    </w:p>
    <w:p w:rsidR="00B75DE8" w:rsidRDefault="00B75DE8" w:rsidP="00B75DE8"/>
    <w:p w:rsidR="00B75DE8" w:rsidRDefault="00B75DE8" w:rsidP="00B75DE8">
      <w:pPr>
        <w:rPr>
          <w:rStyle w:val="Strong"/>
          <w:b w:val="0"/>
        </w:rPr>
      </w:pPr>
      <w:r w:rsidRPr="003A5617">
        <w:t>Study 3 c</w:t>
      </w:r>
      <w:r w:rsidRPr="003A5617">
        <w:rPr>
          <w:rStyle w:val="Strong"/>
          <w:b w:val="0"/>
        </w:rPr>
        <w:t xml:space="preserve">orrelation </w:t>
      </w:r>
      <w:proofErr w:type="gramStart"/>
      <w:r w:rsidRPr="003A5617">
        <w:rPr>
          <w:rStyle w:val="Strong"/>
          <w:b w:val="0"/>
        </w:rPr>
        <w:t>matrix</w:t>
      </w:r>
      <w:proofErr w:type="gramEnd"/>
      <w:r w:rsidRPr="003A5617">
        <w:rPr>
          <w:rStyle w:val="Strong"/>
          <w:b w:val="0"/>
        </w:rPr>
        <w:t xml:space="preserve"> for the pooled study variables</w:t>
      </w:r>
    </w:p>
    <w:p w:rsidR="00B75DE8" w:rsidRPr="003A5617" w:rsidRDefault="00B75DE8" w:rsidP="00B75DE8">
      <w:pPr>
        <w:rPr>
          <w:b/>
        </w:rPr>
      </w:pPr>
    </w:p>
    <w:tbl>
      <w:tblPr>
        <w:tblW w:w="12331" w:type="dxa"/>
        <w:tblInd w:w="93" w:type="dxa"/>
        <w:tblBorders>
          <w:top w:val="single" w:sz="4" w:space="0" w:color="auto"/>
          <w:bottom w:val="single" w:sz="4" w:space="0" w:color="auto"/>
        </w:tblBorders>
        <w:tblLayout w:type="fixed"/>
        <w:tblLook w:val="04A0" w:firstRow="1" w:lastRow="0" w:firstColumn="1" w:lastColumn="0" w:noHBand="0" w:noVBand="1"/>
      </w:tblPr>
      <w:tblGrid>
        <w:gridCol w:w="2709"/>
        <w:gridCol w:w="850"/>
        <w:gridCol w:w="850"/>
        <w:gridCol w:w="1236"/>
        <w:gridCol w:w="955"/>
        <w:gridCol w:w="955"/>
        <w:gridCol w:w="955"/>
        <w:gridCol w:w="955"/>
        <w:gridCol w:w="955"/>
        <w:gridCol w:w="955"/>
        <w:gridCol w:w="956"/>
      </w:tblGrid>
      <w:tr w:rsidR="00B75DE8" w:rsidRPr="003A5617" w:rsidTr="00007BB2">
        <w:trPr>
          <w:trHeight w:val="282"/>
        </w:trPr>
        <w:tc>
          <w:tcPr>
            <w:tcW w:w="2709" w:type="dxa"/>
            <w:tcBorders>
              <w:top w:val="single" w:sz="4" w:space="0" w:color="auto"/>
              <w:bottom w:val="single" w:sz="4" w:space="0" w:color="auto"/>
            </w:tcBorders>
            <w:shd w:val="clear" w:color="auto" w:fill="auto"/>
            <w:vAlign w:val="bottom"/>
          </w:tcPr>
          <w:p w:rsidR="00B75DE8" w:rsidRPr="003A5617" w:rsidRDefault="00B75DE8" w:rsidP="00007BB2">
            <w:pPr>
              <w:jc w:val="center"/>
              <w:rPr>
                <w:b/>
              </w:rPr>
            </w:pPr>
            <w:r w:rsidRPr="003A5617">
              <w:rPr>
                <w:b/>
              </w:rPr>
              <w:t> </w:t>
            </w:r>
          </w:p>
        </w:tc>
        <w:tc>
          <w:tcPr>
            <w:tcW w:w="850" w:type="dxa"/>
            <w:tcBorders>
              <w:top w:val="single" w:sz="4" w:space="0" w:color="auto"/>
              <w:bottom w:val="single" w:sz="4" w:space="0" w:color="auto"/>
            </w:tcBorders>
          </w:tcPr>
          <w:p w:rsidR="00B75DE8" w:rsidRPr="00C85D46" w:rsidRDefault="00B75DE8" w:rsidP="00007BB2">
            <w:pPr>
              <w:jc w:val="center"/>
              <w:rPr>
                <w:b/>
                <w:highlight w:val="yellow"/>
              </w:rPr>
            </w:pPr>
            <w:r w:rsidRPr="00C85D46">
              <w:rPr>
                <w:b/>
                <w:highlight w:val="yellow"/>
              </w:rPr>
              <w:t>Alpha</w:t>
            </w:r>
          </w:p>
        </w:tc>
        <w:tc>
          <w:tcPr>
            <w:tcW w:w="850" w:type="dxa"/>
            <w:tcBorders>
              <w:top w:val="single" w:sz="4" w:space="0" w:color="auto"/>
              <w:bottom w:val="single" w:sz="4" w:space="0" w:color="auto"/>
            </w:tcBorders>
            <w:shd w:val="clear" w:color="auto" w:fill="auto"/>
            <w:vAlign w:val="bottom"/>
          </w:tcPr>
          <w:p w:rsidR="00B75DE8" w:rsidRPr="003A5617" w:rsidRDefault="00B75DE8" w:rsidP="00007BB2">
            <w:pPr>
              <w:jc w:val="center"/>
              <w:rPr>
                <w:b/>
              </w:rPr>
            </w:pPr>
            <w:r w:rsidRPr="003A5617">
              <w:rPr>
                <w:b/>
              </w:rPr>
              <w:t>Mean</w:t>
            </w:r>
          </w:p>
        </w:tc>
        <w:tc>
          <w:tcPr>
            <w:tcW w:w="1236" w:type="dxa"/>
            <w:tcBorders>
              <w:top w:val="single" w:sz="4" w:space="0" w:color="auto"/>
              <w:bottom w:val="single" w:sz="4" w:space="0" w:color="auto"/>
            </w:tcBorders>
            <w:shd w:val="clear" w:color="auto" w:fill="auto"/>
            <w:vAlign w:val="bottom"/>
          </w:tcPr>
          <w:p w:rsidR="00B75DE8" w:rsidRPr="003A5617" w:rsidRDefault="00B75DE8" w:rsidP="00007BB2">
            <w:pPr>
              <w:jc w:val="center"/>
              <w:rPr>
                <w:b/>
              </w:rPr>
            </w:pPr>
            <w:r w:rsidRPr="003A5617">
              <w:rPr>
                <w:b/>
              </w:rPr>
              <w:t>SD</w:t>
            </w:r>
          </w:p>
        </w:tc>
        <w:tc>
          <w:tcPr>
            <w:tcW w:w="955" w:type="dxa"/>
            <w:tcBorders>
              <w:top w:val="single" w:sz="4" w:space="0" w:color="auto"/>
              <w:bottom w:val="single" w:sz="4" w:space="0" w:color="auto"/>
            </w:tcBorders>
            <w:shd w:val="clear" w:color="auto" w:fill="auto"/>
            <w:vAlign w:val="bottom"/>
          </w:tcPr>
          <w:p w:rsidR="00B75DE8" w:rsidRPr="003A5617" w:rsidRDefault="00B75DE8" w:rsidP="00007BB2">
            <w:pPr>
              <w:jc w:val="center"/>
              <w:rPr>
                <w:b/>
              </w:rPr>
            </w:pPr>
            <w:r w:rsidRPr="003A5617">
              <w:rPr>
                <w:b/>
              </w:rPr>
              <w:t>1</w:t>
            </w:r>
          </w:p>
        </w:tc>
        <w:tc>
          <w:tcPr>
            <w:tcW w:w="955" w:type="dxa"/>
            <w:tcBorders>
              <w:top w:val="single" w:sz="4" w:space="0" w:color="auto"/>
              <w:bottom w:val="single" w:sz="4" w:space="0" w:color="auto"/>
            </w:tcBorders>
            <w:shd w:val="clear" w:color="auto" w:fill="auto"/>
            <w:vAlign w:val="bottom"/>
          </w:tcPr>
          <w:p w:rsidR="00B75DE8" w:rsidRPr="003A5617" w:rsidRDefault="00B75DE8" w:rsidP="00007BB2">
            <w:pPr>
              <w:jc w:val="center"/>
              <w:rPr>
                <w:b/>
              </w:rPr>
            </w:pPr>
            <w:r w:rsidRPr="003A5617">
              <w:rPr>
                <w:b/>
              </w:rPr>
              <w:t>2</w:t>
            </w:r>
          </w:p>
        </w:tc>
        <w:tc>
          <w:tcPr>
            <w:tcW w:w="955" w:type="dxa"/>
            <w:tcBorders>
              <w:top w:val="single" w:sz="4" w:space="0" w:color="auto"/>
              <w:bottom w:val="single" w:sz="4" w:space="0" w:color="auto"/>
            </w:tcBorders>
            <w:shd w:val="clear" w:color="auto" w:fill="auto"/>
            <w:vAlign w:val="bottom"/>
          </w:tcPr>
          <w:p w:rsidR="00B75DE8" w:rsidRPr="003A5617" w:rsidRDefault="00B75DE8" w:rsidP="00007BB2">
            <w:pPr>
              <w:jc w:val="center"/>
              <w:rPr>
                <w:b/>
              </w:rPr>
            </w:pPr>
            <w:r w:rsidRPr="003A5617">
              <w:rPr>
                <w:b/>
              </w:rPr>
              <w:t>3</w:t>
            </w:r>
          </w:p>
        </w:tc>
        <w:tc>
          <w:tcPr>
            <w:tcW w:w="955" w:type="dxa"/>
            <w:tcBorders>
              <w:top w:val="single" w:sz="4" w:space="0" w:color="auto"/>
              <w:bottom w:val="single" w:sz="4" w:space="0" w:color="auto"/>
            </w:tcBorders>
            <w:shd w:val="clear" w:color="auto" w:fill="auto"/>
            <w:vAlign w:val="bottom"/>
          </w:tcPr>
          <w:p w:rsidR="00B75DE8" w:rsidRPr="003A5617" w:rsidRDefault="00B75DE8" w:rsidP="00007BB2">
            <w:pPr>
              <w:jc w:val="center"/>
              <w:rPr>
                <w:b/>
              </w:rPr>
            </w:pPr>
            <w:r w:rsidRPr="003A5617">
              <w:rPr>
                <w:b/>
              </w:rPr>
              <w:t>4</w:t>
            </w:r>
          </w:p>
        </w:tc>
        <w:tc>
          <w:tcPr>
            <w:tcW w:w="955" w:type="dxa"/>
            <w:tcBorders>
              <w:top w:val="single" w:sz="4" w:space="0" w:color="auto"/>
              <w:bottom w:val="single" w:sz="4" w:space="0" w:color="auto"/>
            </w:tcBorders>
            <w:shd w:val="clear" w:color="auto" w:fill="auto"/>
            <w:vAlign w:val="bottom"/>
          </w:tcPr>
          <w:p w:rsidR="00B75DE8" w:rsidRPr="003A5617" w:rsidRDefault="00B75DE8" w:rsidP="00007BB2">
            <w:pPr>
              <w:jc w:val="center"/>
              <w:rPr>
                <w:b/>
              </w:rPr>
            </w:pPr>
            <w:r w:rsidRPr="003A5617">
              <w:rPr>
                <w:b/>
              </w:rPr>
              <w:t>5</w:t>
            </w:r>
          </w:p>
        </w:tc>
        <w:tc>
          <w:tcPr>
            <w:tcW w:w="955" w:type="dxa"/>
            <w:tcBorders>
              <w:top w:val="single" w:sz="4" w:space="0" w:color="auto"/>
              <w:bottom w:val="single" w:sz="4" w:space="0" w:color="auto"/>
            </w:tcBorders>
            <w:shd w:val="clear" w:color="auto" w:fill="auto"/>
            <w:vAlign w:val="bottom"/>
          </w:tcPr>
          <w:p w:rsidR="00B75DE8" w:rsidRPr="003A5617" w:rsidRDefault="00B75DE8" w:rsidP="00007BB2">
            <w:pPr>
              <w:jc w:val="center"/>
              <w:rPr>
                <w:b/>
              </w:rPr>
            </w:pPr>
            <w:r w:rsidRPr="003A5617">
              <w:rPr>
                <w:b/>
              </w:rPr>
              <w:t>6</w:t>
            </w:r>
          </w:p>
        </w:tc>
        <w:tc>
          <w:tcPr>
            <w:tcW w:w="956" w:type="dxa"/>
            <w:tcBorders>
              <w:top w:val="single" w:sz="4" w:space="0" w:color="auto"/>
              <w:bottom w:val="single" w:sz="4" w:space="0" w:color="auto"/>
            </w:tcBorders>
            <w:shd w:val="clear" w:color="auto" w:fill="auto"/>
            <w:vAlign w:val="bottom"/>
          </w:tcPr>
          <w:p w:rsidR="00B75DE8" w:rsidRPr="003A5617" w:rsidRDefault="00B75DE8" w:rsidP="00007BB2">
            <w:pPr>
              <w:jc w:val="center"/>
              <w:rPr>
                <w:b/>
              </w:rPr>
            </w:pPr>
            <w:r w:rsidRPr="003A5617">
              <w:rPr>
                <w:b/>
              </w:rPr>
              <w:t>7</w:t>
            </w:r>
          </w:p>
        </w:tc>
      </w:tr>
      <w:tr w:rsidR="00B75DE8" w:rsidRPr="003A5617" w:rsidTr="00007BB2">
        <w:trPr>
          <w:trHeight w:val="282"/>
        </w:trPr>
        <w:tc>
          <w:tcPr>
            <w:tcW w:w="2709" w:type="dxa"/>
            <w:tcBorders>
              <w:top w:val="single" w:sz="4" w:space="0" w:color="auto"/>
            </w:tcBorders>
            <w:shd w:val="clear" w:color="auto" w:fill="auto"/>
          </w:tcPr>
          <w:p w:rsidR="00B75DE8" w:rsidRPr="003A5617" w:rsidRDefault="00B75DE8" w:rsidP="00007BB2">
            <w:r w:rsidRPr="003A5617">
              <w:t>1. SOGS (Time 2)</w:t>
            </w:r>
          </w:p>
        </w:tc>
        <w:tc>
          <w:tcPr>
            <w:tcW w:w="850" w:type="dxa"/>
            <w:tcBorders>
              <w:top w:val="single" w:sz="4" w:space="0" w:color="auto"/>
            </w:tcBorders>
          </w:tcPr>
          <w:p w:rsidR="00B75DE8" w:rsidRPr="00C85D46" w:rsidRDefault="00B75DE8" w:rsidP="00007BB2">
            <w:pPr>
              <w:jc w:val="center"/>
              <w:rPr>
                <w:highlight w:val="yellow"/>
              </w:rPr>
            </w:pPr>
            <w:r w:rsidRPr="00C85D46">
              <w:rPr>
                <w:highlight w:val="yellow"/>
              </w:rPr>
              <w:t>.73</w:t>
            </w:r>
          </w:p>
        </w:tc>
        <w:tc>
          <w:tcPr>
            <w:tcW w:w="850" w:type="dxa"/>
            <w:tcBorders>
              <w:top w:val="single" w:sz="4" w:space="0" w:color="auto"/>
            </w:tcBorders>
            <w:shd w:val="clear" w:color="auto" w:fill="auto"/>
          </w:tcPr>
          <w:p w:rsidR="00B75DE8" w:rsidRPr="003A5617" w:rsidRDefault="00B75DE8" w:rsidP="00007BB2">
            <w:pPr>
              <w:jc w:val="center"/>
            </w:pPr>
            <w:r w:rsidRPr="003A5617">
              <w:t>10.4</w:t>
            </w:r>
          </w:p>
        </w:tc>
        <w:tc>
          <w:tcPr>
            <w:tcW w:w="1236" w:type="dxa"/>
            <w:tcBorders>
              <w:top w:val="single" w:sz="4" w:space="0" w:color="auto"/>
            </w:tcBorders>
            <w:shd w:val="clear" w:color="auto" w:fill="auto"/>
          </w:tcPr>
          <w:p w:rsidR="00B75DE8" w:rsidRPr="003A5617" w:rsidRDefault="00B75DE8" w:rsidP="00007BB2">
            <w:pPr>
              <w:jc w:val="center"/>
            </w:pPr>
            <w:r w:rsidRPr="003A5617">
              <w:t>4.6</w:t>
            </w:r>
          </w:p>
        </w:tc>
        <w:tc>
          <w:tcPr>
            <w:tcW w:w="955" w:type="dxa"/>
            <w:tcBorders>
              <w:top w:val="single" w:sz="4" w:space="0" w:color="auto"/>
            </w:tcBorders>
            <w:shd w:val="clear" w:color="auto" w:fill="auto"/>
            <w:noWrap/>
            <w:vAlign w:val="center"/>
          </w:tcPr>
          <w:p w:rsidR="00B75DE8" w:rsidRPr="003A5617" w:rsidRDefault="00B75DE8" w:rsidP="00007BB2">
            <w:pPr>
              <w:jc w:val="center"/>
            </w:pPr>
            <w:r w:rsidRPr="003A5617">
              <w:t>1</w:t>
            </w:r>
          </w:p>
        </w:tc>
        <w:tc>
          <w:tcPr>
            <w:tcW w:w="955" w:type="dxa"/>
            <w:tcBorders>
              <w:top w:val="single" w:sz="4" w:space="0" w:color="auto"/>
            </w:tcBorders>
            <w:shd w:val="clear" w:color="auto" w:fill="auto"/>
            <w:noWrap/>
            <w:vAlign w:val="center"/>
          </w:tcPr>
          <w:p w:rsidR="00B75DE8" w:rsidRPr="003A5617" w:rsidRDefault="00B75DE8" w:rsidP="00007BB2">
            <w:pPr>
              <w:jc w:val="center"/>
            </w:pPr>
            <w:r w:rsidRPr="003A5617">
              <w:t>.76**</w:t>
            </w:r>
          </w:p>
        </w:tc>
        <w:tc>
          <w:tcPr>
            <w:tcW w:w="955" w:type="dxa"/>
            <w:tcBorders>
              <w:top w:val="single" w:sz="4" w:space="0" w:color="auto"/>
            </w:tcBorders>
            <w:shd w:val="clear" w:color="auto" w:fill="auto"/>
            <w:noWrap/>
            <w:vAlign w:val="center"/>
          </w:tcPr>
          <w:p w:rsidR="00B75DE8" w:rsidRPr="003A5617" w:rsidRDefault="00B75DE8" w:rsidP="00007BB2">
            <w:pPr>
              <w:jc w:val="center"/>
            </w:pPr>
            <w:r w:rsidRPr="003A5617">
              <w:t>.24*</w:t>
            </w:r>
          </w:p>
        </w:tc>
        <w:tc>
          <w:tcPr>
            <w:tcW w:w="955" w:type="dxa"/>
            <w:tcBorders>
              <w:top w:val="single" w:sz="4" w:space="0" w:color="auto"/>
            </w:tcBorders>
            <w:shd w:val="clear" w:color="auto" w:fill="auto"/>
            <w:noWrap/>
            <w:vAlign w:val="center"/>
          </w:tcPr>
          <w:p w:rsidR="00B75DE8" w:rsidRPr="003A5617" w:rsidRDefault="00B75DE8" w:rsidP="00007BB2">
            <w:pPr>
              <w:jc w:val="center"/>
            </w:pPr>
            <w:r w:rsidRPr="003A5617">
              <w:t>.31*</w:t>
            </w:r>
          </w:p>
        </w:tc>
        <w:tc>
          <w:tcPr>
            <w:tcW w:w="955" w:type="dxa"/>
            <w:tcBorders>
              <w:top w:val="single" w:sz="4" w:space="0" w:color="auto"/>
            </w:tcBorders>
            <w:shd w:val="clear" w:color="auto" w:fill="auto"/>
            <w:noWrap/>
            <w:vAlign w:val="center"/>
          </w:tcPr>
          <w:p w:rsidR="00B75DE8" w:rsidRPr="003A5617" w:rsidRDefault="00B75DE8" w:rsidP="00007BB2">
            <w:pPr>
              <w:jc w:val="center"/>
            </w:pPr>
            <w:r w:rsidRPr="003A5617">
              <w:t>.33*</w:t>
            </w:r>
          </w:p>
        </w:tc>
        <w:tc>
          <w:tcPr>
            <w:tcW w:w="955" w:type="dxa"/>
            <w:tcBorders>
              <w:top w:val="single" w:sz="4" w:space="0" w:color="auto"/>
            </w:tcBorders>
            <w:shd w:val="clear" w:color="auto" w:fill="auto"/>
            <w:noWrap/>
            <w:vAlign w:val="center"/>
          </w:tcPr>
          <w:p w:rsidR="00B75DE8" w:rsidRPr="003A5617" w:rsidRDefault="00B75DE8" w:rsidP="00007BB2">
            <w:pPr>
              <w:jc w:val="center"/>
            </w:pPr>
            <w:r w:rsidRPr="003A5617">
              <w:t>.56**</w:t>
            </w:r>
          </w:p>
        </w:tc>
        <w:tc>
          <w:tcPr>
            <w:tcW w:w="956" w:type="dxa"/>
            <w:tcBorders>
              <w:top w:val="single" w:sz="4" w:space="0" w:color="auto"/>
            </w:tcBorders>
            <w:shd w:val="clear" w:color="auto" w:fill="auto"/>
            <w:noWrap/>
            <w:vAlign w:val="center"/>
          </w:tcPr>
          <w:p w:rsidR="00B75DE8" w:rsidRPr="003A5617" w:rsidRDefault="00B75DE8" w:rsidP="00007BB2">
            <w:pPr>
              <w:jc w:val="center"/>
            </w:pPr>
            <w:r w:rsidRPr="003A5617">
              <w:t>.34**</w:t>
            </w:r>
          </w:p>
        </w:tc>
      </w:tr>
      <w:tr w:rsidR="00B75DE8" w:rsidRPr="003A5617" w:rsidTr="00007BB2">
        <w:trPr>
          <w:trHeight w:val="282"/>
        </w:trPr>
        <w:tc>
          <w:tcPr>
            <w:tcW w:w="2709" w:type="dxa"/>
            <w:shd w:val="clear" w:color="auto" w:fill="auto"/>
          </w:tcPr>
          <w:p w:rsidR="00B75DE8" w:rsidRPr="003A5617" w:rsidRDefault="00B75DE8" w:rsidP="00007BB2">
            <w:r w:rsidRPr="003A5617">
              <w:t>2. SOGS (Time 1)</w:t>
            </w:r>
          </w:p>
        </w:tc>
        <w:tc>
          <w:tcPr>
            <w:tcW w:w="850" w:type="dxa"/>
          </w:tcPr>
          <w:p w:rsidR="00B75DE8" w:rsidRPr="00C85D46" w:rsidRDefault="00B75DE8" w:rsidP="00007BB2">
            <w:pPr>
              <w:jc w:val="center"/>
              <w:rPr>
                <w:highlight w:val="yellow"/>
              </w:rPr>
            </w:pPr>
            <w:r w:rsidRPr="00C85D46">
              <w:rPr>
                <w:highlight w:val="yellow"/>
              </w:rPr>
              <w:t>.75</w:t>
            </w:r>
          </w:p>
        </w:tc>
        <w:tc>
          <w:tcPr>
            <w:tcW w:w="850" w:type="dxa"/>
            <w:shd w:val="clear" w:color="auto" w:fill="auto"/>
          </w:tcPr>
          <w:p w:rsidR="00B75DE8" w:rsidRPr="003A5617" w:rsidRDefault="00B75DE8" w:rsidP="00007BB2">
            <w:pPr>
              <w:jc w:val="center"/>
            </w:pPr>
            <w:r w:rsidRPr="003A5617">
              <w:t>11.7</w:t>
            </w:r>
          </w:p>
        </w:tc>
        <w:tc>
          <w:tcPr>
            <w:tcW w:w="1236" w:type="dxa"/>
            <w:shd w:val="clear" w:color="auto" w:fill="auto"/>
          </w:tcPr>
          <w:p w:rsidR="00B75DE8" w:rsidRPr="003A5617" w:rsidRDefault="00B75DE8" w:rsidP="00007BB2">
            <w:pPr>
              <w:jc w:val="center"/>
            </w:pPr>
            <w:r w:rsidRPr="003A5617">
              <w:t>3.2</w:t>
            </w:r>
          </w:p>
        </w:tc>
        <w:tc>
          <w:tcPr>
            <w:tcW w:w="955" w:type="dxa"/>
            <w:shd w:val="clear" w:color="auto" w:fill="auto"/>
            <w:noWrap/>
            <w:vAlign w:val="center"/>
          </w:tcPr>
          <w:p w:rsidR="00B75DE8" w:rsidRPr="003A5617" w:rsidRDefault="00B75DE8" w:rsidP="00007BB2">
            <w:pPr>
              <w:jc w:val="center"/>
            </w:pPr>
            <w:r w:rsidRPr="003A5617">
              <w:t>-</w:t>
            </w:r>
          </w:p>
        </w:tc>
        <w:tc>
          <w:tcPr>
            <w:tcW w:w="955" w:type="dxa"/>
            <w:shd w:val="clear" w:color="auto" w:fill="auto"/>
            <w:noWrap/>
            <w:vAlign w:val="center"/>
          </w:tcPr>
          <w:p w:rsidR="00B75DE8" w:rsidRPr="003A5617" w:rsidRDefault="00B75DE8" w:rsidP="00007BB2">
            <w:pPr>
              <w:jc w:val="center"/>
            </w:pPr>
            <w:r w:rsidRPr="003A5617">
              <w:t>1</w:t>
            </w:r>
          </w:p>
        </w:tc>
        <w:tc>
          <w:tcPr>
            <w:tcW w:w="955" w:type="dxa"/>
            <w:shd w:val="clear" w:color="auto" w:fill="auto"/>
            <w:noWrap/>
            <w:vAlign w:val="center"/>
          </w:tcPr>
          <w:p w:rsidR="00B75DE8" w:rsidRPr="003A5617" w:rsidRDefault="00B75DE8" w:rsidP="00007BB2">
            <w:pPr>
              <w:jc w:val="center"/>
            </w:pPr>
            <w:r w:rsidRPr="003A5617">
              <w:t>.15</w:t>
            </w:r>
          </w:p>
        </w:tc>
        <w:tc>
          <w:tcPr>
            <w:tcW w:w="955" w:type="dxa"/>
            <w:shd w:val="clear" w:color="auto" w:fill="auto"/>
            <w:noWrap/>
            <w:vAlign w:val="center"/>
          </w:tcPr>
          <w:p w:rsidR="00B75DE8" w:rsidRPr="003A5617" w:rsidRDefault="00B75DE8" w:rsidP="00007BB2">
            <w:pPr>
              <w:jc w:val="center"/>
            </w:pPr>
            <w:r w:rsidRPr="003A5617">
              <w:t>.17</w:t>
            </w:r>
          </w:p>
        </w:tc>
        <w:tc>
          <w:tcPr>
            <w:tcW w:w="955" w:type="dxa"/>
            <w:shd w:val="clear" w:color="auto" w:fill="auto"/>
            <w:noWrap/>
            <w:vAlign w:val="center"/>
          </w:tcPr>
          <w:p w:rsidR="00B75DE8" w:rsidRPr="003A5617" w:rsidRDefault="00B75DE8" w:rsidP="00007BB2">
            <w:pPr>
              <w:jc w:val="center"/>
            </w:pPr>
            <w:r w:rsidRPr="003A5617">
              <w:t>.39**</w:t>
            </w:r>
          </w:p>
        </w:tc>
        <w:tc>
          <w:tcPr>
            <w:tcW w:w="955" w:type="dxa"/>
            <w:shd w:val="clear" w:color="auto" w:fill="auto"/>
            <w:noWrap/>
            <w:vAlign w:val="center"/>
          </w:tcPr>
          <w:p w:rsidR="00B75DE8" w:rsidRPr="003A5617" w:rsidRDefault="00B75DE8" w:rsidP="00007BB2">
            <w:pPr>
              <w:jc w:val="center"/>
            </w:pPr>
            <w:r w:rsidRPr="003A5617">
              <w:t>.40**</w:t>
            </w:r>
          </w:p>
        </w:tc>
        <w:tc>
          <w:tcPr>
            <w:tcW w:w="956" w:type="dxa"/>
            <w:shd w:val="clear" w:color="auto" w:fill="auto"/>
            <w:noWrap/>
            <w:vAlign w:val="center"/>
          </w:tcPr>
          <w:p w:rsidR="00B75DE8" w:rsidRPr="003A5617" w:rsidRDefault="00B75DE8" w:rsidP="00007BB2">
            <w:pPr>
              <w:jc w:val="center"/>
            </w:pPr>
            <w:r w:rsidRPr="003A5617">
              <w:t>.28**</w:t>
            </w:r>
          </w:p>
        </w:tc>
      </w:tr>
      <w:tr w:rsidR="00B75DE8" w:rsidRPr="003A5617" w:rsidTr="00007BB2">
        <w:trPr>
          <w:trHeight w:val="282"/>
        </w:trPr>
        <w:tc>
          <w:tcPr>
            <w:tcW w:w="2709" w:type="dxa"/>
            <w:shd w:val="clear" w:color="auto" w:fill="auto"/>
          </w:tcPr>
          <w:p w:rsidR="00B75DE8" w:rsidRPr="003A5617" w:rsidRDefault="00B75DE8" w:rsidP="00007BB2">
            <w:r w:rsidRPr="003A5617">
              <w:t>3. HADS-A (Time 1)</w:t>
            </w:r>
          </w:p>
        </w:tc>
        <w:tc>
          <w:tcPr>
            <w:tcW w:w="850" w:type="dxa"/>
          </w:tcPr>
          <w:p w:rsidR="00B75DE8" w:rsidRPr="00C85D46" w:rsidRDefault="00B75DE8" w:rsidP="00007BB2">
            <w:pPr>
              <w:jc w:val="center"/>
              <w:rPr>
                <w:highlight w:val="yellow"/>
              </w:rPr>
            </w:pPr>
            <w:r w:rsidRPr="00C85D46">
              <w:rPr>
                <w:highlight w:val="yellow"/>
              </w:rPr>
              <w:t>.82</w:t>
            </w:r>
          </w:p>
        </w:tc>
        <w:tc>
          <w:tcPr>
            <w:tcW w:w="850" w:type="dxa"/>
            <w:shd w:val="clear" w:color="auto" w:fill="auto"/>
          </w:tcPr>
          <w:p w:rsidR="00B75DE8" w:rsidRPr="003A5617" w:rsidRDefault="00B75DE8" w:rsidP="00007BB2">
            <w:pPr>
              <w:jc w:val="center"/>
            </w:pPr>
            <w:r w:rsidRPr="003A5617">
              <w:t>13.1</w:t>
            </w:r>
          </w:p>
        </w:tc>
        <w:tc>
          <w:tcPr>
            <w:tcW w:w="1236" w:type="dxa"/>
            <w:shd w:val="clear" w:color="auto" w:fill="auto"/>
          </w:tcPr>
          <w:p w:rsidR="00B75DE8" w:rsidRPr="003A5617" w:rsidRDefault="00B75DE8" w:rsidP="00007BB2">
            <w:pPr>
              <w:jc w:val="center"/>
            </w:pPr>
            <w:r w:rsidRPr="003A5617">
              <w:t>5.5</w:t>
            </w:r>
          </w:p>
        </w:tc>
        <w:tc>
          <w:tcPr>
            <w:tcW w:w="955" w:type="dxa"/>
            <w:shd w:val="clear" w:color="auto" w:fill="auto"/>
            <w:noWrap/>
            <w:vAlign w:val="center"/>
          </w:tcPr>
          <w:p w:rsidR="00B75DE8" w:rsidRPr="003A5617" w:rsidRDefault="00B75DE8" w:rsidP="00007BB2">
            <w:pPr>
              <w:jc w:val="center"/>
            </w:pPr>
            <w:r w:rsidRPr="003A5617">
              <w:t>-</w:t>
            </w:r>
          </w:p>
        </w:tc>
        <w:tc>
          <w:tcPr>
            <w:tcW w:w="955" w:type="dxa"/>
            <w:shd w:val="clear" w:color="auto" w:fill="auto"/>
            <w:noWrap/>
            <w:vAlign w:val="center"/>
          </w:tcPr>
          <w:p w:rsidR="00B75DE8" w:rsidRPr="003A5617" w:rsidRDefault="00B75DE8" w:rsidP="00007BB2">
            <w:pPr>
              <w:jc w:val="center"/>
            </w:pPr>
            <w:r w:rsidRPr="003A5617">
              <w:t>-</w:t>
            </w:r>
          </w:p>
        </w:tc>
        <w:tc>
          <w:tcPr>
            <w:tcW w:w="955" w:type="dxa"/>
            <w:shd w:val="clear" w:color="auto" w:fill="auto"/>
            <w:noWrap/>
            <w:vAlign w:val="center"/>
          </w:tcPr>
          <w:p w:rsidR="00B75DE8" w:rsidRPr="003A5617" w:rsidRDefault="00B75DE8" w:rsidP="00007BB2">
            <w:pPr>
              <w:jc w:val="center"/>
            </w:pPr>
            <w:r w:rsidRPr="003A5617">
              <w:t>1</w:t>
            </w:r>
          </w:p>
        </w:tc>
        <w:tc>
          <w:tcPr>
            <w:tcW w:w="955" w:type="dxa"/>
            <w:shd w:val="clear" w:color="auto" w:fill="auto"/>
            <w:noWrap/>
            <w:vAlign w:val="center"/>
          </w:tcPr>
          <w:p w:rsidR="00B75DE8" w:rsidRPr="003A5617" w:rsidRDefault="00B75DE8" w:rsidP="00007BB2">
            <w:pPr>
              <w:jc w:val="center"/>
            </w:pPr>
            <w:r w:rsidRPr="003A5617">
              <w:t>.71**</w:t>
            </w:r>
          </w:p>
        </w:tc>
        <w:tc>
          <w:tcPr>
            <w:tcW w:w="955" w:type="dxa"/>
            <w:shd w:val="clear" w:color="auto" w:fill="auto"/>
            <w:noWrap/>
            <w:vAlign w:val="center"/>
          </w:tcPr>
          <w:p w:rsidR="00B75DE8" w:rsidRPr="003A5617" w:rsidRDefault="00B75DE8" w:rsidP="00007BB2">
            <w:pPr>
              <w:jc w:val="center"/>
            </w:pPr>
            <w:r w:rsidRPr="003A5617">
              <w:t>.31**</w:t>
            </w:r>
          </w:p>
        </w:tc>
        <w:tc>
          <w:tcPr>
            <w:tcW w:w="955" w:type="dxa"/>
            <w:shd w:val="clear" w:color="auto" w:fill="auto"/>
            <w:noWrap/>
            <w:vAlign w:val="center"/>
          </w:tcPr>
          <w:p w:rsidR="00B75DE8" w:rsidRPr="003A5617" w:rsidRDefault="00B75DE8" w:rsidP="00007BB2">
            <w:pPr>
              <w:jc w:val="center"/>
            </w:pPr>
            <w:r w:rsidRPr="003A5617">
              <w:t>.23*</w:t>
            </w:r>
          </w:p>
        </w:tc>
        <w:tc>
          <w:tcPr>
            <w:tcW w:w="956" w:type="dxa"/>
            <w:shd w:val="clear" w:color="auto" w:fill="auto"/>
            <w:noWrap/>
            <w:vAlign w:val="center"/>
          </w:tcPr>
          <w:p w:rsidR="00B75DE8" w:rsidRPr="003A5617" w:rsidRDefault="00B75DE8" w:rsidP="00007BB2">
            <w:pPr>
              <w:jc w:val="center"/>
            </w:pPr>
            <w:r w:rsidRPr="003A5617">
              <w:t>.18</w:t>
            </w:r>
          </w:p>
        </w:tc>
      </w:tr>
      <w:tr w:rsidR="00B75DE8" w:rsidRPr="003A5617" w:rsidTr="00007BB2">
        <w:trPr>
          <w:trHeight w:val="282"/>
        </w:trPr>
        <w:tc>
          <w:tcPr>
            <w:tcW w:w="2709" w:type="dxa"/>
            <w:shd w:val="clear" w:color="auto" w:fill="auto"/>
          </w:tcPr>
          <w:p w:rsidR="00B75DE8" w:rsidRPr="003A5617" w:rsidRDefault="00B75DE8" w:rsidP="00007BB2">
            <w:r w:rsidRPr="003A5617">
              <w:t>4. HADS-D (Time 1)</w:t>
            </w:r>
          </w:p>
        </w:tc>
        <w:tc>
          <w:tcPr>
            <w:tcW w:w="850" w:type="dxa"/>
          </w:tcPr>
          <w:p w:rsidR="00B75DE8" w:rsidRPr="00C85D46" w:rsidRDefault="00B75DE8" w:rsidP="00007BB2">
            <w:pPr>
              <w:jc w:val="center"/>
              <w:rPr>
                <w:highlight w:val="yellow"/>
              </w:rPr>
            </w:pPr>
            <w:r w:rsidRPr="00C85D46">
              <w:rPr>
                <w:highlight w:val="yellow"/>
              </w:rPr>
              <w:t>.84</w:t>
            </w:r>
          </w:p>
        </w:tc>
        <w:tc>
          <w:tcPr>
            <w:tcW w:w="850" w:type="dxa"/>
            <w:shd w:val="clear" w:color="auto" w:fill="auto"/>
          </w:tcPr>
          <w:p w:rsidR="00B75DE8" w:rsidRPr="003A5617" w:rsidRDefault="00B75DE8" w:rsidP="00007BB2">
            <w:pPr>
              <w:jc w:val="center"/>
            </w:pPr>
            <w:r w:rsidRPr="003A5617">
              <w:t>7.3</w:t>
            </w:r>
          </w:p>
        </w:tc>
        <w:tc>
          <w:tcPr>
            <w:tcW w:w="1236" w:type="dxa"/>
            <w:shd w:val="clear" w:color="auto" w:fill="auto"/>
          </w:tcPr>
          <w:p w:rsidR="00B75DE8" w:rsidRPr="003A5617" w:rsidRDefault="00B75DE8" w:rsidP="00007BB2">
            <w:pPr>
              <w:jc w:val="center"/>
            </w:pPr>
            <w:r w:rsidRPr="003A5617">
              <w:t>4.4</w:t>
            </w:r>
          </w:p>
        </w:tc>
        <w:tc>
          <w:tcPr>
            <w:tcW w:w="955" w:type="dxa"/>
            <w:shd w:val="clear" w:color="auto" w:fill="auto"/>
            <w:noWrap/>
            <w:vAlign w:val="center"/>
          </w:tcPr>
          <w:p w:rsidR="00B75DE8" w:rsidRPr="003A5617" w:rsidRDefault="00B75DE8" w:rsidP="00007BB2">
            <w:pPr>
              <w:jc w:val="center"/>
            </w:pPr>
            <w:r w:rsidRPr="003A5617">
              <w:t>-</w:t>
            </w:r>
          </w:p>
        </w:tc>
        <w:tc>
          <w:tcPr>
            <w:tcW w:w="955" w:type="dxa"/>
            <w:shd w:val="clear" w:color="auto" w:fill="auto"/>
            <w:noWrap/>
            <w:vAlign w:val="center"/>
          </w:tcPr>
          <w:p w:rsidR="00B75DE8" w:rsidRPr="003A5617" w:rsidRDefault="00B75DE8" w:rsidP="00007BB2">
            <w:pPr>
              <w:jc w:val="center"/>
            </w:pPr>
            <w:r w:rsidRPr="003A5617">
              <w:t>-</w:t>
            </w:r>
          </w:p>
        </w:tc>
        <w:tc>
          <w:tcPr>
            <w:tcW w:w="955" w:type="dxa"/>
            <w:shd w:val="clear" w:color="auto" w:fill="auto"/>
            <w:noWrap/>
            <w:vAlign w:val="center"/>
          </w:tcPr>
          <w:p w:rsidR="00B75DE8" w:rsidRPr="003A5617" w:rsidRDefault="00B75DE8" w:rsidP="00007BB2">
            <w:pPr>
              <w:jc w:val="center"/>
            </w:pPr>
            <w:r w:rsidRPr="003A5617">
              <w:t>-</w:t>
            </w:r>
          </w:p>
        </w:tc>
        <w:tc>
          <w:tcPr>
            <w:tcW w:w="955" w:type="dxa"/>
            <w:shd w:val="clear" w:color="auto" w:fill="auto"/>
            <w:noWrap/>
            <w:vAlign w:val="center"/>
          </w:tcPr>
          <w:p w:rsidR="00B75DE8" w:rsidRPr="003A5617" w:rsidRDefault="00B75DE8" w:rsidP="00007BB2">
            <w:pPr>
              <w:jc w:val="center"/>
            </w:pPr>
            <w:r w:rsidRPr="003A5617">
              <w:t>1</w:t>
            </w:r>
          </w:p>
        </w:tc>
        <w:tc>
          <w:tcPr>
            <w:tcW w:w="955" w:type="dxa"/>
            <w:shd w:val="clear" w:color="auto" w:fill="auto"/>
            <w:noWrap/>
            <w:vAlign w:val="center"/>
          </w:tcPr>
          <w:p w:rsidR="00B75DE8" w:rsidRPr="003A5617" w:rsidRDefault="00B75DE8" w:rsidP="00007BB2">
            <w:pPr>
              <w:jc w:val="center"/>
            </w:pPr>
            <w:r w:rsidRPr="003A5617">
              <w:t>.33**</w:t>
            </w:r>
          </w:p>
        </w:tc>
        <w:tc>
          <w:tcPr>
            <w:tcW w:w="955" w:type="dxa"/>
            <w:shd w:val="clear" w:color="auto" w:fill="auto"/>
            <w:noWrap/>
            <w:vAlign w:val="center"/>
          </w:tcPr>
          <w:p w:rsidR="00B75DE8" w:rsidRPr="003A5617" w:rsidRDefault="00B75DE8" w:rsidP="00007BB2">
            <w:pPr>
              <w:jc w:val="center"/>
            </w:pPr>
            <w:r w:rsidRPr="003A5617">
              <w:t>.26*</w:t>
            </w:r>
          </w:p>
        </w:tc>
        <w:tc>
          <w:tcPr>
            <w:tcW w:w="956" w:type="dxa"/>
            <w:shd w:val="clear" w:color="auto" w:fill="auto"/>
            <w:noWrap/>
            <w:vAlign w:val="center"/>
          </w:tcPr>
          <w:p w:rsidR="00B75DE8" w:rsidRPr="003A5617" w:rsidRDefault="00B75DE8" w:rsidP="00007BB2">
            <w:pPr>
              <w:jc w:val="center"/>
            </w:pPr>
            <w:r w:rsidRPr="003A5617">
              <w:t>.37**</w:t>
            </w:r>
          </w:p>
        </w:tc>
      </w:tr>
      <w:tr w:rsidR="00B75DE8" w:rsidRPr="003A5617" w:rsidTr="00007BB2">
        <w:trPr>
          <w:trHeight w:val="282"/>
        </w:trPr>
        <w:tc>
          <w:tcPr>
            <w:tcW w:w="2709" w:type="dxa"/>
            <w:shd w:val="clear" w:color="auto" w:fill="auto"/>
          </w:tcPr>
          <w:p w:rsidR="00B75DE8" w:rsidRPr="003A5617" w:rsidRDefault="00B75DE8" w:rsidP="00007BB2">
            <w:r w:rsidRPr="003A5617">
              <w:t>5. GBQ (Time 1)</w:t>
            </w:r>
          </w:p>
        </w:tc>
        <w:tc>
          <w:tcPr>
            <w:tcW w:w="850" w:type="dxa"/>
          </w:tcPr>
          <w:p w:rsidR="00B75DE8" w:rsidRPr="00C85D46" w:rsidRDefault="00B75DE8" w:rsidP="00007BB2">
            <w:pPr>
              <w:jc w:val="center"/>
              <w:rPr>
                <w:highlight w:val="yellow"/>
              </w:rPr>
            </w:pPr>
            <w:r w:rsidRPr="00C85D46">
              <w:rPr>
                <w:highlight w:val="yellow"/>
              </w:rPr>
              <w:t>.89</w:t>
            </w:r>
          </w:p>
        </w:tc>
        <w:tc>
          <w:tcPr>
            <w:tcW w:w="850" w:type="dxa"/>
            <w:shd w:val="clear" w:color="auto" w:fill="auto"/>
          </w:tcPr>
          <w:p w:rsidR="00B75DE8" w:rsidRPr="003A5617" w:rsidRDefault="00B75DE8" w:rsidP="00007BB2">
            <w:pPr>
              <w:jc w:val="center"/>
            </w:pPr>
            <w:r w:rsidRPr="003A5617">
              <w:t>108.5</w:t>
            </w:r>
          </w:p>
        </w:tc>
        <w:tc>
          <w:tcPr>
            <w:tcW w:w="1236" w:type="dxa"/>
            <w:shd w:val="clear" w:color="auto" w:fill="auto"/>
          </w:tcPr>
          <w:p w:rsidR="00B75DE8" w:rsidRPr="003A5617" w:rsidRDefault="00B75DE8" w:rsidP="00007BB2">
            <w:pPr>
              <w:jc w:val="center"/>
            </w:pPr>
            <w:r w:rsidRPr="003A5617">
              <w:t>27.8</w:t>
            </w:r>
          </w:p>
        </w:tc>
        <w:tc>
          <w:tcPr>
            <w:tcW w:w="955" w:type="dxa"/>
            <w:shd w:val="clear" w:color="auto" w:fill="auto"/>
            <w:noWrap/>
            <w:vAlign w:val="center"/>
          </w:tcPr>
          <w:p w:rsidR="00B75DE8" w:rsidRPr="003A5617" w:rsidRDefault="00B75DE8" w:rsidP="00007BB2">
            <w:pPr>
              <w:jc w:val="center"/>
            </w:pPr>
            <w:r w:rsidRPr="003A5617">
              <w:t>-</w:t>
            </w:r>
          </w:p>
        </w:tc>
        <w:tc>
          <w:tcPr>
            <w:tcW w:w="955" w:type="dxa"/>
            <w:shd w:val="clear" w:color="auto" w:fill="auto"/>
            <w:noWrap/>
            <w:vAlign w:val="center"/>
          </w:tcPr>
          <w:p w:rsidR="00B75DE8" w:rsidRPr="003A5617" w:rsidRDefault="00B75DE8" w:rsidP="00007BB2">
            <w:pPr>
              <w:jc w:val="center"/>
            </w:pPr>
            <w:r w:rsidRPr="003A5617">
              <w:t>-</w:t>
            </w:r>
          </w:p>
        </w:tc>
        <w:tc>
          <w:tcPr>
            <w:tcW w:w="955" w:type="dxa"/>
            <w:shd w:val="clear" w:color="auto" w:fill="auto"/>
            <w:noWrap/>
            <w:vAlign w:val="center"/>
          </w:tcPr>
          <w:p w:rsidR="00B75DE8" w:rsidRPr="003A5617" w:rsidRDefault="00B75DE8" w:rsidP="00007BB2">
            <w:pPr>
              <w:jc w:val="center"/>
            </w:pPr>
            <w:r w:rsidRPr="003A5617">
              <w:t>-</w:t>
            </w:r>
          </w:p>
        </w:tc>
        <w:tc>
          <w:tcPr>
            <w:tcW w:w="955" w:type="dxa"/>
            <w:shd w:val="clear" w:color="auto" w:fill="auto"/>
            <w:noWrap/>
            <w:vAlign w:val="center"/>
          </w:tcPr>
          <w:p w:rsidR="00B75DE8" w:rsidRPr="003A5617" w:rsidRDefault="00B75DE8" w:rsidP="00007BB2">
            <w:pPr>
              <w:jc w:val="center"/>
            </w:pPr>
            <w:r w:rsidRPr="003A5617">
              <w:t>-</w:t>
            </w:r>
          </w:p>
        </w:tc>
        <w:tc>
          <w:tcPr>
            <w:tcW w:w="955" w:type="dxa"/>
            <w:shd w:val="clear" w:color="auto" w:fill="auto"/>
            <w:noWrap/>
            <w:vAlign w:val="center"/>
          </w:tcPr>
          <w:p w:rsidR="00B75DE8" w:rsidRPr="003A5617" w:rsidRDefault="00B75DE8" w:rsidP="00007BB2">
            <w:pPr>
              <w:jc w:val="center"/>
            </w:pPr>
            <w:r w:rsidRPr="003A5617">
              <w:t>1</w:t>
            </w:r>
          </w:p>
        </w:tc>
        <w:tc>
          <w:tcPr>
            <w:tcW w:w="955" w:type="dxa"/>
            <w:shd w:val="clear" w:color="auto" w:fill="auto"/>
            <w:noWrap/>
            <w:vAlign w:val="center"/>
          </w:tcPr>
          <w:p w:rsidR="00B75DE8" w:rsidRPr="003A5617" w:rsidRDefault="00B75DE8" w:rsidP="00007BB2">
            <w:pPr>
              <w:jc w:val="center"/>
            </w:pPr>
            <w:r w:rsidRPr="003A5617">
              <w:t>.33**</w:t>
            </w:r>
          </w:p>
        </w:tc>
        <w:tc>
          <w:tcPr>
            <w:tcW w:w="956" w:type="dxa"/>
            <w:shd w:val="clear" w:color="auto" w:fill="auto"/>
            <w:noWrap/>
            <w:vAlign w:val="center"/>
          </w:tcPr>
          <w:p w:rsidR="00B75DE8" w:rsidRPr="003A5617" w:rsidRDefault="00B75DE8" w:rsidP="00007BB2">
            <w:pPr>
              <w:jc w:val="center"/>
            </w:pPr>
            <w:r w:rsidRPr="003A5617">
              <w:t>.27*</w:t>
            </w:r>
          </w:p>
        </w:tc>
      </w:tr>
      <w:tr w:rsidR="00B75DE8" w:rsidRPr="003A5617" w:rsidTr="00007BB2">
        <w:trPr>
          <w:trHeight w:val="282"/>
        </w:trPr>
        <w:tc>
          <w:tcPr>
            <w:tcW w:w="2709" w:type="dxa"/>
            <w:shd w:val="clear" w:color="auto" w:fill="auto"/>
          </w:tcPr>
          <w:p w:rsidR="00B75DE8" w:rsidRPr="003A5617" w:rsidRDefault="00B75DE8" w:rsidP="00007BB2">
            <w:r w:rsidRPr="003A5617">
              <w:t>6. NMG (Time 1)</w:t>
            </w:r>
          </w:p>
        </w:tc>
        <w:tc>
          <w:tcPr>
            <w:tcW w:w="850" w:type="dxa"/>
          </w:tcPr>
          <w:p w:rsidR="00B75DE8" w:rsidRPr="00C85D46" w:rsidRDefault="00B75DE8" w:rsidP="00007BB2">
            <w:pPr>
              <w:jc w:val="center"/>
              <w:rPr>
                <w:highlight w:val="yellow"/>
              </w:rPr>
            </w:pPr>
            <w:r w:rsidRPr="00C85D46">
              <w:rPr>
                <w:highlight w:val="yellow"/>
              </w:rPr>
              <w:t>.83</w:t>
            </w:r>
          </w:p>
        </w:tc>
        <w:tc>
          <w:tcPr>
            <w:tcW w:w="850" w:type="dxa"/>
            <w:shd w:val="clear" w:color="auto" w:fill="auto"/>
          </w:tcPr>
          <w:p w:rsidR="00B75DE8" w:rsidRPr="003A5617" w:rsidRDefault="00B75DE8" w:rsidP="00007BB2">
            <w:pPr>
              <w:jc w:val="center"/>
            </w:pPr>
            <w:r w:rsidRPr="003A5617">
              <w:t>13.9</w:t>
            </w:r>
          </w:p>
        </w:tc>
        <w:tc>
          <w:tcPr>
            <w:tcW w:w="1236" w:type="dxa"/>
            <w:shd w:val="clear" w:color="auto" w:fill="auto"/>
          </w:tcPr>
          <w:p w:rsidR="00B75DE8" w:rsidRPr="003A5617" w:rsidRDefault="00B75DE8" w:rsidP="00007BB2">
            <w:pPr>
              <w:jc w:val="center"/>
            </w:pPr>
            <w:r w:rsidRPr="003A5617">
              <w:t>4.4</w:t>
            </w:r>
          </w:p>
        </w:tc>
        <w:tc>
          <w:tcPr>
            <w:tcW w:w="955" w:type="dxa"/>
            <w:shd w:val="clear" w:color="auto" w:fill="auto"/>
            <w:noWrap/>
            <w:vAlign w:val="center"/>
          </w:tcPr>
          <w:p w:rsidR="00B75DE8" w:rsidRPr="003A5617" w:rsidRDefault="00B75DE8" w:rsidP="00007BB2">
            <w:pPr>
              <w:jc w:val="center"/>
            </w:pPr>
            <w:r w:rsidRPr="003A5617">
              <w:t>-</w:t>
            </w:r>
          </w:p>
        </w:tc>
        <w:tc>
          <w:tcPr>
            <w:tcW w:w="955" w:type="dxa"/>
            <w:shd w:val="clear" w:color="auto" w:fill="auto"/>
            <w:noWrap/>
            <w:vAlign w:val="center"/>
          </w:tcPr>
          <w:p w:rsidR="00B75DE8" w:rsidRPr="003A5617" w:rsidRDefault="00B75DE8" w:rsidP="00007BB2">
            <w:pPr>
              <w:jc w:val="center"/>
            </w:pPr>
            <w:r w:rsidRPr="003A5617">
              <w:t>-</w:t>
            </w:r>
          </w:p>
        </w:tc>
        <w:tc>
          <w:tcPr>
            <w:tcW w:w="955" w:type="dxa"/>
            <w:shd w:val="clear" w:color="auto" w:fill="auto"/>
            <w:noWrap/>
            <w:vAlign w:val="center"/>
          </w:tcPr>
          <w:p w:rsidR="00B75DE8" w:rsidRPr="003A5617" w:rsidRDefault="00B75DE8" w:rsidP="00007BB2">
            <w:pPr>
              <w:jc w:val="center"/>
            </w:pPr>
            <w:r w:rsidRPr="003A5617">
              <w:t>-</w:t>
            </w:r>
          </w:p>
        </w:tc>
        <w:tc>
          <w:tcPr>
            <w:tcW w:w="955" w:type="dxa"/>
            <w:shd w:val="clear" w:color="auto" w:fill="auto"/>
            <w:noWrap/>
            <w:vAlign w:val="center"/>
          </w:tcPr>
          <w:p w:rsidR="00B75DE8" w:rsidRPr="003A5617" w:rsidRDefault="00B75DE8" w:rsidP="00007BB2">
            <w:pPr>
              <w:jc w:val="center"/>
            </w:pPr>
            <w:r w:rsidRPr="003A5617">
              <w:t>-</w:t>
            </w:r>
          </w:p>
        </w:tc>
        <w:tc>
          <w:tcPr>
            <w:tcW w:w="955" w:type="dxa"/>
            <w:shd w:val="clear" w:color="auto" w:fill="auto"/>
            <w:noWrap/>
            <w:vAlign w:val="center"/>
          </w:tcPr>
          <w:p w:rsidR="00B75DE8" w:rsidRPr="003A5617" w:rsidRDefault="00B75DE8" w:rsidP="00007BB2">
            <w:pPr>
              <w:jc w:val="center"/>
            </w:pPr>
            <w:r w:rsidRPr="003A5617">
              <w:t>-</w:t>
            </w:r>
          </w:p>
        </w:tc>
        <w:tc>
          <w:tcPr>
            <w:tcW w:w="955" w:type="dxa"/>
            <w:shd w:val="clear" w:color="auto" w:fill="auto"/>
            <w:noWrap/>
            <w:vAlign w:val="center"/>
          </w:tcPr>
          <w:p w:rsidR="00B75DE8" w:rsidRPr="003A5617" w:rsidRDefault="00B75DE8" w:rsidP="00007BB2">
            <w:pPr>
              <w:jc w:val="center"/>
            </w:pPr>
            <w:r w:rsidRPr="003A5617">
              <w:t>1</w:t>
            </w:r>
          </w:p>
        </w:tc>
        <w:tc>
          <w:tcPr>
            <w:tcW w:w="956" w:type="dxa"/>
            <w:shd w:val="clear" w:color="auto" w:fill="auto"/>
            <w:noWrap/>
            <w:vAlign w:val="center"/>
          </w:tcPr>
          <w:p w:rsidR="00B75DE8" w:rsidRPr="003A5617" w:rsidRDefault="00B75DE8" w:rsidP="00007BB2">
            <w:pPr>
              <w:jc w:val="center"/>
            </w:pPr>
            <w:r w:rsidRPr="003A5617">
              <w:t>.36**</w:t>
            </w:r>
          </w:p>
        </w:tc>
      </w:tr>
      <w:tr w:rsidR="00B75DE8" w:rsidRPr="003A5617" w:rsidTr="00007BB2">
        <w:trPr>
          <w:trHeight w:val="282"/>
        </w:trPr>
        <w:tc>
          <w:tcPr>
            <w:tcW w:w="2709" w:type="dxa"/>
            <w:shd w:val="clear" w:color="auto" w:fill="auto"/>
          </w:tcPr>
          <w:p w:rsidR="00B75DE8" w:rsidRPr="003A5617" w:rsidRDefault="00B75DE8" w:rsidP="00007BB2">
            <w:r w:rsidRPr="003A5617">
              <w:t>7. PMG (Time 1)</w:t>
            </w:r>
          </w:p>
        </w:tc>
        <w:tc>
          <w:tcPr>
            <w:tcW w:w="850" w:type="dxa"/>
          </w:tcPr>
          <w:p w:rsidR="00B75DE8" w:rsidRPr="00C85D46" w:rsidRDefault="00B75DE8" w:rsidP="00007BB2">
            <w:pPr>
              <w:jc w:val="center"/>
              <w:rPr>
                <w:highlight w:val="yellow"/>
              </w:rPr>
            </w:pPr>
            <w:r w:rsidRPr="00C85D46">
              <w:rPr>
                <w:highlight w:val="yellow"/>
              </w:rPr>
              <w:t>.80</w:t>
            </w:r>
          </w:p>
        </w:tc>
        <w:tc>
          <w:tcPr>
            <w:tcW w:w="850" w:type="dxa"/>
            <w:shd w:val="clear" w:color="auto" w:fill="auto"/>
          </w:tcPr>
          <w:p w:rsidR="00B75DE8" w:rsidRPr="003A5617" w:rsidRDefault="00B75DE8" w:rsidP="00007BB2">
            <w:pPr>
              <w:jc w:val="center"/>
            </w:pPr>
            <w:r w:rsidRPr="003A5617">
              <w:t>12.5</w:t>
            </w:r>
          </w:p>
        </w:tc>
        <w:tc>
          <w:tcPr>
            <w:tcW w:w="1236" w:type="dxa"/>
            <w:shd w:val="clear" w:color="auto" w:fill="auto"/>
          </w:tcPr>
          <w:p w:rsidR="00B75DE8" w:rsidRPr="003A5617" w:rsidRDefault="00B75DE8" w:rsidP="00007BB2">
            <w:pPr>
              <w:jc w:val="center"/>
            </w:pPr>
            <w:r w:rsidRPr="003A5617">
              <w:t>4.5</w:t>
            </w:r>
          </w:p>
        </w:tc>
        <w:tc>
          <w:tcPr>
            <w:tcW w:w="955" w:type="dxa"/>
            <w:shd w:val="clear" w:color="auto" w:fill="auto"/>
            <w:noWrap/>
            <w:vAlign w:val="center"/>
          </w:tcPr>
          <w:p w:rsidR="00B75DE8" w:rsidRPr="003A5617" w:rsidRDefault="00B75DE8" w:rsidP="00007BB2">
            <w:pPr>
              <w:jc w:val="center"/>
            </w:pPr>
            <w:r w:rsidRPr="003A5617">
              <w:t>-</w:t>
            </w:r>
          </w:p>
        </w:tc>
        <w:tc>
          <w:tcPr>
            <w:tcW w:w="955" w:type="dxa"/>
            <w:shd w:val="clear" w:color="auto" w:fill="auto"/>
            <w:noWrap/>
            <w:vAlign w:val="center"/>
          </w:tcPr>
          <w:p w:rsidR="00B75DE8" w:rsidRPr="003A5617" w:rsidRDefault="00B75DE8" w:rsidP="00007BB2">
            <w:pPr>
              <w:jc w:val="center"/>
            </w:pPr>
            <w:r w:rsidRPr="003A5617">
              <w:t>-</w:t>
            </w:r>
          </w:p>
        </w:tc>
        <w:tc>
          <w:tcPr>
            <w:tcW w:w="955" w:type="dxa"/>
            <w:shd w:val="clear" w:color="auto" w:fill="auto"/>
            <w:noWrap/>
            <w:vAlign w:val="center"/>
          </w:tcPr>
          <w:p w:rsidR="00B75DE8" w:rsidRPr="003A5617" w:rsidRDefault="00B75DE8" w:rsidP="00007BB2">
            <w:pPr>
              <w:jc w:val="center"/>
            </w:pPr>
            <w:r w:rsidRPr="003A5617">
              <w:t>-</w:t>
            </w:r>
          </w:p>
        </w:tc>
        <w:tc>
          <w:tcPr>
            <w:tcW w:w="955" w:type="dxa"/>
            <w:shd w:val="clear" w:color="auto" w:fill="auto"/>
            <w:noWrap/>
            <w:vAlign w:val="center"/>
          </w:tcPr>
          <w:p w:rsidR="00B75DE8" w:rsidRPr="003A5617" w:rsidRDefault="00B75DE8" w:rsidP="00007BB2">
            <w:pPr>
              <w:jc w:val="center"/>
            </w:pPr>
            <w:r w:rsidRPr="003A5617">
              <w:t>-</w:t>
            </w:r>
          </w:p>
        </w:tc>
        <w:tc>
          <w:tcPr>
            <w:tcW w:w="955" w:type="dxa"/>
            <w:shd w:val="clear" w:color="auto" w:fill="auto"/>
            <w:noWrap/>
            <w:vAlign w:val="center"/>
          </w:tcPr>
          <w:p w:rsidR="00B75DE8" w:rsidRPr="003A5617" w:rsidRDefault="00B75DE8" w:rsidP="00007BB2">
            <w:pPr>
              <w:jc w:val="center"/>
            </w:pPr>
            <w:r w:rsidRPr="003A5617">
              <w:t>-</w:t>
            </w:r>
          </w:p>
        </w:tc>
        <w:tc>
          <w:tcPr>
            <w:tcW w:w="955" w:type="dxa"/>
            <w:shd w:val="clear" w:color="auto" w:fill="auto"/>
            <w:noWrap/>
            <w:vAlign w:val="center"/>
          </w:tcPr>
          <w:p w:rsidR="00B75DE8" w:rsidRPr="003A5617" w:rsidRDefault="00B75DE8" w:rsidP="00007BB2">
            <w:pPr>
              <w:jc w:val="center"/>
            </w:pPr>
            <w:r w:rsidRPr="003A5617">
              <w:t>-</w:t>
            </w:r>
          </w:p>
        </w:tc>
        <w:tc>
          <w:tcPr>
            <w:tcW w:w="956" w:type="dxa"/>
            <w:shd w:val="clear" w:color="auto" w:fill="auto"/>
            <w:noWrap/>
            <w:vAlign w:val="center"/>
          </w:tcPr>
          <w:p w:rsidR="00B75DE8" w:rsidRPr="003A5617" w:rsidRDefault="00B75DE8" w:rsidP="00007BB2">
            <w:pPr>
              <w:jc w:val="center"/>
            </w:pPr>
            <w:r w:rsidRPr="003A5617">
              <w:t>1</w:t>
            </w:r>
          </w:p>
        </w:tc>
      </w:tr>
    </w:tbl>
    <w:p w:rsidR="00B75DE8" w:rsidRPr="003A5617" w:rsidRDefault="00B75DE8" w:rsidP="00B75DE8"/>
    <w:p w:rsidR="00B75DE8" w:rsidRPr="003A5617" w:rsidRDefault="00B75DE8" w:rsidP="00B75DE8">
      <w:pPr>
        <w:ind w:right="2334"/>
        <w:jc w:val="both"/>
      </w:pPr>
      <w:r w:rsidRPr="003A5617">
        <w:rPr>
          <w:i/>
        </w:rPr>
        <w:t xml:space="preserve">Note. </w:t>
      </w:r>
      <w:r w:rsidRPr="003A5617">
        <w:t xml:space="preserve">SOGS = South Oaks Gambling Screen; HADS-A = Hospital Anxiety and Depression Scale - Anxiety; HADS-D = Hospital Anxiety and Depression Scale - Depression; GBQ = Gambling Beliefs Questionnaire; NMG = Negative Metacognitions about Gambling, PMG= Positive Metacognitions about Gambling; n=87; </w:t>
      </w:r>
      <w:r w:rsidRPr="003A5617">
        <w:rPr>
          <w:vertAlign w:val="superscript"/>
        </w:rPr>
        <w:t>*</w:t>
      </w:r>
      <w:r w:rsidRPr="003A5617">
        <w:t>p&lt;.05;</w:t>
      </w:r>
      <w:r w:rsidRPr="003A5617">
        <w:rPr>
          <w:vertAlign w:val="superscript"/>
        </w:rPr>
        <w:t>**</w:t>
      </w:r>
      <w:r w:rsidRPr="003A5617">
        <w:t>p&lt;.01.</w:t>
      </w:r>
    </w:p>
    <w:p w:rsidR="00B75DE8" w:rsidRPr="003A5617" w:rsidRDefault="00B75DE8" w:rsidP="00B75DE8">
      <w:pPr>
        <w:spacing w:after="200" w:line="276" w:lineRule="auto"/>
        <w:sectPr w:rsidR="00B75DE8" w:rsidRPr="003A5617" w:rsidSect="00177FD7">
          <w:pgSz w:w="16838" w:h="11906" w:orient="landscape"/>
          <w:pgMar w:top="1440" w:right="1440" w:bottom="1440" w:left="1440" w:header="708" w:footer="708" w:gutter="0"/>
          <w:cols w:space="708"/>
          <w:docGrid w:linePitch="360"/>
        </w:sectPr>
      </w:pPr>
    </w:p>
    <w:p w:rsidR="00B75DE8" w:rsidRDefault="00B75DE8" w:rsidP="00B75DE8">
      <w:pPr>
        <w:rPr>
          <w:rFonts w:eastAsia="Times New Roman,MS Mincho"/>
          <w:b/>
          <w:bCs/>
        </w:rPr>
      </w:pPr>
      <w:r w:rsidRPr="003A5617">
        <w:rPr>
          <w:rFonts w:eastAsia="Times New Roman,MS Mincho"/>
          <w:b/>
          <w:bCs/>
        </w:rPr>
        <w:lastRenderedPageBreak/>
        <w:t>Table 5</w:t>
      </w:r>
    </w:p>
    <w:p w:rsidR="00B75DE8" w:rsidRDefault="00B75DE8" w:rsidP="00B75DE8">
      <w:pPr>
        <w:rPr>
          <w:rFonts w:eastAsia="Times New Roman,MS Mincho"/>
          <w:b/>
          <w:bCs/>
        </w:rPr>
      </w:pPr>
    </w:p>
    <w:p w:rsidR="00B75DE8" w:rsidRDefault="00B75DE8" w:rsidP="00B75DE8">
      <w:pPr>
        <w:rPr>
          <w:rFonts w:eastAsia="Times New Roman,MS Mincho"/>
        </w:rPr>
      </w:pPr>
      <w:proofErr w:type="gramStart"/>
      <w:r>
        <w:rPr>
          <w:rFonts w:eastAsia="Times New Roman,MS Mincho"/>
        </w:rPr>
        <w:t>P</w:t>
      </w:r>
      <w:r w:rsidRPr="003A5617">
        <w:rPr>
          <w:rFonts w:eastAsia="Times New Roman,MS Mincho"/>
        </w:rPr>
        <w:t>ooled hierarchical regression model with gambling severity at</w:t>
      </w:r>
      <w:r>
        <w:rPr>
          <w:rFonts w:eastAsia="Times New Roman,MS Mincho"/>
        </w:rPr>
        <w:t xml:space="preserve"> time 2 as the outcome variable.</w:t>
      </w:r>
      <w:proofErr w:type="gramEnd"/>
    </w:p>
    <w:p w:rsidR="00B75DE8" w:rsidRPr="003A5617" w:rsidRDefault="00B75DE8" w:rsidP="00B75DE8"/>
    <w:tbl>
      <w:tblPr>
        <w:tblW w:w="0" w:type="auto"/>
        <w:tblBorders>
          <w:top w:val="single" w:sz="4" w:space="0" w:color="auto"/>
          <w:bottom w:val="single" w:sz="4" w:space="0" w:color="auto"/>
        </w:tblBorders>
        <w:tblLook w:val="04A0" w:firstRow="1" w:lastRow="0" w:firstColumn="1" w:lastColumn="0" w:noHBand="0" w:noVBand="1"/>
      </w:tblPr>
      <w:tblGrid>
        <w:gridCol w:w="250"/>
        <w:gridCol w:w="1189"/>
        <w:gridCol w:w="1504"/>
        <w:gridCol w:w="1418"/>
        <w:gridCol w:w="676"/>
        <w:gridCol w:w="759"/>
        <w:gridCol w:w="996"/>
        <w:gridCol w:w="1226"/>
        <w:gridCol w:w="1224"/>
      </w:tblGrid>
      <w:tr w:rsidR="00B75DE8" w:rsidRPr="003A5617" w:rsidTr="00007BB2">
        <w:tc>
          <w:tcPr>
            <w:tcW w:w="1439" w:type="dxa"/>
            <w:gridSpan w:val="2"/>
            <w:tcBorders>
              <w:bottom w:val="nil"/>
            </w:tcBorders>
            <w:shd w:val="clear" w:color="auto" w:fill="auto"/>
          </w:tcPr>
          <w:p w:rsidR="00B75DE8" w:rsidRPr="003A5617" w:rsidRDefault="00B75DE8" w:rsidP="00007BB2">
            <w:pPr>
              <w:rPr>
                <w:b/>
              </w:rPr>
            </w:pPr>
          </w:p>
        </w:tc>
        <w:tc>
          <w:tcPr>
            <w:tcW w:w="1504" w:type="dxa"/>
            <w:tcBorders>
              <w:bottom w:val="nil"/>
            </w:tcBorders>
            <w:shd w:val="clear" w:color="auto" w:fill="auto"/>
          </w:tcPr>
          <w:p w:rsidR="00B75DE8" w:rsidRPr="003A5617" w:rsidRDefault="00B75DE8" w:rsidP="00007BB2">
            <w:pPr>
              <w:rPr>
                <w:b/>
                <w:vertAlign w:val="superscript"/>
              </w:rPr>
            </w:pPr>
          </w:p>
        </w:tc>
        <w:tc>
          <w:tcPr>
            <w:tcW w:w="1418" w:type="dxa"/>
            <w:tcBorders>
              <w:bottom w:val="nil"/>
            </w:tcBorders>
            <w:shd w:val="clear" w:color="auto" w:fill="auto"/>
          </w:tcPr>
          <w:p w:rsidR="00B75DE8" w:rsidRPr="003A5617" w:rsidRDefault="00B75DE8" w:rsidP="00007BB2">
            <w:pPr>
              <w:rPr>
                <w:b/>
              </w:rPr>
            </w:pPr>
          </w:p>
        </w:tc>
        <w:tc>
          <w:tcPr>
            <w:tcW w:w="676" w:type="dxa"/>
            <w:tcBorders>
              <w:bottom w:val="nil"/>
            </w:tcBorders>
            <w:shd w:val="clear" w:color="auto" w:fill="auto"/>
          </w:tcPr>
          <w:p w:rsidR="00B75DE8" w:rsidRPr="003A5617" w:rsidRDefault="00B75DE8" w:rsidP="00007BB2">
            <w:pPr>
              <w:rPr>
                <w:b/>
              </w:rPr>
            </w:pPr>
          </w:p>
        </w:tc>
        <w:tc>
          <w:tcPr>
            <w:tcW w:w="759" w:type="dxa"/>
            <w:tcBorders>
              <w:bottom w:val="nil"/>
            </w:tcBorders>
            <w:shd w:val="clear" w:color="auto" w:fill="auto"/>
          </w:tcPr>
          <w:p w:rsidR="00B75DE8" w:rsidRPr="003A5617" w:rsidRDefault="00B75DE8" w:rsidP="00007BB2">
            <w:pPr>
              <w:rPr>
                <w:b/>
              </w:rPr>
            </w:pPr>
          </w:p>
        </w:tc>
        <w:tc>
          <w:tcPr>
            <w:tcW w:w="996" w:type="dxa"/>
            <w:tcBorders>
              <w:bottom w:val="nil"/>
            </w:tcBorders>
            <w:shd w:val="clear" w:color="auto" w:fill="auto"/>
          </w:tcPr>
          <w:p w:rsidR="00B75DE8" w:rsidRPr="003A5617" w:rsidRDefault="00B75DE8" w:rsidP="00007BB2">
            <w:pPr>
              <w:rPr>
                <w:b/>
              </w:rPr>
            </w:pPr>
          </w:p>
        </w:tc>
        <w:tc>
          <w:tcPr>
            <w:tcW w:w="2450" w:type="dxa"/>
            <w:gridSpan w:val="2"/>
            <w:tcBorders>
              <w:top w:val="single" w:sz="4" w:space="0" w:color="auto"/>
              <w:bottom w:val="single" w:sz="4" w:space="0" w:color="auto"/>
            </w:tcBorders>
            <w:shd w:val="clear" w:color="auto" w:fill="auto"/>
          </w:tcPr>
          <w:p w:rsidR="00B75DE8" w:rsidRPr="003A5617" w:rsidRDefault="00B75DE8" w:rsidP="00007BB2">
            <w:pPr>
              <w:jc w:val="center"/>
              <w:rPr>
                <w:b/>
              </w:rPr>
            </w:pPr>
            <w:r w:rsidRPr="003A5617">
              <w:rPr>
                <w:b/>
              </w:rPr>
              <w:t>95% Confidence Interval</w:t>
            </w:r>
          </w:p>
        </w:tc>
      </w:tr>
      <w:tr w:rsidR="00B75DE8" w:rsidRPr="003A5617" w:rsidTr="00007BB2">
        <w:tc>
          <w:tcPr>
            <w:tcW w:w="1439" w:type="dxa"/>
            <w:gridSpan w:val="2"/>
            <w:tcBorders>
              <w:top w:val="nil"/>
              <w:bottom w:val="single" w:sz="4" w:space="0" w:color="auto"/>
            </w:tcBorders>
            <w:shd w:val="clear" w:color="auto" w:fill="auto"/>
          </w:tcPr>
          <w:p w:rsidR="00B75DE8" w:rsidRPr="003A5617" w:rsidRDefault="00B75DE8" w:rsidP="00007BB2">
            <w:pPr>
              <w:jc w:val="center"/>
              <w:rPr>
                <w:b/>
              </w:rPr>
            </w:pPr>
            <w:r w:rsidRPr="003A5617">
              <w:rPr>
                <w:b/>
              </w:rPr>
              <w:t>Predictor</w:t>
            </w:r>
          </w:p>
          <w:p w:rsidR="00B75DE8" w:rsidRPr="003A5617" w:rsidRDefault="00B75DE8" w:rsidP="00007BB2">
            <w:pPr>
              <w:jc w:val="center"/>
              <w:rPr>
                <w:b/>
              </w:rPr>
            </w:pPr>
            <w:r w:rsidRPr="003A5617">
              <w:rPr>
                <w:b/>
              </w:rPr>
              <w:t>(Time 1)</w:t>
            </w:r>
          </w:p>
        </w:tc>
        <w:tc>
          <w:tcPr>
            <w:tcW w:w="1504" w:type="dxa"/>
            <w:tcBorders>
              <w:top w:val="nil"/>
              <w:bottom w:val="single" w:sz="4" w:space="0" w:color="auto"/>
            </w:tcBorders>
            <w:shd w:val="clear" w:color="auto" w:fill="auto"/>
          </w:tcPr>
          <w:p w:rsidR="00B75DE8" w:rsidRPr="003A5617" w:rsidRDefault="00B75DE8" w:rsidP="00007BB2">
            <w:pPr>
              <w:jc w:val="center"/>
              <w:rPr>
                <w:b/>
              </w:rPr>
            </w:pPr>
            <w:r w:rsidRPr="003A5617">
              <w:rPr>
                <w:b/>
                <w:i/>
              </w:rPr>
              <w:t>R</w:t>
            </w:r>
            <w:r w:rsidRPr="003A5617">
              <w:rPr>
                <w:b/>
                <w:vertAlign w:val="superscript"/>
              </w:rPr>
              <w:t>2</w:t>
            </w:r>
          </w:p>
        </w:tc>
        <w:tc>
          <w:tcPr>
            <w:tcW w:w="1418" w:type="dxa"/>
            <w:tcBorders>
              <w:top w:val="nil"/>
              <w:bottom w:val="single" w:sz="4" w:space="0" w:color="auto"/>
            </w:tcBorders>
            <w:shd w:val="clear" w:color="auto" w:fill="auto"/>
          </w:tcPr>
          <w:p w:rsidR="00B75DE8" w:rsidRPr="003A5617" w:rsidRDefault="00B75DE8" w:rsidP="00007BB2">
            <w:pPr>
              <w:jc w:val="center"/>
              <w:rPr>
                <w:b/>
                <w:vertAlign w:val="superscript"/>
              </w:rPr>
            </w:pPr>
            <w:r w:rsidRPr="003A5617">
              <w:rPr>
                <w:b/>
              </w:rPr>
              <w:t>Adjusted R</w:t>
            </w:r>
            <w:r w:rsidRPr="003A5617">
              <w:rPr>
                <w:b/>
                <w:vertAlign w:val="superscript"/>
              </w:rPr>
              <w:t>2</w:t>
            </w:r>
          </w:p>
        </w:tc>
        <w:tc>
          <w:tcPr>
            <w:tcW w:w="676" w:type="dxa"/>
            <w:tcBorders>
              <w:top w:val="nil"/>
              <w:bottom w:val="single" w:sz="4" w:space="0" w:color="auto"/>
            </w:tcBorders>
            <w:shd w:val="clear" w:color="auto" w:fill="auto"/>
          </w:tcPr>
          <w:p w:rsidR="00B75DE8" w:rsidRPr="003A5617" w:rsidRDefault="00B75DE8" w:rsidP="00007BB2">
            <w:pPr>
              <w:jc w:val="center"/>
              <w:rPr>
                <w:b/>
              </w:rPr>
            </w:pPr>
            <w:r w:rsidRPr="003A5617">
              <w:rPr>
                <w:b/>
              </w:rPr>
              <w:t>B</w:t>
            </w:r>
          </w:p>
        </w:tc>
        <w:tc>
          <w:tcPr>
            <w:tcW w:w="759" w:type="dxa"/>
            <w:tcBorders>
              <w:top w:val="nil"/>
              <w:bottom w:val="single" w:sz="4" w:space="0" w:color="auto"/>
            </w:tcBorders>
            <w:shd w:val="clear" w:color="auto" w:fill="auto"/>
          </w:tcPr>
          <w:p w:rsidR="00B75DE8" w:rsidRPr="003A5617" w:rsidRDefault="00B75DE8" w:rsidP="00007BB2">
            <w:pPr>
              <w:jc w:val="center"/>
              <w:rPr>
                <w:b/>
              </w:rPr>
            </w:pPr>
            <w:r w:rsidRPr="003A5617">
              <w:rPr>
                <w:b/>
              </w:rPr>
              <w:t>SE</w:t>
            </w:r>
          </w:p>
        </w:tc>
        <w:tc>
          <w:tcPr>
            <w:tcW w:w="996" w:type="dxa"/>
            <w:tcBorders>
              <w:top w:val="nil"/>
              <w:bottom w:val="single" w:sz="4" w:space="0" w:color="auto"/>
            </w:tcBorders>
            <w:shd w:val="clear" w:color="auto" w:fill="auto"/>
          </w:tcPr>
          <w:p w:rsidR="00B75DE8" w:rsidRPr="003A5617" w:rsidRDefault="00B75DE8" w:rsidP="00007BB2">
            <w:pPr>
              <w:jc w:val="center"/>
              <w:rPr>
                <w:b/>
              </w:rPr>
            </w:pPr>
            <w:r w:rsidRPr="003A5617">
              <w:rPr>
                <w:b/>
              </w:rPr>
              <w:t>t</w:t>
            </w:r>
          </w:p>
        </w:tc>
        <w:tc>
          <w:tcPr>
            <w:tcW w:w="1226" w:type="dxa"/>
            <w:tcBorders>
              <w:top w:val="single" w:sz="4" w:space="0" w:color="auto"/>
              <w:bottom w:val="single" w:sz="4" w:space="0" w:color="auto"/>
            </w:tcBorders>
            <w:shd w:val="clear" w:color="auto" w:fill="auto"/>
          </w:tcPr>
          <w:p w:rsidR="00B75DE8" w:rsidRPr="003A5617" w:rsidRDefault="00B75DE8" w:rsidP="00007BB2">
            <w:pPr>
              <w:jc w:val="center"/>
              <w:rPr>
                <w:b/>
              </w:rPr>
            </w:pPr>
            <w:r w:rsidRPr="003A5617">
              <w:rPr>
                <w:b/>
              </w:rPr>
              <w:t>LL</w:t>
            </w:r>
          </w:p>
        </w:tc>
        <w:tc>
          <w:tcPr>
            <w:tcW w:w="1224" w:type="dxa"/>
            <w:tcBorders>
              <w:top w:val="single" w:sz="4" w:space="0" w:color="auto"/>
              <w:bottom w:val="single" w:sz="4" w:space="0" w:color="auto"/>
            </w:tcBorders>
            <w:shd w:val="clear" w:color="auto" w:fill="auto"/>
          </w:tcPr>
          <w:p w:rsidR="00B75DE8" w:rsidRPr="003A5617" w:rsidRDefault="00B75DE8" w:rsidP="00007BB2">
            <w:pPr>
              <w:jc w:val="center"/>
              <w:rPr>
                <w:b/>
              </w:rPr>
            </w:pPr>
            <w:r w:rsidRPr="003A5617">
              <w:rPr>
                <w:b/>
              </w:rPr>
              <w:t>UL</w:t>
            </w:r>
          </w:p>
        </w:tc>
      </w:tr>
      <w:tr w:rsidR="00B75DE8" w:rsidRPr="003A5617" w:rsidTr="00007BB2">
        <w:tc>
          <w:tcPr>
            <w:tcW w:w="1439" w:type="dxa"/>
            <w:gridSpan w:val="2"/>
            <w:shd w:val="clear" w:color="auto" w:fill="auto"/>
          </w:tcPr>
          <w:p w:rsidR="00B75DE8" w:rsidRPr="003A5617" w:rsidRDefault="00B75DE8" w:rsidP="00007BB2">
            <w:pPr>
              <w:rPr>
                <w:b/>
              </w:rPr>
            </w:pPr>
            <w:r w:rsidRPr="003A5617">
              <w:rPr>
                <w:b/>
              </w:rPr>
              <w:t>Step 1</w:t>
            </w:r>
          </w:p>
        </w:tc>
        <w:tc>
          <w:tcPr>
            <w:tcW w:w="1504" w:type="dxa"/>
            <w:shd w:val="clear" w:color="auto" w:fill="auto"/>
          </w:tcPr>
          <w:p w:rsidR="00B75DE8" w:rsidRPr="003A5617" w:rsidRDefault="00B75DE8" w:rsidP="00007BB2">
            <w:pPr>
              <w:jc w:val="center"/>
            </w:pPr>
          </w:p>
        </w:tc>
        <w:tc>
          <w:tcPr>
            <w:tcW w:w="1418" w:type="dxa"/>
            <w:shd w:val="clear" w:color="auto" w:fill="auto"/>
          </w:tcPr>
          <w:p w:rsidR="00B75DE8" w:rsidRPr="003A5617" w:rsidRDefault="00B75DE8" w:rsidP="00007BB2">
            <w:pPr>
              <w:jc w:val="center"/>
            </w:pPr>
          </w:p>
        </w:tc>
        <w:tc>
          <w:tcPr>
            <w:tcW w:w="676" w:type="dxa"/>
            <w:shd w:val="clear" w:color="auto" w:fill="auto"/>
          </w:tcPr>
          <w:p w:rsidR="00B75DE8" w:rsidRPr="003A5617" w:rsidRDefault="00B75DE8" w:rsidP="00007BB2">
            <w:pPr>
              <w:jc w:val="center"/>
            </w:pPr>
          </w:p>
        </w:tc>
        <w:tc>
          <w:tcPr>
            <w:tcW w:w="759" w:type="dxa"/>
            <w:shd w:val="clear" w:color="auto" w:fill="auto"/>
          </w:tcPr>
          <w:p w:rsidR="00B75DE8" w:rsidRPr="003A5617" w:rsidRDefault="00B75DE8" w:rsidP="00007BB2">
            <w:pPr>
              <w:jc w:val="center"/>
            </w:pPr>
          </w:p>
        </w:tc>
        <w:tc>
          <w:tcPr>
            <w:tcW w:w="996" w:type="dxa"/>
            <w:shd w:val="clear" w:color="auto" w:fill="auto"/>
          </w:tcPr>
          <w:p w:rsidR="00B75DE8" w:rsidRPr="003A5617" w:rsidRDefault="00B75DE8" w:rsidP="00007BB2">
            <w:pPr>
              <w:jc w:val="center"/>
            </w:pPr>
          </w:p>
        </w:tc>
        <w:tc>
          <w:tcPr>
            <w:tcW w:w="1226" w:type="dxa"/>
            <w:shd w:val="clear" w:color="auto" w:fill="auto"/>
          </w:tcPr>
          <w:p w:rsidR="00B75DE8" w:rsidRPr="003A5617" w:rsidRDefault="00B75DE8" w:rsidP="00007BB2">
            <w:pPr>
              <w:jc w:val="center"/>
            </w:pPr>
          </w:p>
        </w:tc>
        <w:tc>
          <w:tcPr>
            <w:tcW w:w="1224" w:type="dxa"/>
            <w:shd w:val="clear" w:color="auto" w:fill="auto"/>
          </w:tcPr>
          <w:p w:rsidR="00B75DE8" w:rsidRPr="003A5617" w:rsidRDefault="00B75DE8" w:rsidP="00007BB2">
            <w:pPr>
              <w:jc w:val="center"/>
            </w:pPr>
          </w:p>
        </w:tc>
      </w:tr>
      <w:tr w:rsidR="00B75DE8" w:rsidRPr="003A5617" w:rsidTr="00007BB2">
        <w:tc>
          <w:tcPr>
            <w:tcW w:w="250" w:type="dxa"/>
            <w:shd w:val="clear" w:color="auto" w:fill="auto"/>
          </w:tcPr>
          <w:p w:rsidR="00B75DE8" w:rsidRPr="003A5617" w:rsidRDefault="00B75DE8" w:rsidP="00007BB2"/>
        </w:tc>
        <w:tc>
          <w:tcPr>
            <w:tcW w:w="1189" w:type="dxa"/>
            <w:shd w:val="clear" w:color="auto" w:fill="auto"/>
          </w:tcPr>
          <w:p w:rsidR="00B75DE8" w:rsidRPr="003A5617" w:rsidRDefault="00B75DE8" w:rsidP="00007BB2">
            <w:r w:rsidRPr="003A5617">
              <w:t xml:space="preserve">SOGS </w:t>
            </w:r>
          </w:p>
        </w:tc>
        <w:tc>
          <w:tcPr>
            <w:tcW w:w="1504" w:type="dxa"/>
            <w:shd w:val="clear" w:color="auto" w:fill="auto"/>
          </w:tcPr>
          <w:p w:rsidR="00B75DE8" w:rsidRPr="003A5617" w:rsidRDefault="00B75DE8" w:rsidP="00007BB2">
            <w:pPr>
              <w:jc w:val="center"/>
            </w:pPr>
          </w:p>
        </w:tc>
        <w:tc>
          <w:tcPr>
            <w:tcW w:w="1418" w:type="dxa"/>
            <w:shd w:val="clear" w:color="auto" w:fill="auto"/>
          </w:tcPr>
          <w:p w:rsidR="00B75DE8" w:rsidRPr="003A5617" w:rsidRDefault="00B75DE8" w:rsidP="00007BB2">
            <w:pPr>
              <w:jc w:val="center"/>
            </w:pPr>
          </w:p>
        </w:tc>
        <w:tc>
          <w:tcPr>
            <w:tcW w:w="676" w:type="dxa"/>
            <w:shd w:val="clear" w:color="auto" w:fill="auto"/>
          </w:tcPr>
          <w:p w:rsidR="00B75DE8" w:rsidRPr="003A5617" w:rsidRDefault="00B75DE8" w:rsidP="00007BB2">
            <w:pPr>
              <w:jc w:val="center"/>
            </w:pPr>
            <w:r w:rsidRPr="003A5617">
              <w:t>.99</w:t>
            </w:r>
          </w:p>
        </w:tc>
        <w:tc>
          <w:tcPr>
            <w:tcW w:w="759" w:type="dxa"/>
            <w:shd w:val="clear" w:color="auto" w:fill="auto"/>
          </w:tcPr>
          <w:p w:rsidR="00B75DE8" w:rsidRPr="003A5617" w:rsidRDefault="00B75DE8" w:rsidP="00007BB2">
            <w:pPr>
              <w:jc w:val="center"/>
            </w:pPr>
            <w:r w:rsidRPr="003A5617">
              <w:t>1.0</w:t>
            </w:r>
          </w:p>
        </w:tc>
        <w:tc>
          <w:tcPr>
            <w:tcW w:w="996" w:type="dxa"/>
            <w:shd w:val="clear" w:color="auto" w:fill="auto"/>
          </w:tcPr>
          <w:p w:rsidR="00B75DE8" w:rsidRPr="003A5617" w:rsidRDefault="00B75DE8" w:rsidP="00007BB2">
            <w:pPr>
              <w:jc w:val="center"/>
            </w:pPr>
            <w:r w:rsidRPr="003A5617">
              <w:t>10.15**</w:t>
            </w:r>
          </w:p>
        </w:tc>
        <w:tc>
          <w:tcPr>
            <w:tcW w:w="1226" w:type="dxa"/>
            <w:shd w:val="clear" w:color="auto" w:fill="auto"/>
          </w:tcPr>
          <w:p w:rsidR="00B75DE8" w:rsidRPr="003A5617" w:rsidRDefault="00B75DE8" w:rsidP="00007BB2">
            <w:pPr>
              <w:jc w:val="center"/>
            </w:pPr>
            <w:r w:rsidRPr="003A5617">
              <w:t>.80</w:t>
            </w:r>
          </w:p>
        </w:tc>
        <w:tc>
          <w:tcPr>
            <w:tcW w:w="1224" w:type="dxa"/>
            <w:shd w:val="clear" w:color="auto" w:fill="auto"/>
          </w:tcPr>
          <w:p w:rsidR="00B75DE8" w:rsidRPr="003A5617" w:rsidRDefault="00B75DE8" w:rsidP="00007BB2">
            <w:pPr>
              <w:jc w:val="center"/>
            </w:pPr>
            <w:r w:rsidRPr="003A5617">
              <w:t>1.19</w:t>
            </w:r>
          </w:p>
        </w:tc>
      </w:tr>
      <w:tr w:rsidR="00B75DE8" w:rsidRPr="003A5617" w:rsidTr="00007BB2">
        <w:tc>
          <w:tcPr>
            <w:tcW w:w="250" w:type="dxa"/>
            <w:shd w:val="clear" w:color="auto" w:fill="auto"/>
          </w:tcPr>
          <w:p w:rsidR="00B75DE8" w:rsidRPr="003A5617" w:rsidRDefault="00B75DE8" w:rsidP="00007BB2"/>
        </w:tc>
        <w:tc>
          <w:tcPr>
            <w:tcW w:w="1189" w:type="dxa"/>
            <w:shd w:val="clear" w:color="auto" w:fill="auto"/>
          </w:tcPr>
          <w:p w:rsidR="00B75DE8" w:rsidRPr="003A5617" w:rsidRDefault="00B75DE8" w:rsidP="00007BB2">
            <w:r w:rsidRPr="003A5617">
              <w:rPr>
                <w:rFonts w:eastAsia="MS Mincho"/>
              </w:rPr>
              <w:t>HADS-A</w:t>
            </w:r>
          </w:p>
        </w:tc>
        <w:tc>
          <w:tcPr>
            <w:tcW w:w="1504" w:type="dxa"/>
            <w:shd w:val="clear" w:color="auto" w:fill="auto"/>
          </w:tcPr>
          <w:p w:rsidR="00B75DE8" w:rsidRPr="003A5617" w:rsidRDefault="00B75DE8" w:rsidP="00007BB2">
            <w:pPr>
              <w:jc w:val="center"/>
            </w:pPr>
          </w:p>
        </w:tc>
        <w:tc>
          <w:tcPr>
            <w:tcW w:w="1418" w:type="dxa"/>
            <w:shd w:val="clear" w:color="auto" w:fill="auto"/>
          </w:tcPr>
          <w:p w:rsidR="00B75DE8" w:rsidRPr="003A5617" w:rsidRDefault="00B75DE8" w:rsidP="00007BB2">
            <w:pPr>
              <w:jc w:val="center"/>
            </w:pPr>
          </w:p>
        </w:tc>
        <w:tc>
          <w:tcPr>
            <w:tcW w:w="676" w:type="dxa"/>
            <w:shd w:val="clear" w:color="auto" w:fill="auto"/>
          </w:tcPr>
          <w:p w:rsidR="00B75DE8" w:rsidRPr="003A5617" w:rsidRDefault="00B75DE8" w:rsidP="00007BB2">
            <w:pPr>
              <w:jc w:val="center"/>
            </w:pPr>
            <w:r w:rsidRPr="003A5617">
              <w:t>.01</w:t>
            </w:r>
          </w:p>
        </w:tc>
        <w:tc>
          <w:tcPr>
            <w:tcW w:w="759" w:type="dxa"/>
            <w:shd w:val="clear" w:color="auto" w:fill="auto"/>
          </w:tcPr>
          <w:p w:rsidR="00B75DE8" w:rsidRPr="003A5617" w:rsidRDefault="00B75DE8" w:rsidP="00007BB2">
            <w:pPr>
              <w:jc w:val="center"/>
            </w:pPr>
            <w:r w:rsidRPr="003A5617">
              <w:t>.11</w:t>
            </w:r>
          </w:p>
        </w:tc>
        <w:tc>
          <w:tcPr>
            <w:tcW w:w="996" w:type="dxa"/>
            <w:shd w:val="clear" w:color="auto" w:fill="auto"/>
          </w:tcPr>
          <w:p w:rsidR="00B75DE8" w:rsidRPr="003A5617" w:rsidRDefault="00B75DE8" w:rsidP="00007BB2">
            <w:pPr>
              <w:jc w:val="center"/>
            </w:pPr>
            <w:r w:rsidRPr="003A5617">
              <w:t>.10</w:t>
            </w:r>
          </w:p>
        </w:tc>
        <w:tc>
          <w:tcPr>
            <w:tcW w:w="1226" w:type="dxa"/>
            <w:shd w:val="clear" w:color="auto" w:fill="auto"/>
          </w:tcPr>
          <w:p w:rsidR="00B75DE8" w:rsidRPr="003A5617" w:rsidRDefault="00B75DE8" w:rsidP="00007BB2">
            <w:pPr>
              <w:jc w:val="center"/>
            </w:pPr>
            <w:r w:rsidRPr="003A5617">
              <w:t>-.24</w:t>
            </w:r>
          </w:p>
        </w:tc>
        <w:tc>
          <w:tcPr>
            <w:tcW w:w="1224" w:type="dxa"/>
            <w:shd w:val="clear" w:color="auto" w:fill="auto"/>
          </w:tcPr>
          <w:p w:rsidR="00B75DE8" w:rsidRPr="003A5617" w:rsidRDefault="00B75DE8" w:rsidP="00007BB2">
            <w:pPr>
              <w:jc w:val="center"/>
            </w:pPr>
            <w:r w:rsidRPr="003A5617">
              <w:t>.22</w:t>
            </w:r>
          </w:p>
        </w:tc>
      </w:tr>
      <w:tr w:rsidR="00B75DE8" w:rsidRPr="003A5617" w:rsidTr="00007BB2">
        <w:tc>
          <w:tcPr>
            <w:tcW w:w="250" w:type="dxa"/>
            <w:shd w:val="clear" w:color="auto" w:fill="auto"/>
          </w:tcPr>
          <w:p w:rsidR="00B75DE8" w:rsidRPr="003A5617" w:rsidRDefault="00B75DE8" w:rsidP="00007BB2"/>
        </w:tc>
        <w:tc>
          <w:tcPr>
            <w:tcW w:w="1189" w:type="dxa"/>
            <w:shd w:val="clear" w:color="auto" w:fill="auto"/>
          </w:tcPr>
          <w:p w:rsidR="00B75DE8" w:rsidRPr="003A5617" w:rsidRDefault="00B75DE8" w:rsidP="00007BB2">
            <w:pPr>
              <w:rPr>
                <w:rFonts w:eastAsia="MS Mincho"/>
              </w:rPr>
            </w:pPr>
            <w:r w:rsidRPr="003A5617">
              <w:rPr>
                <w:rFonts w:eastAsia="MS Mincho"/>
              </w:rPr>
              <w:t>HADS-D</w:t>
            </w:r>
          </w:p>
        </w:tc>
        <w:tc>
          <w:tcPr>
            <w:tcW w:w="1504" w:type="dxa"/>
            <w:shd w:val="clear" w:color="auto" w:fill="auto"/>
          </w:tcPr>
          <w:p w:rsidR="00B75DE8" w:rsidRPr="003A5617" w:rsidRDefault="00B75DE8" w:rsidP="00007BB2">
            <w:pPr>
              <w:jc w:val="center"/>
            </w:pPr>
          </w:p>
        </w:tc>
        <w:tc>
          <w:tcPr>
            <w:tcW w:w="1418" w:type="dxa"/>
            <w:shd w:val="clear" w:color="auto" w:fill="auto"/>
          </w:tcPr>
          <w:p w:rsidR="00B75DE8" w:rsidRPr="003A5617" w:rsidRDefault="00B75DE8" w:rsidP="00007BB2">
            <w:pPr>
              <w:jc w:val="center"/>
            </w:pPr>
          </w:p>
        </w:tc>
        <w:tc>
          <w:tcPr>
            <w:tcW w:w="676" w:type="dxa"/>
            <w:shd w:val="clear" w:color="auto" w:fill="auto"/>
          </w:tcPr>
          <w:p w:rsidR="00B75DE8" w:rsidRPr="003A5617" w:rsidRDefault="00B75DE8" w:rsidP="00007BB2">
            <w:pPr>
              <w:jc w:val="center"/>
            </w:pPr>
            <w:r w:rsidRPr="003A5617">
              <w:t>.16</w:t>
            </w:r>
          </w:p>
        </w:tc>
        <w:tc>
          <w:tcPr>
            <w:tcW w:w="759" w:type="dxa"/>
            <w:shd w:val="clear" w:color="auto" w:fill="auto"/>
          </w:tcPr>
          <w:p w:rsidR="00B75DE8" w:rsidRPr="003A5617" w:rsidRDefault="00B75DE8" w:rsidP="00007BB2">
            <w:pPr>
              <w:jc w:val="center"/>
            </w:pPr>
            <w:r w:rsidRPr="003A5617">
              <w:t>.13</w:t>
            </w:r>
          </w:p>
        </w:tc>
        <w:tc>
          <w:tcPr>
            <w:tcW w:w="996" w:type="dxa"/>
            <w:shd w:val="clear" w:color="auto" w:fill="auto"/>
          </w:tcPr>
          <w:p w:rsidR="00B75DE8" w:rsidRPr="003A5617" w:rsidRDefault="00B75DE8" w:rsidP="00007BB2">
            <w:pPr>
              <w:jc w:val="center"/>
            </w:pPr>
            <w:r w:rsidRPr="003A5617">
              <w:t>1.22</w:t>
            </w:r>
          </w:p>
        </w:tc>
        <w:tc>
          <w:tcPr>
            <w:tcW w:w="1226" w:type="dxa"/>
            <w:shd w:val="clear" w:color="auto" w:fill="auto"/>
          </w:tcPr>
          <w:p w:rsidR="00B75DE8" w:rsidRPr="003A5617" w:rsidRDefault="00B75DE8" w:rsidP="00007BB2">
            <w:pPr>
              <w:jc w:val="center"/>
            </w:pPr>
            <w:r w:rsidRPr="003A5617">
              <w:t>-.11</w:t>
            </w:r>
          </w:p>
        </w:tc>
        <w:tc>
          <w:tcPr>
            <w:tcW w:w="1224" w:type="dxa"/>
            <w:shd w:val="clear" w:color="auto" w:fill="auto"/>
          </w:tcPr>
          <w:p w:rsidR="00B75DE8" w:rsidRPr="003A5617" w:rsidRDefault="00B75DE8" w:rsidP="00007BB2">
            <w:pPr>
              <w:jc w:val="center"/>
            </w:pPr>
            <w:r w:rsidRPr="003A5617">
              <w:t>.43</w:t>
            </w:r>
          </w:p>
        </w:tc>
      </w:tr>
      <w:tr w:rsidR="00B75DE8" w:rsidRPr="003A5617" w:rsidTr="00007BB2">
        <w:tc>
          <w:tcPr>
            <w:tcW w:w="250" w:type="dxa"/>
            <w:shd w:val="clear" w:color="auto" w:fill="auto"/>
          </w:tcPr>
          <w:p w:rsidR="00B75DE8" w:rsidRPr="003A5617" w:rsidRDefault="00B75DE8" w:rsidP="00007BB2"/>
        </w:tc>
        <w:tc>
          <w:tcPr>
            <w:tcW w:w="1189" w:type="dxa"/>
            <w:shd w:val="clear" w:color="auto" w:fill="auto"/>
          </w:tcPr>
          <w:p w:rsidR="00B75DE8" w:rsidRPr="003A5617" w:rsidRDefault="00B75DE8" w:rsidP="00007BB2">
            <w:pPr>
              <w:rPr>
                <w:b/>
              </w:rPr>
            </w:pPr>
            <w:r w:rsidRPr="003A5617">
              <w:rPr>
                <w:rFonts w:eastAsia="MS Mincho"/>
                <w:b/>
              </w:rPr>
              <w:t xml:space="preserve"> </w:t>
            </w:r>
          </w:p>
        </w:tc>
        <w:tc>
          <w:tcPr>
            <w:tcW w:w="1504" w:type="dxa"/>
            <w:shd w:val="clear" w:color="auto" w:fill="auto"/>
          </w:tcPr>
          <w:p w:rsidR="00B75DE8" w:rsidRPr="003A5617" w:rsidRDefault="00B75DE8" w:rsidP="00007BB2">
            <w:pPr>
              <w:jc w:val="center"/>
            </w:pPr>
            <w:r w:rsidRPr="003A5617">
              <w:t>.74-.87**</w:t>
            </w:r>
          </w:p>
        </w:tc>
        <w:tc>
          <w:tcPr>
            <w:tcW w:w="1418" w:type="dxa"/>
            <w:shd w:val="clear" w:color="auto" w:fill="auto"/>
          </w:tcPr>
          <w:p w:rsidR="00B75DE8" w:rsidRPr="003A5617" w:rsidRDefault="00B75DE8" w:rsidP="00007BB2">
            <w:pPr>
              <w:jc w:val="center"/>
            </w:pPr>
            <w:r w:rsidRPr="003A5617">
              <w:t>.52-.75**</w:t>
            </w:r>
          </w:p>
        </w:tc>
        <w:tc>
          <w:tcPr>
            <w:tcW w:w="676" w:type="dxa"/>
            <w:shd w:val="clear" w:color="auto" w:fill="auto"/>
          </w:tcPr>
          <w:p w:rsidR="00B75DE8" w:rsidRPr="003A5617" w:rsidRDefault="00B75DE8" w:rsidP="00007BB2">
            <w:pPr>
              <w:jc w:val="center"/>
            </w:pPr>
          </w:p>
        </w:tc>
        <w:tc>
          <w:tcPr>
            <w:tcW w:w="759" w:type="dxa"/>
            <w:shd w:val="clear" w:color="auto" w:fill="auto"/>
          </w:tcPr>
          <w:p w:rsidR="00B75DE8" w:rsidRPr="003A5617" w:rsidRDefault="00B75DE8" w:rsidP="00007BB2">
            <w:pPr>
              <w:jc w:val="center"/>
            </w:pPr>
          </w:p>
        </w:tc>
        <w:tc>
          <w:tcPr>
            <w:tcW w:w="996" w:type="dxa"/>
            <w:shd w:val="clear" w:color="auto" w:fill="auto"/>
          </w:tcPr>
          <w:p w:rsidR="00B75DE8" w:rsidRPr="003A5617" w:rsidRDefault="00B75DE8" w:rsidP="00007BB2">
            <w:pPr>
              <w:jc w:val="center"/>
            </w:pPr>
            <w:r w:rsidRPr="003A5617">
              <w:t>.</w:t>
            </w:r>
          </w:p>
        </w:tc>
        <w:tc>
          <w:tcPr>
            <w:tcW w:w="1226" w:type="dxa"/>
            <w:shd w:val="clear" w:color="auto" w:fill="auto"/>
          </w:tcPr>
          <w:p w:rsidR="00B75DE8" w:rsidRPr="003A5617" w:rsidRDefault="00B75DE8" w:rsidP="00007BB2">
            <w:pPr>
              <w:jc w:val="center"/>
            </w:pPr>
          </w:p>
        </w:tc>
        <w:tc>
          <w:tcPr>
            <w:tcW w:w="1224" w:type="dxa"/>
            <w:shd w:val="clear" w:color="auto" w:fill="auto"/>
          </w:tcPr>
          <w:p w:rsidR="00B75DE8" w:rsidRPr="003A5617" w:rsidRDefault="00B75DE8" w:rsidP="00007BB2">
            <w:pPr>
              <w:jc w:val="center"/>
            </w:pPr>
          </w:p>
        </w:tc>
      </w:tr>
      <w:tr w:rsidR="00B75DE8" w:rsidRPr="003A5617" w:rsidTr="00007BB2">
        <w:tc>
          <w:tcPr>
            <w:tcW w:w="1439" w:type="dxa"/>
            <w:gridSpan w:val="2"/>
            <w:shd w:val="clear" w:color="auto" w:fill="auto"/>
          </w:tcPr>
          <w:p w:rsidR="00B75DE8" w:rsidRPr="003A5617" w:rsidRDefault="00B75DE8" w:rsidP="00007BB2">
            <w:pPr>
              <w:rPr>
                <w:b/>
              </w:rPr>
            </w:pPr>
            <w:r w:rsidRPr="003A5617">
              <w:rPr>
                <w:b/>
              </w:rPr>
              <w:t>Step 2</w:t>
            </w:r>
          </w:p>
        </w:tc>
        <w:tc>
          <w:tcPr>
            <w:tcW w:w="1504" w:type="dxa"/>
            <w:shd w:val="clear" w:color="auto" w:fill="auto"/>
          </w:tcPr>
          <w:p w:rsidR="00B75DE8" w:rsidRPr="003A5617" w:rsidRDefault="00B75DE8" w:rsidP="00007BB2">
            <w:pPr>
              <w:jc w:val="center"/>
            </w:pPr>
          </w:p>
        </w:tc>
        <w:tc>
          <w:tcPr>
            <w:tcW w:w="1418" w:type="dxa"/>
            <w:shd w:val="clear" w:color="auto" w:fill="auto"/>
          </w:tcPr>
          <w:p w:rsidR="00B75DE8" w:rsidRPr="003A5617" w:rsidRDefault="00B75DE8" w:rsidP="00007BB2">
            <w:pPr>
              <w:jc w:val="center"/>
            </w:pPr>
          </w:p>
        </w:tc>
        <w:tc>
          <w:tcPr>
            <w:tcW w:w="676" w:type="dxa"/>
            <w:shd w:val="clear" w:color="auto" w:fill="auto"/>
          </w:tcPr>
          <w:p w:rsidR="00B75DE8" w:rsidRPr="003A5617" w:rsidRDefault="00B75DE8" w:rsidP="00007BB2">
            <w:pPr>
              <w:jc w:val="center"/>
            </w:pPr>
          </w:p>
        </w:tc>
        <w:tc>
          <w:tcPr>
            <w:tcW w:w="759" w:type="dxa"/>
            <w:shd w:val="clear" w:color="auto" w:fill="auto"/>
          </w:tcPr>
          <w:p w:rsidR="00B75DE8" w:rsidRPr="003A5617" w:rsidRDefault="00B75DE8" w:rsidP="00007BB2">
            <w:pPr>
              <w:jc w:val="center"/>
            </w:pPr>
          </w:p>
        </w:tc>
        <w:tc>
          <w:tcPr>
            <w:tcW w:w="996" w:type="dxa"/>
            <w:shd w:val="clear" w:color="auto" w:fill="auto"/>
          </w:tcPr>
          <w:p w:rsidR="00B75DE8" w:rsidRPr="003A5617" w:rsidRDefault="00B75DE8" w:rsidP="00007BB2">
            <w:pPr>
              <w:jc w:val="center"/>
            </w:pPr>
          </w:p>
        </w:tc>
        <w:tc>
          <w:tcPr>
            <w:tcW w:w="1226" w:type="dxa"/>
            <w:shd w:val="clear" w:color="auto" w:fill="auto"/>
          </w:tcPr>
          <w:p w:rsidR="00B75DE8" w:rsidRPr="003A5617" w:rsidRDefault="00B75DE8" w:rsidP="00007BB2">
            <w:pPr>
              <w:jc w:val="center"/>
            </w:pPr>
          </w:p>
        </w:tc>
        <w:tc>
          <w:tcPr>
            <w:tcW w:w="1224" w:type="dxa"/>
            <w:shd w:val="clear" w:color="auto" w:fill="auto"/>
          </w:tcPr>
          <w:p w:rsidR="00B75DE8" w:rsidRPr="003A5617" w:rsidRDefault="00B75DE8" w:rsidP="00007BB2">
            <w:pPr>
              <w:jc w:val="center"/>
            </w:pPr>
          </w:p>
        </w:tc>
      </w:tr>
      <w:tr w:rsidR="00B75DE8" w:rsidRPr="003A5617" w:rsidTr="00007BB2">
        <w:tc>
          <w:tcPr>
            <w:tcW w:w="250" w:type="dxa"/>
            <w:shd w:val="clear" w:color="auto" w:fill="auto"/>
          </w:tcPr>
          <w:p w:rsidR="00B75DE8" w:rsidRPr="003A5617" w:rsidRDefault="00B75DE8" w:rsidP="00007BB2"/>
        </w:tc>
        <w:tc>
          <w:tcPr>
            <w:tcW w:w="1189" w:type="dxa"/>
            <w:shd w:val="clear" w:color="auto" w:fill="auto"/>
          </w:tcPr>
          <w:p w:rsidR="00B75DE8" w:rsidRPr="003A5617" w:rsidRDefault="00B75DE8" w:rsidP="00007BB2">
            <w:r w:rsidRPr="003A5617">
              <w:t>SOGS</w:t>
            </w:r>
          </w:p>
        </w:tc>
        <w:tc>
          <w:tcPr>
            <w:tcW w:w="1504" w:type="dxa"/>
            <w:shd w:val="clear" w:color="auto" w:fill="auto"/>
          </w:tcPr>
          <w:p w:rsidR="00B75DE8" w:rsidRPr="003A5617" w:rsidRDefault="00B75DE8" w:rsidP="00007BB2">
            <w:pPr>
              <w:jc w:val="center"/>
            </w:pPr>
          </w:p>
        </w:tc>
        <w:tc>
          <w:tcPr>
            <w:tcW w:w="1418" w:type="dxa"/>
            <w:shd w:val="clear" w:color="auto" w:fill="auto"/>
          </w:tcPr>
          <w:p w:rsidR="00B75DE8" w:rsidRPr="003A5617" w:rsidRDefault="00B75DE8" w:rsidP="00007BB2">
            <w:pPr>
              <w:jc w:val="center"/>
            </w:pPr>
          </w:p>
        </w:tc>
        <w:tc>
          <w:tcPr>
            <w:tcW w:w="676" w:type="dxa"/>
            <w:shd w:val="clear" w:color="auto" w:fill="auto"/>
          </w:tcPr>
          <w:p w:rsidR="00B75DE8" w:rsidRPr="003A5617" w:rsidRDefault="00B75DE8" w:rsidP="00007BB2">
            <w:pPr>
              <w:jc w:val="center"/>
            </w:pPr>
            <w:r w:rsidRPr="003A5617">
              <w:t>1.00</w:t>
            </w:r>
          </w:p>
        </w:tc>
        <w:tc>
          <w:tcPr>
            <w:tcW w:w="759" w:type="dxa"/>
            <w:shd w:val="clear" w:color="auto" w:fill="auto"/>
          </w:tcPr>
          <w:p w:rsidR="00B75DE8" w:rsidRPr="003A5617" w:rsidRDefault="00B75DE8" w:rsidP="00007BB2">
            <w:pPr>
              <w:jc w:val="center"/>
            </w:pPr>
            <w:r w:rsidRPr="003A5617">
              <w:t>.11</w:t>
            </w:r>
          </w:p>
        </w:tc>
        <w:tc>
          <w:tcPr>
            <w:tcW w:w="996" w:type="dxa"/>
            <w:shd w:val="clear" w:color="auto" w:fill="auto"/>
          </w:tcPr>
          <w:p w:rsidR="00B75DE8" w:rsidRPr="003A5617" w:rsidRDefault="00B75DE8" w:rsidP="00007BB2">
            <w:pPr>
              <w:jc w:val="center"/>
            </w:pPr>
            <w:r w:rsidRPr="003A5617">
              <w:t>9.49**</w:t>
            </w:r>
          </w:p>
        </w:tc>
        <w:tc>
          <w:tcPr>
            <w:tcW w:w="1226" w:type="dxa"/>
            <w:shd w:val="clear" w:color="auto" w:fill="auto"/>
          </w:tcPr>
          <w:p w:rsidR="00B75DE8" w:rsidRPr="003A5617" w:rsidRDefault="00B75DE8" w:rsidP="00007BB2">
            <w:pPr>
              <w:jc w:val="center"/>
            </w:pPr>
            <w:r w:rsidRPr="003A5617">
              <w:t>.80</w:t>
            </w:r>
          </w:p>
        </w:tc>
        <w:tc>
          <w:tcPr>
            <w:tcW w:w="1224" w:type="dxa"/>
            <w:shd w:val="clear" w:color="auto" w:fill="auto"/>
          </w:tcPr>
          <w:p w:rsidR="00B75DE8" w:rsidRPr="003A5617" w:rsidRDefault="00B75DE8" w:rsidP="00007BB2">
            <w:pPr>
              <w:jc w:val="center"/>
            </w:pPr>
            <w:r w:rsidRPr="003A5617">
              <w:t>1.21</w:t>
            </w:r>
          </w:p>
        </w:tc>
      </w:tr>
      <w:tr w:rsidR="00B75DE8" w:rsidRPr="003A5617" w:rsidTr="00007BB2">
        <w:tc>
          <w:tcPr>
            <w:tcW w:w="250" w:type="dxa"/>
            <w:shd w:val="clear" w:color="auto" w:fill="auto"/>
          </w:tcPr>
          <w:p w:rsidR="00B75DE8" w:rsidRPr="003A5617" w:rsidRDefault="00B75DE8" w:rsidP="00007BB2"/>
        </w:tc>
        <w:tc>
          <w:tcPr>
            <w:tcW w:w="1189" w:type="dxa"/>
            <w:shd w:val="clear" w:color="auto" w:fill="auto"/>
          </w:tcPr>
          <w:p w:rsidR="00B75DE8" w:rsidRPr="003A5617" w:rsidRDefault="00B75DE8" w:rsidP="00007BB2">
            <w:r w:rsidRPr="003A5617">
              <w:rPr>
                <w:rFonts w:eastAsia="MS Mincho"/>
              </w:rPr>
              <w:t>HADS-A</w:t>
            </w:r>
          </w:p>
        </w:tc>
        <w:tc>
          <w:tcPr>
            <w:tcW w:w="1504" w:type="dxa"/>
            <w:shd w:val="clear" w:color="auto" w:fill="auto"/>
          </w:tcPr>
          <w:p w:rsidR="00B75DE8" w:rsidRPr="003A5617" w:rsidRDefault="00B75DE8" w:rsidP="00007BB2">
            <w:pPr>
              <w:jc w:val="center"/>
            </w:pPr>
          </w:p>
        </w:tc>
        <w:tc>
          <w:tcPr>
            <w:tcW w:w="1418" w:type="dxa"/>
            <w:shd w:val="clear" w:color="auto" w:fill="auto"/>
          </w:tcPr>
          <w:p w:rsidR="00B75DE8" w:rsidRPr="003A5617" w:rsidRDefault="00B75DE8" w:rsidP="00007BB2">
            <w:pPr>
              <w:jc w:val="center"/>
            </w:pPr>
          </w:p>
        </w:tc>
        <w:tc>
          <w:tcPr>
            <w:tcW w:w="676" w:type="dxa"/>
            <w:shd w:val="clear" w:color="auto" w:fill="auto"/>
          </w:tcPr>
          <w:p w:rsidR="00B75DE8" w:rsidRPr="003A5617" w:rsidRDefault="00B75DE8" w:rsidP="00007BB2">
            <w:pPr>
              <w:jc w:val="center"/>
            </w:pPr>
            <w:r w:rsidRPr="003A5617">
              <w:t>.02</w:t>
            </w:r>
          </w:p>
        </w:tc>
        <w:tc>
          <w:tcPr>
            <w:tcW w:w="759" w:type="dxa"/>
            <w:shd w:val="clear" w:color="auto" w:fill="auto"/>
          </w:tcPr>
          <w:p w:rsidR="00B75DE8" w:rsidRPr="003A5617" w:rsidRDefault="00B75DE8" w:rsidP="00007BB2">
            <w:pPr>
              <w:jc w:val="center"/>
            </w:pPr>
            <w:r w:rsidRPr="003A5617">
              <w:t>.10</w:t>
            </w:r>
          </w:p>
        </w:tc>
        <w:tc>
          <w:tcPr>
            <w:tcW w:w="996" w:type="dxa"/>
            <w:shd w:val="clear" w:color="auto" w:fill="auto"/>
          </w:tcPr>
          <w:p w:rsidR="00B75DE8" w:rsidRPr="003A5617" w:rsidRDefault="00B75DE8" w:rsidP="00007BB2">
            <w:pPr>
              <w:jc w:val="center"/>
            </w:pPr>
            <w:r w:rsidRPr="003A5617">
              <w:t>.12</w:t>
            </w:r>
          </w:p>
        </w:tc>
        <w:tc>
          <w:tcPr>
            <w:tcW w:w="1226" w:type="dxa"/>
            <w:shd w:val="clear" w:color="auto" w:fill="auto"/>
          </w:tcPr>
          <w:p w:rsidR="00B75DE8" w:rsidRPr="003A5617" w:rsidRDefault="00B75DE8" w:rsidP="00007BB2">
            <w:pPr>
              <w:jc w:val="center"/>
            </w:pPr>
            <w:r w:rsidRPr="003A5617">
              <w:t>-.23</w:t>
            </w:r>
          </w:p>
        </w:tc>
        <w:tc>
          <w:tcPr>
            <w:tcW w:w="1224" w:type="dxa"/>
            <w:shd w:val="clear" w:color="auto" w:fill="auto"/>
          </w:tcPr>
          <w:p w:rsidR="00B75DE8" w:rsidRPr="003A5617" w:rsidRDefault="00B75DE8" w:rsidP="00007BB2">
            <w:pPr>
              <w:jc w:val="center"/>
            </w:pPr>
            <w:r w:rsidRPr="003A5617">
              <w:t>.20</w:t>
            </w:r>
          </w:p>
        </w:tc>
      </w:tr>
      <w:tr w:rsidR="00B75DE8" w:rsidRPr="003A5617" w:rsidTr="00007BB2">
        <w:tc>
          <w:tcPr>
            <w:tcW w:w="250" w:type="dxa"/>
            <w:shd w:val="clear" w:color="auto" w:fill="auto"/>
          </w:tcPr>
          <w:p w:rsidR="00B75DE8" w:rsidRPr="003A5617" w:rsidRDefault="00B75DE8" w:rsidP="00007BB2"/>
        </w:tc>
        <w:tc>
          <w:tcPr>
            <w:tcW w:w="1189" w:type="dxa"/>
            <w:shd w:val="clear" w:color="auto" w:fill="auto"/>
          </w:tcPr>
          <w:p w:rsidR="00B75DE8" w:rsidRPr="003A5617" w:rsidRDefault="00B75DE8" w:rsidP="00007BB2">
            <w:r w:rsidRPr="003A5617">
              <w:rPr>
                <w:rFonts w:eastAsia="MS Mincho"/>
              </w:rPr>
              <w:t>HADS-D</w:t>
            </w:r>
          </w:p>
        </w:tc>
        <w:tc>
          <w:tcPr>
            <w:tcW w:w="1504" w:type="dxa"/>
            <w:shd w:val="clear" w:color="auto" w:fill="auto"/>
          </w:tcPr>
          <w:p w:rsidR="00B75DE8" w:rsidRPr="003A5617" w:rsidRDefault="00B75DE8" w:rsidP="00007BB2">
            <w:pPr>
              <w:jc w:val="center"/>
            </w:pPr>
          </w:p>
        </w:tc>
        <w:tc>
          <w:tcPr>
            <w:tcW w:w="1418" w:type="dxa"/>
            <w:shd w:val="clear" w:color="auto" w:fill="auto"/>
          </w:tcPr>
          <w:p w:rsidR="00B75DE8" w:rsidRPr="003A5617" w:rsidRDefault="00B75DE8" w:rsidP="00007BB2">
            <w:pPr>
              <w:jc w:val="center"/>
            </w:pPr>
          </w:p>
        </w:tc>
        <w:tc>
          <w:tcPr>
            <w:tcW w:w="676" w:type="dxa"/>
            <w:shd w:val="clear" w:color="auto" w:fill="auto"/>
          </w:tcPr>
          <w:p w:rsidR="00B75DE8" w:rsidRPr="003A5617" w:rsidRDefault="00B75DE8" w:rsidP="00007BB2">
            <w:pPr>
              <w:jc w:val="center"/>
            </w:pPr>
            <w:r w:rsidRPr="003A5617">
              <w:t>.16</w:t>
            </w:r>
          </w:p>
        </w:tc>
        <w:tc>
          <w:tcPr>
            <w:tcW w:w="759" w:type="dxa"/>
            <w:shd w:val="clear" w:color="auto" w:fill="auto"/>
          </w:tcPr>
          <w:p w:rsidR="00B75DE8" w:rsidRPr="003A5617" w:rsidRDefault="00B75DE8" w:rsidP="00007BB2">
            <w:pPr>
              <w:jc w:val="center"/>
            </w:pPr>
            <w:r w:rsidRPr="003A5617">
              <w:t>.14</w:t>
            </w:r>
          </w:p>
        </w:tc>
        <w:tc>
          <w:tcPr>
            <w:tcW w:w="996" w:type="dxa"/>
            <w:shd w:val="clear" w:color="auto" w:fill="auto"/>
          </w:tcPr>
          <w:p w:rsidR="00B75DE8" w:rsidRPr="003A5617" w:rsidRDefault="00B75DE8" w:rsidP="00007BB2">
            <w:pPr>
              <w:jc w:val="center"/>
            </w:pPr>
            <w:r w:rsidRPr="003A5617">
              <w:t>1.18</w:t>
            </w:r>
          </w:p>
        </w:tc>
        <w:tc>
          <w:tcPr>
            <w:tcW w:w="1226" w:type="dxa"/>
            <w:shd w:val="clear" w:color="auto" w:fill="auto"/>
          </w:tcPr>
          <w:p w:rsidR="00B75DE8" w:rsidRPr="003A5617" w:rsidRDefault="00B75DE8" w:rsidP="00007BB2">
            <w:pPr>
              <w:jc w:val="center"/>
            </w:pPr>
            <w:r w:rsidRPr="003A5617">
              <w:t>-.13</w:t>
            </w:r>
          </w:p>
        </w:tc>
        <w:tc>
          <w:tcPr>
            <w:tcW w:w="1224" w:type="dxa"/>
            <w:shd w:val="clear" w:color="auto" w:fill="auto"/>
          </w:tcPr>
          <w:p w:rsidR="00B75DE8" w:rsidRPr="003A5617" w:rsidRDefault="00B75DE8" w:rsidP="00007BB2">
            <w:pPr>
              <w:jc w:val="center"/>
            </w:pPr>
            <w:r w:rsidRPr="003A5617">
              <w:t>.45</w:t>
            </w:r>
          </w:p>
        </w:tc>
      </w:tr>
      <w:tr w:rsidR="00B75DE8" w:rsidRPr="003A5617" w:rsidTr="00007BB2">
        <w:tc>
          <w:tcPr>
            <w:tcW w:w="250" w:type="dxa"/>
            <w:shd w:val="clear" w:color="auto" w:fill="auto"/>
          </w:tcPr>
          <w:p w:rsidR="00B75DE8" w:rsidRPr="003A5617" w:rsidRDefault="00B75DE8" w:rsidP="00007BB2"/>
        </w:tc>
        <w:tc>
          <w:tcPr>
            <w:tcW w:w="1189" w:type="dxa"/>
            <w:shd w:val="clear" w:color="auto" w:fill="auto"/>
          </w:tcPr>
          <w:p w:rsidR="00B75DE8" w:rsidRPr="003A5617" w:rsidRDefault="00B75DE8" w:rsidP="00007BB2">
            <w:r w:rsidRPr="003A5617">
              <w:rPr>
                <w:rFonts w:eastAsia="MS Mincho"/>
              </w:rPr>
              <w:t>GBQ</w:t>
            </w:r>
          </w:p>
        </w:tc>
        <w:tc>
          <w:tcPr>
            <w:tcW w:w="1504" w:type="dxa"/>
            <w:shd w:val="clear" w:color="auto" w:fill="auto"/>
          </w:tcPr>
          <w:p w:rsidR="00B75DE8" w:rsidRPr="003A5617" w:rsidRDefault="00B75DE8" w:rsidP="00007BB2">
            <w:pPr>
              <w:jc w:val="center"/>
            </w:pPr>
          </w:p>
        </w:tc>
        <w:tc>
          <w:tcPr>
            <w:tcW w:w="1418" w:type="dxa"/>
            <w:shd w:val="clear" w:color="auto" w:fill="auto"/>
          </w:tcPr>
          <w:p w:rsidR="00B75DE8" w:rsidRPr="003A5617" w:rsidRDefault="00B75DE8" w:rsidP="00007BB2">
            <w:pPr>
              <w:jc w:val="center"/>
            </w:pPr>
          </w:p>
        </w:tc>
        <w:tc>
          <w:tcPr>
            <w:tcW w:w="676" w:type="dxa"/>
            <w:shd w:val="clear" w:color="auto" w:fill="auto"/>
          </w:tcPr>
          <w:p w:rsidR="00B75DE8" w:rsidRPr="003A5617" w:rsidRDefault="00B75DE8" w:rsidP="00007BB2">
            <w:pPr>
              <w:jc w:val="center"/>
            </w:pPr>
            <w:r w:rsidRPr="003A5617">
              <w:t>.02</w:t>
            </w:r>
          </w:p>
        </w:tc>
        <w:tc>
          <w:tcPr>
            <w:tcW w:w="759" w:type="dxa"/>
            <w:shd w:val="clear" w:color="auto" w:fill="auto"/>
          </w:tcPr>
          <w:p w:rsidR="00B75DE8" w:rsidRPr="003A5617" w:rsidRDefault="00B75DE8" w:rsidP="00007BB2">
            <w:pPr>
              <w:jc w:val="center"/>
            </w:pPr>
            <w:r w:rsidRPr="003A5617">
              <w:t>.02</w:t>
            </w:r>
          </w:p>
        </w:tc>
        <w:tc>
          <w:tcPr>
            <w:tcW w:w="996" w:type="dxa"/>
            <w:shd w:val="clear" w:color="auto" w:fill="auto"/>
          </w:tcPr>
          <w:p w:rsidR="00B75DE8" w:rsidRPr="003A5617" w:rsidRDefault="00B75DE8" w:rsidP="00007BB2">
            <w:pPr>
              <w:jc w:val="center"/>
            </w:pPr>
            <w:r w:rsidRPr="003A5617">
              <w:t>.11</w:t>
            </w:r>
          </w:p>
        </w:tc>
        <w:tc>
          <w:tcPr>
            <w:tcW w:w="1226" w:type="dxa"/>
            <w:shd w:val="clear" w:color="auto" w:fill="auto"/>
          </w:tcPr>
          <w:p w:rsidR="00B75DE8" w:rsidRPr="003A5617" w:rsidRDefault="00B75DE8" w:rsidP="00007BB2">
            <w:pPr>
              <w:jc w:val="center"/>
            </w:pPr>
            <w:r w:rsidRPr="003A5617">
              <w:t>-.03</w:t>
            </w:r>
          </w:p>
        </w:tc>
        <w:tc>
          <w:tcPr>
            <w:tcW w:w="1224" w:type="dxa"/>
            <w:shd w:val="clear" w:color="auto" w:fill="auto"/>
          </w:tcPr>
          <w:p w:rsidR="00B75DE8" w:rsidRPr="003A5617" w:rsidRDefault="00B75DE8" w:rsidP="00007BB2">
            <w:pPr>
              <w:jc w:val="center"/>
            </w:pPr>
            <w:r w:rsidRPr="003A5617">
              <w:t>.33</w:t>
            </w:r>
          </w:p>
        </w:tc>
      </w:tr>
      <w:tr w:rsidR="00B75DE8" w:rsidRPr="003A5617" w:rsidTr="00007BB2">
        <w:tc>
          <w:tcPr>
            <w:tcW w:w="250" w:type="dxa"/>
            <w:shd w:val="clear" w:color="auto" w:fill="auto"/>
          </w:tcPr>
          <w:p w:rsidR="00B75DE8" w:rsidRPr="003A5617" w:rsidRDefault="00B75DE8" w:rsidP="00007BB2"/>
        </w:tc>
        <w:tc>
          <w:tcPr>
            <w:tcW w:w="1189" w:type="dxa"/>
            <w:shd w:val="clear" w:color="auto" w:fill="auto"/>
          </w:tcPr>
          <w:p w:rsidR="00B75DE8" w:rsidRPr="003A5617" w:rsidRDefault="00B75DE8" w:rsidP="00007BB2">
            <w:pPr>
              <w:rPr>
                <w:b/>
              </w:rPr>
            </w:pPr>
          </w:p>
        </w:tc>
        <w:tc>
          <w:tcPr>
            <w:tcW w:w="1504" w:type="dxa"/>
            <w:shd w:val="clear" w:color="auto" w:fill="auto"/>
          </w:tcPr>
          <w:p w:rsidR="00B75DE8" w:rsidRPr="003A5617" w:rsidRDefault="00B75DE8" w:rsidP="00007BB2">
            <w:pPr>
              <w:jc w:val="center"/>
            </w:pPr>
            <w:r w:rsidRPr="003A5617">
              <w:t>.74-.87**</w:t>
            </w:r>
          </w:p>
        </w:tc>
        <w:tc>
          <w:tcPr>
            <w:tcW w:w="1418" w:type="dxa"/>
            <w:shd w:val="clear" w:color="auto" w:fill="auto"/>
          </w:tcPr>
          <w:p w:rsidR="00B75DE8" w:rsidRPr="003A5617" w:rsidRDefault="00B75DE8" w:rsidP="00007BB2">
            <w:pPr>
              <w:jc w:val="center"/>
            </w:pPr>
            <w:r w:rsidRPr="003A5617">
              <w:t>.52-.75</w:t>
            </w:r>
          </w:p>
        </w:tc>
        <w:tc>
          <w:tcPr>
            <w:tcW w:w="676" w:type="dxa"/>
            <w:shd w:val="clear" w:color="auto" w:fill="auto"/>
          </w:tcPr>
          <w:p w:rsidR="00B75DE8" w:rsidRPr="003A5617" w:rsidRDefault="00B75DE8" w:rsidP="00007BB2">
            <w:pPr>
              <w:jc w:val="center"/>
            </w:pPr>
          </w:p>
        </w:tc>
        <w:tc>
          <w:tcPr>
            <w:tcW w:w="759" w:type="dxa"/>
            <w:shd w:val="clear" w:color="auto" w:fill="auto"/>
          </w:tcPr>
          <w:p w:rsidR="00B75DE8" w:rsidRPr="003A5617" w:rsidRDefault="00B75DE8" w:rsidP="00007BB2">
            <w:pPr>
              <w:jc w:val="center"/>
            </w:pPr>
          </w:p>
        </w:tc>
        <w:tc>
          <w:tcPr>
            <w:tcW w:w="996" w:type="dxa"/>
            <w:shd w:val="clear" w:color="auto" w:fill="auto"/>
          </w:tcPr>
          <w:p w:rsidR="00B75DE8" w:rsidRPr="003A5617" w:rsidRDefault="00B75DE8" w:rsidP="00007BB2">
            <w:pPr>
              <w:jc w:val="center"/>
            </w:pPr>
          </w:p>
        </w:tc>
        <w:tc>
          <w:tcPr>
            <w:tcW w:w="1226" w:type="dxa"/>
            <w:shd w:val="clear" w:color="auto" w:fill="auto"/>
          </w:tcPr>
          <w:p w:rsidR="00B75DE8" w:rsidRPr="003A5617" w:rsidRDefault="00B75DE8" w:rsidP="00007BB2">
            <w:pPr>
              <w:jc w:val="center"/>
            </w:pPr>
          </w:p>
        </w:tc>
        <w:tc>
          <w:tcPr>
            <w:tcW w:w="1224" w:type="dxa"/>
            <w:shd w:val="clear" w:color="auto" w:fill="auto"/>
          </w:tcPr>
          <w:p w:rsidR="00B75DE8" w:rsidRPr="003A5617" w:rsidRDefault="00B75DE8" w:rsidP="00007BB2">
            <w:pPr>
              <w:jc w:val="center"/>
            </w:pPr>
          </w:p>
        </w:tc>
      </w:tr>
      <w:tr w:rsidR="00B75DE8" w:rsidRPr="003A5617" w:rsidTr="00007BB2">
        <w:tc>
          <w:tcPr>
            <w:tcW w:w="1439" w:type="dxa"/>
            <w:gridSpan w:val="2"/>
            <w:shd w:val="clear" w:color="auto" w:fill="auto"/>
          </w:tcPr>
          <w:p w:rsidR="00B75DE8" w:rsidRPr="003A5617" w:rsidRDefault="00B75DE8" w:rsidP="00007BB2">
            <w:pPr>
              <w:rPr>
                <w:b/>
              </w:rPr>
            </w:pPr>
            <w:r w:rsidRPr="003A5617">
              <w:rPr>
                <w:b/>
              </w:rPr>
              <w:t>Step 4</w:t>
            </w:r>
          </w:p>
        </w:tc>
        <w:tc>
          <w:tcPr>
            <w:tcW w:w="1504" w:type="dxa"/>
            <w:shd w:val="clear" w:color="auto" w:fill="auto"/>
          </w:tcPr>
          <w:p w:rsidR="00B75DE8" w:rsidRPr="003A5617" w:rsidRDefault="00B75DE8" w:rsidP="00007BB2">
            <w:pPr>
              <w:jc w:val="center"/>
            </w:pPr>
          </w:p>
        </w:tc>
        <w:tc>
          <w:tcPr>
            <w:tcW w:w="1418" w:type="dxa"/>
            <w:shd w:val="clear" w:color="auto" w:fill="auto"/>
          </w:tcPr>
          <w:p w:rsidR="00B75DE8" w:rsidRPr="003A5617" w:rsidRDefault="00B75DE8" w:rsidP="00007BB2">
            <w:pPr>
              <w:jc w:val="center"/>
            </w:pPr>
          </w:p>
        </w:tc>
        <w:tc>
          <w:tcPr>
            <w:tcW w:w="676" w:type="dxa"/>
            <w:shd w:val="clear" w:color="auto" w:fill="auto"/>
          </w:tcPr>
          <w:p w:rsidR="00B75DE8" w:rsidRPr="003A5617" w:rsidRDefault="00B75DE8" w:rsidP="00007BB2">
            <w:pPr>
              <w:jc w:val="center"/>
            </w:pPr>
          </w:p>
        </w:tc>
        <w:tc>
          <w:tcPr>
            <w:tcW w:w="759" w:type="dxa"/>
            <w:shd w:val="clear" w:color="auto" w:fill="auto"/>
          </w:tcPr>
          <w:p w:rsidR="00B75DE8" w:rsidRPr="003A5617" w:rsidRDefault="00B75DE8" w:rsidP="00007BB2">
            <w:pPr>
              <w:jc w:val="center"/>
            </w:pPr>
          </w:p>
        </w:tc>
        <w:tc>
          <w:tcPr>
            <w:tcW w:w="996" w:type="dxa"/>
            <w:shd w:val="clear" w:color="auto" w:fill="auto"/>
          </w:tcPr>
          <w:p w:rsidR="00B75DE8" w:rsidRPr="003A5617" w:rsidRDefault="00B75DE8" w:rsidP="00007BB2">
            <w:pPr>
              <w:jc w:val="center"/>
            </w:pPr>
          </w:p>
        </w:tc>
        <w:tc>
          <w:tcPr>
            <w:tcW w:w="1226" w:type="dxa"/>
            <w:shd w:val="clear" w:color="auto" w:fill="auto"/>
          </w:tcPr>
          <w:p w:rsidR="00B75DE8" w:rsidRPr="003A5617" w:rsidRDefault="00B75DE8" w:rsidP="00007BB2">
            <w:pPr>
              <w:jc w:val="center"/>
            </w:pPr>
          </w:p>
        </w:tc>
        <w:tc>
          <w:tcPr>
            <w:tcW w:w="1224" w:type="dxa"/>
            <w:shd w:val="clear" w:color="auto" w:fill="auto"/>
          </w:tcPr>
          <w:p w:rsidR="00B75DE8" w:rsidRPr="003A5617" w:rsidRDefault="00B75DE8" w:rsidP="00007BB2">
            <w:pPr>
              <w:jc w:val="center"/>
            </w:pPr>
          </w:p>
        </w:tc>
      </w:tr>
      <w:tr w:rsidR="00B75DE8" w:rsidRPr="003A5617" w:rsidTr="00007BB2">
        <w:tc>
          <w:tcPr>
            <w:tcW w:w="250" w:type="dxa"/>
            <w:shd w:val="clear" w:color="auto" w:fill="auto"/>
          </w:tcPr>
          <w:p w:rsidR="00B75DE8" w:rsidRPr="003A5617" w:rsidRDefault="00B75DE8" w:rsidP="00007BB2"/>
        </w:tc>
        <w:tc>
          <w:tcPr>
            <w:tcW w:w="1189" w:type="dxa"/>
            <w:shd w:val="clear" w:color="auto" w:fill="auto"/>
          </w:tcPr>
          <w:p w:rsidR="00B75DE8" w:rsidRPr="003A5617" w:rsidRDefault="00B75DE8" w:rsidP="00007BB2">
            <w:r w:rsidRPr="003A5617">
              <w:t>SOGS</w:t>
            </w:r>
          </w:p>
        </w:tc>
        <w:tc>
          <w:tcPr>
            <w:tcW w:w="1504" w:type="dxa"/>
            <w:shd w:val="clear" w:color="auto" w:fill="auto"/>
          </w:tcPr>
          <w:p w:rsidR="00B75DE8" w:rsidRPr="003A5617" w:rsidRDefault="00B75DE8" w:rsidP="00007BB2">
            <w:pPr>
              <w:jc w:val="center"/>
            </w:pPr>
          </w:p>
        </w:tc>
        <w:tc>
          <w:tcPr>
            <w:tcW w:w="1418" w:type="dxa"/>
            <w:shd w:val="clear" w:color="auto" w:fill="auto"/>
          </w:tcPr>
          <w:p w:rsidR="00B75DE8" w:rsidRPr="003A5617" w:rsidRDefault="00B75DE8" w:rsidP="00007BB2">
            <w:pPr>
              <w:jc w:val="center"/>
            </w:pPr>
          </w:p>
        </w:tc>
        <w:tc>
          <w:tcPr>
            <w:tcW w:w="676" w:type="dxa"/>
            <w:shd w:val="clear" w:color="auto" w:fill="auto"/>
          </w:tcPr>
          <w:p w:rsidR="00B75DE8" w:rsidRPr="003A5617" w:rsidRDefault="00B75DE8" w:rsidP="00007BB2">
            <w:pPr>
              <w:jc w:val="center"/>
            </w:pPr>
            <w:r w:rsidRPr="003A5617">
              <w:t>.88</w:t>
            </w:r>
          </w:p>
        </w:tc>
        <w:tc>
          <w:tcPr>
            <w:tcW w:w="759" w:type="dxa"/>
            <w:shd w:val="clear" w:color="auto" w:fill="auto"/>
          </w:tcPr>
          <w:p w:rsidR="00B75DE8" w:rsidRPr="003A5617" w:rsidRDefault="00B75DE8" w:rsidP="00007BB2">
            <w:pPr>
              <w:jc w:val="center"/>
            </w:pPr>
            <w:r w:rsidRPr="003A5617">
              <w:t>.10</w:t>
            </w:r>
          </w:p>
        </w:tc>
        <w:tc>
          <w:tcPr>
            <w:tcW w:w="996" w:type="dxa"/>
            <w:shd w:val="clear" w:color="auto" w:fill="auto"/>
          </w:tcPr>
          <w:p w:rsidR="00B75DE8" w:rsidRPr="003A5617" w:rsidRDefault="00B75DE8" w:rsidP="00007BB2">
            <w:pPr>
              <w:jc w:val="center"/>
            </w:pPr>
            <w:r w:rsidRPr="003A5617">
              <w:t>8.59**</w:t>
            </w:r>
          </w:p>
        </w:tc>
        <w:tc>
          <w:tcPr>
            <w:tcW w:w="1226" w:type="dxa"/>
            <w:shd w:val="clear" w:color="auto" w:fill="auto"/>
          </w:tcPr>
          <w:p w:rsidR="00B75DE8" w:rsidRPr="003A5617" w:rsidRDefault="00B75DE8" w:rsidP="00007BB2">
            <w:pPr>
              <w:jc w:val="center"/>
            </w:pPr>
            <w:r w:rsidRPr="003A5617">
              <w:t>.68</w:t>
            </w:r>
          </w:p>
        </w:tc>
        <w:tc>
          <w:tcPr>
            <w:tcW w:w="1224" w:type="dxa"/>
            <w:shd w:val="clear" w:color="auto" w:fill="auto"/>
          </w:tcPr>
          <w:p w:rsidR="00B75DE8" w:rsidRPr="003A5617" w:rsidRDefault="00B75DE8" w:rsidP="00007BB2">
            <w:pPr>
              <w:jc w:val="center"/>
            </w:pPr>
            <w:r w:rsidRPr="003A5617">
              <w:t>1.08</w:t>
            </w:r>
          </w:p>
        </w:tc>
      </w:tr>
      <w:tr w:rsidR="00B75DE8" w:rsidRPr="003A5617" w:rsidTr="00007BB2">
        <w:tc>
          <w:tcPr>
            <w:tcW w:w="250" w:type="dxa"/>
            <w:shd w:val="clear" w:color="auto" w:fill="auto"/>
          </w:tcPr>
          <w:p w:rsidR="00B75DE8" w:rsidRPr="003A5617" w:rsidRDefault="00B75DE8" w:rsidP="00007BB2"/>
        </w:tc>
        <w:tc>
          <w:tcPr>
            <w:tcW w:w="1189" w:type="dxa"/>
            <w:shd w:val="clear" w:color="auto" w:fill="auto"/>
          </w:tcPr>
          <w:p w:rsidR="00B75DE8" w:rsidRPr="003A5617" w:rsidRDefault="00B75DE8" w:rsidP="00007BB2">
            <w:pPr>
              <w:rPr>
                <w:rFonts w:eastAsia="MS Mincho"/>
              </w:rPr>
            </w:pPr>
            <w:r w:rsidRPr="003A5617">
              <w:rPr>
                <w:rFonts w:eastAsia="MS Mincho"/>
              </w:rPr>
              <w:t>HADS-A</w:t>
            </w:r>
          </w:p>
        </w:tc>
        <w:tc>
          <w:tcPr>
            <w:tcW w:w="1504" w:type="dxa"/>
            <w:shd w:val="clear" w:color="auto" w:fill="auto"/>
          </w:tcPr>
          <w:p w:rsidR="00B75DE8" w:rsidRPr="003A5617" w:rsidRDefault="00B75DE8" w:rsidP="00007BB2">
            <w:pPr>
              <w:jc w:val="center"/>
            </w:pPr>
          </w:p>
        </w:tc>
        <w:tc>
          <w:tcPr>
            <w:tcW w:w="1418" w:type="dxa"/>
            <w:shd w:val="clear" w:color="auto" w:fill="auto"/>
          </w:tcPr>
          <w:p w:rsidR="00B75DE8" w:rsidRPr="003A5617" w:rsidRDefault="00B75DE8" w:rsidP="00007BB2">
            <w:pPr>
              <w:jc w:val="center"/>
            </w:pPr>
          </w:p>
        </w:tc>
        <w:tc>
          <w:tcPr>
            <w:tcW w:w="676" w:type="dxa"/>
            <w:shd w:val="clear" w:color="auto" w:fill="auto"/>
          </w:tcPr>
          <w:p w:rsidR="00B75DE8" w:rsidRPr="003A5617" w:rsidRDefault="00B75DE8" w:rsidP="00007BB2">
            <w:pPr>
              <w:jc w:val="center"/>
            </w:pPr>
            <w:r w:rsidRPr="003A5617">
              <w:t>.01</w:t>
            </w:r>
          </w:p>
        </w:tc>
        <w:tc>
          <w:tcPr>
            <w:tcW w:w="759" w:type="dxa"/>
            <w:shd w:val="clear" w:color="auto" w:fill="auto"/>
          </w:tcPr>
          <w:p w:rsidR="00B75DE8" w:rsidRPr="003A5617" w:rsidRDefault="00B75DE8" w:rsidP="00007BB2">
            <w:pPr>
              <w:jc w:val="center"/>
            </w:pPr>
            <w:r w:rsidRPr="003A5617">
              <w:t>.09</w:t>
            </w:r>
          </w:p>
        </w:tc>
        <w:tc>
          <w:tcPr>
            <w:tcW w:w="996" w:type="dxa"/>
            <w:shd w:val="clear" w:color="auto" w:fill="auto"/>
          </w:tcPr>
          <w:p w:rsidR="00B75DE8" w:rsidRPr="003A5617" w:rsidRDefault="00B75DE8" w:rsidP="00007BB2">
            <w:pPr>
              <w:jc w:val="center"/>
            </w:pPr>
            <w:r w:rsidRPr="003A5617">
              <w:t>.02</w:t>
            </w:r>
          </w:p>
        </w:tc>
        <w:tc>
          <w:tcPr>
            <w:tcW w:w="1226" w:type="dxa"/>
            <w:shd w:val="clear" w:color="auto" w:fill="auto"/>
          </w:tcPr>
          <w:p w:rsidR="00B75DE8" w:rsidRPr="003A5617" w:rsidRDefault="00B75DE8" w:rsidP="00007BB2">
            <w:pPr>
              <w:jc w:val="center"/>
            </w:pPr>
            <w:r w:rsidRPr="003A5617">
              <w:t>-.19</w:t>
            </w:r>
          </w:p>
        </w:tc>
        <w:tc>
          <w:tcPr>
            <w:tcW w:w="1224" w:type="dxa"/>
            <w:shd w:val="clear" w:color="auto" w:fill="auto"/>
          </w:tcPr>
          <w:p w:rsidR="00B75DE8" w:rsidRPr="003A5617" w:rsidRDefault="00B75DE8" w:rsidP="00007BB2">
            <w:pPr>
              <w:jc w:val="center"/>
            </w:pPr>
            <w:r w:rsidRPr="003A5617">
              <w:t>.19</w:t>
            </w:r>
          </w:p>
        </w:tc>
      </w:tr>
      <w:tr w:rsidR="00B75DE8" w:rsidRPr="003A5617" w:rsidTr="00007BB2">
        <w:tc>
          <w:tcPr>
            <w:tcW w:w="250" w:type="dxa"/>
            <w:shd w:val="clear" w:color="auto" w:fill="auto"/>
          </w:tcPr>
          <w:p w:rsidR="00B75DE8" w:rsidRPr="003A5617" w:rsidRDefault="00B75DE8" w:rsidP="00007BB2"/>
        </w:tc>
        <w:tc>
          <w:tcPr>
            <w:tcW w:w="1189" w:type="dxa"/>
            <w:shd w:val="clear" w:color="auto" w:fill="auto"/>
          </w:tcPr>
          <w:p w:rsidR="00B75DE8" w:rsidRPr="003A5617" w:rsidRDefault="00B75DE8" w:rsidP="00007BB2">
            <w:pPr>
              <w:rPr>
                <w:rFonts w:eastAsia="MS Mincho"/>
              </w:rPr>
            </w:pPr>
            <w:r w:rsidRPr="003A5617">
              <w:rPr>
                <w:rFonts w:eastAsia="MS Mincho"/>
              </w:rPr>
              <w:t>HADS-D</w:t>
            </w:r>
          </w:p>
        </w:tc>
        <w:tc>
          <w:tcPr>
            <w:tcW w:w="1504" w:type="dxa"/>
            <w:shd w:val="clear" w:color="auto" w:fill="auto"/>
          </w:tcPr>
          <w:p w:rsidR="00B75DE8" w:rsidRPr="003A5617" w:rsidRDefault="00B75DE8" w:rsidP="00007BB2">
            <w:pPr>
              <w:jc w:val="center"/>
            </w:pPr>
          </w:p>
        </w:tc>
        <w:tc>
          <w:tcPr>
            <w:tcW w:w="1418" w:type="dxa"/>
            <w:shd w:val="clear" w:color="auto" w:fill="auto"/>
          </w:tcPr>
          <w:p w:rsidR="00B75DE8" w:rsidRPr="003A5617" w:rsidRDefault="00B75DE8" w:rsidP="00007BB2">
            <w:pPr>
              <w:jc w:val="center"/>
            </w:pPr>
          </w:p>
        </w:tc>
        <w:tc>
          <w:tcPr>
            <w:tcW w:w="676" w:type="dxa"/>
            <w:shd w:val="clear" w:color="auto" w:fill="auto"/>
          </w:tcPr>
          <w:p w:rsidR="00B75DE8" w:rsidRPr="003A5617" w:rsidRDefault="00B75DE8" w:rsidP="00007BB2">
            <w:pPr>
              <w:jc w:val="center"/>
            </w:pPr>
            <w:r w:rsidRPr="003A5617">
              <w:t>.13</w:t>
            </w:r>
          </w:p>
        </w:tc>
        <w:tc>
          <w:tcPr>
            <w:tcW w:w="759" w:type="dxa"/>
            <w:shd w:val="clear" w:color="auto" w:fill="auto"/>
          </w:tcPr>
          <w:p w:rsidR="00B75DE8" w:rsidRPr="003A5617" w:rsidRDefault="00B75DE8" w:rsidP="00007BB2">
            <w:pPr>
              <w:jc w:val="center"/>
            </w:pPr>
            <w:r w:rsidRPr="003A5617">
              <w:t>.12</w:t>
            </w:r>
          </w:p>
        </w:tc>
        <w:tc>
          <w:tcPr>
            <w:tcW w:w="996" w:type="dxa"/>
            <w:shd w:val="clear" w:color="auto" w:fill="auto"/>
          </w:tcPr>
          <w:p w:rsidR="00B75DE8" w:rsidRPr="003A5617" w:rsidRDefault="00B75DE8" w:rsidP="00007BB2">
            <w:pPr>
              <w:jc w:val="center"/>
            </w:pPr>
            <w:r w:rsidRPr="003A5617">
              <w:t>1.08</w:t>
            </w:r>
          </w:p>
        </w:tc>
        <w:tc>
          <w:tcPr>
            <w:tcW w:w="1226" w:type="dxa"/>
            <w:shd w:val="clear" w:color="auto" w:fill="auto"/>
          </w:tcPr>
          <w:p w:rsidR="00B75DE8" w:rsidRPr="003A5617" w:rsidRDefault="00B75DE8" w:rsidP="00007BB2">
            <w:pPr>
              <w:jc w:val="center"/>
            </w:pPr>
            <w:r w:rsidRPr="003A5617">
              <w:t>-.11</w:t>
            </w:r>
          </w:p>
        </w:tc>
        <w:tc>
          <w:tcPr>
            <w:tcW w:w="1224" w:type="dxa"/>
            <w:shd w:val="clear" w:color="auto" w:fill="auto"/>
          </w:tcPr>
          <w:p w:rsidR="00B75DE8" w:rsidRPr="003A5617" w:rsidRDefault="00B75DE8" w:rsidP="00007BB2">
            <w:pPr>
              <w:jc w:val="center"/>
            </w:pPr>
            <w:r w:rsidRPr="003A5617">
              <w:t>.37</w:t>
            </w:r>
          </w:p>
        </w:tc>
      </w:tr>
      <w:tr w:rsidR="00B75DE8" w:rsidRPr="003A5617" w:rsidTr="00007BB2">
        <w:tc>
          <w:tcPr>
            <w:tcW w:w="250" w:type="dxa"/>
            <w:shd w:val="clear" w:color="auto" w:fill="auto"/>
          </w:tcPr>
          <w:p w:rsidR="00B75DE8" w:rsidRPr="003A5617" w:rsidRDefault="00B75DE8" w:rsidP="00007BB2"/>
        </w:tc>
        <w:tc>
          <w:tcPr>
            <w:tcW w:w="1189" w:type="dxa"/>
            <w:shd w:val="clear" w:color="auto" w:fill="auto"/>
          </w:tcPr>
          <w:p w:rsidR="00B75DE8" w:rsidRPr="003A5617" w:rsidRDefault="00B75DE8" w:rsidP="00007BB2">
            <w:pPr>
              <w:rPr>
                <w:rFonts w:eastAsia="MS Mincho"/>
              </w:rPr>
            </w:pPr>
            <w:r w:rsidRPr="003A5617">
              <w:rPr>
                <w:rFonts w:eastAsia="MS Mincho"/>
              </w:rPr>
              <w:t>GBQ</w:t>
            </w:r>
          </w:p>
        </w:tc>
        <w:tc>
          <w:tcPr>
            <w:tcW w:w="1504" w:type="dxa"/>
            <w:shd w:val="clear" w:color="auto" w:fill="auto"/>
          </w:tcPr>
          <w:p w:rsidR="00B75DE8" w:rsidRPr="003A5617" w:rsidRDefault="00B75DE8" w:rsidP="00007BB2">
            <w:pPr>
              <w:jc w:val="center"/>
            </w:pPr>
          </w:p>
        </w:tc>
        <w:tc>
          <w:tcPr>
            <w:tcW w:w="1418" w:type="dxa"/>
            <w:shd w:val="clear" w:color="auto" w:fill="auto"/>
          </w:tcPr>
          <w:p w:rsidR="00B75DE8" w:rsidRPr="003A5617" w:rsidRDefault="00B75DE8" w:rsidP="00007BB2">
            <w:pPr>
              <w:jc w:val="center"/>
            </w:pPr>
          </w:p>
        </w:tc>
        <w:tc>
          <w:tcPr>
            <w:tcW w:w="676" w:type="dxa"/>
            <w:shd w:val="clear" w:color="auto" w:fill="auto"/>
          </w:tcPr>
          <w:p w:rsidR="00B75DE8" w:rsidRPr="003A5617" w:rsidRDefault="00B75DE8" w:rsidP="00007BB2">
            <w:pPr>
              <w:jc w:val="center"/>
            </w:pPr>
            <w:r w:rsidRPr="003A5617">
              <w:t>.01</w:t>
            </w:r>
          </w:p>
        </w:tc>
        <w:tc>
          <w:tcPr>
            <w:tcW w:w="759" w:type="dxa"/>
            <w:shd w:val="clear" w:color="auto" w:fill="auto"/>
          </w:tcPr>
          <w:p w:rsidR="00B75DE8" w:rsidRPr="003A5617" w:rsidRDefault="00B75DE8" w:rsidP="00007BB2">
            <w:pPr>
              <w:jc w:val="center"/>
            </w:pPr>
            <w:r w:rsidRPr="003A5617">
              <w:t>.02</w:t>
            </w:r>
          </w:p>
        </w:tc>
        <w:tc>
          <w:tcPr>
            <w:tcW w:w="996" w:type="dxa"/>
            <w:shd w:val="clear" w:color="auto" w:fill="auto"/>
          </w:tcPr>
          <w:p w:rsidR="00B75DE8" w:rsidRPr="003A5617" w:rsidRDefault="00B75DE8" w:rsidP="00007BB2">
            <w:pPr>
              <w:jc w:val="center"/>
            </w:pPr>
            <w:r w:rsidRPr="003A5617">
              <w:t>.62</w:t>
            </w:r>
          </w:p>
        </w:tc>
        <w:tc>
          <w:tcPr>
            <w:tcW w:w="1226" w:type="dxa"/>
            <w:shd w:val="clear" w:color="auto" w:fill="auto"/>
          </w:tcPr>
          <w:p w:rsidR="00B75DE8" w:rsidRPr="003A5617" w:rsidRDefault="00B75DE8" w:rsidP="00007BB2">
            <w:pPr>
              <w:jc w:val="center"/>
            </w:pPr>
            <w:r w:rsidRPr="003A5617">
              <w:t>-.02</w:t>
            </w:r>
          </w:p>
        </w:tc>
        <w:tc>
          <w:tcPr>
            <w:tcW w:w="1224" w:type="dxa"/>
            <w:shd w:val="clear" w:color="auto" w:fill="auto"/>
          </w:tcPr>
          <w:p w:rsidR="00B75DE8" w:rsidRPr="003A5617" w:rsidRDefault="00B75DE8" w:rsidP="00007BB2">
            <w:pPr>
              <w:jc w:val="center"/>
            </w:pPr>
            <w:r w:rsidRPr="003A5617">
              <w:t>.04</w:t>
            </w:r>
          </w:p>
        </w:tc>
      </w:tr>
      <w:tr w:rsidR="00B75DE8" w:rsidRPr="003A5617" w:rsidTr="00007BB2">
        <w:tc>
          <w:tcPr>
            <w:tcW w:w="250" w:type="dxa"/>
            <w:shd w:val="clear" w:color="auto" w:fill="auto"/>
          </w:tcPr>
          <w:p w:rsidR="00B75DE8" w:rsidRPr="003A5617" w:rsidRDefault="00B75DE8" w:rsidP="00007BB2"/>
        </w:tc>
        <w:tc>
          <w:tcPr>
            <w:tcW w:w="1189" w:type="dxa"/>
            <w:shd w:val="clear" w:color="auto" w:fill="auto"/>
          </w:tcPr>
          <w:p w:rsidR="00B75DE8" w:rsidRPr="003A5617" w:rsidRDefault="00B75DE8" w:rsidP="00007BB2">
            <w:pPr>
              <w:rPr>
                <w:rFonts w:eastAsia="MS Mincho"/>
              </w:rPr>
            </w:pPr>
            <w:r w:rsidRPr="003A5617">
              <w:rPr>
                <w:rFonts w:eastAsia="MS Mincho"/>
              </w:rPr>
              <w:t>NMG</w:t>
            </w:r>
          </w:p>
        </w:tc>
        <w:tc>
          <w:tcPr>
            <w:tcW w:w="1504" w:type="dxa"/>
            <w:shd w:val="clear" w:color="auto" w:fill="auto"/>
          </w:tcPr>
          <w:p w:rsidR="00B75DE8" w:rsidRPr="003A5617" w:rsidRDefault="00B75DE8" w:rsidP="00007BB2">
            <w:pPr>
              <w:jc w:val="center"/>
            </w:pPr>
          </w:p>
        </w:tc>
        <w:tc>
          <w:tcPr>
            <w:tcW w:w="1418" w:type="dxa"/>
            <w:shd w:val="clear" w:color="auto" w:fill="auto"/>
          </w:tcPr>
          <w:p w:rsidR="00B75DE8" w:rsidRPr="003A5617" w:rsidRDefault="00B75DE8" w:rsidP="00007BB2">
            <w:pPr>
              <w:jc w:val="center"/>
            </w:pPr>
          </w:p>
        </w:tc>
        <w:tc>
          <w:tcPr>
            <w:tcW w:w="676" w:type="dxa"/>
            <w:shd w:val="clear" w:color="auto" w:fill="auto"/>
          </w:tcPr>
          <w:p w:rsidR="00B75DE8" w:rsidRPr="003A5617" w:rsidRDefault="00B75DE8" w:rsidP="00007BB2">
            <w:pPr>
              <w:jc w:val="center"/>
            </w:pPr>
            <w:r w:rsidRPr="003A5617">
              <w:t>.28</w:t>
            </w:r>
          </w:p>
        </w:tc>
        <w:tc>
          <w:tcPr>
            <w:tcW w:w="759" w:type="dxa"/>
            <w:shd w:val="clear" w:color="auto" w:fill="auto"/>
          </w:tcPr>
          <w:p w:rsidR="00B75DE8" w:rsidRPr="003A5617" w:rsidRDefault="00B75DE8" w:rsidP="00007BB2">
            <w:pPr>
              <w:jc w:val="center"/>
            </w:pPr>
            <w:r w:rsidRPr="003A5617">
              <w:t>.08</w:t>
            </w:r>
          </w:p>
        </w:tc>
        <w:tc>
          <w:tcPr>
            <w:tcW w:w="996" w:type="dxa"/>
            <w:shd w:val="clear" w:color="auto" w:fill="auto"/>
          </w:tcPr>
          <w:p w:rsidR="00B75DE8" w:rsidRPr="003A5617" w:rsidRDefault="00B75DE8" w:rsidP="00007BB2">
            <w:pPr>
              <w:jc w:val="center"/>
            </w:pPr>
            <w:r w:rsidRPr="003A5617">
              <w:t>3.49**</w:t>
            </w:r>
          </w:p>
        </w:tc>
        <w:tc>
          <w:tcPr>
            <w:tcW w:w="1226" w:type="dxa"/>
            <w:shd w:val="clear" w:color="auto" w:fill="auto"/>
          </w:tcPr>
          <w:p w:rsidR="00B75DE8" w:rsidRPr="003A5617" w:rsidRDefault="00B75DE8" w:rsidP="00007BB2">
            <w:pPr>
              <w:jc w:val="center"/>
            </w:pPr>
            <w:r w:rsidRPr="003A5617">
              <w:t>.12</w:t>
            </w:r>
          </w:p>
        </w:tc>
        <w:tc>
          <w:tcPr>
            <w:tcW w:w="1224" w:type="dxa"/>
            <w:shd w:val="clear" w:color="auto" w:fill="auto"/>
          </w:tcPr>
          <w:p w:rsidR="00B75DE8" w:rsidRPr="003A5617" w:rsidRDefault="00B75DE8" w:rsidP="00007BB2">
            <w:pPr>
              <w:jc w:val="center"/>
            </w:pPr>
            <w:r w:rsidRPr="003A5617">
              <w:t>.43</w:t>
            </w:r>
          </w:p>
        </w:tc>
      </w:tr>
      <w:tr w:rsidR="00B75DE8" w:rsidRPr="003A5617" w:rsidTr="00007BB2">
        <w:tc>
          <w:tcPr>
            <w:tcW w:w="250" w:type="dxa"/>
            <w:shd w:val="clear" w:color="auto" w:fill="auto"/>
          </w:tcPr>
          <w:p w:rsidR="00B75DE8" w:rsidRPr="003A5617" w:rsidRDefault="00B75DE8" w:rsidP="00007BB2"/>
        </w:tc>
        <w:tc>
          <w:tcPr>
            <w:tcW w:w="1189" w:type="dxa"/>
            <w:shd w:val="clear" w:color="auto" w:fill="auto"/>
          </w:tcPr>
          <w:p w:rsidR="00B75DE8" w:rsidRPr="003A5617" w:rsidRDefault="00B75DE8" w:rsidP="00007BB2">
            <w:pPr>
              <w:rPr>
                <w:rFonts w:eastAsia="MS Mincho"/>
              </w:rPr>
            </w:pPr>
            <w:r w:rsidRPr="003A5617">
              <w:rPr>
                <w:rFonts w:eastAsia="MS Mincho"/>
              </w:rPr>
              <w:t>PMG</w:t>
            </w:r>
          </w:p>
        </w:tc>
        <w:tc>
          <w:tcPr>
            <w:tcW w:w="1504" w:type="dxa"/>
            <w:shd w:val="clear" w:color="auto" w:fill="auto"/>
          </w:tcPr>
          <w:p w:rsidR="00B75DE8" w:rsidRPr="003A5617" w:rsidRDefault="00B75DE8" w:rsidP="00007BB2">
            <w:pPr>
              <w:jc w:val="center"/>
            </w:pPr>
          </w:p>
        </w:tc>
        <w:tc>
          <w:tcPr>
            <w:tcW w:w="1418" w:type="dxa"/>
            <w:shd w:val="clear" w:color="auto" w:fill="auto"/>
          </w:tcPr>
          <w:p w:rsidR="00B75DE8" w:rsidRPr="003A5617" w:rsidRDefault="00B75DE8" w:rsidP="00007BB2">
            <w:pPr>
              <w:jc w:val="center"/>
            </w:pPr>
          </w:p>
        </w:tc>
        <w:tc>
          <w:tcPr>
            <w:tcW w:w="676" w:type="dxa"/>
            <w:shd w:val="clear" w:color="auto" w:fill="auto"/>
          </w:tcPr>
          <w:p w:rsidR="00B75DE8" w:rsidRPr="003A5617" w:rsidRDefault="00B75DE8" w:rsidP="00007BB2">
            <w:pPr>
              <w:jc w:val="center"/>
            </w:pPr>
            <w:r w:rsidRPr="003A5617">
              <w:t>.02</w:t>
            </w:r>
          </w:p>
        </w:tc>
        <w:tc>
          <w:tcPr>
            <w:tcW w:w="759" w:type="dxa"/>
            <w:shd w:val="clear" w:color="auto" w:fill="auto"/>
          </w:tcPr>
          <w:p w:rsidR="00B75DE8" w:rsidRPr="003A5617" w:rsidRDefault="00B75DE8" w:rsidP="00007BB2">
            <w:pPr>
              <w:jc w:val="center"/>
            </w:pPr>
            <w:r w:rsidRPr="003A5617">
              <w:t>.11</w:t>
            </w:r>
          </w:p>
        </w:tc>
        <w:tc>
          <w:tcPr>
            <w:tcW w:w="996" w:type="dxa"/>
            <w:shd w:val="clear" w:color="auto" w:fill="auto"/>
          </w:tcPr>
          <w:p w:rsidR="00B75DE8" w:rsidRPr="003A5617" w:rsidRDefault="00B75DE8" w:rsidP="00007BB2">
            <w:pPr>
              <w:jc w:val="center"/>
            </w:pPr>
            <w:r w:rsidRPr="003A5617">
              <w:t>.17</w:t>
            </w:r>
          </w:p>
        </w:tc>
        <w:tc>
          <w:tcPr>
            <w:tcW w:w="1226" w:type="dxa"/>
            <w:shd w:val="clear" w:color="auto" w:fill="auto"/>
          </w:tcPr>
          <w:p w:rsidR="00B75DE8" w:rsidRPr="003A5617" w:rsidRDefault="00B75DE8" w:rsidP="00007BB2">
            <w:pPr>
              <w:jc w:val="center"/>
            </w:pPr>
            <w:r w:rsidRPr="003A5617">
              <w:t>-.23</w:t>
            </w:r>
          </w:p>
        </w:tc>
        <w:tc>
          <w:tcPr>
            <w:tcW w:w="1224" w:type="dxa"/>
            <w:shd w:val="clear" w:color="auto" w:fill="auto"/>
          </w:tcPr>
          <w:p w:rsidR="00B75DE8" w:rsidRPr="003A5617" w:rsidRDefault="00B75DE8" w:rsidP="00007BB2">
            <w:pPr>
              <w:jc w:val="center"/>
            </w:pPr>
            <w:r w:rsidRPr="003A5617">
              <w:t>.27</w:t>
            </w:r>
          </w:p>
        </w:tc>
      </w:tr>
      <w:tr w:rsidR="00B75DE8" w:rsidRPr="003A5617" w:rsidTr="00007BB2">
        <w:tc>
          <w:tcPr>
            <w:tcW w:w="250" w:type="dxa"/>
            <w:shd w:val="clear" w:color="auto" w:fill="auto"/>
          </w:tcPr>
          <w:p w:rsidR="00B75DE8" w:rsidRPr="003A5617" w:rsidRDefault="00B75DE8" w:rsidP="00007BB2"/>
        </w:tc>
        <w:tc>
          <w:tcPr>
            <w:tcW w:w="1189" w:type="dxa"/>
            <w:shd w:val="clear" w:color="auto" w:fill="auto"/>
          </w:tcPr>
          <w:p w:rsidR="00B75DE8" w:rsidRPr="003A5617" w:rsidRDefault="00B75DE8" w:rsidP="00007BB2">
            <w:pPr>
              <w:rPr>
                <w:rFonts w:eastAsia="MS Mincho"/>
              </w:rPr>
            </w:pPr>
          </w:p>
        </w:tc>
        <w:tc>
          <w:tcPr>
            <w:tcW w:w="1504" w:type="dxa"/>
            <w:shd w:val="clear" w:color="auto" w:fill="auto"/>
          </w:tcPr>
          <w:p w:rsidR="00B75DE8" w:rsidRPr="003A5617" w:rsidRDefault="00B75DE8" w:rsidP="00007BB2">
            <w:pPr>
              <w:jc w:val="center"/>
            </w:pPr>
            <w:r w:rsidRPr="003A5617">
              <w:t>.79-.93</w:t>
            </w:r>
            <w:r w:rsidRPr="003A5617">
              <w:rPr>
                <w:vertAlign w:val="superscript"/>
              </w:rPr>
              <w:t>**</w:t>
            </w:r>
          </w:p>
        </w:tc>
        <w:tc>
          <w:tcPr>
            <w:tcW w:w="1418" w:type="dxa"/>
            <w:shd w:val="clear" w:color="auto" w:fill="auto"/>
          </w:tcPr>
          <w:p w:rsidR="00B75DE8" w:rsidRPr="003A5617" w:rsidRDefault="00B75DE8" w:rsidP="00007BB2">
            <w:pPr>
              <w:jc w:val="center"/>
            </w:pPr>
            <w:r w:rsidRPr="003A5617">
              <w:t>.60-.85</w:t>
            </w:r>
            <w:r w:rsidRPr="003A5617">
              <w:rPr>
                <w:vertAlign w:val="superscript"/>
              </w:rPr>
              <w:t>**</w:t>
            </w:r>
          </w:p>
        </w:tc>
        <w:tc>
          <w:tcPr>
            <w:tcW w:w="676" w:type="dxa"/>
            <w:shd w:val="clear" w:color="auto" w:fill="auto"/>
          </w:tcPr>
          <w:p w:rsidR="00B75DE8" w:rsidRPr="003A5617" w:rsidRDefault="00B75DE8" w:rsidP="00007BB2">
            <w:pPr>
              <w:jc w:val="center"/>
            </w:pPr>
          </w:p>
        </w:tc>
        <w:tc>
          <w:tcPr>
            <w:tcW w:w="759" w:type="dxa"/>
            <w:shd w:val="clear" w:color="auto" w:fill="auto"/>
          </w:tcPr>
          <w:p w:rsidR="00B75DE8" w:rsidRPr="003A5617" w:rsidRDefault="00B75DE8" w:rsidP="00007BB2">
            <w:pPr>
              <w:jc w:val="center"/>
            </w:pPr>
          </w:p>
        </w:tc>
        <w:tc>
          <w:tcPr>
            <w:tcW w:w="996" w:type="dxa"/>
            <w:shd w:val="clear" w:color="auto" w:fill="auto"/>
          </w:tcPr>
          <w:p w:rsidR="00B75DE8" w:rsidRPr="003A5617" w:rsidRDefault="00B75DE8" w:rsidP="00007BB2">
            <w:pPr>
              <w:jc w:val="center"/>
            </w:pPr>
          </w:p>
        </w:tc>
        <w:tc>
          <w:tcPr>
            <w:tcW w:w="1226" w:type="dxa"/>
            <w:shd w:val="clear" w:color="auto" w:fill="auto"/>
          </w:tcPr>
          <w:p w:rsidR="00B75DE8" w:rsidRPr="003A5617" w:rsidRDefault="00B75DE8" w:rsidP="00007BB2">
            <w:pPr>
              <w:jc w:val="center"/>
            </w:pPr>
          </w:p>
        </w:tc>
        <w:tc>
          <w:tcPr>
            <w:tcW w:w="1224" w:type="dxa"/>
            <w:shd w:val="clear" w:color="auto" w:fill="auto"/>
          </w:tcPr>
          <w:p w:rsidR="00B75DE8" w:rsidRPr="003A5617" w:rsidRDefault="00B75DE8" w:rsidP="00007BB2">
            <w:pPr>
              <w:jc w:val="center"/>
            </w:pPr>
          </w:p>
        </w:tc>
      </w:tr>
    </w:tbl>
    <w:p w:rsidR="00B75DE8" w:rsidRPr="003A5617" w:rsidRDefault="00B75DE8" w:rsidP="00B75DE8">
      <w:r w:rsidRPr="003A5617">
        <w:rPr>
          <w:i/>
        </w:rPr>
        <w:t xml:space="preserve">Note. </w:t>
      </w:r>
      <w:r w:rsidRPr="003A5617">
        <w:t xml:space="preserve">SOGS = South Oaks Gambling Screen; HADS-A = Hospital Anxiety and Depression Scale - Anxiety; HADS-D = Hospital Anxiety and Depression Scale - Depression; GBQ = Gambling Beliefs Questionnaire; NMG = Negative Metacognitions about Gambling, PMG= Positive Metacognitions about Gambling; LL </w:t>
      </w:r>
      <w:proofErr w:type="gramStart"/>
      <w:r w:rsidRPr="003A5617">
        <w:t>=  Lower</w:t>
      </w:r>
      <w:proofErr w:type="gramEnd"/>
      <w:r w:rsidRPr="003A5617">
        <w:t xml:space="preserve"> Limit; UL = Upper Limit; n=87; </w:t>
      </w:r>
      <w:r w:rsidRPr="003A5617">
        <w:rPr>
          <w:vertAlign w:val="superscript"/>
        </w:rPr>
        <w:t>*</w:t>
      </w:r>
      <w:r w:rsidRPr="003A5617">
        <w:t>p&lt;.05;</w:t>
      </w:r>
      <w:r w:rsidRPr="003A5617">
        <w:rPr>
          <w:vertAlign w:val="superscript"/>
        </w:rPr>
        <w:t>**</w:t>
      </w:r>
      <w:r w:rsidRPr="003A5617">
        <w:t>p&lt;.01.</w:t>
      </w:r>
    </w:p>
    <w:p w:rsidR="00B75DE8" w:rsidRPr="003A5617" w:rsidRDefault="00B75DE8" w:rsidP="00B75DE8">
      <w:pPr>
        <w:jc w:val="both"/>
      </w:pPr>
    </w:p>
    <w:p w:rsidR="00B75DE8" w:rsidRPr="003A5617" w:rsidRDefault="00B75DE8" w:rsidP="00B75DE8">
      <w:pPr>
        <w:ind w:right="561"/>
        <w:jc w:val="both"/>
        <w:sectPr w:rsidR="00B75DE8" w:rsidRPr="003A5617" w:rsidSect="008574E8">
          <w:pgSz w:w="11906" w:h="16838"/>
          <w:pgMar w:top="1134" w:right="1134" w:bottom="1134" w:left="1134" w:header="709" w:footer="709" w:gutter="0"/>
          <w:cols w:space="708"/>
          <w:docGrid w:linePitch="360"/>
        </w:sectPr>
      </w:pPr>
    </w:p>
    <w:p w:rsidR="00B75DE8" w:rsidRDefault="00B75DE8" w:rsidP="00B75DE8">
      <w:pPr>
        <w:pStyle w:val="BodyText"/>
        <w:spacing w:line="480" w:lineRule="auto"/>
        <w:jc w:val="both"/>
        <w:rPr>
          <w:b/>
          <w:sz w:val="22"/>
        </w:rPr>
      </w:pPr>
      <w:r>
        <w:rPr>
          <w:b/>
          <w:sz w:val="22"/>
        </w:rPr>
        <w:lastRenderedPageBreak/>
        <w:t>Appendix</w:t>
      </w:r>
    </w:p>
    <w:p w:rsidR="00B75DE8" w:rsidRPr="000D5BCC" w:rsidRDefault="00B75DE8" w:rsidP="00B75DE8">
      <w:pPr>
        <w:pStyle w:val="BodyText"/>
        <w:spacing w:line="480" w:lineRule="auto"/>
        <w:jc w:val="both"/>
        <w:rPr>
          <w:sz w:val="22"/>
        </w:rPr>
      </w:pPr>
      <w:r w:rsidRPr="000D5BCC">
        <w:rPr>
          <w:sz w:val="22"/>
        </w:rPr>
        <w:t>Metacognitions about Gambling Questionnaire (MGQ)</w:t>
      </w:r>
    </w:p>
    <w:p w:rsidR="00B75DE8" w:rsidRPr="003A5617" w:rsidRDefault="00B75DE8" w:rsidP="00B75DE8">
      <w:pPr>
        <w:tabs>
          <w:tab w:val="left" w:pos="8880"/>
        </w:tabs>
        <w:ind w:right="-40"/>
        <w:jc w:val="both"/>
        <w:rPr>
          <w:sz w:val="22"/>
          <w:szCs w:val="20"/>
          <w:lang w:val="en-US"/>
        </w:rPr>
      </w:pPr>
      <w:r w:rsidRPr="003A5617">
        <w:rPr>
          <w:sz w:val="22"/>
          <w:szCs w:val="20"/>
          <w:lang w:val="en-US"/>
        </w:rPr>
        <w:t xml:space="preserve">This questionnaire is concerned with beliefs people hold about gambling. Listed below are a number of beliefs that people have expressed. Read each item and say how much you generally agree with it by circling the appropriate number.  Please respond to all the items. There </w:t>
      </w:r>
      <w:proofErr w:type="gramStart"/>
      <w:r w:rsidRPr="003A5617">
        <w:rPr>
          <w:sz w:val="22"/>
          <w:szCs w:val="20"/>
          <w:lang w:val="en-US"/>
        </w:rPr>
        <w:t>are no right</w:t>
      </w:r>
      <w:proofErr w:type="gramEnd"/>
      <w:r w:rsidRPr="003A5617">
        <w:rPr>
          <w:sz w:val="22"/>
          <w:szCs w:val="20"/>
          <w:lang w:val="en-US"/>
        </w:rPr>
        <w:t xml:space="preserve"> or wrong answers</w:t>
      </w:r>
    </w:p>
    <w:p w:rsidR="00B75DE8" w:rsidRPr="003A5617" w:rsidRDefault="00B75DE8" w:rsidP="00B75DE8">
      <w:pPr>
        <w:tabs>
          <w:tab w:val="left" w:pos="8880"/>
        </w:tabs>
        <w:ind w:right="-40"/>
        <w:jc w:val="both"/>
        <w:rPr>
          <w:lang w:val="en-US"/>
        </w:rPr>
      </w:pPr>
    </w:p>
    <w:tbl>
      <w:tblPr>
        <w:tblW w:w="9747" w:type="dxa"/>
        <w:tblLayout w:type="fixed"/>
        <w:tblLook w:val="04A0" w:firstRow="1" w:lastRow="0" w:firstColumn="1" w:lastColumn="0" w:noHBand="0" w:noVBand="1"/>
      </w:tblPr>
      <w:tblGrid>
        <w:gridCol w:w="3794"/>
        <w:gridCol w:w="1190"/>
        <w:gridCol w:w="1191"/>
        <w:gridCol w:w="1190"/>
        <w:gridCol w:w="1191"/>
        <w:gridCol w:w="1191"/>
      </w:tblGrid>
      <w:tr w:rsidR="00B75DE8" w:rsidRPr="003A5617" w:rsidTr="00007BB2">
        <w:tc>
          <w:tcPr>
            <w:tcW w:w="3794" w:type="dxa"/>
            <w:tcBorders>
              <w:top w:val="single" w:sz="4" w:space="0" w:color="000000"/>
              <w:bottom w:val="single" w:sz="4" w:space="0" w:color="000000"/>
            </w:tcBorders>
          </w:tcPr>
          <w:p w:rsidR="00B75DE8" w:rsidRPr="003A5617" w:rsidRDefault="00B75DE8" w:rsidP="00007BB2">
            <w:pPr>
              <w:tabs>
                <w:tab w:val="left" w:pos="8880"/>
              </w:tabs>
              <w:ind w:right="-40"/>
              <w:rPr>
                <w:sz w:val="22"/>
                <w:szCs w:val="22"/>
                <w:lang w:val="en-US"/>
              </w:rPr>
            </w:pPr>
          </w:p>
        </w:tc>
        <w:tc>
          <w:tcPr>
            <w:tcW w:w="1190" w:type="dxa"/>
            <w:tcBorders>
              <w:top w:val="single" w:sz="4" w:space="0" w:color="000000"/>
              <w:bottom w:val="single" w:sz="4" w:space="0" w:color="000000"/>
            </w:tcBorders>
          </w:tcPr>
          <w:p w:rsidR="00B75DE8" w:rsidRPr="003A5617" w:rsidRDefault="00B75DE8" w:rsidP="00007BB2">
            <w:pPr>
              <w:tabs>
                <w:tab w:val="left" w:pos="8880"/>
              </w:tabs>
              <w:ind w:right="-40"/>
              <w:jc w:val="center"/>
              <w:rPr>
                <w:sz w:val="20"/>
                <w:szCs w:val="20"/>
                <w:lang w:val="en-US"/>
              </w:rPr>
            </w:pPr>
            <w:r w:rsidRPr="003A5617">
              <w:rPr>
                <w:sz w:val="20"/>
                <w:szCs w:val="20"/>
                <w:lang w:val="en-US"/>
              </w:rPr>
              <w:t>Do not agree</w:t>
            </w:r>
          </w:p>
        </w:tc>
        <w:tc>
          <w:tcPr>
            <w:tcW w:w="1191" w:type="dxa"/>
            <w:tcBorders>
              <w:top w:val="single" w:sz="4" w:space="0" w:color="000000"/>
              <w:bottom w:val="single" w:sz="4" w:space="0" w:color="000000"/>
            </w:tcBorders>
          </w:tcPr>
          <w:p w:rsidR="00B75DE8" w:rsidRPr="003A5617" w:rsidRDefault="00B75DE8" w:rsidP="00007BB2">
            <w:pPr>
              <w:tabs>
                <w:tab w:val="left" w:pos="8880"/>
              </w:tabs>
              <w:ind w:right="-40"/>
              <w:jc w:val="center"/>
              <w:rPr>
                <w:sz w:val="20"/>
                <w:szCs w:val="20"/>
                <w:lang w:val="en-US"/>
              </w:rPr>
            </w:pPr>
            <w:r w:rsidRPr="003A5617">
              <w:rPr>
                <w:sz w:val="20"/>
                <w:szCs w:val="20"/>
                <w:lang w:val="en-US"/>
              </w:rPr>
              <w:t>Agree slightly</w:t>
            </w:r>
          </w:p>
        </w:tc>
        <w:tc>
          <w:tcPr>
            <w:tcW w:w="1190" w:type="dxa"/>
            <w:tcBorders>
              <w:top w:val="single" w:sz="4" w:space="0" w:color="000000"/>
              <w:bottom w:val="single" w:sz="4" w:space="0" w:color="000000"/>
            </w:tcBorders>
          </w:tcPr>
          <w:p w:rsidR="00B75DE8" w:rsidRPr="003A5617" w:rsidRDefault="00B75DE8" w:rsidP="00007BB2">
            <w:pPr>
              <w:tabs>
                <w:tab w:val="left" w:pos="8880"/>
              </w:tabs>
              <w:ind w:right="-40"/>
              <w:jc w:val="center"/>
              <w:rPr>
                <w:sz w:val="20"/>
                <w:szCs w:val="20"/>
                <w:lang w:val="en-US"/>
              </w:rPr>
            </w:pPr>
            <w:r w:rsidRPr="003A5617">
              <w:rPr>
                <w:sz w:val="20"/>
                <w:szCs w:val="20"/>
                <w:lang w:val="en-US"/>
              </w:rPr>
              <w:t>Agree moderately</w:t>
            </w:r>
          </w:p>
        </w:tc>
        <w:tc>
          <w:tcPr>
            <w:tcW w:w="1191" w:type="dxa"/>
            <w:tcBorders>
              <w:top w:val="single" w:sz="4" w:space="0" w:color="000000"/>
              <w:bottom w:val="single" w:sz="4" w:space="0" w:color="000000"/>
            </w:tcBorders>
          </w:tcPr>
          <w:p w:rsidR="00B75DE8" w:rsidRPr="003A5617" w:rsidRDefault="00B75DE8" w:rsidP="00007BB2">
            <w:pPr>
              <w:tabs>
                <w:tab w:val="left" w:pos="8880"/>
              </w:tabs>
              <w:ind w:right="-40"/>
              <w:jc w:val="center"/>
              <w:rPr>
                <w:sz w:val="20"/>
                <w:szCs w:val="20"/>
                <w:lang w:val="en-US"/>
              </w:rPr>
            </w:pPr>
            <w:r w:rsidRPr="003A5617">
              <w:rPr>
                <w:sz w:val="20"/>
                <w:szCs w:val="20"/>
                <w:lang w:val="en-US"/>
              </w:rPr>
              <w:t>Agree very much</w:t>
            </w:r>
          </w:p>
        </w:tc>
        <w:tc>
          <w:tcPr>
            <w:tcW w:w="1191" w:type="dxa"/>
            <w:tcBorders>
              <w:top w:val="single" w:sz="4" w:space="0" w:color="000000"/>
              <w:bottom w:val="single" w:sz="4" w:space="0" w:color="000000"/>
            </w:tcBorders>
          </w:tcPr>
          <w:p w:rsidR="00B75DE8" w:rsidRPr="003A5617" w:rsidRDefault="00B75DE8" w:rsidP="00007BB2">
            <w:pPr>
              <w:tabs>
                <w:tab w:val="left" w:pos="8880"/>
              </w:tabs>
              <w:ind w:right="-40"/>
              <w:jc w:val="center"/>
              <w:rPr>
                <w:sz w:val="20"/>
                <w:szCs w:val="20"/>
                <w:lang w:val="en-US"/>
              </w:rPr>
            </w:pPr>
            <w:r w:rsidRPr="003A5617">
              <w:rPr>
                <w:sz w:val="20"/>
                <w:szCs w:val="20"/>
                <w:lang w:val="en-US"/>
              </w:rPr>
              <w:t>Factor</w:t>
            </w:r>
          </w:p>
        </w:tc>
      </w:tr>
      <w:tr w:rsidR="00B75DE8" w:rsidRPr="003A5617" w:rsidTr="00007BB2">
        <w:tc>
          <w:tcPr>
            <w:tcW w:w="3794" w:type="dxa"/>
            <w:tcBorders>
              <w:top w:val="single" w:sz="4" w:space="0" w:color="000000"/>
            </w:tcBorders>
          </w:tcPr>
          <w:p w:rsidR="00B75DE8" w:rsidRPr="003A5617" w:rsidRDefault="00B75DE8" w:rsidP="00007BB2">
            <w:pPr>
              <w:tabs>
                <w:tab w:val="left" w:pos="240"/>
              </w:tabs>
              <w:ind w:right="-40"/>
              <w:rPr>
                <w:sz w:val="22"/>
                <w:szCs w:val="22"/>
              </w:rPr>
            </w:pPr>
            <w:r w:rsidRPr="003A5617">
              <w:rPr>
                <w:sz w:val="22"/>
                <w:szCs w:val="22"/>
                <w:lang w:val="en-US"/>
              </w:rPr>
              <w:t>1. Gambling can get me away from my worries</w:t>
            </w:r>
            <w:r w:rsidRPr="003A5617">
              <w:rPr>
                <w:sz w:val="22"/>
                <w:szCs w:val="22"/>
              </w:rPr>
              <w:t xml:space="preserve"> </w:t>
            </w:r>
          </w:p>
          <w:p w:rsidR="00B75DE8" w:rsidRPr="003A5617" w:rsidRDefault="00B75DE8" w:rsidP="00007BB2">
            <w:pPr>
              <w:tabs>
                <w:tab w:val="left" w:pos="240"/>
              </w:tabs>
              <w:ind w:right="-40"/>
              <w:rPr>
                <w:sz w:val="22"/>
                <w:szCs w:val="22"/>
                <w:lang w:val="en-US"/>
              </w:rPr>
            </w:pPr>
          </w:p>
        </w:tc>
        <w:tc>
          <w:tcPr>
            <w:tcW w:w="1190" w:type="dxa"/>
            <w:tcBorders>
              <w:top w:val="single" w:sz="4" w:space="0" w:color="000000"/>
            </w:tcBorders>
          </w:tcPr>
          <w:p w:rsidR="00B75DE8" w:rsidRPr="003A5617" w:rsidRDefault="00B75DE8" w:rsidP="00007BB2">
            <w:pPr>
              <w:tabs>
                <w:tab w:val="left" w:pos="8880"/>
              </w:tabs>
              <w:ind w:right="-40"/>
              <w:jc w:val="center"/>
              <w:rPr>
                <w:lang w:val="en-US"/>
              </w:rPr>
            </w:pPr>
            <w:r w:rsidRPr="003A5617">
              <w:rPr>
                <w:lang w:val="en-US"/>
              </w:rPr>
              <w:t>1</w:t>
            </w:r>
          </w:p>
        </w:tc>
        <w:tc>
          <w:tcPr>
            <w:tcW w:w="1191" w:type="dxa"/>
            <w:tcBorders>
              <w:top w:val="single" w:sz="4" w:space="0" w:color="000000"/>
            </w:tcBorders>
          </w:tcPr>
          <w:p w:rsidR="00B75DE8" w:rsidRPr="003A5617" w:rsidRDefault="00B75DE8" w:rsidP="00007BB2">
            <w:pPr>
              <w:tabs>
                <w:tab w:val="left" w:pos="8880"/>
              </w:tabs>
              <w:ind w:right="-40"/>
              <w:jc w:val="center"/>
              <w:rPr>
                <w:lang w:val="en-US"/>
              </w:rPr>
            </w:pPr>
            <w:r w:rsidRPr="003A5617">
              <w:rPr>
                <w:lang w:val="en-US"/>
              </w:rPr>
              <w:t>2</w:t>
            </w:r>
          </w:p>
        </w:tc>
        <w:tc>
          <w:tcPr>
            <w:tcW w:w="1190" w:type="dxa"/>
            <w:tcBorders>
              <w:top w:val="single" w:sz="4" w:space="0" w:color="000000"/>
            </w:tcBorders>
          </w:tcPr>
          <w:p w:rsidR="00B75DE8" w:rsidRPr="003A5617" w:rsidRDefault="00B75DE8" w:rsidP="00007BB2">
            <w:pPr>
              <w:tabs>
                <w:tab w:val="left" w:pos="8880"/>
              </w:tabs>
              <w:ind w:right="-40"/>
              <w:jc w:val="center"/>
              <w:rPr>
                <w:lang w:val="en-US"/>
              </w:rPr>
            </w:pPr>
            <w:r w:rsidRPr="003A5617">
              <w:rPr>
                <w:lang w:val="en-US"/>
              </w:rPr>
              <w:t>3</w:t>
            </w:r>
          </w:p>
        </w:tc>
        <w:tc>
          <w:tcPr>
            <w:tcW w:w="1191" w:type="dxa"/>
            <w:tcBorders>
              <w:top w:val="single" w:sz="4" w:space="0" w:color="000000"/>
            </w:tcBorders>
          </w:tcPr>
          <w:p w:rsidR="00B75DE8" w:rsidRPr="003A5617" w:rsidRDefault="00B75DE8" w:rsidP="00007BB2">
            <w:pPr>
              <w:tabs>
                <w:tab w:val="left" w:pos="8880"/>
              </w:tabs>
              <w:ind w:right="-40"/>
              <w:jc w:val="center"/>
              <w:rPr>
                <w:lang w:val="en-US"/>
              </w:rPr>
            </w:pPr>
            <w:r w:rsidRPr="003A5617">
              <w:rPr>
                <w:lang w:val="en-US"/>
              </w:rPr>
              <w:t>4</w:t>
            </w:r>
          </w:p>
        </w:tc>
        <w:tc>
          <w:tcPr>
            <w:tcW w:w="1191" w:type="dxa"/>
            <w:tcBorders>
              <w:top w:val="single" w:sz="4" w:space="0" w:color="000000"/>
            </w:tcBorders>
          </w:tcPr>
          <w:p w:rsidR="00B75DE8" w:rsidRPr="003A5617" w:rsidRDefault="00B75DE8" w:rsidP="00007BB2">
            <w:pPr>
              <w:tabs>
                <w:tab w:val="left" w:pos="8880"/>
              </w:tabs>
              <w:ind w:right="-40"/>
              <w:jc w:val="center"/>
              <w:rPr>
                <w:lang w:val="en-US"/>
              </w:rPr>
            </w:pPr>
            <w:r w:rsidRPr="003A5617">
              <w:rPr>
                <w:lang w:val="en-US"/>
              </w:rPr>
              <w:t>PMG</w:t>
            </w:r>
          </w:p>
        </w:tc>
      </w:tr>
      <w:tr w:rsidR="00B75DE8" w:rsidRPr="003A5617" w:rsidTr="00007BB2">
        <w:tc>
          <w:tcPr>
            <w:tcW w:w="3794" w:type="dxa"/>
          </w:tcPr>
          <w:p w:rsidR="00B75DE8" w:rsidRPr="003A5617" w:rsidRDefault="00B75DE8" w:rsidP="00007BB2">
            <w:pPr>
              <w:tabs>
                <w:tab w:val="left" w:pos="8880"/>
              </w:tabs>
              <w:ind w:right="-40"/>
              <w:rPr>
                <w:sz w:val="22"/>
                <w:szCs w:val="22"/>
                <w:lang w:val="en-US"/>
              </w:rPr>
            </w:pPr>
            <w:r w:rsidRPr="003A5617">
              <w:rPr>
                <w:sz w:val="22"/>
                <w:szCs w:val="22"/>
                <w:lang w:val="en-US"/>
              </w:rPr>
              <w:t>2. Gambling makes my worries more bearable</w:t>
            </w:r>
          </w:p>
          <w:p w:rsidR="00B75DE8" w:rsidRPr="003A5617" w:rsidRDefault="00B75DE8" w:rsidP="00007BB2">
            <w:pPr>
              <w:tabs>
                <w:tab w:val="left" w:pos="8880"/>
              </w:tabs>
              <w:ind w:right="-40"/>
              <w:rPr>
                <w:sz w:val="22"/>
                <w:szCs w:val="22"/>
                <w:lang w:val="en-US"/>
              </w:rPr>
            </w:pPr>
          </w:p>
        </w:tc>
        <w:tc>
          <w:tcPr>
            <w:tcW w:w="1190" w:type="dxa"/>
          </w:tcPr>
          <w:p w:rsidR="00B75DE8" w:rsidRPr="003A5617" w:rsidRDefault="00B75DE8" w:rsidP="00007BB2">
            <w:pPr>
              <w:tabs>
                <w:tab w:val="left" w:pos="8880"/>
              </w:tabs>
              <w:ind w:right="-40"/>
              <w:jc w:val="center"/>
              <w:rPr>
                <w:lang w:val="en-US"/>
              </w:rPr>
            </w:pPr>
            <w:r w:rsidRPr="003A5617">
              <w:rPr>
                <w:lang w:val="en-US"/>
              </w:rPr>
              <w:t>1</w:t>
            </w:r>
          </w:p>
        </w:tc>
        <w:tc>
          <w:tcPr>
            <w:tcW w:w="1191" w:type="dxa"/>
          </w:tcPr>
          <w:p w:rsidR="00B75DE8" w:rsidRPr="003A5617" w:rsidRDefault="00B75DE8" w:rsidP="00007BB2">
            <w:pPr>
              <w:tabs>
                <w:tab w:val="left" w:pos="8880"/>
              </w:tabs>
              <w:ind w:right="-40"/>
              <w:jc w:val="center"/>
              <w:rPr>
                <w:lang w:val="en-US"/>
              </w:rPr>
            </w:pPr>
            <w:r w:rsidRPr="003A5617">
              <w:rPr>
                <w:lang w:val="en-US"/>
              </w:rPr>
              <w:t>2</w:t>
            </w:r>
          </w:p>
        </w:tc>
        <w:tc>
          <w:tcPr>
            <w:tcW w:w="1190" w:type="dxa"/>
          </w:tcPr>
          <w:p w:rsidR="00B75DE8" w:rsidRPr="003A5617" w:rsidRDefault="00B75DE8" w:rsidP="00007BB2">
            <w:pPr>
              <w:tabs>
                <w:tab w:val="left" w:pos="8880"/>
              </w:tabs>
              <w:ind w:right="-40"/>
              <w:jc w:val="center"/>
              <w:rPr>
                <w:lang w:val="en-US"/>
              </w:rPr>
            </w:pPr>
            <w:r w:rsidRPr="003A5617">
              <w:rPr>
                <w:lang w:val="en-US"/>
              </w:rPr>
              <w:t>3</w:t>
            </w:r>
          </w:p>
        </w:tc>
        <w:tc>
          <w:tcPr>
            <w:tcW w:w="1191" w:type="dxa"/>
          </w:tcPr>
          <w:p w:rsidR="00B75DE8" w:rsidRPr="003A5617" w:rsidRDefault="00B75DE8" w:rsidP="00007BB2">
            <w:pPr>
              <w:tabs>
                <w:tab w:val="left" w:pos="8880"/>
              </w:tabs>
              <w:ind w:right="-40"/>
              <w:jc w:val="center"/>
              <w:rPr>
                <w:lang w:val="en-US"/>
              </w:rPr>
            </w:pPr>
            <w:r w:rsidRPr="003A5617">
              <w:rPr>
                <w:lang w:val="en-US"/>
              </w:rPr>
              <w:t>4</w:t>
            </w:r>
          </w:p>
        </w:tc>
        <w:tc>
          <w:tcPr>
            <w:tcW w:w="1191" w:type="dxa"/>
          </w:tcPr>
          <w:p w:rsidR="00B75DE8" w:rsidRPr="003A5617" w:rsidRDefault="00B75DE8" w:rsidP="00007BB2">
            <w:pPr>
              <w:tabs>
                <w:tab w:val="left" w:pos="8880"/>
              </w:tabs>
              <w:ind w:right="-40"/>
              <w:jc w:val="center"/>
              <w:rPr>
                <w:lang w:val="en-US"/>
              </w:rPr>
            </w:pPr>
            <w:r w:rsidRPr="003A5617">
              <w:rPr>
                <w:lang w:val="en-US"/>
              </w:rPr>
              <w:t>PMG</w:t>
            </w:r>
          </w:p>
        </w:tc>
      </w:tr>
      <w:tr w:rsidR="00B75DE8" w:rsidRPr="003A5617" w:rsidTr="00007BB2">
        <w:tc>
          <w:tcPr>
            <w:tcW w:w="3794" w:type="dxa"/>
          </w:tcPr>
          <w:p w:rsidR="00B75DE8" w:rsidRPr="003A5617" w:rsidRDefault="00B75DE8" w:rsidP="00007BB2">
            <w:pPr>
              <w:tabs>
                <w:tab w:val="left" w:pos="8880"/>
              </w:tabs>
              <w:ind w:right="-40"/>
              <w:rPr>
                <w:sz w:val="22"/>
                <w:szCs w:val="22"/>
                <w:lang w:val="en-US"/>
              </w:rPr>
            </w:pPr>
            <w:r w:rsidRPr="003A5617">
              <w:rPr>
                <w:sz w:val="22"/>
                <w:szCs w:val="22"/>
                <w:lang w:val="en-US"/>
              </w:rPr>
              <w:t xml:space="preserve">3. </w:t>
            </w:r>
            <w:r w:rsidRPr="003A5617">
              <w:rPr>
                <w:sz w:val="22"/>
                <w:szCs w:val="22"/>
              </w:rPr>
              <w:t>Thinking about gambling is difficult to control</w:t>
            </w:r>
          </w:p>
          <w:p w:rsidR="00B75DE8" w:rsidRPr="003A5617" w:rsidRDefault="00B75DE8" w:rsidP="00007BB2">
            <w:pPr>
              <w:tabs>
                <w:tab w:val="left" w:pos="8880"/>
              </w:tabs>
              <w:ind w:right="-40"/>
              <w:rPr>
                <w:sz w:val="22"/>
                <w:szCs w:val="22"/>
                <w:lang w:val="en-US"/>
              </w:rPr>
            </w:pPr>
          </w:p>
        </w:tc>
        <w:tc>
          <w:tcPr>
            <w:tcW w:w="1190" w:type="dxa"/>
          </w:tcPr>
          <w:p w:rsidR="00B75DE8" w:rsidRPr="003A5617" w:rsidRDefault="00B75DE8" w:rsidP="00007BB2">
            <w:pPr>
              <w:tabs>
                <w:tab w:val="left" w:pos="8880"/>
              </w:tabs>
              <w:ind w:right="-40"/>
              <w:jc w:val="center"/>
              <w:rPr>
                <w:lang w:val="en-US"/>
              </w:rPr>
            </w:pPr>
            <w:r w:rsidRPr="003A5617">
              <w:rPr>
                <w:lang w:val="en-US"/>
              </w:rPr>
              <w:t>1</w:t>
            </w:r>
          </w:p>
        </w:tc>
        <w:tc>
          <w:tcPr>
            <w:tcW w:w="1191" w:type="dxa"/>
          </w:tcPr>
          <w:p w:rsidR="00B75DE8" w:rsidRPr="003A5617" w:rsidRDefault="00B75DE8" w:rsidP="00007BB2">
            <w:pPr>
              <w:tabs>
                <w:tab w:val="left" w:pos="8880"/>
              </w:tabs>
              <w:ind w:right="-40"/>
              <w:jc w:val="center"/>
              <w:rPr>
                <w:lang w:val="en-US"/>
              </w:rPr>
            </w:pPr>
            <w:r w:rsidRPr="003A5617">
              <w:rPr>
                <w:lang w:val="en-US"/>
              </w:rPr>
              <w:t>2</w:t>
            </w:r>
          </w:p>
        </w:tc>
        <w:tc>
          <w:tcPr>
            <w:tcW w:w="1190" w:type="dxa"/>
          </w:tcPr>
          <w:p w:rsidR="00B75DE8" w:rsidRPr="003A5617" w:rsidRDefault="00B75DE8" w:rsidP="00007BB2">
            <w:pPr>
              <w:tabs>
                <w:tab w:val="left" w:pos="8880"/>
              </w:tabs>
              <w:ind w:right="-40"/>
              <w:jc w:val="center"/>
              <w:rPr>
                <w:lang w:val="en-US"/>
              </w:rPr>
            </w:pPr>
            <w:r w:rsidRPr="003A5617">
              <w:rPr>
                <w:lang w:val="en-US"/>
              </w:rPr>
              <w:t>3</w:t>
            </w:r>
          </w:p>
        </w:tc>
        <w:tc>
          <w:tcPr>
            <w:tcW w:w="1191" w:type="dxa"/>
          </w:tcPr>
          <w:p w:rsidR="00B75DE8" w:rsidRPr="003A5617" w:rsidRDefault="00B75DE8" w:rsidP="00007BB2">
            <w:pPr>
              <w:tabs>
                <w:tab w:val="left" w:pos="8880"/>
              </w:tabs>
              <w:ind w:right="-40"/>
              <w:jc w:val="center"/>
              <w:rPr>
                <w:lang w:val="en-US"/>
              </w:rPr>
            </w:pPr>
            <w:r w:rsidRPr="003A5617">
              <w:rPr>
                <w:lang w:val="en-US"/>
              </w:rPr>
              <w:t>4</w:t>
            </w:r>
          </w:p>
        </w:tc>
        <w:tc>
          <w:tcPr>
            <w:tcW w:w="1191" w:type="dxa"/>
          </w:tcPr>
          <w:p w:rsidR="00B75DE8" w:rsidRPr="003A5617" w:rsidRDefault="00B75DE8" w:rsidP="00007BB2">
            <w:pPr>
              <w:tabs>
                <w:tab w:val="left" w:pos="8880"/>
              </w:tabs>
              <w:ind w:right="-40"/>
              <w:jc w:val="center"/>
              <w:rPr>
                <w:lang w:val="en-US"/>
              </w:rPr>
            </w:pPr>
            <w:r w:rsidRPr="003A5617">
              <w:rPr>
                <w:lang w:val="en-US"/>
              </w:rPr>
              <w:t>NMG</w:t>
            </w:r>
          </w:p>
        </w:tc>
      </w:tr>
      <w:tr w:rsidR="00B75DE8" w:rsidRPr="003A5617" w:rsidTr="00007BB2">
        <w:tc>
          <w:tcPr>
            <w:tcW w:w="3794" w:type="dxa"/>
          </w:tcPr>
          <w:p w:rsidR="00B75DE8" w:rsidRPr="003A5617" w:rsidRDefault="00B75DE8" w:rsidP="00007BB2">
            <w:pPr>
              <w:tabs>
                <w:tab w:val="left" w:pos="8880"/>
              </w:tabs>
              <w:ind w:right="-40"/>
              <w:rPr>
                <w:sz w:val="22"/>
                <w:szCs w:val="22"/>
                <w:lang w:val="en-US"/>
              </w:rPr>
            </w:pPr>
            <w:r w:rsidRPr="003A5617">
              <w:rPr>
                <w:sz w:val="22"/>
                <w:szCs w:val="22"/>
                <w:lang w:val="en-US"/>
              </w:rPr>
              <w:t>4. Gambling helps to stop worry about my problems</w:t>
            </w:r>
            <w:r w:rsidRPr="003A5617">
              <w:rPr>
                <w:sz w:val="22"/>
                <w:szCs w:val="22"/>
                <w:lang w:val="en-US"/>
              </w:rPr>
              <w:br/>
            </w:r>
          </w:p>
        </w:tc>
        <w:tc>
          <w:tcPr>
            <w:tcW w:w="1190" w:type="dxa"/>
          </w:tcPr>
          <w:p w:rsidR="00B75DE8" w:rsidRPr="003A5617" w:rsidRDefault="00B75DE8" w:rsidP="00007BB2">
            <w:pPr>
              <w:tabs>
                <w:tab w:val="left" w:pos="8880"/>
              </w:tabs>
              <w:ind w:right="-40"/>
              <w:jc w:val="center"/>
              <w:rPr>
                <w:lang w:val="en-US"/>
              </w:rPr>
            </w:pPr>
            <w:r w:rsidRPr="003A5617">
              <w:rPr>
                <w:lang w:val="en-US"/>
              </w:rPr>
              <w:t>1</w:t>
            </w:r>
          </w:p>
        </w:tc>
        <w:tc>
          <w:tcPr>
            <w:tcW w:w="1191" w:type="dxa"/>
          </w:tcPr>
          <w:p w:rsidR="00B75DE8" w:rsidRPr="003A5617" w:rsidRDefault="00B75DE8" w:rsidP="00007BB2">
            <w:pPr>
              <w:tabs>
                <w:tab w:val="left" w:pos="8880"/>
              </w:tabs>
              <w:ind w:right="-40"/>
              <w:jc w:val="center"/>
              <w:rPr>
                <w:lang w:val="en-US"/>
              </w:rPr>
            </w:pPr>
            <w:r w:rsidRPr="003A5617">
              <w:rPr>
                <w:lang w:val="en-US"/>
              </w:rPr>
              <w:t>2</w:t>
            </w:r>
          </w:p>
        </w:tc>
        <w:tc>
          <w:tcPr>
            <w:tcW w:w="1190" w:type="dxa"/>
          </w:tcPr>
          <w:p w:rsidR="00B75DE8" w:rsidRPr="003A5617" w:rsidRDefault="00B75DE8" w:rsidP="00007BB2">
            <w:pPr>
              <w:tabs>
                <w:tab w:val="left" w:pos="8880"/>
              </w:tabs>
              <w:ind w:right="-40"/>
              <w:jc w:val="center"/>
              <w:rPr>
                <w:lang w:val="en-US"/>
              </w:rPr>
            </w:pPr>
            <w:r w:rsidRPr="003A5617">
              <w:rPr>
                <w:lang w:val="en-US"/>
              </w:rPr>
              <w:t>3</w:t>
            </w:r>
          </w:p>
        </w:tc>
        <w:tc>
          <w:tcPr>
            <w:tcW w:w="1191" w:type="dxa"/>
          </w:tcPr>
          <w:p w:rsidR="00B75DE8" w:rsidRPr="003A5617" w:rsidRDefault="00B75DE8" w:rsidP="00007BB2">
            <w:pPr>
              <w:tabs>
                <w:tab w:val="left" w:pos="8880"/>
              </w:tabs>
              <w:ind w:right="-40"/>
              <w:jc w:val="center"/>
              <w:rPr>
                <w:lang w:val="en-US"/>
              </w:rPr>
            </w:pPr>
            <w:r w:rsidRPr="003A5617">
              <w:rPr>
                <w:lang w:val="en-US"/>
              </w:rPr>
              <w:t>4</w:t>
            </w:r>
          </w:p>
        </w:tc>
        <w:tc>
          <w:tcPr>
            <w:tcW w:w="1191" w:type="dxa"/>
          </w:tcPr>
          <w:p w:rsidR="00B75DE8" w:rsidRPr="003A5617" w:rsidRDefault="00B75DE8" w:rsidP="00007BB2">
            <w:pPr>
              <w:tabs>
                <w:tab w:val="left" w:pos="8880"/>
              </w:tabs>
              <w:ind w:right="-40"/>
              <w:jc w:val="center"/>
              <w:rPr>
                <w:lang w:val="en-US"/>
              </w:rPr>
            </w:pPr>
            <w:r w:rsidRPr="003A5617">
              <w:rPr>
                <w:lang w:val="en-US"/>
              </w:rPr>
              <w:t>PMG</w:t>
            </w:r>
          </w:p>
        </w:tc>
      </w:tr>
      <w:tr w:rsidR="00B75DE8" w:rsidRPr="003A5617" w:rsidTr="00007BB2">
        <w:tc>
          <w:tcPr>
            <w:tcW w:w="3794" w:type="dxa"/>
          </w:tcPr>
          <w:p w:rsidR="00B75DE8" w:rsidRPr="003A5617" w:rsidRDefault="00B75DE8" w:rsidP="00007BB2">
            <w:pPr>
              <w:tabs>
                <w:tab w:val="left" w:pos="8880"/>
              </w:tabs>
              <w:ind w:right="-40"/>
              <w:rPr>
                <w:sz w:val="22"/>
                <w:szCs w:val="22"/>
                <w:lang w:val="en-US"/>
              </w:rPr>
            </w:pPr>
            <w:r w:rsidRPr="003A5617">
              <w:rPr>
                <w:sz w:val="22"/>
                <w:szCs w:val="22"/>
                <w:lang w:val="en-US"/>
              </w:rPr>
              <w:t xml:space="preserve">5. </w:t>
            </w:r>
            <w:r w:rsidRPr="003A5617">
              <w:rPr>
                <w:sz w:val="22"/>
                <w:szCs w:val="22"/>
              </w:rPr>
              <w:t>When I start to gamble I cannot stop</w:t>
            </w:r>
            <w:r w:rsidRPr="003A5617">
              <w:rPr>
                <w:sz w:val="22"/>
                <w:szCs w:val="22"/>
                <w:lang w:val="en-US"/>
              </w:rPr>
              <w:br/>
            </w:r>
          </w:p>
        </w:tc>
        <w:tc>
          <w:tcPr>
            <w:tcW w:w="1190" w:type="dxa"/>
          </w:tcPr>
          <w:p w:rsidR="00B75DE8" w:rsidRPr="003A5617" w:rsidRDefault="00B75DE8" w:rsidP="00007BB2">
            <w:pPr>
              <w:tabs>
                <w:tab w:val="left" w:pos="8880"/>
              </w:tabs>
              <w:ind w:right="-40"/>
              <w:jc w:val="center"/>
              <w:rPr>
                <w:lang w:val="en-US"/>
              </w:rPr>
            </w:pPr>
            <w:r w:rsidRPr="003A5617">
              <w:rPr>
                <w:lang w:val="en-US"/>
              </w:rPr>
              <w:t>1</w:t>
            </w:r>
          </w:p>
        </w:tc>
        <w:tc>
          <w:tcPr>
            <w:tcW w:w="1191" w:type="dxa"/>
          </w:tcPr>
          <w:p w:rsidR="00B75DE8" w:rsidRPr="003A5617" w:rsidRDefault="00B75DE8" w:rsidP="00007BB2">
            <w:pPr>
              <w:tabs>
                <w:tab w:val="left" w:pos="8880"/>
              </w:tabs>
              <w:ind w:right="-40"/>
              <w:jc w:val="center"/>
              <w:rPr>
                <w:lang w:val="en-US"/>
              </w:rPr>
            </w:pPr>
            <w:r w:rsidRPr="003A5617">
              <w:rPr>
                <w:lang w:val="en-US"/>
              </w:rPr>
              <w:t>2</w:t>
            </w:r>
          </w:p>
        </w:tc>
        <w:tc>
          <w:tcPr>
            <w:tcW w:w="1190" w:type="dxa"/>
          </w:tcPr>
          <w:p w:rsidR="00B75DE8" w:rsidRPr="003A5617" w:rsidRDefault="00B75DE8" w:rsidP="00007BB2">
            <w:pPr>
              <w:tabs>
                <w:tab w:val="left" w:pos="8880"/>
              </w:tabs>
              <w:ind w:right="-40"/>
              <w:jc w:val="center"/>
              <w:rPr>
                <w:lang w:val="en-US"/>
              </w:rPr>
            </w:pPr>
            <w:r w:rsidRPr="003A5617">
              <w:rPr>
                <w:lang w:val="en-US"/>
              </w:rPr>
              <w:t>3</w:t>
            </w:r>
          </w:p>
        </w:tc>
        <w:tc>
          <w:tcPr>
            <w:tcW w:w="1191" w:type="dxa"/>
          </w:tcPr>
          <w:p w:rsidR="00B75DE8" w:rsidRPr="003A5617" w:rsidRDefault="00B75DE8" w:rsidP="00007BB2">
            <w:pPr>
              <w:tabs>
                <w:tab w:val="left" w:pos="8880"/>
              </w:tabs>
              <w:ind w:right="-40"/>
              <w:jc w:val="center"/>
              <w:rPr>
                <w:lang w:val="en-US"/>
              </w:rPr>
            </w:pPr>
            <w:r w:rsidRPr="003A5617">
              <w:rPr>
                <w:lang w:val="en-US"/>
              </w:rPr>
              <w:t>4</w:t>
            </w:r>
          </w:p>
        </w:tc>
        <w:tc>
          <w:tcPr>
            <w:tcW w:w="1191" w:type="dxa"/>
          </w:tcPr>
          <w:p w:rsidR="00B75DE8" w:rsidRPr="003A5617" w:rsidRDefault="00B75DE8" w:rsidP="00007BB2">
            <w:pPr>
              <w:tabs>
                <w:tab w:val="left" w:pos="8880"/>
              </w:tabs>
              <w:ind w:right="-40"/>
              <w:jc w:val="center"/>
              <w:rPr>
                <w:lang w:val="en-US"/>
              </w:rPr>
            </w:pPr>
            <w:r w:rsidRPr="003A5617">
              <w:rPr>
                <w:lang w:val="en-US"/>
              </w:rPr>
              <w:t>NMG</w:t>
            </w:r>
          </w:p>
        </w:tc>
      </w:tr>
      <w:tr w:rsidR="00B75DE8" w:rsidRPr="003A5617" w:rsidTr="00007BB2">
        <w:tc>
          <w:tcPr>
            <w:tcW w:w="3794" w:type="dxa"/>
          </w:tcPr>
          <w:p w:rsidR="00B75DE8" w:rsidRPr="003A5617" w:rsidRDefault="00B75DE8" w:rsidP="00007BB2">
            <w:pPr>
              <w:tabs>
                <w:tab w:val="left" w:pos="8880"/>
              </w:tabs>
              <w:ind w:right="-40"/>
              <w:rPr>
                <w:sz w:val="22"/>
                <w:szCs w:val="22"/>
                <w:lang w:val="en-US"/>
              </w:rPr>
            </w:pPr>
            <w:r w:rsidRPr="003A5617">
              <w:rPr>
                <w:sz w:val="22"/>
                <w:szCs w:val="22"/>
                <w:lang w:val="en-US"/>
              </w:rPr>
              <w:t xml:space="preserve">6. </w:t>
            </w:r>
            <w:r w:rsidRPr="003A5617">
              <w:rPr>
                <w:sz w:val="22"/>
                <w:szCs w:val="22"/>
              </w:rPr>
              <w:t>I cannot stop thinking about gambling</w:t>
            </w:r>
            <w:r w:rsidRPr="003A5617">
              <w:rPr>
                <w:sz w:val="22"/>
                <w:szCs w:val="22"/>
                <w:lang w:val="en-US"/>
              </w:rPr>
              <w:br/>
            </w:r>
          </w:p>
        </w:tc>
        <w:tc>
          <w:tcPr>
            <w:tcW w:w="1190" w:type="dxa"/>
          </w:tcPr>
          <w:p w:rsidR="00B75DE8" w:rsidRPr="003A5617" w:rsidRDefault="00B75DE8" w:rsidP="00007BB2">
            <w:pPr>
              <w:tabs>
                <w:tab w:val="left" w:pos="8880"/>
              </w:tabs>
              <w:ind w:right="-40"/>
              <w:jc w:val="center"/>
              <w:rPr>
                <w:lang w:val="en-US"/>
              </w:rPr>
            </w:pPr>
            <w:r w:rsidRPr="003A5617">
              <w:rPr>
                <w:lang w:val="en-US"/>
              </w:rPr>
              <w:t>1</w:t>
            </w:r>
          </w:p>
        </w:tc>
        <w:tc>
          <w:tcPr>
            <w:tcW w:w="1191" w:type="dxa"/>
          </w:tcPr>
          <w:p w:rsidR="00B75DE8" w:rsidRPr="003A5617" w:rsidRDefault="00B75DE8" w:rsidP="00007BB2">
            <w:pPr>
              <w:tabs>
                <w:tab w:val="left" w:pos="8880"/>
              </w:tabs>
              <w:ind w:right="-40"/>
              <w:jc w:val="center"/>
              <w:rPr>
                <w:lang w:val="en-US"/>
              </w:rPr>
            </w:pPr>
            <w:r w:rsidRPr="003A5617">
              <w:rPr>
                <w:lang w:val="en-US"/>
              </w:rPr>
              <w:t>2</w:t>
            </w:r>
          </w:p>
        </w:tc>
        <w:tc>
          <w:tcPr>
            <w:tcW w:w="1190" w:type="dxa"/>
          </w:tcPr>
          <w:p w:rsidR="00B75DE8" w:rsidRPr="003A5617" w:rsidRDefault="00B75DE8" w:rsidP="00007BB2">
            <w:pPr>
              <w:tabs>
                <w:tab w:val="left" w:pos="8880"/>
              </w:tabs>
              <w:ind w:right="-40"/>
              <w:jc w:val="center"/>
              <w:rPr>
                <w:lang w:val="en-US"/>
              </w:rPr>
            </w:pPr>
            <w:r w:rsidRPr="003A5617">
              <w:rPr>
                <w:lang w:val="en-US"/>
              </w:rPr>
              <w:t>3</w:t>
            </w:r>
          </w:p>
        </w:tc>
        <w:tc>
          <w:tcPr>
            <w:tcW w:w="1191" w:type="dxa"/>
          </w:tcPr>
          <w:p w:rsidR="00B75DE8" w:rsidRPr="003A5617" w:rsidRDefault="00B75DE8" w:rsidP="00007BB2">
            <w:pPr>
              <w:tabs>
                <w:tab w:val="left" w:pos="8880"/>
              </w:tabs>
              <w:ind w:right="-40"/>
              <w:jc w:val="center"/>
              <w:rPr>
                <w:lang w:val="en-US"/>
              </w:rPr>
            </w:pPr>
            <w:r w:rsidRPr="003A5617">
              <w:rPr>
                <w:lang w:val="en-US"/>
              </w:rPr>
              <w:t>4</w:t>
            </w:r>
          </w:p>
        </w:tc>
        <w:tc>
          <w:tcPr>
            <w:tcW w:w="1191" w:type="dxa"/>
          </w:tcPr>
          <w:p w:rsidR="00B75DE8" w:rsidRPr="003A5617" w:rsidRDefault="00B75DE8" w:rsidP="00007BB2">
            <w:pPr>
              <w:tabs>
                <w:tab w:val="left" w:pos="8880"/>
              </w:tabs>
              <w:ind w:right="-40"/>
              <w:jc w:val="center"/>
              <w:rPr>
                <w:lang w:val="en-US"/>
              </w:rPr>
            </w:pPr>
            <w:r w:rsidRPr="003A5617">
              <w:rPr>
                <w:lang w:val="en-US"/>
              </w:rPr>
              <w:t>NMG</w:t>
            </w:r>
          </w:p>
        </w:tc>
      </w:tr>
      <w:tr w:rsidR="00B75DE8" w:rsidRPr="003A5617" w:rsidTr="00007BB2">
        <w:tc>
          <w:tcPr>
            <w:tcW w:w="3794" w:type="dxa"/>
          </w:tcPr>
          <w:p w:rsidR="00B75DE8" w:rsidRPr="003A5617" w:rsidRDefault="00B75DE8" w:rsidP="00007BB2">
            <w:pPr>
              <w:tabs>
                <w:tab w:val="left" w:pos="8880"/>
              </w:tabs>
              <w:ind w:right="-40"/>
              <w:rPr>
                <w:sz w:val="22"/>
                <w:szCs w:val="22"/>
                <w:lang w:val="en-US"/>
              </w:rPr>
            </w:pPr>
            <w:r w:rsidRPr="003A5617">
              <w:rPr>
                <w:sz w:val="22"/>
                <w:szCs w:val="22"/>
                <w:lang w:val="en-US"/>
              </w:rPr>
              <w:t>7. Gambling reduces my worries</w:t>
            </w:r>
            <w:r w:rsidRPr="003A5617">
              <w:rPr>
                <w:sz w:val="22"/>
                <w:szCs w:val="22"/>
                <w:lang w:val="en-US"/>
              </w:rPr>
              <w:br/>
            </w:r>
          </w:p>
        </w:tc>
        <w:tc>
          <w:tcPr>
            <w:tcW w:w="1190" w:type="dxa"/>
          </w:tcPr>
          <w:p w:rsidR="00B75DE8" w:rsidRPr="003A5617" w:rsidRDefault="00B75DE8" w:rsidP="00007BB2">
            <w:pPr>
              <w:tabs>
                <w:tab w:val="left" w:pos="8880"/>
              </w:tabs>
              <w:ind w:right="-40"/>
              <w:jc w:val="center"/>
              <w:rPr>
                <w:lang w:val="en-US"/>
              </w:rPr>
            </w:pPr>
            <w:r w:rsidRPr="003A5617">
              <w:rPr>
                <w:lang w:val="en-US"/>
              </w:rPr>
              <w:t>1</w:t>
            </w:r>
          </w:p>
        </w:tc>
        <w:tc>
          <w:tcPr>
            <w:tcW w:w="1191" w:type="dxa"/>
          </w:tcPr>
          <w:p w:rsidR="00B75DE8" w:rsidRPr="003A5617" w:rsidRDefault="00B75DE8" w:rsidP="00007BB2">
            <w:pPr>
              <w:tabs>
                <w:tab w:val="left" w:pos="8880"/>
              </w:tabs>
              <w:ind w:right="-40"/>
              <w:jc w:val="center"/>
              <w:rPr>
                <w:lang w:val="en-US"/>
              </w:rPr>
            </w:pPr>
            <w:r w:rsidRPr="003A5617">
              <w:rPr>
                <w:lang w:val="en-US"/>
              </w:rPr>
              <w:t>2</w:t>
            </w:r>
          </w:p>
        </w:tc>
        <w:tc>
          <w:tcPr>
            <w:tcW w:w="1190" w:type="dxa"/>
          </w:tcPr>
          <w:p w:rsidR="00B75DE8" w:rsidRPr="003A5617" w:rsidRDefault="00B75DE8" w:rsidP="00007BB2">
            <w:pPr>
              <w:tabs>
                <w:tab w:val="left" w:pos="8880"/>
              </w:tabs>
              <w:ind w:right="-40"/>
              <w:jc w:val="center"/>
              <w:rPr>
                <w:lang w:val="en-US"/>
              </w:rPr>
            </w:pPr>
            <w:r w:rsidRPr="003A5617">
              <w:rPr>
                <w:lang w:val="en-US"/>
              </w:rPr>
              <w:t>3</w:t>
            </w:r>
          </w:p>
        </w:tc>
        <w:tc>
          <w:tcPr>
            <w:tcW w:w="1191" w:type="dxa"/>
          </w:tcPr>
          <w:p w:rsidR="00B75DE8" w:rsidRPr="003A5617" w:rsidRDefault="00B75DE8" w:rsidP="00007BB2">
            <w:pPr>
              <w:tabs>
                <w:tab w:val="left" w:pos="8880"/>
              </w:tabs>
              <w:ind w:right="-40"/>
              <w:jc w:val="center"/>
              <w:rPr>
                <w:lang w:val="en-US"/>
              </w:rPr>
            </w:pPr>
            <w:r w:rsidRPr="003A5617">
              <w:rPr>
                <w:lang w:val="en-US"/>
              </w:rPr>
              <w:t>4</w:t>
            </w:r>
          </w:p>
        </w:tc>
        <w:tc>
          <w:tcPr>
            <w:tcW w:w="1191" w:type="dxa"/>
          </w:tcPr>
          <w:p w:rsidR="00B75DE8" w:rsidRPr="003A5617" w:rsidRDefault="00B75DE8" w:rsidP="00007BB2">
            <w:pPr>
              <w:tabs>
                <w:tab w:val="left" w:pos="8880"/>
              </w:tabs>
              <w:ind w:right="-40"/>
              <w:jc w:val="center"/>
              <w:rPr>
                <w:lang w:val="en-US"/>
              </w:rPr>
            </w:pPr>
            <w:r w:rsidRPr="003A5617">
              <w:rPr>
                <w:lang w:val="en-US"/>
              </w:rPr>
              <w:t>PMG</w:t>
            </w:r>
          </w:p>
        </w:tc>
      </w:tr>
      <w:tr w:rsidR="00B75DE8" w:rsidRPr="003A5617" w:rsidTr="00007BB2">
        <w:tc>
          <w:tcPr>
            <w:tcW w:w="3794" w:type="dxa"/>
          </w:tcPr>
          <w:p w:rsidR="00B75DE8" w:rsidRPr="003A5617" w:rsidRDefault="00B75DE8" w:rsidP="00007BB2">
            <w:pPr>
              <w:tabs>
                <w:tab w:val="left" w:pos="8880"/>
              </w:tabs>
              <w:ind w:right="-40"/>
              <w:rPr>
                <w:sz w:val="22"/>
                <w:szCs w:val="22"/>
                <w:lang w:val="en-US"/>
              </w:rPr>
            </w:pPr>
            <w:r w:rsidRPr="003A5617">
              <w:rPr>
                <w:sz w:val="22"/>
                <w:szCs w:val="22"/>
                <w:lang w:val="en-US"/>
              </w:rPr>
              <w:t xml:space="preserve">8. </w:t>
            </w:r>
            <w:r w:rsidRPr="003A5617">
              <w:rPr>
                <w:sz w:val="22"/>
                <w:szCs w:val="22"/>
              </w:rPr>
              <w:t>When I gamble nothing can distract me</w:t>
            </w:r>
            <w:r w:rsidRPr="003A5617">
              <w:rPr>
                <w:sz w:val="22"/>
                <w:szCs w:val="22"/>
                <w:lang w:val="en-US"/>
              </w:rPr>
              <w:br/>
            </w:r>
          </w:p>
        </w:tc>
        <w:tc>
          <w:tcPr>
            <w:tcW w:w="1190" w:type="dxa"/>
          </w:tcPr>
          <w:p w:rsidR="00B75DE8" w:rsidRPr="003A5617" w:rsidRDefault="00B75DE8" w:rsidP="00007BB2">
            <w:pPr>
              <w:tabs>
                <w:tab w:val="left" w:pos="8880"/>
              </w:tabs>
              <w:ind w:right="-40"/>
              <w:jc w:val="center"/>
              <w:rPr>
                <w:lang w:val="en-US"/>
              </w:rPr>
            </w:pPr>
            <w:r w:rsidRPr="003A5617">
              <w:rPr>
                <w:lang w:val="en-US"/>
              </w:rPr>
              <w:t>1</w:t>
            </w:r>
          </w:p>
        </w:tc>
        <w:tc>
          <w:tcPr>
            <w:tcW w:w="1191" w:type="dxa"/>
          </w:tcPr>
          <w:p w:rsidR="00B75DE8" w:rsidRPr="003A5617" w:rsidRDefault="00B75DE8" w:rsidP="00007BB2">
            <w:pPr>
              <w:tabs>
                <w:tab w:val="left" w:pos="8880"/>
              </w:tabs>
              <w:ind w:right="-40"/>
              <w:jc w:val="center"/>
              <w:rPr>
                <w:lang w:val="en-US"/>
              </w:rPr>
            </w:pPr>
            <w:r w:rsidRPr="003A5617">
              <w:rPr>
                <w:lang w:val="en-US"/>
              </w:rPr>
              <w:t>2</w:t>
            </w:r>
          </w:p>
        </w:tc>
        <w:tc>
          <w:tcPr>
            <w:tcW w:w="1190" w:type="dxa"/>
          </w:tcPr>
          <w:p w:rsidR="00B75DE8" w:rsidRPr="003A5617" w:rsidRDefault="00B75DE8" w:rsidP="00007BB2">
            <w:pPr>
              <w:tabs>
                <w:tab w:val="left" w:pos="8880"/>
              </w:tabs>
              <w:ind w:right="-40"/>
              <w:jc w:val="center"/>
              <w:rPr>
                <w:lang w:val="en-US"/>
              </w:rPr>
            </w:pPr>
            <w:r w:rsidRPr="003A5617">
              <w:rPr>
                <w:lang w:val="en-US"/>
              </w:rPr>
              <w:t>3</w:t>
            </w:r>
          </w:p>
        </w:tc>
        <w:tc>
          <w:tcPr>
            <w:tcW w:w="1191" w:type="dxa"/>
          </w:tcPr>
          <w:p w:rsidR="00B75DE8" w:rsidRPr="003A5617" w:rsidRDefault="00B75DE8" w:rsidP="00007BB2">
            <w:pPr>
              <w:tabs>
                <w:tab w:val="left" w:pos="8880"/>
              </w:tabs>
              <w:ind w:right="-40"/>
              <w:jc w:val="center"/>
              <w:rPr>
                <w:lang w:val="en-US"/>
              </w:rPr>
            </w:pPr>
            <w:r w:rsidRPr="003A5617">
              <w:rPr>
                <w:lang w:val="en-US"/>
              </w:rPr>
              <w:t>4</w:t>
            </w:r>
          </w:p>
        </w:tc>
        <w:tc>
          <w:tcPr>
            <w:tcW w:w="1191" w:type="dxa"/>
          </w:tcPr>
          <w:p w:rsidR="00B75DE8" w:rsidRPr="003A5617" w:rsidRDefault="00B75DE8" w:rsidP="00007BB2">
            <w:pPr>
              <w:tabs>
                <w:tab w:val="left" w:pos="8880"/>
              </w:tabs>
              <w:ind w:right="-40"/>
              <w:jc w:val="center"/>
              <w:rPr>
                <w:lang w:val="en-US"/>
              </w:rPr>
            </w:pPr>
            <w:r w:rsidRPr="003A5617">
              <w:rPr>
                <w:lang w:val="en-US"/>
              </w:rPr>
              <w:t>NMG</w:t>
            </w:r>
          </w:p>
        </w:tc>
      </w:tr>
      <w:tr w:rsidR="00B75DE8" w:rsidRPr="003A5617" w:rsidTr="00007BB2">
        <w:tc>
          <w:tcPr>
            <w:tcW w:w="3794" w:type="dxa"/>
          </w:tcPr>
          <w:p w:rsidR="00B75DE8" w:rsidRPr="003A5617" w:rsidRDefault="00B75DE8" w:rsidP="00007BB2">
            <w:pPr>
              <w:tabs>
                <w:tab w:val="left" w:pos="8880"/>
              </w:tabs>
              <w:ind w:right="-40"/>
              <w:rPr>
                <w:sz w:val="22"/>
                <w:szCs w:val="22"/>
                <w:lang w:val="en-US"/>
              </w:rPr>
            </w:pPr>
            <w:r w:rsidRPr="003A5617">
              <w:rPr>
                <w:sz w:val="22"/>
                <w:szCs w:val="22"/>
                <w:lang w:val="en-US"/>
              </w:rPr>
              <w:t>9. Gambling helps to control my thoughts</w:t>
            </w:r>
            <w:r w:rsidRPr="003A5617">
              <w:rPr>
                <w:sz w:val="22"/>
                <w:szCs w:val="22"/>
                <w:lang w:val="en-US"/>
              </w:rPr>
              <w:br/>
            </w:r>
          </w:p>
        </w:tc>
        <w:tc>
          <w:tcPr>
            <w:tcW w:w="1190" w:type="dxa"/>
          </w:tcPr>
          <w:p w:rsidR="00B75DE8" w:rsidRPr="003A5617" w:rsidRDefault="00B75DE8" w:rsidP="00007BB2">
            <w:pPr>
              <w:tabs>
                <w:tab w:val="left" w:pos="8880"/>
              </w:tabs>
              <w:ind w:right="-40"/>
              <w:jc w:val="center"/>
              <w:rPr>
                <w:lang w:val="en-US"/>
              </w:rPr>
            </w:pPr>
            <w:r w:rsidRPr="003A5617">
              <w:rPr>
                <w:lang w:val="en-US"/>
              </w:rPr>
              <w:t>1</w:t>
            </w:r>
          </w:p>
        </w:tc>
        <w:tc>
          <w:tcPr>
            <w:tcW w:w="1191" w:type="dxa"/>
          </w:tcPr>
          <w:p w:rsidR="00B75DE8" w:rsidRPr="003A5617" w:rsidRDefault="00B75DE8" w:rsidP="00007BB2">
            <w:pPr>
              <w:tabs>
                <w:tab w:val="left" w:pos="8880"/>
              </w:tabs>
              <w:ind w:right="-40"/>
              <w:jc w:val="center"/>
              <w:rPr>
                <w:lang w:val="en-US"/>
              </w:rPr>
            </w:pPr>
            <w:r w:rsidRPr="003A5617">
              <w:rPr>
                <w:lang w:val="en-US"/>
              </w:rPr>
              <w:t>2</w:t>
            </w:r>
          </w:p>
        </w:tc>
        <w:tc>
          <w:tcPr>
            <w:tcW w:w="1190" w:type="dxa"/>
          </w:tcPr>
          <w:p w:rsidR="00B75DE8" w:rsidRPr="003A5617" w:rsidRDefault="00B75DE8" w:rsidP="00007BB2">
            <w:pPr>
              <w:tabs>
                <w:tab w:val="left" w:pos="8880"/>
              </w:tabs>
              <w:ind w:right="-40"/>
              <w:jc w:val="center"/>
              <w:rPr>
                <w:lang w:val="en-US"/>
              </w:rPr>
            </w:pPr>
            <w:r w:rsidRPr="003A5617">
              <w:rPr>
                <w:lang w:val="en-US"/>
              </w:rPr>
              <w:t>3</w:t>
            </w:r>
          </w:p>
        </w:tc>
        <w:tc>
          <w:tcPr>
            <w:tcW w:w="1191" w:type="dxa"/>
          </w:tcPr>
          <w:p w:rsidR="00B75DE8" w:rsidRPr="003A5617" w:rsidRDefault="00B75DE8" w:rsidP="00007BB2">
            <w:pPr>
              <w:tabs>
                <w:tab w:val="left" w:pos="8880"/>
              </w:tabs>
              <w:ind w:right="-40"/>
              <w:jc w:val="center"/>
              <w:rPr>
                <w:lang w:val="en-US"/>
              </w:rPr>
            </w:pPr>
            <w:r w:rsidRPr="003A5617">
              <w:rPr>
                <w:lang w:val="en-US"/>
              </w:rPr>
              <w:t>4</w:t>
            </w:r>
          </w:p>
        </w:tc>
        <w:tc>
          <w:tcPr>
            <w:tcW w:w="1191" w:type="dxa"/>
          </w:tcPr>
          <w:p w:rsidR="00B75DE8" w:rsidRPr="003A5617" w:rsidRDefault="00B75DE8" w:rsidP="00007BB2">
            <w:pPr>
              <w:tabs>
                <w:tab w:val="left" w:pos="8880"/>
              </w:tabs>
              <w:ind w:right="-40"/>
              <w:jc w:val="center"/>
              <w:rPr>
                <w:lang w:val="en-US"/>
              </w:rPr>
            </w:pPr>
            <w:r w:rsidRPr="003A5617">
              <w:rPr>
                <w:lang w:val="en-US"/>
              </w:rPr>
              <w:t>PMG</w:t>
            </w:r>
          </w:p>
        </w:tc>
      </w:tr>
      <w:tr w:rsidR="00B75DE8" w:rsidRPr="003A5617" w:rsidTr="00007BB2">
        <w:tc>
          <w:tcPr>
            <w:tcW w:w="3794" w:type="dxa"/>
            <w:tcBorders>
              <w:bottom w:val="single" w:sz="4" w:space="0" w:color="000000"/>
            </w:tcBorders>
          </w:tcPr>
          <w:p w:rsidR="00B75DE8" w:rsidRPr="003A5617" w:rsidRDefault="00B75DE8" w:rsidP="00007BB2">
            <w:pPr>
              <w:tabs>
                <w:tab w:val="left" w:pos="8880"/>
              </w:tabs>
              <w:ind w:right="-40"/>
              <w:rPr>
                <w:sz w:val="22"/>
                <w:szCs w:val="22"/>
                <w:lang w:val="en-US"/>
              </w:rPr>
            </w:pPr>
            <w:r w:rsidRPr="003A5617">
              <w:rPr>
                <w:sz w:val="22"/>
                <w:szCs w:val="22"/>
                <w:lang w:val="en-US"/>
              </w:rPr>
              <w:t xml:space="preserve">10. </w:t>
            </w:r>
            <w:r w:rsidRPr="003A5617">
              <w:rPr>
                <w:sz w:val="22"/>
                <w:szCs w:val="22"/>
              </w:rPr>
              <w:t>Gambling absorbs all my mental resources</w:t>
            </w:r>
            <w:r w:rsidRPr="003A5617">
              <w:rPr>
                <w:sz w:val="22"/>
                <w:szCs w:val="22"/>
                <w:lang w:val="en-US"/>
              </w:rPr>
              <w:br/>
            </w:r>
          </w:p>
        </w:tc>
        <w:tc>
          <w:tcPr>
            <w:tcW w:w="1190" w:type="dxa"/>
            <w:tcBorders>
              <w:bottom w:val="single" w:sz="4" w:space="0" w:color="000000"/>
            </w:tcBorders>
          </w:tcPr>
          <w:p w:rsidR="00B75DE8" w:rsidRPr="003A5617" w:rsidRDefault="00B75DE8" w:rsidP="00007BB2">
            <w:pPr>
              <w:tabs>
                <w:tab w:val="left" w:pos="8880"/>
              </w:tabs>
              <w:ind w:right="-40"/>
              <w:jc w:val="center"/>
              <w:rPr>
                <w:lang w:val="en-US"/>
              </w:rPr>
            </w:pPr>
            <w:r w:rsidRPr="003A5617">
              <w:rPr>
                <w:lang w:val="en-US"/>
              </w:rPr>
              <w:t>1</w:t>
            </w:r>
          </w:p>
        </w:tc>
        <w:tc>
          <w:tcPr>
            <w:tcW w:w="1191" w:type="dxa"/>
            <w:tcBorders>
              <w:bottom w:val="single" w:sz="4" w:space="0" w:color="000000"/>
            </w:tcBorders>
          </w:tcPr>
          <w:p w:rsidR="00B75DE8" w:rsidRPr="003A5617" w:rsidRDefault="00B75DE8" w:rsidP="00007BB2">
            <w:pPr>
              <w:tabs>
                <w:tab w:val="left" w:pos="8880"/>
              </w:tabs>
              <w:ind w:right="-40"/>
              <w:jc w:val="center"/>
              <w:rPr>
                <w:lang w:val="en-US"/>
              </w:rPr>
            </w:pPr>
            <w:r w:rsidRPr="003A5617">
              <w:rPr>
                <w:lang w:val="en-US"/>
              </w:rPr>
              <w:t>2</w:t>
            </w:r>
          </w:p>
        </w:tc>
        <w:tc>
          <w:tcPr>
            <w:tcW w:w="1190" w:type="dxa"/>
            <w:tcBorders>
              <w:bottom w:val="single" w:sz="4" w:space="0" w:color="000000"/>
            </w:tcBorders>
          </w:tcPr>
          <w:p w:rsidR="00B75DE8" w:rsidRPr="003A5617" w:rsidRDefault="00B75DE8" w:rsidP="00007BB2">
            <w:pPr>
              <w:tabs>
                <w:tab w:val="left" w:pos="8880"/>
              </w:tabs>
              <w:ind w:right="-40"/>
              <w:jc w:val="center"/>
              <w:rPr>
                <w:lang w:val="en-US"/>
              </w:rPr>
            </w:pPr>
            <w:r w:rsidRPr="003A5617">
              <w:rPr>
                <w:lang w:val="en-US"/>
              </w:rPr>
              <w:t>3</w:t>
            </w:r>
          </w:p>
        </w:tc>
        <w:tc>
          <w:tcPr>
            <w:tcW w:w="1191" w:type="dxa"/>
            <w:tcBorders>
              <w:bottom w:val="single" w:sz="4" w:space="0" w:color="000000"/>
            </w:tcBorders>
          </w:tcPr>
          <w:p w:rsidR="00B75DE8" w:rsidRPr="003A5617" w:rsidRDefault="00B75DE8" w:rsidP="00007BB2">
            <w:pPr>
              <w:tabs>
                <w:tab w:val="left" w:pos="8880"/>
              </w:tabs>
              <w:ind w:right="-40"/>
              <w:jc w:val="center"/>
              <w:rPr>
                <w:lang w:val="en-US"/>
              </w:rPr>
            </w:pPr>
            <w:r w:rsidRPr="003A5617">
              <w:rPr>
                <w:lang w:val="en-US"/>
              </w:rPr>
              <w:t>4</w:t>
            </w:r>
          </w:p>
        </w:tc>
        <w:tc>
          <w:tcPr>
            <w:tcW w:w="1191" w:type="dxa"/>
            <w:tcBorders>
              <w:bottom w:val="single" w:sz="4" w:space="0" w:color="000000"/>
            </w:tcBorders>
          </w:tcPr>
          <w:p w:rsidR="00B75DE8" w:rsidRPr="003A5617" w:rsidRDefault="00B75DE8" w:rsidP="00007BB2">
            <w:pPr>
              <w:tabs>
                <w:tab w:val="left" w:pos="8880"/>
              </w:tabs>
              <w:ind w:right="-40"/>
              <w:jc w:val="center"/>
              <w:rPr>
                <w:lang w:val="en-US"/>
              </w:rPr>
            </w:pPr>
            <w:r w:rsidRPr="003A5617">
              <w:rPr>
                <w:lang w:val="en-US"/>
              </w:rPr>
              <w:t>NMG</w:t>
            </w:r>
          </w:p>
        </w:tc>
      </w:tr>
    </w:tbl>
    <w:p w:rsidR="00B75DE8" w:rsidRPr="003A5617" w:rsidRDefault="00B75DE8" w:rsidP="00B75DE8">
      <w:pPr>
        <w:pStyle w:val="BodyText"/>
        <w:spacing w:line="240" w:lineRule="auto"/>
        <w:jc w:val="both"/>
        <w:rPr>
          <w:lang w:val="en-GB"/>
        </w:rPr>
      </w:pPr>
      <w:r w:rsidRPr="003A5617">
        <w:rPr>
          <w:i/>
          <w:lang w:val="en-GB"/>
        </w:rPr>
        <w:t xml:space="preserve">Note: </w:t>
      </w:r>
      <w:r w:rsidRPr="003A5617">
        <w:rPr>
          <w:lang w:val="en-GB"/>
        </w:rPr>
        <w:t>This is the English translation of the validated Italian version of MGQ</w:t>
      </w:r>
      <w:r>
        <w:rPr>
          <w:lang w:val="en-GB"/>
        </w:rPr>
        <w:t xml:space="preserve">. </w:t>
      </w:r>
      <w:r w:rsidRPr="003A5617">
        <w:t>NMG = Negative Metacognitions about Gambling, PMG= Positive Metacognitions about Gambling</w:t>
      </w:r>
      <w:r>
        <w:t>.</w:t>
      </w:r>
    </w:p>
    <w:p w:rsidR="00B75DE8" w:rsidRPr="003A5617" w:rsidRDefault="00B75DE8" w:rsidP="00B75DE8">
      <w:pPr>
        <w:pStyle w:val="EndNoteBibliographyTitle"/>
        <w:spacing w:line="480" w:lineRule="auto"/>
        <w:jc w:val="both"/>
        <w:rPr>
          <w:spacing w:val="-3"/>
        </w:rPr>
      </w:pPr>
      <w:r w:rsidRPr="003A5617">
        <w:fldChar w:fldCharType="begin"/>
      </w:r>
      <w:r w:rsidRPr="003A5617">
        <w:instrText xml:space="preserve"> ADDIN EN.REFLIST </w:instrText>
      </w:r>
      <w:r w:rsidRPr="003A5617">
        <w:fldChar w:fldCharType="separate"/>
      </w:r>
    </w:p>
    <w:p w:rsidR="00B75DE8" w:rsidRPr="003A5617" w:rsidRDefault="00B75DE8" w:rsidP="00B75DE8">
      <w:pPr>
        <w:pStyle w:val="EndNoteBibliography"/>
        <w:spacing w:line="480" w:lineRule="auto"/>
        <w:ind w:left="720" w:hanging="720"/>
        <w:jc w:val="both"/>
        <w:rPr>
          <w:noProof/>
        </w:rPr>
      </w:pPr>
    </w:p>
    <w:p w:rsidR="00B75DE8" w:rsidRDefault="00B75DE8" w:rsidP="00B75DE8">
      <w:pPr>
        <w:spacing w:line="480" w:lineRule="auto"/>
        <w:jc w:val="both"/>
      </w:pPr>
      <w:r w:rsidRPr="003A5617">
        <w:fldChar w:fldCharType="end"/>
      </w:r>
    </w:p>
    <w:p w:rsidR="00B75DE8" w:rsidRPr="003A5617" w:rsidRDefault="00B75DE8" w:rsidP="008C7770">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sectPr w:rsidR="00B75DE8" w:rsidRPr="003A5617" w:rsidSect="000063D8">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54969D" w15:done="0"/>
  <w15:commentEx w15:paraId="58413137" w15:done="0"/>
  <w15:commentEx w15:paraId="4099325C" w15:done="0"/>
  <w15:commentEx w15:paraId="10A50E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B69" w:rsidRDefault="00F37B69" w:rsidP="00D00DBE">
      <w:r>
        <w:separator/>
      </w:r>
    </w:p>
  </w:endnote>
  <w:endnote w:type="continuationSeparator" w:id="0">
    <w:p w:rsidR="00F37B69" w:rsidRDefault="00F37B69" w:rsidP="00D0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MS Minch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DE8" w:rsidRPr="00D00DBE" w:rsidRDefault="00B75DE8">
    <w:pPr>
      <w:pStyle w:val="Footer"/>
      <w:jc w:val="center"/>
      <w:rPr>
        <w:sz w:val="16"/>
        <w:szCs w:val="16"/>
      </w:rPr>
    </w:pPr>
    <w:r w:rsidRPr="00D00DBE">
      <w:rPr>
        <w:sz w:val="16"/>
        <w:szCs w:val="16"/>
      </w:rPr>
      <w:fldChar w:fldCharType="begin"/>
    </w:r>
    <w:r w:rsidRPr="00D00DBE">
      <w:rPr>
        <w:sz w:val="16"/>
        <w:szCs w:val="16"/>
      </w:rPr>
      <w:instrText xml:space="preserve"> PAGE   \* MERGEFORMAT </w:instrText>
    </w:r>
    <w:r w:rsidRPr="00D00DBE">
      <w:rPr>
        <w:sz w:val="16"/>
        <w:szCs w:val="16"/>
      </w:rPr>
      <w:fldChar w:fldCharType="separate"/>
    </w:r>
    <w:r w:rsidR="007C10AF">
      <w:rPr>
        <w:noProof/>
        <w:sz w:val="16"/>
        <w:szCs w:val="16"/>
      </w:rPr>
      <w:t>1</w:t>
    </w:r>
    <w:r w:rsidRPr="00D00DBE">
      <w:rPr>
        <w:noProof/>
        <w:sz w:val="16"/>
        <w:szCs w:val="16"/>
      </w:rPr>
      <w:fldChar w:fldCharType="end"/>
    </w:r>
  </w:p>
  <w:p w:rsidR="00B75DE8" w:rsidRDefault="00B75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B69" w:rsidRDefault="00F37B69" w:rsidP="00D00DBE">
      <w:r>
        <w:separator/>
      </w:r>
    </w:p>
  </w:footnote>
  <w:footnote w:type="continuationSeparator" w:id="0">
    <w:p w:rsidR="00F37B69" w:rsidRDefault="00F37B69" w:rsidP="00D00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10F4C"/>
    <w:multiLevelType w:val="hybridMultilevel"/>
    <w:tmpl w:val="EFAC48D0"/>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
    <w:nsid w:val="48E06B75"/>
    <w:multiLevelType w:val="hybridMultilevel"/>
    <w:tmpl w:val="59240D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18C7E4B"/>
    <w:multiLevelType w:val="hybridMultilevel"/>
    <w:tmpl w:val="1292E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9BC2CEC"/>
    <w:multiLevelType w:val="hybridMultilevel"/>
    <w:tmpl w:val="EAEAD3C2"/>
    <w:lvl w:ilvl="0" w:tplc="D1CAC624">
      <w:start w:val="1"/>
      <w:numFmt w:val="decimal"/>
      <w:lvlText w:val="%1."/>
      <w:lvlJc w:val="left"/>
      <w:pPr>
        <w:ind w:left="1698" w:hanging="99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rnie, Bruce">
    <w15:presenceInfo w15:providerId="None" w15:userId="Fernie, Bruce"/>
  </w15:person>
  <w15:person w15:author="Bruce Fernie">
    <w15:presenceInfo w15:providerId="None" w15:userId="Bruce Fern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Initial&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wsswtd5udff93err055tv9orfd0pvevravv&quot;&gt;My EndNote Library&lt;record-ids&gt;&lt;item&gt;94&lt;/item&gt;&lt;item&gt;141&lt;/item&gt;&lt;item&gt;277&lt;/item&gt;&lt;item&gt;3865&lt;/item&gt;&lt;item&gt;3915&lt;/item&gt;&lt;item&gt;3916&lt;/item&gt;&lt;item&gt;4223&lt;/item&gt;&lt;item&gt;4237&lt;/item&gt;&lt;item&gt;4771&lt;/item&gt;&lt;item&gt;5195&lt;/item&gt;&lt;item&gt;5269&lt;/item&gt;&lt;item&gt;5270&lt;/item&gt;&lt;item&gt;5649&lt;/item&gt;&lt;item&gt;5650&lt;/item&gt;&lt;/record-ids&gt;&lt;/item&gt;&lt;/Libraries&gt;"/>
  </w:docVars>
  <w:rsids>
    <w:rsidRoot w:val="00FA44F3"/>
    <w:rsid w:val="00004807"/>
    <w:rsid w:val="000063D8"/>
    <w:rsid w:val="00020FF1"/>
    <w:rsid w:val="00023DF6"/>
    <w:rsid w:val="00024BC8"/>
    <w:rsid w:val="000304B2"/>
    <w:rsid w:val="000338B9"/>
    <w:rsid w:val="00045A27"/>
    <w:rsid w:val="00055602"/>
    <w:rsid w:val="00064EAB"/>
    <w:rsid w:val="000677FA"/>
    <w:rsid w:val="00082D2B"/>
    <w:rsid w:val="000B35D6"/>
    <w:rsid w:val="000B4268"/>
    <w:rsid w:val="000C6FEB"/>
    <w:rsid w:val="000E0D8B"/>
    <w:rsid w:val="00100800"/>
    <w:rsid w:val="001109E9"/>
    <w:rsid w:val="00111DFA"/>
    <w:rsid w:val="00127656"/>
    <w:rsid w:val="001328B9"/>
    <w:rsid w:val="0013798E"/>
    <w:rsid w:val="00143727"/>
    <w:rsid w:val="00150EC7"/>
    <w:rsid w:val="00152675"/>
    <w:rsid w:val="00152E66"/>
    <w:rsid w:val="00154FFD"/>
    <w:rsid w:val="00162839"/>
    <w:rsid w:val="00177FD7"/>
    <w:rsid w:val="00183831"/>
    <w:rsid w:val="00183BB0"/>
    <w:rsid w:val="001915F2"/>
    <w:rsid w:val="00193F38"/>
    <w:rsid w:val="001A03E4"/>
    <w:rsid w:val="001A291D"/>
    <w:rsid w:val="001B3277"/>
    <w:rsid w:val="001B4A12"/>
    <w:rsid w:val="001C3E78"/>
    <w:rsid w:val="001D563D"/>
    <w:rsid w:val="001F5238"/>
    <w:rsid w:val="00210236"/>
    <w:rsid w:val="00211646"/>
    <w:rsid w:val="0021544B"/>
    <w:rsid w:val="0022348D"/>
    <w:rsid w:val="00234696"/>
    <w:rsid w:val="00236A5B"/>
    <w:rsid w:val="00243DE4"/>
    <w:rsid w:val="0025203D"/>
    <w:rsid w:val="00253872"/>
    <w:rsid w:val="00254282"/>
    <w:rsid w:val="002626AC"/>
    <w:rsid w:val="002729E5"/>
    <w:rsid w:val="00277A4A"/>
    <w:rsid w:val="002821F0"/>
    <w:rsid w:val="002861BB"/>
    <w:rsid w:val="0029293D"/>
    <w:rsid w:val="002B21A7"/>
    <w:rsid w:val="002C093F"/>
    <w:rsid w:val="002C232A"/>
    <w:rsid w:val="002D34BA"/>
    <w:rsid w:val="002D505C"/>
    <w:rsid w:val="002F08B1"/>
    <w:rsid w:val="00311E51"/>
    <w:rsid w:val="00312820"/>
    <w:rsid w:val="003136B3"/>
    <w:rsid w:val="00317863"/>
    <w:rsid w:val="00317F16"/>
    <w:rsid w:val="00322006"/>
    <w:rsid w:val="003400A6"/>
    <w:rsid w:val="00352F4F"/>
    <w:rsid w:val="00363BDD"/>
    <w:rsid w:val="00373AC2"/>
    <w:rsid w:val="00395A02"/>
    <w:rsid w:val="003A5617"/>
    <w:rsid w:val="003B0C2E"/>
    <w:rsid w:val="003B25A2"/>
    <w:rsid w:val="003B5A90"/>
    <w:rsid w:val="003C2344"/>
    <w:rsid w:val="003D0DB2"/>
    <w:rsid w:val="003E0045"/>
    <w:rsid w:val="003E3237"/>
    <w:rsid w:val="003F2F10"/>
    <w:rsid w:val="003F47F2"/>
    <w:rsid w:val="003F4BEE"/>
    <w:rsid w:val="00404CC8"/>
    <w:rsid w:val="004075F4"/>
    <w:rsid w:val="004125AF"/>
    <w:rsid w:val="0041279B"/>
    <w:rsid w:val="004133AE"/>
    <w:rsid w:val="004145F1"/>
    <w:rsid w:val="004223E7"/>
    <w:rsid w:val="0043031A"/>
    <w:rsid w:val="004310D8"/>
    <w:rsid w:val="00435702"/>
    <w:rsid w:val="00436979"/>
    <w:rsid w:val="00454C59"/>
    <w:rsid w:val="0046154D"/>
    <w:rsid w:val="00475361"/>
    <w:rsid w:val="00480584"/>
    <w:rsid w:val="004817DB"/>
    <w:rsid w:val="004A1119"/>
    <w:rsid w:val="004A3201"/>
    <w:rsid w:val="004A5A38"/>
    <w:rsid w:val="004A61A5"/>
    <w:rsid w:val="004B5CAE"/>
    <w:rsid w:val="004D289C"/>
    <w:rsid w:val="004E17F4"/>
    <w:rsid w:val="004E71CE"/>
    <w:rsid w:val="004F51BC"/>
    <w:rsid w:val="004F65D0"/>
    <w:rsid w:val="00503522"/>
    <w:rsid w:val="005146DF"/>
    <w:rsid w:val="00523C8B"/>
    <w:rsid w:val="00524FDD"/>
    <w:rsid w:val="0052590B"/>
    <w:rsid w:val="00534EA0"/>
    <w:rsid w:val="00551A0F"/>
    <w:rsid w:val="00553242"/>
    <w:rsid w:val="005560DD"/>
    <w:rsid w:val="005733DC"/>
    <w:rsid w:val="00573558"/>
    <w:rsid w:val="00576EB8"/>
    <w:rsid w:val="005838AB"/>
    <w:rsid w:val="0058678D"/>
    <w:rsid w:val="00592A54"/>
    <w:rsid w:val="005976E8"/>
    <w:rsid w:val="005A1A5C"/>
    <w:rsid w:val="005A6B54"/>
    <w:rsid w:val="005A6F3C"/>
    <w:rsid w:val="005B08CF"/>
    <w:rsid w:val="005B3F29"/>
    <w:rsid w:val="005B7631"/>
    <w:rsid w:val="005B7A86"/>
    <w:rsid w:val="005C1A89"/>
    <w:rsid w:val="005D1113"/>
    <w:rsid w:val="005D26A5"/>
    <w:rsid w:val="005D3A8B"/>
    <w:rsid w:val="005E2051"/>
    <w:rsid w:val="005E55BC"/>
    <w:rsid w:val="005E5866"/>
    <w:rsid w:val="005E658D"/>
    <w:rsid w:val="005F458C"/>
    <w:rsid w:val="005F7435"/>
    <w:rsid w:val="006017FD"/>
    <w:rsid w:val="0060308B"/>
    <w:rsid w:val="00604A03"/>
    <w:rsid w:val="00605B99"/>
    <w:rsid w:val="0061450D"/>
    <w:rsid w:val="00635918"/>
    <w:rsid w:val="00643FA8"/>
    <w:rsid w:val="006456A0"/>
    <w:rsid w:val="006551FB"/>
    <w:rsid w:val="00664F0F"/>
    <w:rsid w:val="006668C1"/>
    <w:rsid w:val="00675705"/>
    <w:rsid w:val="006769E4"/>
    <w:rsid w:val="00683ED5"/>
    <w:rsid w:val="0068649D"/>
    <w:rsid w:val="00694245"/>
    <w:rsid w:val="006952D8"/>
    <w:rsid w:val="00696196"/>
    <w:rsid w:val="006A1B89"/>
    <w:rsid w:val="006A6FA4"/>
    <w:rsid w:val="006B66A5"/>
    <w:rsid w:val="006E5DBF"/>
    <w:rsid w:val="006F2F37"/>
    <w:rsid w:val="00702D5B"/>
    <w:rsid w:val="00704664"/>
    <w:rsid w:val="00735C19"/>
    <w:rsid w:val="007423C4"/>
    <w:rsid w:val="00744356"/>
    <w:rsid w:val="007444C0"/>
    <w:rsid w:val="0074467C"/>
    <w:rsid w:val="00760DE6"/>
    <w:rsid w:val="0076143C"/>
    <w:rsid w:val="00773381"/>
    <w:rsid w:val="007813CD"/>
    <w:rsid w:val="007A6957"/>
    <w:rsid w:val="007B2112"/>
    <w:rsid w:val="007B2CFA"/>
    <w:rsid w:val="007C10AF"/>
    <w:rsid w:val="007C1BFC"/>
    <w:rsid w:val="007C2466"/>
    <w:rsid w:val="007C463C"/>
    <w:rsid w:val="007C4BBB"/>
    <w:rsid w:val="007C4D73"/>
    <w:rsid w:val="007D5374"/>
    <w:rsid w:val="007E6731"/>
    <w:rsid w:val="007F6ECF"/>
    <w:rsid w:val="00804372"/>
    <w:rsid w:val="00804E75"/>
    <w:rsid w:val="008060E5"/>
    <w:rsid w:val="00812F7B"/>
    <w:rsid w:val="00836113"/>
    <w:rsid w:val="00843F4B"/>
    <w:rsid w:val="00844C1A"/>
    <w:rsid w:val="00844C9D"/>
    <w:rsid w:val="00845BD5"/>
    <w:rsid w:val="00846417"/>
    <w:rsid w:val="008574E8"/>
    <w:rsid w:val="008629D1"/>
    <w:rsid w:val="00871143"/>
    <w:rsid w:val="00872549"/>
    <w:rsid w:val="00872FE8"/>
    <w:rsid w:val="0089664F"/>
    <w:rsid w:val="008A38FE"/>
    <w:rsid w:val="008A442B"/>
    <w:rsid w:val="008B03A5"/>
    <w:rsid w:val="008B06F4"/>
    <w:rsid w:val="008B6D79"/>
    <w:rsid w:val="008B7016"/>
    <w:rsid w:val="008B728A"/>
    <w:rsid w:val="008C097C"/>
    <w:rsid w:val="008C33C4"/>
    <w:rsid w:val="008C7770"/>
    <w:rsid w:val="008C7CF1"/>
    <w:rsid w:val="008D0446"/>
    <w:rsid w:val="008D44B2"/>
    <w:rsid w:val="008E6BED"/>
    <w:rsid w:val="008E7A72"/>
    <w:rsid w:val="008E7A89"/>
    <w:rsid w:val="008F3127"/>
    <w:rsid w:val="0091316E"/>
    <w:rsid w:val="00914043"/>
    <w:rsid w:val="00922918"/>
    <w:rsid w:val="0092571F"/>
    <w:rsid w:val="00927D23"/>
    <w:rsid w:val="00930815"/>
    <w:rsid w:val="00932675"/>
    <w:rsid w:val="00942D7E"/>
    <w:rsid w:val="00945459"/>
    <w:rsid w:val="00946884"/>
    <w:rsid w:val="00957685"/>
    <w:rsid w:val="009652B6"/>
    <w:rsid w:val="00974E21"/>
    <w:rsid w:val="00981490"/>
    <w:rsid w:val="00981C62"/>
    <w:rsid w:val="0099169B"/>
    <w:rsid w:val="009A1825"/>
    <w:rsid w:val="009A1DEC"/>
    <w:rsid w:val="009A34DE"/>
    <w:rsid w:val="009B0D03"/>
    <w:rsid w:val="009B43CF"/>
    <w:rsid w:val="009D1FE3"/>
    <w:rsid w:val="009D25BC"/>
    <w:rsid w:val="009D33F4"/>
    <w:rsid w:val="009D5CFC"/>
    <w:rsid w:val="009E0263"/>
    <w:rsid w:val="009E7C95"/>
    <w:rsid w:val="009F0430"/>
    <w:rsid w:val="00A00B65"/>
    <w:rsid w:val="00A044D8"/>
    <w:rsid w:val="00A10B74"/>
    <w:rsid w:val="00A133FB"/>
    <w:rsid w:val="00A1387B"/>
    <w:rsid w:val="00A24D44"/>
    <w:rsid w:val="00A52EDB"/>
    <w:rsid w:val="00A56539"/>
    <w:rsid w:val="00A74703"/>
    <w:rsid w:val="00A75051"/>
    <w:rsid w:val="00A830EE"/>
    <w:rsid w:val="00A836C9"/>
    <w:rsid w:val="00A8783B"/>
    <w:rsid w:val="00A96165"/>
    <w:rsid w:val="00AA7C6F"/>
    <w:rsid w:val="00AC0C60"/>
    <w:rsid w:val="00AC3173"/>
    <w:rsid w:val="00AC41A8"/>
    <w:rsid w:val="00AC47E1"/>
    <w:rsid w:val="00AD1D97"/>
    <w:rsid w:val="00AE1852"/>
    <w:rsid w:val="00AE28CA"/>
    <w:rsid w:val="00AE62C7"/>
    <w:rsid w:val="00B06164"/>
    <w:rsid w:val="00B06BD8"/>
    <w:rsid w:val="00B0723B"/>
    <w:rsid w:val="00B11993"/>
    <w:rsid w:val="00B12375"/>
    <w:rsid w:val="00B27341"/>
    <w:rsid w:val="00B344DB"/>
    <w:rsid w:val="00B438A3"/>
    <w:rsid w:val="00B51EE2"/>
    <w:rsid w:val="00B60C24"/>
    <w:rsid w:val="00B62B99"/>
    <w:rsid w:val="00B75DE8"/>
    <w:rsid w:val="00B81052"/>
    <w:rsid w:val="00B82174"/>
    <w:rsid w:val="00B82836"/>
    <w:rsid w:val="00B87B3C"/>
    <w:rsid w:val="00BA318C"/>
    <w:rsid w:val="00BA544F"/>
    <w:rsid w:val="00BA71C2"/>
    <w:rsid w:val="00BB1306"/>
    <w:rsid w:val="00BC573A"/>
    <w:rsid w:val="00BD0060"/>
    <w:rsid w:val="00BD489C"/>
    <w:rsid w:val="00BD6A9D"/>
    <w:rsid w:val="00BD7CAD"/>
    <w:rsid w:val="00BE12E7"/>
    <w:rsid w:val="00BF556F"/>
    <w:rsid w:val="00BF7882"/>
    <w:rsid w:val="00C0008B"/>
    <w:rsid w:val="00C05BE1"/>
    <w:rsid w:val="00C16894"/>
    <w:rsid w:val="00C2705F"/>
    <w:rsid w:val="00C35BBD"/>
    <w:rsid w:val="00C35C58"/>
    <w:rsid w:val="00C50537"/>
    <w:rsid w:val="00C54A11"/>
    <w:rsid w:val="00C672E1"/>
    <w:rsid w:val="00C7032D"/>
    <w:rsid w:val="00C72959"/>
    <w:rsid w:val="00C87A6D"/>
    <w:rsid w:val="00CA193B"/>
    <w:rsid w:val="00CA6684"/>
    <w:rsid w:val="00CA737E"/>
    <w:rsid w:val="00CB403C"/>
    <w:rsid w:val="00CB7AB6"/>
    <w:rsid w:val="00CC1B6E"/>
    <w:rsid w:val="00CC24F1"/>
    <w:rsid w:val="00CC6C45"/>
    <w:rsid w:val="00CD7397"/>
    <w:rsid w:val="00CF6F64"/>
    <w:rsid w:val="00D00DBE"/>
    <w:rsid w:val="00D01D6F"/>
    <w:rsid w:val="00D14486"/>
    <w:rsid w:val="00D164F0"/>
    <w:rsid w:val="00D2196B"/>
    <w:rsid w:val="00D309BD"/>
    <w:rsid w:val="00D35EEA"/>
    <w:rsid w:val="00D4096F"/>
    <w:rsid w:val="00D443FA"/>
    <w:rsid w:val="00D44B01"/>
    <w:rsid w:val="00D51E66"/>
    <w:rsid w:val="00D5368A"/>
    <w:rsid w:val="00D63C11"/>
    <w:rsid w:val="00D76B3D"/>
    <w:rsid w:val="00D9130E"/>
    <w:rsid w:val="00DA4052"/>
    <w:rsid w:val="00DC159A"/>
    <w:rsid w:val="00DC4383"/>
    <w:rsid w:val="00DD239F"/>
    <w:rsid w:val="00DD4237"/>
    <w:rsid w:val="00DE5793"/>
    <w:rsid w:val="00DE7272"/>
    <w:rsid w:val="00DF605D"/>
    <w:rsid w:val="00E021FB"/>
    <w:rsid w:val="00E02637"/>
    <w:rsid w:val="00E10319"/>
    <w:rsid w:val="00E10380"/>
    <w:rsid w:val="00E17BDB"/>
    <w:rsid w:val="00E21644"/>
    <w:rsid w:val="00E221FE"/>
    <w:rsid w:val="00E26A15"/>
    <w:rsid w:val="00E304BD"/>
    <w:rsid w:val="00E334BD"/>
    <w:rsid w:val="00E33E5F"/>
    <w:rsid w:val="00E47F1F"/>
    <w:rsid w:val="00E51CF2"/>
    <w:rsid w:val="00E650C6"/>
    <w:rsid w:val="00E6665E"/>
    <w:rsid w:val="00E70BFD"/>
    <w:rsid w:val="00E70C37"/>
    <w:rsid w:val="00E77783"/>
    <w:rsid w:val="00E852B4"/>
    <w:rsid w:val="00EA2398"/>
    <w:rsid w:val="00EA3411"/>
    <w:rsid w:val="00EB0702"/>
    <w:rsid w:val="00EB235D"/>
    <w:rsid w:val="00EC3C2C"/>
    <w:rsid w:val="00EC78D8"/>
    <w:rsid w:val="00ED4EFF"/>
    <w:rsid w:val="00EE26A3"/>
    <w:rsid w:val="00EE6D12"/>
    <w:rsid w:val="00EF62F9"/>
    <w:rsid w:val="00F018C4"/>
    <w:rsid w:val="00F019AD"/>
    <w:rsid w:val="00F0648B"/>
    <w:rsid w:val="00F115B3"/>
    <w:rsid w:val="00F15C46"/>
    <w:rsid w:val="00F37B69"/>
    <w:rsid w:val="00F454CD"/>
    <w:rsid w:val="00F6210F"/>
    <w:rsid w:val="00F67680"/>
    <w:rsid w:val="00F76AB8"/>
    <w:rsid w:val="00F82335"/>
    <w:rsid w:val="00F8627D"/>
    <w:rsid w:val="00F90987"/>
    <w:rsid w:val="00FA1D4A"/>
    <w:rsid w:val="00FA44F3"/>
    <w:rsid w:val="00FA5DC5"/>
    <w:rsid w:val="00FC3B52"/>
    <w:rsid w:val="00FD11B0"/>
    <w:rsid w:val="00FD3289"/>
    <w:rsid w:val="00FD5190"/>
    <w:rsid w:val="00FE56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4F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A44F3"/>
    <w:pPr>
      <w:spacing w:line="360" w:lineRule="auto"/>
    </w:pPr>
    <w:rPr>
      <w:sz w:val="20"/>
      <w:szCs w:val="20"/>
      <w:lang w:val="en-US"/>
    </w:rPr>
  </w:style>
  <w:style w:type="character" w:customStyle="1" w:styleId="BodyTextChar">
    <w:name w:val="Body Text Char"/>
    <w:link w:val="BodyText"/>
    <w:rsid w:val="00FA44F3"/>
    <w:rPr>
      <w:rFonts w:ascii="Times New Roman" w:eastAsia="Times New Roman" w:hAnsi="Times New Roman" w:cs="Times New Roman"/>
      <w:sz w:val="20"/>
      <w:szCs w:val="20"/>
      <w:lang w:val="en-US" w:eastAsia="en-GB"/>
    </w:rPr>
  </w:style>
  <w:style w:type="paragraph" w:customStyle="1" w:styleId="a">
    <w:next w:val="BodyText"/>
    <w:rsid w:val="00480584"/>
    <w:pPr>
      <w:spacing w:line="360" w:lineRule="auto"/>
    </w:pPr>
    <w:rPr>
      <w:rFonts w:ascii="Times New Roman" w:eastAsia="Times New Roman" w:hAnsi="Times New Roman"/>
      <w:sz w:val="22"/>
      <w:lang w:val="en-US"/>
    </w:rPr>
  </w:style>
  <w:style w:type="paragraph" w:styleId="ListParagraph">
    <w:name w:val="List Paragraph"/>
    <w:basedOn w:val="Normal"/>
    <w:uiPriority w:val="34"/>
    <w:qFormat/>
    <w:rsid w:val="0092571F"/>
    <w:pPr>
      <w:spacing w:after="200" w:line="276" w:lineRule="auto"/>
      <w:ind w:left="720"/>
      <w:contextualSpacing/>
    </w:pPr>
    <w:rPr>
      <w:rFonts w:ascii="Calibri" w:eastAsia="Calibri" w:hAnsi="Calibri"/>
      <w:sz w:val="22"/>
      <w:szCs w:val="22"/>
      <w:lang w:val="it-IT" w:eastAsia="en-US"/>
    </w:rPr>
  </w:style>
  <w:style w:type="paragraph" w:styleId="Header">
    <w:name w:val="header"/>
    <w:basedOn w:val="Normal"/>
    <w:link w:val="HeaderChar"/>
    <w:rsid w:val="008574E8"/>
    <w:pPr>
      <w:tabs>
        <w:tab w:val="center" w:pos="4153"/>
        <w:tab w:val="right" w:pos="8306"/>
      </w:tabs>
    </w:pPr>
  </w:style>
  <w:style w:type="character" w:customStyle="1" w:styleId="HeaderChar">
    <w:name w:val="Header Char"/>
    <w:link w:val="Header"/>
    <w:rsid w:val="008574E8"/>
    <w:rPr>
      <w:rFonts w:ascii="Times New Roman" w:eastAsia="Times New Roman" w:hAnsi="Times New Roman" w:cs="Times New Roman"/>
      <w:sz w:val="24"/>
      <w:szCs w:val="24"/>
      <w:lang w:val="en-GB" w:eastAsia="en-GB"/>
    </w:rPr>
  </w:style>
  <w:style w:type="paragraph" w:customStyle="1" w:styleId="EndNoteBibliographyTitle">
    <w:name w:val="EndNote Bibliography Title"/>
    <w:basedOn w:val="Normal"/>
    <w:rsid w:val="00E02637"/>
    <w:pPr>
      <w:jc w:val="center"/>
    </w:pPr>
  </w:style>
  <w:style w:type="paragraph" w:customStyle="1" w:styleId="EndNoteBibliography">
    <w:name w:val="EndNote Bibliography"/>
    <w:basedOn w:val="Normal"/>
    <w:rsid w:val="00E02637"/>
  </w:style>
  <w:style w:type="paragraph" w:styleId="Footer">
    <w:name w:val="footer"/>
    <w:basedOn w:val="Normal"/>
    <w:link w:val="FooterChar"/>
    <w:uiPriority w:val="99"/>
    <w:unhideWhenUsed/>
    <w:rsid w:val="00D00DBE"/>
    <w:pPr>
      <w:tabs>
        <w:tab w:val="center" w:pos="4513"/>
        <w:tab w:val="right" w:pos="9026"/>
      </w:tabs>
    </w:pPr>
  </w:style>
  <w:style w:type="character" w:customStyle="1" w:styleId="FooterChar">
    <w:name w:val="Footer Char"/>
    <w:link w:val="Footer"/>
    <w:uiPriority w:val="99"/>
    <w:rsid w:val="00D00DBE"/>
    <w:rPr>
      <w:rFonts w:ascii="Times New Roman" w:eastAsia="Times New Roman" w:hAnsi="Times New Roman"/>
      <w:sz w:val="24"/>
      <w:szCs w:val="24"/>
    </w:rPr>
  </w:style>
  <w:style w:type="character" w:styleId="Hyperlink">
    <w:name w:val="Hyperlink"/>
    <w:uiPriority w:val="99"/>
    <w:unhideWhenUsed/>
    <w:rsid w:val="00D00DBE"/>
    <w:rPr>
      <w:color w:val="0000FF"/>
      <w:u w:val="single"/>
    </w:rPr>
  </w:style>
  <w:style w:type="paragraph" w:customStyle="1" w:styleId="Default">
    <w:name w:val="Default"/>
    <w:uiPriority w:val="99"/>
    <w:rsid w:val="00D00DB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Helvetica"/>
      <w:color w:val="000000"/>
      <w:sz w:val="22"/>
      <w:szCs w:val="22"/>
      <w:lang w:val="en-US"/>
    </w:rPr>
  </w:style>
  <w:style w:type="paragraph" w:styleId="BalloonText">
    <w:name w:val="Balloon Text"/>
    <w:basedOn w:val="Normal"/>
    <w:link w:val="BalloonTextChar"/>
    <w:uiPriority w:val="99"/>
    <w:semiHidden/>
    <w:unhideWhenUsed/>
    <w:rsid w:val="00AE1852"/>
    <w:rPr>
      <w:sz w:val="18"/>
      <w:szCs w:val="18"/>
    </w:rPr>
  </w:style>
  <w:style w:type="character" w:customStyle="1" w:styleId="BalloonTextChar">
    <w:name w:val="Balloon Text Char"/>
    <w:basedOn w:val="DefaultParagraphFont"/>
    <w:link w:val="BalloonText"/>
    <w:uiPriority w:val="99"/>
    <w:semiHidden/>
    <w:rsid w:val="00AE1852"/>
    <w:rPr>
      <w:rFonts w:ascii="Times New Roman" w:eastAsia="Times New Roman" w:hAnsi="Times New Roman"/>
      <w:sz w:val="18"/>
      <w:szCs w:val="18"/>
    </w:rPr>
  </w:style>
  <w:style w:type="character" w:styleId="CommentReference">
    <w:name w:val="annotation reference"/>
    <w:basedOn w:val="DefaultParagraphFont"/>
    <w:uiPriority w:val="99"/>
    <w:semiHidden/>
    <w:unhideWhenUsed/>
    <w:rsid w:val="007A6957"/>
    <w:rPr>
      <w:sz w:val="18"/>
      <w:szCs w:val="18"/>
    </w:rPr>
  </w:style>
  <w:style w:type="paragraph" w:styleId="CommentText">
    <w:name w:val="annotation text"/>
    <w:basedOn w:val="Normal"/>
    <w:link w:val="CommentTextChar"/>
    <w:uiPriority w:val="99"/>
    <w:semiHidden/>
    <w:unhideWhenUsed/>
    <w:rsid w:val="007A6957"/>
  </w:style>
  <w:style w:type="character" w:customStyle="1" w:styleId="CommentTextChar">
    <w:name w:val="Comment Text Char"/>
    <w:basedOn w:val="DefaultParagraphFont"/>
    <w:link w:val="CommentText"/>
    <w:uiPriority w:val="99"/>
    <w:semiHidden/>
    <w:rsid w:val="007A6957"/>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7A6957"/>
    <w:rPr>
      <w:b/>
      <w:bCs/>
      <w:sz w:val="20"/>
      <w:szCs w:val="20"/>
    </w:rPr>
  </w:style>
  <w:style w:type="character" w:customStyle="1" w:styleId="CommentSubjectChar">
    <w:name w:val="Comment Subject Char"/>
    <w:basedOn w:val="CommentTextChar"/>
    <w:link w:val="CommentSubject"/>
    <w:uiPriority w:val="99"/>
    <w:semiHidden/>
    <w:rsid w:val="007A6957"/>
    <w:rPr>
      <w:rFonts w:ascii="Times New Roman" w:eastAsia="Times New Roman" w:hAnsi="Times New Roman"/>
      <w:b/>
      <w:bCs/>
      <w:sz w:val="24"/>
      <w:szCs w:val="24"/>
    </w:rPr>
  </w:style>
  <w:style w:type="paragraph" w:styleId="DocumentMap">
    <w:name w:val="Document Map"/>
    <w:basedOn w:val="Normal"/>
    <w:link w:val="DocumentMapChar"/>
    <w:uiPriority w:val="99"/>
    <w:semiHidden/>
    <w:unhideWhenUsed/>
    <w:rsid w:val="00EF62F9"/>
    <w:rPr>
      <w:rFonts w:ascii="Tahoma" w:hAnsi="Tahoma" w:cs="Tahoma"/>
      <w:sz w:val="16"/>
      <w:szCs w:val="16"/>
    </w:rPr>
  </w:style>
  <w:style w:type="character" w:customStyle="1" w:styleId="DocumentMapChar">
    <w:name w:val="Document Map Char"/>
    <w:basedOn w:val="DefaultParagraphFont"/>
    <w:link w:val="DocumentMap"/>
    <w:uiPriority w:val="99"/>
    <w:semiHidden/>
    <w:rsid w:val="00EF62F9"/>
    <w:rPr>
      <w:rFonts w:ascii="Tahoma" w:eastAsia="Times New Roman" w:hAnsi="Tahoma" w:cs="Tahoma"/>
      <w:sz w:val="16"/>
      <w:szCs w:val="16"/>
    </w:rPr>
  </w:style>
  <w:style w:type="character" w:styleId="Strong">
    <w:name w:val="Strong"/>
    <w:basedOn w:val="DefaultParagraphFont"/>
    <w:uiPriority w:val="22"/>
    <w:qFormat/>
    <w:rsid w:val="00177F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4F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A44F3"/>
    <w:pPr>
      <w:spacing w:line="360" w:lineRule="auto"/>
    </w:pPr>
    <w:rPr>
      <w:sz w:val="20"/>
      <w:szCs w:val="20"/>
      <w:lang w:val="en-US"/>
    </w:rPr>
  </w:style>
  <w:style w:type="character" w:customStyle="1" w:styleId="BodyTextChar">
    <w:name w:val="Body Text Char"/>
    <w:link w:val="BodyText"/>
    <w:rsid w:val="00FA44F3"/>
    <w:rPr>
      <w:rFonts w:ascii="Times New Roman" w:eastAsia="Times New Roman" w:hAnsi="Times New Roman" w:cs="Times New Roman"/>
      <w:sz w:val="20"/>
      <w:szCs w:val="20"/>
      <w:lang w:val="en-US" w:eastAsia="en-GB"/>
    </w:rPr>
  </w:style>
  <w:style w:type="paragraph" w:customStyle="1" w:styleId="a">
    <w:next w:val="BodyText"/>
    <w:rsid w:val="00480584"/>
    <w:pPr>
      <w:spacing w:line="360" w:lineRule="auto"/>
    </w:pPr>
    <w:rPr>
      <w:rFonts w:ascii="Times New Roman" w:eastAsia="Times New Roman" w:hAnsi="Times New Roman"/>
      <w:sz w:val="22"/>
      <w:lang w:val="en-US"/>
    </w:rPr>
  </w:style>
  <w:style w:type="paragraph" w:styleId="ListParagraph">
    <w:name w:val="List Paragraph"/>
    <w:basedOn w:val="Normal"/>
    <w:uiPriority w:val="34"/>
    <w:qFormat/>
    <w:rsid w:val="0092571F"/>
    <w:pPr>
      <w:spacing w:after="200" w:line="276" w:lineRule="auto"/>
      <w:ind w:left="720"/>
      <w:contextualSpacing/>
    </w:pPr>
    <w:rPr>
      <w:rFonts w:ascii="Calibri" w:eastAsia="Calibri" w:hAnsi="Calibri"/>
      <w:sz w:val="22"/>
      <w:szCs w:val="22"/>
      <w:lang w:val="it-IT" w:eastAsia="en-US"/>
    </w:rPr>
  </w:style>
  <w:style w:type="paragraph" w:styleId="Header">
    <w:name w:val="header"/>
    <w:basedOn w:val="Normal"/>
    <w:link w:val="HeaderChar"/>
    <w:rsid w:val="008574E8"/>
    <w:pPr>
      <w:tabs>
        <w:tab w:val="center" w:pos="4153"/>
        <w:tab w:val="right" w:pos="8306"/>
      </w:tabs>
    </w:pPr>
  </w:style>
  <w:style w:type="character" w:customStyle="1" w:styleId="HeaderChar">
    <w:name w:val="Header Char"/>
    <w:link w:val="Header"/>
    <w:rsid w:val="008574E8"/>
    <w:rPr>
      <w:rFonts w:ascii="Times New Roman" w:eastAsia="Times New Roman" w:hAnsi="Times New Roman" w:cs="Times New Roman"/>
      <w:sz w:val="24"/>
      <w:szCs w:val="24"/>
      <w:lang w:val="en-GB" w:eastAsia="en-GB"/>
    </w:rPr>
  </w:style>
  <w:style w:type="paragraph" w:customStyle="1" w:styleId="EndNoteBibliographyTitle">
    <w:name w:val="EndNote Bibliography Title"/>
    <w:basedOn w:val="Normal"/>
    <w:rsid w:val="00E02637"/>
    <w:pPr>
      <w:jc w:val="center"/>
    </w:pPr>
  </w:style>
  <w:style w:type="paragraph" w:customStyle="1" w:styleId="EndNoteBibliography">
    <w:name w:val="EndNote Bibliography"/>
    <w:basedOn w:val="Normal"/>
    <w:rsid w:val="00E02637"/>
  </w:style>
  <w:style w:type="paragraph" w:styleId="Footer">
    <w:name w:val="footer"/>
    <w:basedOn w:val="Normal"/>
    <w:link w:val="FooterChar"/>
    <w:uiPriority w:val="99"/>
    <w:unhideWhenUsed/>
    <w:rsid w:val="00D00DBE"/>
    <w:pPr>
      <w:tabs>
        <w:tab w:val="center" w:pos="4513"/>
        <w:tab w:val="right" w:pos="9026"/>
      </w:tabs>
    </w:pPr>
  </w:style>
  <w:style w:type="character" w:customStyle="1" w:styleId="FooterChar">
    <w:name w:val="Footer Char"/>
    <w:link w:val="Footer"/>
    <w:uiPriority w:val="99"/>
    <w:rsid w:val="00D00DBE"/>
    <w:rPr>
      <w:rFonts w:ascii="Times New Roman" w:eastAsia="Times New Roman" w:hAnsi="Times New Roman"/>
      <w:sz w:val="24"/>
      <w:szCs w:val="24"/>
    </w:rPr>
  </w:style>
  <w:style w:type="character" w:styleId="Hyperlink">
    <w:name w:val="Hyperlink"/>
    <w:uiPriority w:val="99"/>
    <w:unhideWhenUsed/>
    <w:rsid w:val="00D00DBE"/>
    <w:rPr>
      <w:color w:val="0000FF"/>
      <w:u w:val="single"/>
    </w:rPr>
  </w:style>
  <w:style w:type="paragraph" w:customStyle="1" w:styleId="Default">
    <w:name w:val="Default"/>
    <w:uiPriority w:val="99"/>
    <w:rsid w:val="00D00DB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Helvetica"/>
      <w:color w:val="000000"/>
      <w:sz w:val="22"/>
      <w:szCs w:val="22"/>
      <w:lang w:val="en-US"/>
    </w:rPr>
  </w:style>
  <w:style w:type="paragraph" w:styleId="BalloonText">
    <w:name w:val="Balloon Text"/>
    <w:basedOn w:val="Normal"/>
    <w:link w:val="BalloonTextChar"/>
    <w:uiPriority w:val="99"/>
    <w:semiHidden/>
    <w:unhideWhenUsed/>
    <w:rsid w:val="00AE1852"/>
    <w:rPr>
      <w:sz w:val="18"/>
      <w:szCs w:val="18"/>
    </w:rPr>
  </w:style>
  <w:style w:type="character" w:customStyle="1" w:styleId="BalloonTextChar">
    <w:name w:val="Balloon Text Char"/>
    <w:basedOn w:val="DefaultParagraphFont"/>
    <w:link w:val="BalloonText"/>
    <w:uiPriority w:val="99"/>
    <w:semiHidden/>
    <w:rsid w:val="00AE1852"/>
    <w:rPr>
      <w:rFonts w:ascii="Times New Roman" w:eastAsia="Times New Roman" w:hAnsi="Times New Roman"/>
      <w:sz w:val="18"/>
      <w:szCs w:val="18"/>
    </w:rPr>
  </w:style>
  <w:style w:type="character" w:styleId="CommentReference">
    <w:name w:val="annotation reference"/>
    <w:basedOn w:val="DefaultParagraphFont"/>
    <w:uiPriority w:val="99"/>
    <w:semiHidden/>
    <w:unhideWhenUsed/>
    <w:rsid w:val="007A6957"/>
    <w:rPr>
      <w:sz w:val="18"/>
      <w:szCs w:val="18"/>
    </w:rPr>
  </w:style>
  <w:style w:type="paragraph" w:styleId="CommentText">
    <w:name w:val="annotation text"/>
    <w:basedOn w:val="Normal"/>
    <w:link w:val="CommentTextChar"/>
    <w:uiPriority w:val="99"/>
    <w:semiHidden/>
    <w:unhideWhenUsed/>
    <w:rsid w:val="007A6957"/>
  </w:style>
  <w:style w:type="character" w:customStyle="1" w:styleId="CommentTextChar">
    <w:name w:val="Comment Text Char"/>
    <w:basedOn w:val="DefaultParagraphFont"/>
    <w:link w:val="CommentText"/>
    <w:uiPriority w:val="99"/>
    <w:semiHidden/>
    <w:rsid w:val="007A6957"/>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7A6957"/>
    <w:rPr>
      <w:b/>
      <w:bCs/>
      <w:sz w:val="20"/>
      <w:szCs w:val="20"/>
    </w:rPr>
  </w:style>
  <w:style w:type="character" w:customStyle="1" w:styleId="CommentSubjectChar">
    <w:name w:val="Comment Subject Char"/>
    <w:basedOn w:val="CommentTextChar"/>
    <w:link w:val="CommentSubject"/>
    <w:uiPriority w:val="99"/>
    <w:semiHidden/>
    <w:rsid w:val="007A6957"/>
    <w:rPr>
      <w:rFonts w:ascii="Times New Roman" w:eastAsia="Times New Roman" w:hAnsi="Times New Roman"/>
      <w:b/>
      <w:bCs/>
      <w:sz w:val="24"/>
      <w:szCs w:val="24"/>
    </w:rPr>
  </w:style>
  <w:style w:type="paragraph" w:styleId="DocumentMap">
    <w:name w:val="Document Map"/>
    <w:basedOn w:val="Normal"/>
    <w:link w:val="DocumentMapChar"/>
    <w:uiPriority w:val="99"/>
    <w:semiHidden/>
    <w:unhideWhenUsed/>
    <w:rsid w:val="00EF62F9"/>
    <w:rPr>
      <w:rFonts w:ascii="Tahoma" w:hAnsi="Tahoma" w:cs="Tahoma"/>
      <w:sz w:val="16"/>
      <w:szCs w:val="16"/>
    </w:rPr>
  </w:style>
  <w:style w:type="character" w:customStyle="1" w:styleId="DocumentMapChar">
    <w:name w:val="Document Map Char"/>
    <w:basedOn w:val="DefaultParagraphFont"/>
    <w:link w:val="DocumentMap"/>
    <w:uiPriority w:val="99"/>
    <w:semiHidden/>
    <w:rsid w:val="00EF62F9"/>
    <w:rPr>
      <w:rFonts w:ascii="Tahoma" w:eastAsia="Times New Roman" w:hAnsi="Tahoma" w:cs="Tahoma"/>
      <w:sz w:val="16"/>
      <w:szCs w:val="16"/>
    </w:rPr>
  </w:style>
  <w:style w:type="character" w:styleId="Strong">
    <w:name w:val="Strong"/>
    <w:basedOn w:val="DefaultParagraphFont"/>
    <w:uiPriority w:val="22"/>
    <w:qFormat/>
    <w:rsid w:val="00177F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374858">
      <w:bodyDiv w:val="1"/>
      <w:marLeft w:val="0"/>
      <w:marRight w:val="0"/>
      <w:marTop w:val="0"/>
      <w:marBottom w:val="0"/>
      <w:divBdr>
        <w:top w:val="none" w:sz="0" w:space="0" w:color="auto"/>
        <w:left w:val="none" w:sz="0" w:space="0" w:color="auto"/>
        <w:bottom w:val="none" w:sz="0" w:space="0" w:color="auto"/>
        <w:right w:val="none" w:sz="0" w:space="0" w:color="auto"/>
      </w:divBdr>
    </w:div>
    <w:div w:id="1937708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caselli@studicognitiv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413A7D6-FB66-4004-8B62-5572EF2C7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9040</Words>
  <Characters>51532</Characters>
  <Application>Microsoft Office Word</Application>
  <DocSecurity>0</DocSecurity>
  <Lines>429</Lines>
  <Paragraphs>120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Caselli, G. et al. The Metacognitions about Gambling Questionnaire</vt:lpstr>
      <vt:lpstr>Caselli, G. et al. The Metacognitions about Gambling Questionnaire</vt:lpstr>
    </vt:vector>
  </TitlesOfParts>
  <Company>Hewlett-Packard Company</Company>
  <LinksUpToDate>false</LinksUpToDate>
  <CharactersWithSpaces>60452</CharactersWithSpaces>
  <SharedDoc>false</SharedDoc>
  <HLinks>
    <vt:vector size="6" baseType="variant">
      <vt:variant>
        <vt:i4>7536645</vt:i4>
      </vt:variant>
      <vt:variant>
        <vt:i4>0</vt:i4>
      </vt:variant>
      <vt:variant>
        <vt:i4>0</vt:i4>
      </vt:variant>
      <vt:variant>
        <vt:i4>5</vt:i4>
      </vt:variant>
      <vt:variant>
        <vt:lpwstr>mailto:spadam@lsbu.ac.uk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Caselli, G. et al. The Metacognitions about Gambling Questionnaire</dc:title>
  <dc:creator>Gabriele Caselli</dc:creator>
  <cp:lastModifiedBy>Marcantonio Spada</cp:lastModifiedBy>
  <cp:revision>3</cp:revision>
  <cp:lastPrinted>2017-05-21T08:51:00Z</cp:lastPrinted>
  <dcterms:created xsi:type="dcterms:W3CDTF">2017-11-24T18:08:00Z</dcterms:created>
  <dcterms:modified xsi:type="dcterms:W3CDTF">2017-11-24T18:10:00Z</dcterms:modified>
</cp:coreProperties>
</file>