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D139" w14:textId="77777777" w:rsidR="006371C0" w:rsidRPr="0096187B" w:rsidRDefault="006371C0" w:rsidP="009E6026">
      <w:pPr>
        <w:spacing w:line="360" w:lineRule="auto"/>
        <w:jc w:val="center"/>
        <w:rPr>
          <w:b/>
          <w:lang w:val="en-US"/>
        </w:rPr>
      </w:pPr>
    </w:p>
    <w:p w14:paraId="45C8FD41" w14:textId="362F7CD7" w:rsidR="009E6026" w:rsidRPr="009627FD" w:rsidRDefault="00C4061E" w:rsidP="009E6026">
      <w:pPr>
        <w:spacing w:line="360" w:lineRule="auto"/>
        <w:jc w:val="center"/>
        <w:rPr>
          <w:b/>
          <w:lang w:val="en-US"/>
        </w:rPr>
      </w:pPr>
      <w:r w:rsidRPr="009627FD">
        <w:rPr>
          <w:b/>
          <w:lang w:val="en-US"/>
        </w:rPr>
        <w:t xml:space="preserve">The </w:t>
      </w:r>
      <w:r w:rsidR="009E6026" w:rsidRPr="009627FD">
        <w:rPr>
          <w:b/>
          <w:lang w:val="en-US"/>
        </w:rPr>
        <w:t xml:space="preserve">Italian </w:t>
      </w:r>
      <w:r w:rsidR="00173660" w:rsidRPr="009627FD">
        <w:rPr>
          <w:b/>
          <w:lang w:val="en-US"/>
        </w:rPr>
        <w:t>COVID-19 Anxiety Syndrome Scale (C-19ASS):</w:t>
      </w:r>
      <w:r w:rsidR="00DB063E" w:rsidRPr="009627FD">
        <w:rPr>
          <w:b/>
          <w:lang w:val="en-US"/>
        </w:rPr>
        <w:t xml:space="preserve"> </w:t>
      </w:r>
    </w:p>
    <w:p w14:paraId="5C65F588" w14:textId="77890D1F" w:rsidR="009E6026" w:rsidRPr="009627FD" w:rsidRDefault="00123CEB" w:rsidP="009E6026">
      <w:pPr>
        <w:spacing w:line="360" w:lineRule="auto"/>
        <w:jc w:val="center"/>
        <w:rPr>
          <w:b/>
          <w:lang w:val="en-US"/>
        </w:rPr>
      </w:pPr>
      <w:r w:rsidRPr="009627FD">
        <w:rPr>
          <w:b/>
          <w:lang w:val="en-US"/>
        </w:rPr>
        <w:t>i</w:t>
      </w:r>
      <w:r w:rsidR="00173660" w:rsidRPr="009627FD">
        <w:rPr>
          <w:b/>
          <w:lang w:val="en-US"/>
        </w:rPr>
        <w:t xml:space="preserve">nvestigation of the COVID-19 Anxiety Syndrome </w:t>
      </w:r>
    </w:p>
    <w:p w14:paraId="73B6ED94" w14:textId="737667B2" w:rsidR="00173660" w:rsidRPr="009627FD" w:rsidRDefault="00DB063E" w:rsidP="009E6026">
      <w:pPr>
        <w:spacing w:line="360" w:lineRule="auto"/>
        <w:jc w:val="center"/>
        <w:rPr>
          <w:b/>
          <w:lang w:val="en-US"/>
        </w:rPr>
      </w:pPr>
      <w:r w:rsidRPr="009627FD">
        <w:rPr>
          <w:b/>
          <w:lang w:val="en-US"/>
        </w:rPr>
        <w:t xml:space="preserve">and </w:t>
      </w:r>
      <w:r w:rsidR="00123CEB" w:rsidRPr="009627FD">
        <w:rPr>
          <w:b/>
          <w:lang w:val="en-US"/>
        </w:rPr>
        <w:t>its</w:t>
      </w:r>
      <w:r w:rsidRPr="009627FD">
        <w:rPr>
          <w:b/>
          <w:lang w:val="en-US"/>
        </w:rPr>
        <w:t xml:space="preserve"> association with </w:t>
      </w:r>
      <w:r w:rsidR="009B50DA" w:rsidRPr="009627FD">
        <w:rPr>
          <w:b/>
          <w:lang w:val="en-US"/>
        </w:rPr>
        <w:t>psychological symptoms</w:t>
      </w:r>
      <w:r w:rsidRPr="009627FD">
        <w:rPr>
          <w:b/>
          <w:lang w:val="en-US"/>
        </w:rPr>
        <w:t xml:space="preserve"> in </w:t>
      </w:r>
      <w:r w:rsidR="009A140C" w:rsidRPr="009627FD">
        <w:rPr>
          <w:b/>
          <w:lang w:val="en-US"/>
        </w:rPr>
        <w:t xml:space="preserve">an </w:t>
      </w:r>
      <w:r w:rsidRPr="009627FD">
        <w:rPr>
          <w:b/>
          <w:lang w:val="en-US"/>
        </w:rPr>
        <w:t xml:space="preserve">Italian </w:t>
      </w:r>
      <w:r w:rsidR="00C75ACF" w:rsidRPr="009627FD">
        <w:rPr>
          <w:b/>
          <w:lang w:val="en-US"/>
        </w:rPr>
        <w:t xml:space="preserve">population </w:t>
      </w:r>
    </w:p>
    <w:p w14:paraId="03027AAD" w14:textId="77777777" w:rsidR="00FD0E48" w:rsidRPr="009627FD" w:rsidRDefault="00FD0E48" w:rsidP="00522ACB">
      <w:pPr>
        <w:spacing w:line="360" w:lineRule="auto"/>
        <w:jc w:val="both"/>
        <w:rPr>
          <w:b/>
          <w:lang w:val="en-US"/>
        </w:rPr>
      </w:pPr>
    </w:p>
    <w:p w14:paraId="340244C0" w14:textId="133EF6FD" w:rsidR="000D624C" w:rsidRPr="009627FD" w:rsidRDefault="000D624C" w:rsidP="000D624C">
      <w:pPr>
        <w:jc w:val="center"/>
        <w:rPr>
          <w:lang w:val="en-US"/>
        </w:rPr>
      </w:pPr>
      <w:r w:rsidRPr="009627FD">
        <w:rPr>
          <w:lang w:val="en-US"/>
        </w:rPr>
        <w:t xml:space="preserve">Word count (all sections included): </w:t>
      </w:r>
      <w:r w:rsidR="00B35929" w:rsidRPr="009627FD">
        <w:rPr>
          <w:lang w:val="en-US"/>
        </w:rPr>
        <w:t>1</w:t>
      </w:r>
      <w:r w:rsidR="00680539" w:rsidRPr="009627FD">
        <w:rPr>
          <w:lang w:val="en-US"/>
        </w:rPr>
        <w:t>2</w:t>
      </w:r>
      <w:r w:rsidR="004175D5" w:rsidRPr="009627FD">
        <w:rPr>
          <w:lang w:val="en-US"/>
        </w:rPr>
        <w:t>.</w:t>
      </w:r>
      <w:r w:rsidR="00117391" w:rsidRPr="009627FD">
        <w:rPr>
          <w:lang w:val="en-US"/>
        </w:rPr>
        <w:t>347</w:t>
      </w:r>
    </w:p>
    <w:p w14:paraId="56145636" w14:textId="19D29C54" w:rsidR="000D624C" w:rsidRPr="009627FD" w:rsidRDefault="000D624C" w:rsidP="000D624C">
      <w:pPr>
        <w:jc w:val="center"/>
      </w:pPr>
      <w:r w:rsidRPr="009627FD">
        <w:t xml:space="preserve">Date of </w:t>
      </w:r>
      <w:r w:rsidR="00BF5EE4" w:rsidRPr="009627FD">
        <w:t>4</w:t>
      </w:r>
      <w:r w:rsidR="00BF5EE4" w:rsidRPr="009627FD">
        <w:rPr>
          <w:vertAlign w:val="superscript"/>
        </w:rPr>
        <w:t>th</w:t>
      </w:r>
      <w:r w:rsidRPr="009627FD">
        <w:t xml:space="preserve"> draft: </w:t>
      </w:r>
      <w:r w:rsidR="00BF5EE4" w:rsidRPr="009627FD">
        <w:t>0</w:t>
      </w:r>
      <w:r w:rsidR="00AD4BC7">
        <w:t>8</w:t>
      </w:r>
      <w:r w:rsidRPr="009627FD">
        <w:t>/0</w:t>
      </w:r>
      <w:r w:rsidR="00BF5EE4" w:rsidRPr="009627FD">
        <w:t>5</w:t>
      </w:r>
      <w:r w:rsidRPr="009627FD">
        <w:t>/2022</w:t>
      </w:r>
    </w:p>
    <w:p w14:paraId="4596BE2D" w14:textId="77777777" w:rsidR="000D624C" w:rsidRPr="009627FD" w:rsidRDefault="000D624C" w:rsidP="001F4826">
      <w:pPr>
        <w:spacing w:line="360" w:lineRule="auto"/>
        <w:jc w:val="both"/>
        <w:rPr>
          <w:b/>
        </w:rPr>
      </w:pPr>
    </w:p>
    <w:p w14:paraId="466B2022" w14:textId="44ACFE6B" w:rsidR="001F4826" w:rsidRPr="009627FD" w:rsidRDefault="001F4826" w:rsidP="001F4826">
      <w:pPr>
        <w:spacing w:line="360" w:lineRule="auto"/>
        <w:contextualSpacing/>
        <w:jc w:val="both"/>
        <w:rPr>
          <w:b/>
        </w:rPr>
      </w:pPr>
      <w:r w:rsidRPr="009627FD">
        <w:rPr>
          <w:b/>
        </w:rPr>
        <w:t xml:space="preserve">Authors: </w:t>
      </w:r>
      <w:r w:rsidRPr="009627FD">
        <w:t>Giovanni Mansueto</w:t>
      </w:r>
      <w:r w:rsidRPr="009627FD">
        <w:rPr>
          <w:vertAlign w:val="superscript"/>
        </w:rPr>
        <w:t>1,2,3</w:t>
      </w:r>
      <w:r w:rsidRPr="009627FD">
        <w:t>, Sara Palmieri</w:t>
      </w:r>
      <w:r w:rsidRPr="009627FD">
        <w:rPr>
          <w:vertAlign w:val="superscript"/>
        </w:rPr>
        <w:t>1,3,4</w:t>
      </w:r>
      <w:r w:rsidRPr="009627FD">
        <w:t>, Claudia Marino</w:t>
      </w:r>
      <w:r w:rsidRPr="009627FD">
        <w:rPr>
          <w:vertAlign w:val="superscript"/>
        </w:rPr>
        <w:t>4,5</w:t>
      </w:r>
      <w:r w:rsidRPr="009627FD">
        <w:t>, Gabriele Caselli</w:t>
      </w:r>
      <w:r w:rsidRPr="009627FD">
        <w:rPr>
          <w:vertAlign w:val="superscript"/>
        </w:rPr>
        <w:t>1,3</w:t>
      </w:r>
      <w:r w:rsidRPr="009627FD">
        <w:t>, Sandra Sassaroli</w:t>
      </w:r>
      <w:r w:rsidRPr="009627FD">
        <w:rPr>
          <w:vertAlign w:val="superscript"/>
        </w:rPr>
        <w:t>1,3</w:t>
      </w:r>
      <w:r w:rsidRPr="009627FD">
        <w:t>, Giovanni Maria Ruggiero</w:t>
      </w:r>
      <w:r w:rsidRPr="009627FD">
        <w:rPr>
          <w:vertAlign w:val="superscript"/>
        </w:rPr>
        <w:t>1,3</w:t>
      </w:r>
      <w:r w:rsidRPr="009627FD">
        <w:t xml:space="preserve">, Ana V. </w:t>
      </w:r>
      <w:r w:rsidR="00D41E18" w:rsidRPr="009627FD">
        <w:t>Nikčević</w:t>
      </w:r>
      <w:r w:rsidR="00D41E18" w:rsidRPr="009627FD" w:rsidDel="00D41E18">
        <w:t xml:space="preserve"> </w:t>
      </w:r>
      <w:r w:rsidRPr="009627FD">
        <w:rPr>
          <w:vertAlign w:val="superscript"/>
        </w:rPr>
        <w:t>6</w:t>
      </w:r>
      <w:r w:rsidRPr="009627FD">
        <w:t xml:space="preserve">, Marcantonio </w:t>
      </w:r>
      <w:r w:rsidR="007A20FF" w:rsidRPr="009627FD">
        <w:t xml:space="preserve">M. </w:t>
      </w:r>
      <w:r w:rsidRPr="009627FD">
        <w:t>Spada</w:t>
      </w:r>
      <w:r w:rsidRPr="009627FD">
        <w:rPr>
          <w:vertAlign w:val="superscript"/>
        </w:rPr>
        <w:t>4</w:t>
      </w:r>
    </w:p>
    <w:p w14:paraId="16BC8CCC" w14:textId="77777777" w:rsidR="001F4826" w:rsidRPr="009627FD" w:rsidRDefault="001F4826" w:rsidP="001F4826">
      <w:pPr>
        <w:spacing w:line="360" w:lineRule="auto"/>
        <w:contextualSpacing/>
        <w:jc w:val="both"/>
        <w:rPr>
          <w:bCs/>
        </w:rPr>
      </w:pPr>
    </w:p>
    <w:p w14:paraId="68380B56" w14:textId="50D81748" w:rsidR="001F4826" w:rsidRPr="009627FD" w:rsidRDefault="001F4826" w:rsidP="001F4826">
      <w:pPr>
        <w:spacing w:line="360" w:lineRule="auto"/>
        <w:contextualSpacing/>
        <w:jc w:val="both"/>
        <w:rPr>
          <w:bCs/>
          <w:vertAlign w:val="superscript"/>
          <w:lang w:val="en-US"/>
        </w:rPr>
      </w:pPr>
      <w:r w:rsidRPr="009627FD">
        <w:rPr>
          <w:bCs/>
          <w:vertAlign w:val="superscript"/>
          <w:lang w:val="en-US"/>
        </w:rPr>
        <w:t>1</w:t>
      </w:r>
      <w:r w:rsidRPr="009627FD">
        <w:rPr>
          <w:lang w:val="en-US"/>
        </w:rPr>
        <w:t>Department of Psychology, Sigmund Freud University, Ripa di Porta Ticinese 77, 20143 Milan, Italy</w:t>
      </w:r>
      <w:r w:rsidRPr="009627FD">
        <w:rPr>
          <w:bCs/>
          <w:vertAlign w:val="superscript"/>
          <w:lang w:val="en-US"/>
        </w:rPr>
        <w:t xml:space="preserve"> </w:t>
      </w:r>
    </w:p>
    <w:p w14:paraId="76FECFF4" w14:textId="21FC1EAA" w:rsidR="001F4826" w:rsidRPr="009627FD" w:rsidRDefault="001F4826" w:rsidP="001F4826">
      <w:pPr>
        <w:pStyle w:val="Default"/>
        <w:spacing w:line="360" w:lineRule="auto"/>
        <w:contextualSpacing/>
        <w:jc w:val="both"/>
        <w:rPr>
          <w:color w:val="auto"/>
          <w:lang w:val="en-US"/>
        </w:rPr>
      </w:pPr>
      <w:r w:rsidRPr="009627FD">
        <w:rPr>
          <w:bCs/>
          <w:color w:val="auto"/>
          <w:vertAlign w:val="superscript"/>
          <w:lang w:val="en-US"/>
        </w:rPr>
        <w:t>2</w:t>
      </w:r>
      <w:r w:rsidRPr="009627FD">
        <w:rPr>
          <w:color w:val="auto"/>
          <w:lang w:val="en-US"/>
        </w:rPr>
        <w:t>Department of Health Sciences, University of Florence, Via di San Salvi 12, 50135 Florence, Italy</w:t>
      </w:r>
    </w:p>
    <w:p w14:paraId="423B4625" w14:textId="55AD571D" w:rsidR="001F4826" w:rsidRPr="009627FD" w:rsidRDefault="001F4826" w:rsidP="001F4826">
      <w:pPr>
        <w:spacing w:line="360" w:lineRule="auto"/>
        <w:contextualSpacing/>
        <w:jc w:val="both"/>
        <w:rPr>
          <w:bCs/>
          <w:lang w:val="en-US"/>
        </w:rPr>
      </w:pPr>
      <w:r w:rsidRPr="009627FD">
        <w:rPr>
          <w:bCs/>
          <w:vertAlign w:val="superscript"/>
          <w:lang w:val="en-US"/>
        </w:rPr>
        <w:t>3</w:t>
      </w:r>
      <w:r w:rsidRPr="009627FD">
        <w:rPr>
          <w:lang w:val="en-US"/>
        </w:rPr>
        <w:t>Studi Cognitivi, Cognitive Psychotherapy School and Research Center Milan, Foro Buonaparte 57, 20121, Milan, Italy</w:t>
      </w:r>
    </w:p>
    <w:p w14:paraId="287CCD23" w14:textId="4AAC638F" w:rsidR="001F4826" w:rsidRPr="009627FD" w:rsidRDefault="001F4826" w:rsidP="001F4826">
      <w:pPr>
        <w:spacing w:line="360" w:lineRule="auto"/>
        <w:contextualSpacing/>
        <w:jc w:val="both"/>
        <w:rPr>
          <w:bCs/>
          <w:lang w:val="en-US"/>
        </w:rPr>
      </w:pPr>
      <w:r w:rsidRPr="009627FD">
        <w:rPr>
          <w:bCs/>
          <w:vertAlign w:val="superscript"/>
          <w:lang w:val="en-US"/>
        </w:rPr>
        <w:t>4</w:t>
      </w:r>
      <w:r w:rsidRPr="009627FD">
        <w:rPr>
          <w:lang w:val="en-US"/>
        </w:rPr>
        <w:t>School of Applied Sciences, London South Bank University 103 Borough R</w:t>
      </w:r>
      <w:r w:rsidR="00D41E18" w:rsidRPr="009627FD">
        <w:rPr>
          <w:lang w:val="en-US"/>
        </w:rPr>
        <w:t>oa</w:t>
      </w:r>
      <w:r w:rsidRPr="009627FD">
        <w:rPr>
          <w:lang w:val="en-US"/>
        </w:rPr>
        <w:t>d, London SE1 0AA, London, UK</w:t>
      </w:r>
    </w:p>
    <w:p w14:paraId="56D6772E" w14:textId="59B664E4" w:rsidR="001F4826" w:rsidRPr="009627FD" w:rsidRDefault="001F4826" w:rsidP="001F4826">
      <w:pPr>
        <w:spacing w:line="360" w:lineRule="auto"/>
        <w:contextualSpacing/>
        <w:jc w:val="both"/>
        <w:rPr>
          <w:bCs/>
          <w:lang w:val="en-US"/>
        </w:rPr>
      </w:pPr>
      <w:r w:rsidRPr="009627FD">
        <w:rPr>
          <w:bCs/>
          <w:vertAlign w:val="superscript"/>
          <w:lang w:val="en-US"/>
        </w:rPr>
        <w:t>5</w:t>
      </w:r>
      <w:r w:rsidRPr="009627FD">
        <w:rPr>
          <w:bCs/>
          <w:lang w:val="en-US"/>
        </w:rPr>
        <w:t>Department of Developmental and Social Psychology, University of Padova, via Venezia 8, 35131, Padova, Italy</w:t>
      </w:r>
    </w:p>
    <w:p w14:paraId="7CA6F3C7" w14:textId="7A0FAB0C" w:rsidR="001F4826" w:rsidRPr="009627FD" w:rsidRDefault="001F4826" w:rsidP="001F4826">
      <w:pPr>
        <w:spacing w:line="360" w:lineRule="auto"/>
        <w:contextualSpacing/>
        <w:jc w:val="both"/>
        <w:rPr>
          <w:bCs/>
          <w:lang w:val="en-US"/>
        </w:rPr>
      </w:pPr>
      <w:r w:rsidRPr="009627FD">
        <w:rPr>
          <w:bCs/>
          <w:vertAlign w:val="superscript"/>
          <w:lang w:val="en-US"/>
        </w:rPr>
        <w:t>6</w:t>
      </w:r>
      <w:r w:rsidRPr="009627FD">
        <w:rPr>
          <w:bCs/>
          <w:lang w:val="en-US"/>
        </w:rPr>
        <w:t xml:space="preserve">Department of Psychology, School of Law, Social and Behavioural Sciences, Kingston University, Kingston, UK </w:t>
      </w:r>
    </w:p>
    <w:p w14:paraId="65BDEF16" w14:textId="77777777" w:rsidR="007444EA" w:rsidRPr="009627FD" w:rsidRDefault="007444EA" w:rsidP="003826B1">
      <w:pPr>
        <w:spacing w:line="360" w:lineRule="auto"/>
        <w:contextualSpacing/>
        <w:rPr>
          <w:bCs/>
          <w:lang w:val="en-US"/>
        </w:rPr>
      </w:pPr>
    </w:p>
    <w:p w14:paraId="7662752F" w14:textId="77777777" w:rsidR="007444EA" w:rsidRPr="009627FD" w:rsidRDefault="007444EA" w:rsidP="007444EA">
      <w:pPr>
        <w:pStyle w:val="Default"/>
        <w:spacing w:line="360" w:lineRule="auto"/>
        <w:jc w:val="both"/>
        <w:rPr>
          <w:rFonts w:eastAsiaTheme="minorHAnsi"/>
          <w:bCs/>
          <w:color w:val="auto"/>
          <w:lang w:val="en-US" w:eastAsia="en-US"/>
        </w:rPr>
      </w:pPr>
      <w:r w:rsidRPr="009627FD">
        <w:rPr>
          <w:rFonts w:eastAsiaTheme="minorHAnsi"/>
          <w:bCs/>
          <w:color w:val="auto"/>
          <w:lang w:val="en-US" w:eastAsia="en-US"/>
        </w:rPr>
        <w:t xml:space="preserve">Correspondence to: </w:t>
      </w:r>
    </w:p>
    <w:p w14:paraId="3A368981" w14:textId="77777777" w:rsidR="007444EA" w:rsidRPr="009627FD" w:rsidRDefault="007444EA" w:rsidP="007444EA">
      <w:pPr>
        <w:spacing w:line="360" w:lineRule="auto"/>
        <w:contextualSpacing/>
        <w:rPr>
          <w:bCs/>
          <w:lang w:val="en-US"/>
        </w:rPr>
      </w:pPr>
      <w:r w:rsidRPr="009627FD">
        <w:rPr>
          <w:bCs/>
          <w:lang w:val="en-US"/>
        </w:rPr>
        <w:t>Giovanni Mansueto</w:t>
      </w:r>
    </w:p>
    <w:p w14:paraId="5945F666" w14:textId="77777777" w:rsidR="007444EA" w:rsidRPr="009627FD" w:rsidRDefault="007444EA" w:rsidP="007444EA">
      <w:pPr>
        <w:spacing w:line="360" w:lineRule="auto"/>
        <w:contextualSpacing/>
        <w:rPr>
          <w:bCs/>
          <w:lang w:val="en-US"/>
        </w:rPr>
      </w:pPr>
      <w:r w:rsidRPr="009627FD">
        <w:rPr>
          <w:bCs/>
          <w:lang w:val="en-US"/>
        </w:rPr>
        <w:t xml:space="preserve">Department of Psychology, Sigmund Freud University, </w:t>
      </w:r>
    </w:p>
    <w:p w14:paraId="6C0A8D68" w14:textId="77777777" w:rsidR="007444EA" w:rsidRPr="009627FD" w:rsidRDefault="007444EA" w:rsidP="007444EA">
      <w:pPr>
        <w:spacing w:line="360" w:lineRule="auto"/>
        <w:contextualSpacing/>
        <w:rPr>
          <w:bCs/>
        </w:rPr>
      </w:pPr>
      <w:r w:rsidRPr="009627FD">
        <w:rPr>
          <w:bCs/>
        </w:rPr>
        <w:t xml:space="preserve">Ripa di Porta Ticinese, 77, 20143 Milan, Italy. </w:t>
      </w:r>
    </w:p>
    <w:p w14:paraId="6BDFAD43" w14:textId="77777777" w:rsidR="007444EA" w:rsidRPr="009627FD" w:rsidRDefault="007444EA" w:rsidP="007444EA">
      <w:pPr>
        <w:spacing w:line="360" w:lineRule="auto"/>
        <w:contextualSpacing/>
        <w:rPr>
          <w:bCs/>
          <w:lang w:val="en-US"/>
        </w:rPr>
      </w:pPr>
      <w:r w:rsidRPr="009627FD">
        <w:rPr>
          <w:bCs/>
          <w:lang w:val="en-US"/>
        </w:rPr>
        <w:t xml:space="preserve">Department of Health Sciences, University of Florence, </w:t>
      </w:r>
    </w:p>
    <w:p w14:paraId="7F06E57D" w14:textId="77777777" w:rsidR="007444EA" w:rsidRPr="009627FD" w:rsidRDefault="007444EA" w:rsidP="007444EA">
      <w:pPr>
        <w:spacing w:line="360" w:lineRule="auto"/>
        <w:contextualSpacing/>
        <w:rPr>
          <w:bCs/>
        </w:rPr>
      </w:pPr>
      <w:r w:rsidRPr="009627FD">
        <w:rPr>
          <w:bCs/>
        </w:rPr>
        <w:t>via di San Salvi 12, 50135 Florence, Italy.</w:t>
      </w:r>
    </w:p>
    <w:p w14:paraId="37CC1BBF" w14:textId="4CADA3A9" w:rsidR="000A528F" w:rsidRPr="009627FD" w:rsidRDefault="007444EA" w:rsidP="007444EA">
      <w:pPr>
        <w:spacing w:line="360" w:lineRule="auto"/>
        <w:contextualSpacing/>
        <w:rPr>
          <w:b/>
          <w:lang w:val="en-US"/>
        </w:rPr>
      </w:pPr>
      <w:r w:rsidRPr="009627FD">
        <w:rPr>
          <w:bCs/>
          <w:lang w:val="en-US"/>
        </w:rPr>
        <w:t>Email</w:t>
      </w:r>
      <w:r w:rsidRPr="009627FD">
        <w:rPr>
          <w:lang w:val="en-US"/>
        </w:rPr>
        <w:t xml:space="preserve">: </w:t>
      </w:r>
      <w:hyperlink r:id="rId8" w:history="1">
        <w:r w:rsidRPr="009627FD">
          <w:rPr>
            <w:rStyle w:val="Hyperlink"/>
            <w:color w:val="auto"/>
            <w:u w:val="none"/>
            <w:lang w:val="en-US"/>
          </w:rPr>
          <w:t>mailto:</w:t>
        </w:r>
        <w:r w:rsidRPr="009627FD">
          <w:rPr>
            <w:rStyle w:val="Hyperlink"/>
            <w:u w:val="none"/>
            <w:lang w:val="en-US"/>
          </w:rPr>
          <w:t>g.mansueto@milano-sfu.it</w:t>
        </w:r>
      </w:hyperlink>
      <w:r w:rsidRPr="009627FD">
        <w:rPr>
          <w:lang w:val="en-US"/>
        </w:rPr>
        <w:t xml:space="preserve">, </w:t>
      </w:r>
      <w:hyperlink r:id="rId9" w:history="1">
        <w:r w:rsidRPr="009627FD">
          <w:rPr>
            <w:rStyle w:val="Hyperlink"/>
            <w:u w:val="none"/>
            <w:lang w:val="en-US"/>
          </w:rPr>
          <w:t>giovanni.mansueto@unifi.it</w:t>
        </w:r>
      </w:hyperlink>
      <w:r w:rsidR="00D2164D" w:rsidRPr="009627FD">
        <w:rPr>
          <w:b/>
          <w:lang w:val="en-US"/>
        </w:rPr>
        <w:br w:type="page"/>
      </w:r>
    </w:p>
    <w:p w14:paraId="348D9218" w14:textId="77777777" w:rsidR="0096187B" w:rsidRPr="009627FD" w:rsidRDefault="0096187B" w:rsidP="006371C0">
      <w:pPr>
        <w:spacing w:line="360" w:lineRule="auto"/>
        <w:rPr>
          <w:b/>
          <w:lang w:val="en-GB"/>
        </w:rPr>
      </w:pPr>
    </w:p>
    <w:p w14:paraId="62ECD31A" w14:textId="398619D3" w:rsidR="006371C0" w:rsidRPr="009627FD" w:rsidRDefault="006371C0" w:rsidP="006371C0">
      <w:pPr>
        <w:spacing w:line="360" w:lineRule="auto"/>
        <w:rPr>
          <w:b/>
          <w:lang w:val="en-GB"/>
        </w:rPr>
      </w:pPr>
      <w:r w:rsidRPr="009627FD">
        <w:rPr>
          <w:b/>
          <w:lang w:val="en-GB"/>
        </w:rPr>
        <w:t xml:space="preserve">Conflict interest: </w:t>
      </w:r>
      <w:r w:rsidR="008D4459" w:rsidRPr="009627FD">
        <w:rPr>
          <w:lang w:val="en-GB"/>
        </w:rPr>
        <w:t>Two of the authors were involved in developing the original version of the C19-ASS for English-speaking populations. The authors have no known competing financial interests or personal relationships that could have influenced this work.</w:t>
      </w:r>
    </w:p>
    <w:p w14:paraId="79F03840" w14:textId="77777777" w:rsidR="0063265C" w:rsidRPr="009627FD" w:rsidRDefault="006371C0" w:rsidP="0063265C">
      <w:pPr>
        <w:spacing w:line="360" w:lineRule="auto"/>
        <w:rPr>
          <w:lang w:val="en-GB"/>
        </w:rPr>
      </w:pPr>
      <w:r w:rsidRPr="009627FD">
        <w:rPr>
          <w:b/>
          <w:lang w:val="en-GB"/>
        </w:rPr>
        <w:t xml:space="preserve">Data Availability Statement: </w:t>
      </w:r>
      <w:r w:rsidR="0061543F" w:rsidRPr="009627FD">
        <w:rPr>
          <w:lang w:val="en-GB"/>
        </w:rPr>
        <w:t>The data of this study are available from the corresponding author, upon request.</w:t>
      </w:r>
    </w:p>
    <w:p w14:paraId="6067A2DA" w14:textId="0FAAF107" w:rsidR="006371C0" w:rsidRPr="009627FD" w:rsidRDefault="006371C0" w:rsidP="0063265C">
      <w:pPr>
        <w:spacing w:line="360" w:lineRule="auto"/>
        <w:rPr>
          <w:lang w:val="en-GB"/>
        </w:rPr>
      </w:pPr>
      <w:r w:rsidRPr="009627FD">
        <w:rPr>
          <w:b/>
          <w:lang w:val="en-GB"/>
        </w:rPr>
        <w:t>Funding</w:t>
      </w:r>
      <w:r w:rsidRPr="009627FD">
        <w:rPr>
          <w:lang w:val="en-GB"/>
        </w:rPr>
        <w:t xml:space="preserve">: </w:t>
      </w:r>
      <w:r w:rsidR="0061543F" w:rsidRPr="009627FD">
        <w:rPr>
          <w:rFonts w:ascii="Times Roman" w:eastAsiaTheme="minorEastAsia" w:hAnsi="Times Roman" w:cs="Times Roman"/>
          <w:lang w:val="en-GB"/>
        </w:rPr>
        <w:t xml:space="preserve">This research received no specific grant from any funding agency, commercial or not-for-profit sectors. </w:t>
      </w:r>
    </w:p>
    <w:p w14:paraId="5988AE9C" w14:textId="77777777" w:rsidR="00942690" w:rsidRPr="009627FD" w:rsidRDefault="00942690" w:rsidP="006371C0">
      <w:pPr>
        <w:spacing w:line="360" w:lineRule="auto"/>
        <w:rPr>
          <w:lang w:val="en-US"/>
        </w:rPr>
      </w:pPr>
    </w:p>
    <w:p w14:paraId="02507032" w14:textId="77777777" w:rsidR="006371C0" w:rsidRPr="009627FD" w:rsidRDefault="006371C0">
      <w:pPr>
        <w:rPr>
          <w:b/>
          <w:lang w:val="en-US"/>
        </w:rPr>
      </w:pPr>
      <w:r w:rsidRPr="009627FD">
        <w:rPr>
          <w:b/>
          <w:lang w:val="en-US"/>
        </w:rPr>
        <w:br w:type="page"/>
      </w:r>
    </w:p>
    <w:p w14:paraId="194C11A8" w14:textId="52A796C9" w:rsidR="000A528F" w:rsidRPr="009627FD" w:rsidRDefault="0027375B" w:rsidP="00095F88">
      <w:pPr>
        <w:spacing w:line="360" w:lineRule="auto"/>
        <w:jc w:val="both"/>
        <w:rPr>
          <w:b/>
          <w:lang w:val="en-US"/>
        </w:rPr>
      </w:pPr>
      <w:r w:rsidRPr="009627FD">
        <w:rPr>
          <w:b/>
          <w:lang w:val="en-US"/>
        </w:rPr>
        <w:lastRenderedPageBreak/>
        <w:t>Abstract</w:t>
      </w:r>
      <w:r w:rsidR="000A528F" w:rsidRPr="009627FD">
        <w:rPr>
          <w:b/>
          <w:lang w:val="en-US"/>
        </w:rPr>
        <w:t xml:space="preserve"> </w:t>
      </w:r>
    </w:p>
    <w:p w14:paraId="650152E9" w14:textId="6FF21CA9" w:rsidR="00DE6614" w:rsidRPr="009627FD" w:rsidRDefault="000A528F" w:rsidP="009A140C">
      <w:pPr>
        <w:spacing w:line="360" w:lineRule="auto"/>
        <w:jc w:val="both"/>
        <w:rPr>
          <w:rFonts w:eastAsiaTheme="minorEastAsia"/>
          <w:lang w:val="en-US"/>
        </w:rPr>
      </w:pPr>
      <w:r w:rsidRPr="009627FD">
        <w:rPr>
          <w:b/>
          <w:lang w:val="en-US"/>
        </w:rPr>
        <w:t>Introduction</w:t>
      </w:r>
      <w:r w:rsidRPr="009627FD">
        <w:rPr>
          <w:lang w:val="en-US"/>
        </w:rPr>
        <w:t>: The COVID-19 Anxiety Syndrome Scale</w:t>
      </w:r>
      <w:r w:rsidRPr="009627FD">
        <w:rPr>
          <w:rFonts w:eastAsiaTheme="minorEastAsia"/>
          <w:lang w:val="en-US"/>
        </w:rPr>
        <w:t xml:space="preserve"> (C-19ASS) is a quick and reliable scale assessing </w:t>
      </w:r>
      <w:r w:rsidR="00164A04" w:rsidRPr="009627FD">
        <w:rPr>
          <w:rFonts w:eastAsiaTheme="minorEastAsia"/>
          <w:lang w:val="en-US"/>
        </w:rPr>
        <w:t xml:space="preserve">dysfunctional </w:t>
      </w:r>
      <w:r w:rsidRPr="009627FD">
        <w:rPr>
          <w:rFonts w:eastAsiaTheme="minorEastAsia"/>
          <w:lang w:val="en-US"/>
        </w:rPr>
        <w:t>coping strategies</w:t>
      </w:r>
      <w:r w:rsidR="00582E6B" w:rsidRPr="009627FD">
        <w:rPr>
          <w:rFonts w:eastAsiaTheme="minorEastAsia"/>
          <w:lang w:val="en-US"/>
        </w:rPr>
        <w:t xml:space="preserve"> </w:t>
      </w:r>
      <w:r w:rsidR="00D41E18" w:rsidRPr="009627FD">
        <w:rPr>
          <w:rFonts w:eastAsiaTheme="minorEastAsia"/>
          <w:lang w:val="en-US"/>
        </w:rPr>
        <w:t>activated</w:t>
      </w:r>
      <w:r w:rsidR="00582E6B" w:rsidRPr="009627FD">
        <w:rPr>
          <w:rFonts w:eastAsiaTheme="minorEastAsia"/>
          <w:lang w:val="en-US"/>
        </w:rPr>
        <w:t xml:space="preserve"> in response to COVID-19 fear</w:t>
      </w:r>
      <w:r w:rsidR="00E54CBF" w:rsidRPr="009627FD">
        <w:rPr>
          <w:rFonts w:eastAsiaTheme="minorEastAsia"/>
          <w:lang w:val="en-US"/>
        </w:rPr>
        <w:t xml:space="preserve"> and threat</w:t>
      </w:r>
      <w:r w:rsidRPr="009627FD">
        <w:rPr>
          <w:rFonts w:eastAsiaTheme="minorEastAsia"/>
          <w:lang w:val="en-US"/>
        </w:rPr>
        <w:t xml:space="preserve">. The </w:t>
      </w:r>
      <w:r w:rsidRPr="009627FD">
        <w:rPr>
          <w:lang w:val="en-US"/>
        </w:rPr>
        <w:t xml:space="preserve">present study </w:t>
      </w:r>
      <w:r w:rsidRPr="009627FD">
        <w:rPr>
          <w:rFonts w:eastAsiaTheme="minorEastAsia"/>
          <w:lang w:val="en-US"/>
        </w:rPr>
        <w:t xml:space="preserve">aimed to </w:t>
      </w:r>
      <w:r w:rsidRPr="009627FD">
        <w:rPr>
          <w:lang w:val="en-US"/>
        </w:rPr>
        <w:t xml:space="preserve">provide a preliminary validation of the Italian </w:t>
      </w:r>
      <w:r w:rsidRPr="009627FD">
        <w:rPr>
          <w:rFonts w:eastAsiaTheme="minorEastAsia"/>
          <w:lang w:val="en-US"/>
        </w:rPr>
        <w:t xml:space="preserve">version of the C-19ASS and investigated whether the C-19ASS </w:t>
      </w:r>
      <w:r w:rsidRPr="009627FD">
        <w:rPr>
          <w:lang w:val="en-US"/>
        </w:rPr>
        <w:t xml:space="preserve">would mediate the relationship between </w:t>
      </w:r>
      <w:r w:rsidR="00582E6B" w:rsidRPr="009627FD">
        <w:rPr>
          <w:lang w:val="en-US"/>
        </w:rPr>
        <w:t xml:space="preserve">the </w:t>
      </w:r>
      <w:r w:rsidRPr="009627FD">
        <w:rPr>
          <w:lang w:val="en-US"/>
        </w:rPr>
        <w:t xml:space="preserve">Big Five personality traits and psychological </w:t>
      </w:r>
      <w:r w:rsidR="00E54CBF" w:rsidRPr="009627FD">
        <w:rPr>
          <w:lang w:val="en-US"/>
        </w:rPr>
        <w:t>outcomes</w:t>
      </w:r>
      <w:r w:rsidRPr="009627FD">
        <w:rPr>
          <w:rFonts w:eastAsiaTheme="minorEastAsia"/>
          <w:lang w:val="en-US"/>
        </w:rPr>
        <w:t xml:space="preserve">.  </w:t>
      </w:r>
    </w:p>
    <w:p w14:paraId="30C3D675" w14:textId="6A383285" w:rsidR="000A528F" w:rsidRPr="009627FD" w:rsidRDefault="000A528F" w:rsidP="009A140C">
      <w:pPr>
        <w:spacing w:line="360" w:lineRule="auto"/>
        <w:jc w:val="both"/>
        <w:rPr>
          <w:rFonts w:eastAsiaTheme="minorEastAsia"/>
          <w:lang w:val="en-US"/>
        </w:rPr>
      </w:pPr>
      <w:r w:rsidRPr="009627FD">
        <w:rPr>
          <w:b/>
          <w:lang w:val="en-US"/>
        </w:rPr>
        <w:t xml:space="preserve">Method: </w:t>
      </w:r>
      <w:r w:rsidRPr="009627FD">
        <w:rPr>
          <w:lang w:val="en-US"/>
        </w:rPr>
        <w:t>In Study 1</w:t>
      </w:r>
      <w:r w:rsidR="007B4BC7" w:rsidRPr="009627FD">
        <w:rPr>
          <w:lang w:val="en-US"/>
        </w:rPr>
        <w:t>,</w:t>
      </w:r>
      <w:r w:rsidRPr="009627FD">
        <w:rPr>
          <w:lang w:val="en-US"/>
        </w:rPr>
        <w:t xml:space="preserve"> a community sample of 271 participants completed the Italian version of the C-19ASS and results were subjected to a Principal Component Analysis. In study 2, a community sample of 484 participants completed the </w:t>
      </w:r>
      <w:r w:rsidR="00E54CBF" w:rsidRPr="009627FD">
        <w:rPr>
          <w:lang w:val="en-US"/>
        </w:rPr>
        <w:t xml:space="preserve">Italian version of the </w:t>
      </w:r>
      <w:r w:rsidRPr="009627FD">
        <w:rPr>
          <w:lang w:val="en-US"/>
        </w:rPr>
        <w:t xml:space="preserve">C-19ASS and a series of </w:t>
      </w:r>
      <w:r w:rsidR="00552358" w:rsidRPr="009627FD">
        <w:rPr>
          <w:lang w:val="en-US"/>
        </w:rPr>
        <w:t>measures</w:t>
      </w:r>
      <w:r w:rsidRPr="009627FD">
        <w:rPr>
          <w:lang w:val="en-US"/>
        </w:rPr>
        <w:t xml:space="preserve"> </w:t>
      </w:r>
      <w:r w:rsidR="00552358" w:rsidRPr="009627FD">
        <w:rPr>
          <w:lang w:val="en-US"/>
        </w:rPr>
        <w:t>assessing</w:t>
      </w:r>
      <w:r w:rsidRPr="009627FD">
        <w:rPr>
          <w:lang w:val="en-US"/>
        </w:rPr>
        <w:t xml:space="preserve"> </w:t>
      </w:r>
      <w:r w:rsidR="00E54CBF" w:rsidRPr="009627FD">
        <w:rPr>
          <w:lang w:val="en-US"/>
        </w:rPr>
        <w:t>COVID</w:t>
      </w:r>
      <w:r w:rsidR="00B93037" w:rsidRPr="009627FD">
        <w:rPr>
          <w:lang w:val="en-US"/>
        </w:rPr>
        <w:t>-19</w:t>
      </w:r>
      <w:r w:rsidRPr="009627FD">
        <w:rPr>
          <w:lang w:val="en-US"/>
        </w:rPr>
        <w:t xml:space="preserve"> anxiety, </w:t>
      </w:r>
      <w:r w:rsidR="00E54CBF" w:rsidRPr="009627FD">
        <w:rPr>
          <w:lang w:val="en-US"/>
        </w:rPr>
        <w:t>COVID</w:t>
      </w:r>
      <w:r w:rsidR="00B93037" w:rsidRPr="009627FD">
        <w:rPr>
          <w:lang w:val="en-US"/>
        </w:rPr>
        <w:t>-19</w:t>
      </w:r>
      <w:r w:rsidRPr="009627FD">
        <w:rPr>
          <w:lang w:val="en-US"/>
        </w:rPr>
        <w:t xml:space="preserve"> fear, functional impairment, personality traits, depression, generalized anxiety, and health anxiety. Internal </w:t>
      </w:r>
      <w:r w:rsidRPr="009627FD">
        <w:rPr>
          <w:bCs/>
          <w:lang w:val="en-US"/>
        </w:rPr>
        <w:t>consistency</w:t>
      </w:r>
      <w:r w:rsidRPr="009627FD">
        <w:rPr>
          <w:lang w:val="en-US"/>
        </w:rPr>
        <w:t>, concurrent and incremental validity were assessed. Path analyses were run.</w:t>
      </w:r>
    </w:p>
    <w:p w14:paraId="64071CD2" w14:textId="08F703B1" w:rsidR="000A528F" w:rsidRPr="009627FD" w:rsidRDefault="000A528F" w:rsidP="00890DD6">
      <w:pPr>
        <w:widowControl w:val="0"/>
        <w:autoSpaceDE w:val="0"/>
        <w:autoSpaceDN w:val="0"/>
        <w:adjustRightInd w:val="0"/>
        <w:spacing w:line="360" w:lineRule="auto"/>
        <w:jc w:val="both"/>
        <w:rPr>
          <w:lang w:val="en-US"/>
        </w:rPr>
      </w:pPr>
      <w:r w:rsidRPr="009627FD">
        <w:rPr>
          <w:b/>
          <w:lang w:val="en-US"/>
        </w:rPr>
        <w:t>Results:</w:t>
      </w:r>
      <w:r w:rsidRPr="009627FD">
        <w:rPr>
          <w:lang w:val="en-US"/>
        </w:rPr>
        <w:t xml:space="preserve"> Factor analysis identified a 2-factor solution (</w:t>
      </w:r>
      <w:r w:rsidR="00B93037" w:rsidRPr="009627FD">
        <w:rPr>
          <w:lang w:val="en-US"/>
        </w:rPr>
        <w:t xml:space="preserve">i.e., </w:t>
      </w:r>
      <w:r w:rsidRPr="009627FD">
        <w:rPr>
          <w:lang w:val="en-US"/>
        </w:rPr>
        <w:t xml:space="preserve">C-19ASS Perseveration, C-19ASS </w:t>
      </w:r>
      <w:r w:rsidR="00B93037" w:rsidRPr="009627FD">
        <w:rPr>
          <w:lang w:val="en-US"/>
        </w:rPr>
        <w:t>A</w:t>
      </w:r>
      <w:r w:rsidRPr="009627FD">
        <w:rPr>
          <w:lang w:val="en-US"/>
        </w:rPr>
        <w:t>voidance) and confirmatory factor analysis suggested a 2-factor model best fits the data. The Italian version of the C-19ASS showed good internal consistency. There was</w:t>
      </w:r>
      <w:r w:rsidR="00E54CBF" w:rsidRPr="009627FD">
        <w:rPr>
          <w:lang w:val="en-US"/>
        </w:rPr>
        <w:t xml:space="preserve"> also</w:t>
      </w:r>
      <w:r w:rsidRPr="009627FD">
        <w:rPr>
          <w:lang w:val="en-US"/>
        </w:rPr>
        <w:t xml:space="preserve"> evidence of convergent validity and incremental validity. Path analyses showed that C-19ASS Perseveration mediates the relationship between emotional stability and psychological symptoms (depression, generalized anxiety, </w:t>
      </w:r>
      <w:r w:rsidR="00E54CBF" w:rsidRPr="009627FD">
        <w:rPr>
          <w:lang w:val="en-US"/>
        </w:rPr>
        <w:t xml:space="preserve">and </w:t>
      </w:r>
      <w:r w:rsidRPr="009627FD">
        <w:rPr>
          <w:lang w:val="en-US"/>
        </w:rPr>
        <w:t>health anxiety).</w:t>
      </w:r>
    </w:p>
    <w:p w14:paraId="7FE987B7" w14:textId="24E2B85A" w:rsidR="000A528F" w:rsidRPr="009627FD" w:rsidRDefault="000A528F" w:rsidP="00890DD6">
      <w:pPr>
        <w:spacing w:line="360" w:lineRule="auto"/>
        <w:contextualSpacing/>
        <w:jc w:val="both"/>
        <w:rPr>
          <w:bCs/>
          <w:lang w:val="en-US"/>
        </w:rPr>
      </w:pPr>
      <w:r w:rsidRPr="009627FD">
        <w:rPr>
          <w:b/>
          <w:lang w:val="en-US"/>
        </w:rPr>
        <w:t>Conclusion:</w:t>
      </w:r>
      <w:r w:rsidRPr="009627FD">
        <w:rPr>
          <w:bCs/>
          <w:lang w:val="en-US"/>
        </w:rPr>
        <w:t xml:space="preserve"> The Italian version of the C-19ASS appears to be a reliable and valid measure of the COVID-19 anxiety syndrome. The COVID-19 anxiety syndrome </w:t>
      </w:r>
      <w:r w:rsidRPr="009627FD">
        <w:rPr>
          <w:lang w:val="en-US"/>
        </w:rPr>
        <w:t xml:space="preserve">could be a suitable therapeutic target to reduce </w:t>
      </w:r>
      <w:r w:rsidRPr="009627FD">
        <w:rPr>
          <w:rFonts w:eastAsiaTheme="minorEastAsia"/>
          <w:lang w:val="en-US"/>
        </w:rPr>
        <w:t xml:space="preserve">psychological symptoms typically linked to pandemic events, such as </w:t>
      </w:r>
      <w:r w:rsidR="00B93037" w:rsidRPr="009627FD">
        <w:rPr>
          <w:rFonts w:eastAsiaTheme="minorEastAsia"/>
          <w:lang w:val="en-US"/>
        </w:rPr>
        <w:t>depression</w:t>
      </w:r>
      <w:r w:rsidR="00B93037" w:rsidRPr="009627FD">
        <w:rPr>
          <w:lang w:val="en-US"/>
        </w:rPr>
        <w:t xml:space="preserve"> </w:t>
      </w:r>
      <w:r w:rsidRPr="009627FD">
        <w:rPr>
          <w:rFonts w:eastAsiaTheme="minorEastAsia"/>
          <w:lang w:val="en-US"/>
        </w:rPr>
        <w:t xml:space="preserve">generalized anxiety, </w:t>
      </w:r>
      <w:r w:rsidR="00B93037" w:rsidRPr="009627FD">
        <w:rPr>
          <w:rFonts w:eastAsiaTheme="minorEastAsia"/>
          <w:lang w:val="en-US"/>
        </w:rPr>
        <w:t xml:space="preserve">and </w:t>
      </w:r>
      <w:r w:rsidRPr="009627FD">
        <w:rPr>
          <w:rFonts w:eastAsiaTheme="minorEastAsia"/>
          <w:lang w:val="en-US"/>
        </w:rPr>
        <w:t>health anxiety</w:t>
      </w:r>
      <w:r w:rsidR="00B93037" w:rsidRPr="009627FD">
        <w:rPr>
          <w:rFonts w:eastAsiaTheme="minorEastAsia"/>
          <w:lang w:val="en-US"/>
        </w:rPr>
        <w:t>.</w:t>
      </w:r>
      <w:r w:rsidRPr="009627FD">
        <w:rPr>
          <w:rFonts w:eastAsiaTheme="minorEastAsia"/>
          <w:lang w:val="en-US"/>
        </w:rPr>
        <w:t xml:space="preserve"> </w:t>
      </w:r>
    </w:p>
    <w:p w14:paraId="6ED3396B" w14:textId="2910D14F" w:rsidR="0027375B" w:rsidRPr="009627FD" w:rsidRDefault="0027375B" w:rsidP="000129B5">
      <w:pPr>
        <w:spacing w:line="360" w:lineRule="auto"/>
        <w:jc w:val="both"/>
        <w:rPr>
          <w:b/>
          <w:lang w:val="en-US"/>
        </w:rPr>
      </w:pPr>
    </w:p>
    <w:p w14:paraId="17E42EF6" w14:textId="180B4CC9" w:rsidR="009E4452" w:rsidRPr="009627FD" w:rsidRDefault="009E4452">
      <w:pPr>
        <w:rPr>
          <w:b/>
          <w:lang w:val="en-US"/>
        </w:rPr>
      </w:pPr>
      <w:r w:rsidRPr="009627FD">
        <w:rPr>
          <w:b/>
          <w:lang w:val="en-US"/>
        </w:rPr>
        <w:br w:type="page"/>
      </w:r>
    </w:p>
    <w:p w14:paraId="0FDC1890" w14:textId="77777777" w:rsidR="009E4452" w:rsidRPr="009627FD" w:rsidRDefault="009E4452" w:rsidP="009E4452">
      <w:pPr>
        <w:spacing w:line="360" w:lineRule="auto"/>
        <w:ind w:left="360"/>
        <w:rPr>
          <w:b/>
          <w:bCs/>
          <w:lang w:val="en-GB"/>
        </w:rPr>
      </w:pPr>
      <w:r w:rsidRPr="009627FD">
        <w:rPr>
          <w:b/>
          <w:bCs/>
          <w:lang w:val="en-GB"/>
        </w:rPr>
        <w:lastRenderedPageBreak/>
        <w:t>Key practitioners’ message:</w:t>
      </w:r>
    </w:p>
    <w:p w14:paraId="6787505A" w14:textId="5A94100C" w:rsidR="009E4452" w:rsidRPr="009627FD" w:rsidRDefault="009E4452" w:rsidP="009627FD">
      <w:pPr>
        <w:pStyle w:val="ListParagraph"/>
        <w:numPr>
          <w:ilvl w:val="0"/>
          <w:numId w:val="10"/>
        </w:numPr>
        <w:spacing w:line="360" w:lineRule="auto"/>
        <w:jc w:val="both"/>
        <w:rPr>
          <w:bCs/>
          <w:lang w:val="en-GB"/>
        </w:rPr>
      </w:pPr>
      <w:r w:rsidRPr="009627FD">
        <w:rPr>
          <w:lang w:val="en-US"/>
        </w:rPr>
        <w:t xml:space="preserve">The Italian version of the C-19ASS may allow clinicians and practitioners to identify COVID-19 </w:t>
      </w:r>
      <w:r w:rsidRPr="009627FD">
        <w:rPr>
          <w:rFonts w:eastAsiaTheme="minorEastAsia"/>
          <w:lang w:val="en-US"/>
        </w:rPr>
        <w:t xml:space="preserve">dysfunctional </w:t>
      </w:r>
      <w:r w:rsidRPr="009627FD">
        <w:rPr>
          <w:lang w:val="en-US"/>
        </w:rPr>
        <w:t xml:space="preserve">coping </w:t>
      </w:r>
      <w:r w:rsidR="0096187B" w:rsidRPr="009627FD">
        <w:rPr>
          <w:lang w:val="en-US"/>
        </w:rPr>
        <w:t xml:space="preserve">strategies (i.e., perseveration and avoidance) </w:t>
      </w:r>
      <w:r w:rsidRPr="009627FD">
        <w:rPr>
          <w:lang w:val="en-US"/>
        </w:rPr>
        <w:t xml:space="preserve">that may </w:t>
      </w:r>
      <w:r w:rsidRPr="009627FD">
        <w:rPr>
          <w:rFonts w:eastAsiaTheme="minorEastAsia"/>
          <w:lang w:val="en-US"/>
        </w:rPr>
        <w:t xml:space="preserve">aggravate health outcomes. </w:t>
      </w:r>
    </w:p>
    <w:p w14:paraId="411F89C1" w14:textId="158667BE" w:rsidR="009E4452" w:rsidRPr="009627FD" w:rsidRDefault="009E4452" w:rsidP="009627FD">
      <w:pPr>
        <w:pStyle w:val="ListParagraph"/>
        <w:numPr>
          <w:ilvl w:val="0"/>
          <w:numId w:val="10"/>
        </w:numPr>
        <w:spacing w:line="360" w:lineRule="auto"/>
        <w:jc w:val="both"/>
        <w:rPr>
          <w:bCs/>
          <w:lang w:val="en-GB"/>
        </w:rPr>
      </w:pPr>
      <w:r w:rsidRPr="009627FD">
        <w:rPr>
          <w:lang w:val="en-US"/>
        </w:rPr>
        <w:t>C-19ASS Perseveration may be more harmful than C-19ASS Avoidance</w:t>
      </w:r>
      <w:r w:rsidR="00E133C4" w:rsidRPr="009627FD">
        <w:rPr>
          <w:lang w:val="en-US"/>
        </w:rPr>
        <w:t>.</w:t>
      </w:r>
    </w:p>
    <w:p w14:paraId="71F48149" w14:textId="6046994C" w:rsidR="009E4452" w:rsidRPr="009627FD" w:rsidRDefault="009E4452" w:rsidP="009627FD">
      <w:pPr>
        <w:pStyle w:val="ListParagraph"/>
        <w:numPr>
          <w:ilvl w:val="0"/>
          <w:numId w:val="10"/>
        </w:numPr>
        <w:spacing w:line="360" w:lineRule="auto"/>
        <w:jc w:val="both"/>
        <w:rPr>
          <w:bCs/>
          <w:lang w:val="en-GB"/>
        </w:rPr>
      </w:pPr>
      <w:r w:rsidRPr="009627FD">
        <w:rPr>
          <w:bCs/>
          <w:lang w:val="en-US"/>
        </w:rPr>
        <w:t xml:space="preserve">Females, those who perceived </w:t>
      </w:r>
      <w:r w:rsidRPr="009627FD">
        <w:rPr>
          <w:lang w:val="en-US"/>
        </w:rPr>
        <w:t xml:space="preserve">themselves to be vulnerable to the COVID-19, and those with lower emotional stability may show more severe </w:t>
      </w:r>
      <w:r w:rsidRPr="009627FD">
        <w:rPr>
          <w:bCs/>
          <w:lang w:val="en-US"/>
        </w:rPr>
        <w:t>COVID-19 anxiety syndrome</w:t>
      </w:r>
      <w:r w:rsidR="00E133C4" w:rsidRPr="009627FD">
        <w:rPr>
          <w:bCs/>
          <w:lang w:val="en-US"/>
        </w:rPr>
        <w:t>.</w:t>
      </w:r>
    </w:p>
    <w:p w14:paraId="4C10B4FF" w14:textId="0F73D812" w:rsidR="009E4452" w:rsidRPr="009627FD" w:rsidRDefault="009E4452" w:rsidP="009627FD">
      <w:pPr>
        <w:pStyle w:val="ListParagraph"/>
        <w:numPr>
          <w:ilvl w:val="0"/>
          <w:numId w:val="10"/>
        </w:numPr>
        <w:spacing w:line="360" w:lineRule="auto"/>
        <w:jc w:val="both"/>
        <w:rPr>
          <w:bCs/>
          <w:lang w:val="en-GB"/>
        </w:rPr>
      </w:pPr>
      <w:r w:rsidRPr="009627FD">
        <w:rPr>
          <w:bCs/>
          <w:lang w:val="en-US"/>
        </w:rPr>
        <w:t xml:space="preserve">The COVID-19 anxiety syndrome </w:t>
      </w:r>
      <w:r w:rsidRPr="009627FD">
        <w:rPr>
          <w:lang w:val="en-US"/>
        </w:rPr>
        <w:t xml:space="preserve">could be a suitable therapeutic target to reduce </w:t>
      </w:r>
      <w:r w:rsidRPr="009627FD">
        <w:rPr>
          <w:rFonts w:eastAsiaTheme="minorEastAsia"/>
          <w:lang w:val="en-US"/>
        </w:rPr>
        <w:t>psychological symptoms typically linked to pandemic events</w:t>
      </w:r>
      <w:r w:rsidR="00E133C4" w:rsidRPr="009627FD">
        <w:rPr>
          <w:rFonts w:eastAsiaTheme="minorEastAsia"/>
          <w:lang w:val="en-US"/>
        </w:rPr>
        <w:t>.</w:t>
      </w:r>
    </w:p>
    <w:p w14:paraId="048D71F2" w14:textId="77777777" w:rsidR="0027375B" w:rsidRPr="009627FD" w:rsidRDefault="0027375B" w:rsidP="000129B5">
      <w:pPr>
        <w:spacing w:line="360" w:lineRule="auto"/>
        <w:jc w:val="both"/>
        <w:rPr>
          <w:b/>
          <w:lang w:val="en-US"/>
        </w:rPr>
      </w:pPr>
    </w:p>
    <w:p w14:paraId="415909DC" w14:textId="77777777" w:rsidR="009E4452" w:rsidRPr="009627FD" w:rsidRDefault="009E4452" w:rsidP="00890DD6">
      <w:pPr>
        <w:spacing w:line="360" w:lineRule="auto"/>
        <w:rPr>
          <w:b/>
          <w:lang w:val="en-US"/>
        </w:rPr>
      </w:pPr>
    </w:p>
    <w:p w14:paraId="2A1F1E33" w14:textId="03CAA859" w:rsidR="00E54CBF" w:rsidRPr="009627FD" w:rsidRDefault="00E54CBF" w:rsidP="00890DD6">
      <w:pPr>
        <w:spacing w:line="360" w:lineRule="auto"/>
        <w:rPr>
          <w:bCs/>
          <w:lang w:val="en-US"/>
        </w:rPr>
      </w:pPr>
      <w:r w:rsidRPr="009627FD">
        <w:rPr>
          <w:b/>
          <w:lang w:val="en-US"/>
        </w:rPr>
        <w:t xml:space="preserve">Key words: </w:t>
      </w:r>
      <w:r w:rsidRPr="009627FD">
        <w:rPr>
          <w:bCs/>
          <w:lang w:val="en-US"/>
        </w:rPr>
        <w:t>COVID-19 anxiety syndrome; COVID-19 anxiety; depression; generalized anxiety; health anxiety; personality traits.</w:t>
      </w:r>
    </w:p>
    <w:p w14:paraId="26DD04E5" w14:textId="77777777" w:rsidR="00E54CBF" w:rsidRPr="009627FD" w:rsidRDefault="00E54CBF" w:rsidP="00890DD6">
      <w:pPr>
        <w:spacing w:line="360" w:lineRule="auto"/>
        <w:rPr>
          <w:bCs/>
          <w:lang w:val="en-US"/>
        </w:rPr>
      </w:pPr>
    </w:p>
    <w:p w14:paraId="1B3394E1" w14:textId="77777777" w:rsidR="00E54CBF" w:rsidRPr="009627FD" w:rsidRDefault="00E54CBF" w:rsidP="00890DD6">
      <w:pPr>
        <w:spacing w:line="360" w:lineRule="auto"/>
        <w:rPr>
          <w:bCs/>
          <w:lang w:val="en-US"/>
        </w:rPr>
      </w:pPr>
    </w:p>
    <w:p w14:paraId="3401A419" w14:textId="77777777" w:rsidR="00E54CBF" w:rsidRPr="009627FD" w:rsidRDefault="00E54CBF" w:rsidP="00890DD6">
      <w:pPr>
        <w:spacing w:line="360" w:lineRule="auto"/>
        <w:rPr>
          <w:bCs/>
          <w:lang w:val="en-US"/>
        </w:rPr>
      </w:pPr>
    </w:p>
    <w:p w14:paraId="13033403" w14:textId="77777777" w:rsidR="00E54CBF" w:rsidRPr="009627FD" w:rsidRDefault="00E54CBF" w:rsidP="00890DD6">
      <w:pPr>
        <w:spacing w:line="360" w:lineRule="auto"/>
        <w:rPr>
          <w:bCs/>
          <w:lang w:val="en-US"/>
        </w:rPr>
      </w:pPr>
    </w:p>
    <w:p w14:paraId="7D6B6542" w14:textId="77777777" w:rsidR="0096187B" w:rsidRPr="009627FD" w:rsidRDefault="0096187B" w:rsidP="00522ACB">
      <w:pPr>
        <w:spacing w:line="360" w:lineRule="auto"/>
        <w:jc w:val="both"/>
        <w:rPr>
          <w:b/>
          <w:lang w:val="en-US"/>
        </w:rPr>
      </w:pPr>
    </w:p>
    <w:p w14:paraId="1C189628" w14:textId="77777777" w:rsidR="0096187B" w:rsidRPr="009627FD" w:rsidRDefault="0096187B" w:rsidP="00522ACB">
      <w:pPr>
        <w:spacing w:line="360" w:lineRule="auto"/>
        <w:jc w:val="both"/>
        <w:rPr>
          <w:b/>
          <w:lang w:val="en-US"/>
        </w:rPr>
      </w:pPr>
    </w:p>
    <w:p w14:paraId="764535B3" w14:textId="77777777" w:rsidR="0096187B" w:rsidRPr="009627FD" w:rsidRDefault="0096187B" w:rsidP="00522ACB">
      <w:pPr>
        <w:spacing w:line="360" w:lineRule="auto"/>
        <w:jc w:val="both"/>
        <w:rPr>
          <w:b/>
          <w:lang w:val="en-US"/>
        </w:rPr>
      </w:pPr>
    </w:p>
    <w:p w14:paraId="582A0492" w14:textId="77777777" w:rsidR="0096187B" w:rsidRPr="009627FD" w:rsidRDefault="0096187B" w:rsidP="00522ACB">
      <w:pPr>
        <w:spacing w:line="360" w:lineRule="auto"/>
        <w:jc w:val="both"/>
        <w:rPr>
          <w:b/>
          <w:lang w:val="en-US"/>
        </w:rPr>
      </w:pPr>
    </w:p>
    <w:p w14:paraId="5EFE2848" w14:textId="77777777" w:rsidR="0096187B" w:rsidRPr="009627FD" w:rsidRDefault="0096187B" w:rsidP="00522ACB">
      <w:pPr>
        <w:spacing w:line="360" w:lineRule="auto"/>
        <w:jc w:val="both"/>
        <w:rPr>
          <w:b/>
          <w:lang w:val="en-US"/>
        </w:rPr>
      </w:pPr>
    </w:p>
    <w:p w14:paraId="575C4ACA" w14:textId="77777777" w:rsidR="0096187B" w:rsidRPr="009627FD" w:rsidRDefault="0096187B" w:rsidP="00522ACB">
      <w:pPr>
        <w:spacing w:line="360" w:lineRule="auto"/>
        <w:jc w:val="both"/>
        <w:rPr>
          <w:b/>
          <w:lang w:val="en-US"/>
        </w:rPr>
      </w:pPr>
    </w:p>
    <w:p w14:paraId="0AAE1229" w14:textId="77777777" w:rsidR="0096187B" w:rsidRPr="009627FD" w:rsidRDefault="0096187B" w:rsidP="00522ACB">
      <w:pPr>
        <w:spacing w:line="360" w:lineRule="auto"/>
        <w:jc w:val="both"/>
        <w:rPr>
          <w:b/>
          <w:lang w:val="en-US"/>
        </w:rPr>
      </w:pPr>
    </w:p>
    <w:p w14:paraId="52FB5C27" w14:textId="77777777" w:rsidR="0096187B" w:rsidRPr="009627FD" w:rsidRDefault="0096187B" w:rsidP="00522ACB">
      <w:pPr>
        <w:spacing w:line="360" w:lineRule="auto"/>
        <w:jc w:val="both"/>
        <w:rPr>
          <w:b/>
          <w:lang w:val="en-US"/>
        </w:rPr>
      </w:pPr>
    </w:p>
    <w:p w14:paraId="100B12EC" w14:textId="77777777" w:rsidR="0096187B" w:rsidRPr="009627FD" w:rsidRDefault="0096187B" w:rsidP="00522ACB">
      <w:pPr>
        <w:spacing w:line="360" w:lineRule="auto"/>
        <w:jc w:val="both"/>
        <w:rPr>
          <w:b/>
          <w:lang w:val="en-US"/>
        </w:rPr>
      </w:pPr>
    </w:p>
    <w:p w14:paraId="13E1978B" w14:textId="77777777" w:rsidR="0096187B" w:rsidRPr="009627FD" w:rsidRDefault="0096187B" w:rsidP="00522ACB">
      <w:pPr>
        <w:spacing w:line="360" w:lineRule="auto"/>
        <w:jc w:val="both"/>
        <w:rPr>
          <w:b/>
          <w:lang w:val="en-US"/>
        </w:rPr>
      </w:pPr>
    </w:p>
    <w:p w14:paraId="507F5EA0" w14:textId="77777777" w:rsidR="0096187B" w:rsidRPr="009627FD" w:rsidRDefault="0096187B" w:rsidP="00522ACB">
      <w:pPr>
        <w:spacing w:line="360" w:lineRule="auto"/>
        <w:jc w:val="both"/>
        <w:rPr>
          <w:b/>
          <w:lang w:val="en-US"/>
        </w:rPr>
      </w:pPr>
    </w:p>
    <w:p w14:paraId="415E03A1" w14:textId="77777777" w:rsidR="0096187B" w:rsidRPr="009627FD" w:rsidRDefault="0096187B" w:rsidP="00522ACB">
      <w:pPr>
        <w:spacing w:line="360" w:lineRule="auto"/>
        <w:jc w:val="both"/>
        <w:rPr>
          <w:b/>
          <w:lang w:val="en-US"/>
        </w:rPr>
      </w:pPr>
    </w:p>
    <w:p w14:paraId="4EBE19B8" w14:textId="77777777" w:rsidR="0096187B" w:rsidRPr="009627FD" w:rsidRDefault="0096187B" w:rsidP="00522ACB">
      <w:pPr>
        <w:spacing w:line="360" w:lineRule="auto"/>
        <w:jc w:val="both"/>
        <w:rPr>
          <w:b/>
          <w:lang w:val="en-US"/>
        </w:rPr>
      </w:pPr>
    </w:p>
    <w:p w14:paraId="6DED86B3" w14:textId="77777777" w:rsidR="0096187B" w:rsidRPr="009627FD" w:rsidRDefault="0096187B" w:rsidP="00522ACB">
      <w:pPr>
        <w:spacing w:line="360" w:lineRule="auto"/>
        <w:jc w:val="both"/>
        <w:rPr>
          <w:b/>
          <w:lang w:val="en-US"/>
        </w:rPr>
      </w:pPr>
    </w:p>
    <w:p w14:paraId="4C557F95" w14:textId="77777777" w:rsidR="0096187B" w:rsidRPr="009627FD" w:rsidRDefault="0096187B" w:rsidP="00522ACB">
      <w:pPr>
        <w:spacing w:line="360" w:lineRule="auto"/>
        <w:jc w:val="both"/>
        <w:rPr>
          <w:b/>
          <w:lang w:val="en-US"/>
        </w:rPr>
      </w:pPr>
    </w:p>
    <w:p w14:paraId="070C4908" w14:textId="77777777" w:rsidR="0096187B" w:rsidRPr="009627FD" w:rsidRDefault="0096187B" w:rsidP="00522ACB">
      <w:pPr>
        <w:spacing w:line="360" w:lineRule="auto"/>
        <w:jc w:val="both"/>
        <w:rPr>
          <w:b/>
          <w:lang w:val="en-US"/>
        </w:rPr>
      </w:pPr>
    </w:p>
    <w:p w14:paraId="7D5A5979" w14:textId="77777777" w:rsidR="0096187B" w:rsidRPr="009627FD" w:rsidRDefault="0096187B" w:rsidP="00522ACB">
      <w:pPr>
        <w:spacing w:line="360" w:lineRule="auto"/>
        <w:jc w:val="both"/>
        <w:rPr>
          <w:b/>
          <w:lang w:val="en-US"/>
        </w:rPr>
      </w:pPr>
    </w:p>
    <w:p w14:paraId="0E275F30" w14:textId="77777777" w:rsidR="0096187B" w:rsidRPr="009627FD" w:rsidRDefault="0096187B" w:rsidP="00522ACB">
      <w:pPr>
        <w:spacing w:line="360" w:lineRule="auto"/>
        <w:jc w:val="both"/>
        <w:rPr>
          <w:b/>
          <w:lang w:val="en-US"/>
        </w:rPr>
      </w:pPr>
    </w:p>
    <w:p w14:paraId="177B5B07" w14:textId="77777777" w:rsidR="0096187B" w:rsidRPr="009627FD" w:rsidRDefault="0096187B" w:rsidP="00522ACB">
      <w:pPr>
        <w:spacing w:line="360" w:lineRule="auto"/>
        <w:jc w:val="both"/>
        <w:rPr>
          <w:b/>
          <w:lang w:val="en-US"/>
        </w:rPr>
      </w:pPr>
    </w:p>
    <w:p w14:paraId="725FE3EC" w14:textId="77777777" w:rsidR="0096187B" w:rsidRPr="009627FD" w:rsidRDefault="0096187B" w:rsidP="00522ACB">
      <w:pPr>
        <w:spacing w:line="360" w:lineRule="auto"/>
        <w:jc w:val="both"/>
        <w:rPr>
          <w:b/>
          <w:lang w:val="en-US"/>
        </w:rPr>
      </w:pPr>
    </w:p>
    <w:p w14:paraId="7EA078F1" w14:textId="6479EB6A" w:rsidR="000C48D9" w:rsidRPr="009627FD" w:rsidRDefault="002B2660" w:rsidP="00522ACB">
      <w:pPr>
        <w:spacing w:line="360" w:lineRule="auto"/>
        <w:jc w:val="both"/>
        <w:rPr>
          <w:b/>
          <w:lang w:val="en-US"/>
        </w:rPr>
      </w:pPr>
      <w:r w:rsidRPr="009627FD">
        <w:rPr>
          <w:b/>
          <w:lang w:val="en-US"/>
        </w:rPr>
        <w:t xml:space="preserve">1. </w:t>
      </w:r>
      <w:r w:rsidR="000C48D9" w:rsidRPr="009627FD">
        <w:rPr>
          <w:b/>
          <w:lang w:val="en-US"/>
        </w:rPr>
        <w:t>Introduction</w:t>
      </w:r>
      <w:r w:rsidR="000C48D9" w:rsidRPr="009627FD">
        <w:rPr>
          <w:b/>
          <w:lang w:val="en-US"/>
        </w:rPr>
        <w:tab/>
      </w:r>
    </w:p>
    <w:p w14:paraId="185C4874" w14:textId="1A6C755A" w:rsidR="00C5090F" w:rsidRPr="009627FD" w:rsidRDefault="004D2A98" w:rsidP="005E0D19">
      <w:pPr>
        <w:spacing w:line="360" w:lineRule="auto"/>
        <w:ind w:firstLine="708"/>
        <w:jc w:val="both"/>
        <w:rPr>
          <w:lang w:val="en-US"/>
        </w:rPr>
      </w:pPr>
      <w:r w:rsidRPr="009627FD">
        <w:rPr>
          <w:lang w:val="en-US"/>
        </w:rPr>
        <w:t xml:space="preserve"> </w:t>
      </w:r>
      <w:r w:rsidR="000C48D9" w:rsidRPr="009627FD">
        <w:rPr>
          <w:lang w:val="en-US"/>
        </w:rPr>
        <w:t xml:space="preserve">The Coronavirus disease (COVID-19) was first detected in Wuhan, China (Li et al., 2020), and </w:t>
      </w:r>
      <w:r w:rsidR="000A4404" w:rsidRPr="009627FD">
        <w:rPr>
          <w:lang w:val="en-US"/>
        </w:rPr>
        <w:t>quickly</w:t>
      </w:r>
      <w:r w:rsidR="000C48D9" w:rsidRPr="009627FD">
        <w:rPr>
          <w:lang w:val="en-US"/>
        </w:rPr>
        <w:t xml:space="preserve"> became a </w:t>
      </w:r>
      <w:r w:rsidR="000A4404" w:rsidRPr="009627FD">
        <w:rPr>
          <w:lang w:val="en-US"/>
        </w:rPr>
        <w:t>world</w:t>
      </w:r>
      <w:r w:rsidR="000C48D9" w:rsidRPr="009627FD">
        <w:rPr>
          <w:lang w:val="en-US"/>
        </w:rPr>
        <w:t xml:space="preserve"> health emergency of international concern. By </w:t>
      </w:r>
      <w:r w:rsidR="00F60E1A" w:rsidRPr="009627FD">
        <w:rPr>
          <w:lang w:val="en-US"/>
        </w:rPr>
        <w:t xml:space="preserve">January </w:t>
      </w:r>
      <w:r w:rsidR="006D2EDC" w:rsidRPr="009627FD">
        <w:rPr>
          <w:lang w:val="en-US"/>
        </w:rPr>
        <w:t>24</w:t>
      </w:r>
      <w:r w:rsidR="00F60E1A" w:rsidRPr="009627FD">
        <w:rPr>
          <w:vertAlign w:val="superscript"/>
          <w:lang w:val="en-US"/>
        </w:rPr>
        <w:t>th</w:t>
      </w:r>
      <w:r w:rsidR="000C48D9" w:rsidRPr="009627FD">
        <w:rPr>
          <w:lang w:val="en-US"/>
        </w:rPr>
        <w:t xml:space="preserve"> 2022 there were </w:t>
      </w:r>
      <w:r w:rsidR="00CD01BA" w:rsidRPr="009627FD">
        <w:rPr>
          <w:lang w:val="en-US"/>
        </w:rPr>
        <w:t xml:space="preserve">over 340 million </w:t>
      </w:r>
      <w:r w:rsidR="000C48D9" w:rsidRPr="009627FD">
        <w:rPr>
          <w:lang w:val="en-US"/>
        </w:rPr>
        <w:t xml:space="preserve">confirmed infections and </w:t>
      </w:r>
      <w:r w:rsidR="00E54CBF" w:rsidRPr="009627FD">
        <w:rPr>
          <w:lang w:val="en-US"/>
        </w:rPr>
        <w:t>over 5.5 million</w:t>
      </w:r>
      <w:r w:rsidR="000C48D9" w:rsidRPr="009627FD">
        <w:rPr>
          <w:lang w:val="en-US"/>
        </w:rPr>
        <w:t xml:space="preserve"> deaths worldwide (World Health Organization, 20</w:t>
      </w:r>
      <w:r w:rsidR="00363112" w:rsidRPr="009627FD">
        <w:rPr>
          <w:lang w:val="en-US"/>
        </w:rPr>
        <w:t>2</w:t>
      </w:r>
      <w:r w:rsidR="006D2EDC" w:rsidRPr="009627FD">
        <w:rPr>
          <w:lang w:val="en-US"/>
        </w:rPr>
        <w:t>2</w:t>
      </w:r>
      <w:r w:rsidR="000C48D9" w:rsidRPr="009627FD">
        <w:rPr>
          <w:lang w:val="en-US"/>
        </w:rPr>
        <w:t xml:space="preserve">). The COVID-19 pandemic and the consequent containment measures have </w:t>
      </w:r>
      <w:r w:rsidR="00F60E1A" w:rsidRPr="009627FD">
        <w:rPr>
          <w:lang w:val="en-US"/>
        </w:rPr>
        <w:t xml:space="preserve">quickly and abruptly </w:t>
      </w:r>
      <w:r w:rsidR="000C48D9" w:rsidRPr="009627FD">
        <w:rPr>
          <w:lang w:val="en-US"/>
        </w:rPr>
        <w:t>changed people’</w:t>
      </w:r>
      <w:r w:rsidR="00CD01BA" w:rsidRPr="009627FD">
        <w:rPr>
          <w:lang w:val="en-US"/>
        </w:rPr>
        <w:t>s</w:t>
      </w:r>
      <w:r w:rsidR="000C48D9" w:rsidRPr="009627FD">
        <w:rPr>
          <w:lang w:val="en-US"/>
        </w:rPr>
        <w:t xml:space="preserve"> customary life</w:t>
      </w:r>
      <w:r w:rsidR="00A32FB1" w:rsidRPr="009627FD">
        <w:rPr>
          <w:lang w:val="en-US"/>
        </w:rPr>
        <w:t xml:space="preserve"> </w:t>
      </w:r>
      <w:r w:rsidR="00363112" w:rsidRPr="009627FD">
        <w:rPr>
          <w:lang w:val="en-US"/>
        </w:rPr>
        <w:t>(</w:t>
      </w:r>
      <w:r w:rsidR="009C2D9D" w:rsidRPr="009627FD">
        <w:rPr>
          <w:shd w:val="clear" w:color="auto" w:fill="FFFFFF"/>
          <w:lang w:val="en-US"/>
        </w:rPr>
        <w:t>Alzueta</w:t>
      </w:r>
      <w:r w:rsidR="009C2D9D" w:rsidRPr="009627FD">
        <w:rPr>
          <w:lang w:val="en-US"/>
        </w:rPr>
        <w:t xml:space="preserve"> et al., 2021; </w:t>
      </w:r>
      <w:r w:rsidR="00363112" w:rsidRPr="009627FD">
        <w:rPr>
          <w:lang w:val="en-US"/>
        </w:rPr>
        <w:t>Bus</w:t>
      </w:r>
      <w:r w:rsidR="005F2CD4" w:rsidRPr="009627FD">
        <w:rPr>
          <w:lang w:val="en-US"/>
        </w:rPr>
        <w:t>h, Moretti, Mazzi, Wu, Rimondini</w:t>
      </w:r>
      <w:r w:rsidR="00363112" w:rsidRPr="009627FD">
        <w:rPr>
          <w:lang w:val="en-US"/>
        </w:rPr>
        <w:t xml:space="preserve">, 2021; </w:t>
      </w:r>
      <w:r w:rsidR="00363112" w:rsidRPr="009627FD">
        <w:rPr>
          <w:shd w:val="clear" w:color="auto" w:fill="FFFFFF"/>
          <w:lang w:val="en-US"/>
        </w:rPr>
        <w:t>Emmelkamp</w:t>
      </w:r>
      <w:r w:rsidR="00363112" w:rsidRPr="009627FD">
        <w:rPr>
          <w:lang w:val="en-US"/>
        </w:rPr>
        <w:t>, 2021</w:t>
      </w:r>
      <w:r w:rsidR="000C48D9" w:rsidRPr="009627FD">
        <w:rPr>
          <w:lang w:val="en-US"/>
        </w:rPr>
        <w:t>)</w:t>
      </w:r>
      <w:r w:rsidR="00D02A8A" w:rsidRPr="009627FD">
        <w:rPr>
          <w:lang w:val="en-US"/>
        </w:rPr>
        <w:t>.</w:t>
      </w:r>
      <w:r w:rsidR="000C48D9" w:rsidRPr="009627FD">
        <w:rPr>
          <w:lang w:val="en-US"/>
        </w:rPr>
        <w:t xml:space="preserve"> </w:t>
      </w:r>
      <w:r w:rsidR="003E1100" w:rsidRPr="009627FD">
        <w:rPr>
          <w:lang w:val="en-US"/>
        </w:rPr>
        <w:t xml:space="preserve">A key change brought by the pandemic has been a </w:t>
      </w:r>
      <w:r w:rsidR="00A1670A" w:rsidRPr="009627FD">
        <w:rPr>
          <w:lang w:val="en-US"/>
        </w:rPr>
        <w:t xml:space="preserve">worldwide </w:t>
      </w:r>
      <w:r w:rsidR="003E1100" w:rsidRPr="009627FD">
        <w:rPr>
          <w:lang w:val="en-US"/>
        </w:rPr>
        <w:t>increase of pandemic-related psychological distress</w:t>
      </w:r>
      <w:r w:rsidR="007072E9" w:rsidRPr="009627FD">
        <w:rPr>
          <w:lang w:val="en-US"/>
        </w:rPr>
        <w:t xml:space="preserve"> including</w:t>
      </w:r>
      <w:r w:rsidR="001546ED" w:rsidRPr="009627FD">
        <w:rPr>
          <w:lang w:val="en-US"/>
        </w:rPr>
        <w:t xml:space="preserve"> </w:t>
      </w:r>
      <w:r w:rsidR="00E57D0D" w:rsidRPr="009627FD">
        <w:rPr>
          <w:lang w:val="en-US"/>
        </w:rPr>
        <w:t xml:space="preserve">fear, worry, </w:t>
      </w:r>
      <w:r w:rsidR="001546ED" w:rsidRPr="009627FD">
        <w:rPr>
          <w:lang w:val="en-US"/>
        </w:rPr>
        <w:t xml:space="preserve">persistent avoidance, </w:t>
      </w:r>
      <w:r w:rsidR="00C75ACF" w:rsidRPr="009627FD">
        <w:rPr>
          <w:lang w:val="en-US"/>
        </w:rPr>
        <w:t xml:space="preserve">affective symptoms, posttraumatic stress symptoms, </w:t>
      </w:r>
      <w:r w:rsidR="001546ED" w:rsidRPr="009627FD">
        <w:rPr>
          <w:lang w:val="en-US"/>
        </w:rPr>
        <w:t>substance abuse, s</w:t>
      </w:r>
      <w:r w:rsidR="00C75ACF" w:rsidRPr="009627FD">
        <w:rPr>
          <w:lang w:val="en-US"/>
        </w:rPr>
        <w:t xml:space="preserve">omatization, </w:t>
      </w:r>
      <w:r w:rsidR="00FD7310" w:rsidRPr="009627FD">
        <w:rPr>
          <w:lang w:val="en-US"/>
        </w:rPr>
        <w:t xml:space="preserve">allostatic </w:t>
      </w:r>
      <w:r w:rsidR="00C75ACF" w:rsidRPr="009627FD">
        <w:rPr>
          <w:lang w:val="en-US"/>
        </w:rPr>
        <w:t xml:space="preserve">load, abnormal illness behaviour, </w:t>
      </w:r>
      <w:r w:rsidR="00C91004" w:rsidRPr="009627FD">
        <w:rPr>
          <w:lang w:val="en-US"/>
        </w:rPr>
        <w:t xml:space="preserve">fatigue, </w:t>
      </w:r>
      <w:r w:rsidR="00C75ACF" w:rsidRPr="009627FD">
        <w:rPr>
          <w:lang w:val="en-US"/>
        </w:rPr>
        <w:t xml:space="preserve">loneliness, </w:t>
      </w:r>
      <w:r w:rsidR="009623B0" w:rsidRPr="009627FD">
        <w:rPr>
          <w:lang w:val="en-US"/>
        </w:rPr>
        <w:t>violen</w:t>
      </w:r>
      <w:r w:rsidR="00A1670A" w:rsidRPr="009627FD">
        <w:rPr>
          <w:lang w:val="en-US"/>
        </w:rPr>
        <w:t xml:space="preserve">t </w:t>
      </w:r>
      <w:r w:rsidR="009B50DA" w:rsidRPr="009627FD">
        <w:rPr>
          <w:lang w:val="en-US"/>
        </w:rPr>
        <w:t>behaviours</w:t>
      </w:r>
      <w:r w:rsidR="009623B0" w:rsidRPr="009627FD">
        <w:rPr>
          <w:lang w:val="en-US"/>
        </w:rPr>
        <w:t xml:space="preserve">, </w:t>
      </w:r>
      <w:r w:rsidR="00A1670A" w:rsidRPr="009627FD">
        <w:rPr>
          <w:lang w:val="en-US"/>
        </w:rPr>
        <w:t xml:space="preserve">among </w:t>
      </w:r>
      <w:r w:rsidR="00CD01BA" w:rsidRPr="009627FD">
        <w:rPr>
          <w:lang w:val="en-US"/>
        </w:rPr>
        <w:t xml:space="preserve">the </w:t>
      </w:r>
      <w:r w:rsidR="003E1100" w:rsidRPr="009627FD">
        <w:rPr>
          <w:lang w:val="en-US"/>
        </w:rPr>
        <w:t>general population</w:t>
      </w:r>
      <w:r w:rsidR="00600486" w:rsidRPr="009627FD">
        <w:rPr>
          <w:lang w:val="en-US"/>
        </w:rPr>
        <w:t xml:space="preserve"> </w:t>
      </w:r>
      <w:r w:rsidR="008B43C5" w:rsidRPr="009627FD">
        <w:rPr>
          <w:lang w:val="en-US"/>
        </w:rPr>
        <w:t xml:space="preserve">as well as the most vulnerable subgroups, </w:t>
      </w:r>
      <w:r w:rsidR="00CD01BA" w:rsidRPr="009627FD">
        <w:rPr>
          <w:lang w:val="en-US"/>
        </w:rPr>
        <w:t>including</w:t>
      </w:r>
      <w:r w:rsidR="008B43C5" w:rsidRPr="009627FD">
        <w:rPr>
          <w:lang w:val="en-US"/>
        </w:rPr>
        <w:t xml:space="preserve"> healthcare workers, older people, </w:t>
      </w:r>
      <w:r w:rsidR="00F60E1A" w:rsidRPr="009627FD">
        <w:rPr>
          <w:lang w:val="en-US"/>
        </w:rPr>
        <w:t xml:space="preserve">and </w:t>
      </w:r>
      <w:r w:rsidR="008B43C5" w:rsidRPr="009627FD">
        <w:rPr>
          <w:lang w:val="en-US"/>
        </w:rPr>
        <w:t xml:space="preserve">psychiatric patients </w:t>
      </w:r>
      <w:r w:rsidR="005525B6" w:rsidRPr="009627FD">
        <w:rPr>
          <w:rFonts w:eastAsiaTheme="minorEastAsia"/>
          <w:lang w:val="en-US"/>
        </w:rPr>
        <w:t>(</w:t>
      </w:r>
      <w:r w:rsidR="009623B0" w:rsidRPr="009627FD">
        <w:rPr>
          <w:rFonts w:eastAsiaTheme="minorEastAsia"/>
          <w:lang w:val="en-US"/>
        </w:rPr>
        <w:t>Amsalem</w:t>
      </w:r>
      <w:r w:rsidR="002C2DCB" w:rsidRPr="009627FD">
        <w:rPr>
          <w:rFonts w:eastAsiaTheme="minorEastAsia"/>
          <w:lang w:val="en-US"/>
        </w:rPr>
        <w:t>, Lazarov, Markowitz, Dixon, &amp; Neria</w:t>
      </w:r>
      <w:r w:rsidR="002C2DCB" w:rsidRPr="009627FD">
        <w:rPr>
          <w:shd w:val="clear" w:color="auto" w:fill="FFFFFF"/>
          <w:lang w:val="en-US"/>
        </w:rPr>
        <w:t xml:space="preserve">, </w:t>
      </w:r>
      <w:r w:rsidR="009623B0" w:rsidRPr="009627FD">
        <w:rPr>
          <w:shd w:val="clear" w:color="auto" w:fill="FFFFFF"/>
          <w:lang w:val="en-US"/>
        </w:rPr>
        <w:t>2021; Akbari</w:t>
      </w:r>
      <w:r w:rsidR="000A0EA1" w:rsidRPr="009627FD">
        <w:rPr>
          <w:shd w:val="clear" w:color="auto" w:fill="FFFFFF"/>
          <w:lang w:val="en-US"/>
        </w:rPr>
        <w:t xml:space="preserve">, Spada, Nikčević, &amp; Zamani, </w:t>
      </w:r>
      <w:r w:rsidR="009623B0" w:rsidRPr="009627FD">
        <w:rPr>
          <w:shd w:val="clear" w:color="auto" w:fill="FFFFFF"/>
          <w:lang w:val="en-US"/>
        </w:rPr>
        <w:t xml:space="preserve">2021a; </w:t>
      </w:r>
      <w:r w:rsidR="00600486" w:rsidRPr="009627FD">
        <w:rPr>
          <w:shd w:val="clear" w:color="auto" w:fill="FFFFFF"/>
          <w:lang w:val="en-US"/>
        </w:rPr>
        <w:t>Brailovskaia</w:t>
      </w:r>
      <w:r w:rsidR="00600486" w:rsidRPr="009627FD">
        <w:rPr>
          <w:rFonts w:eastAsiaTheme="minorEastAsia"/>
          <w:lang w:val="en-US"/>
        </w:rPr>
        <w:t xml:space="preserve"> et al., 2021</w:t>
      </w:r>
      <w:r w:rsidR="00A600D3" w:rsidRPr="009627FD">
        <w:rPr>
          <w:rFonts w:eastAsiaTheme="minorEastAsia"/>
          <w:lang w:val="en-US"/>
        </w:rPr>
        <w:t>ab</w:t>
      </w:r>
      <w:r w:rsidR="00600486" w:rsidRPr="009627FD">
        <w:rPr>
          <w:rFonts w:eastAsiaTheme="minorEastAsia"/>
          <w:lang w:val="en-US"/>
        </w:rPr>
        <w:t xml:space="preserve">; </w:t>
      </w:r>
      <w:r w:rsidR="008B43C5" w:rsidRPr="009627FD">
        <w:rPr>
          <w:rFonts w:eastAsiaTheme="minorEastAsia"/>
          <w:lang w:val="en-US"/>
        </w:rPr>
        <w:t>Bush et al., 2021; Cosci &amp; Gu</w:t>
      </w:r>
      <w:r w:rsidR="00A32FB1" w:rsidRPr="009627FD">
        <w:rPr>
          <w:rFonts w:eastAsiaTheme="minorEastAsia"/>
          <w:lang w:val="en-US"/>
        </w:rPr>
        <w:t>i</w:t>
      </w:r>
      <w:r w:rsidR="008B43C5" w:rsidRPr="009627FD">
        <w:rPr>
          <w:rFonts w:eastAsiaTheme="minorEastAsia"/>
          <w:lang w:val="en-US"/>
        </w:rPr>
        <w:t xml:space="preserve">di; </w:t>
      </w:r>
      <w:r w:rsidR="009623B0" w:rsidRPr="009627FD">
        <w:rPr>
          <w:rFonts w:eastAsiaTheme="minorEastAsia"/>
          <w:lang w:val="en-US"/>
        </w:rPr>
        <w:t>Davis</w:t>
      </w:r>
      <w:r w:rsidR="00F218A1" w:rsidRPr="009627FD">
        <w:rPr>
          <w:rFonts w:eastAsiaTheme="minorEastAsia"/>
          <w:lang w:val="en-US"/>
        </w:rPr>
        <w:t xml:space="preserve">, Gilbar, &amp; Padilla-Medina, </w:t>
      </w:r>
      <w:r w:rsidR="009623B0" w:rsidRPr="009627FD">
        <w:rPr>
          <w:rFonts w:eastAsiaTheme="minorEastAsia"/>
          <w:lang w:val="en-US"/>
        </w:rPr>
        <w:t xml:space="preserve">2021; </w:t>
      </w:r>
      <w:r w:rsidR="009623B0" w:rsidRPr="009627FD">
        <w:rPr>
          <w:shd w:val="clear" w:color="auto" w:fill="FFFFFF"/>
          <w:lang w:val="en-US"/>
        </w:rPr>
        <w:t>Emmelkamp, 2021;</w:t>
      </w:r>
      <w:r w:rsidR="009623B0" w:rsidRPr="009627FD">
        <w:rPr>
          <w:rFonts w:eastAsiaTheme="minorEastAsia"/>
          <w:lang w:val="en-US"/>
        </w:rPr>
        <w:t xml:space="preserve"> </w:t>
      </w:r>
      <w:r w:rsidR="008B43C5" w:rsidRPr="009627FD">
        <w:rPr>
          <w:rFonts w:eastAsiaTheme="minorEastAsia"/>
          <w:lang w:val="en-US"/>
        </w:rPr>
        <w:t>Fitzpatrick</w:t>
      </w:r>
      <w:r w:rsidR="00CA7083" w:rsidRPr="009627FD">
        <w:rPr>
          <w:rFonts w:eastAsiaTheme="minorEastAsia"/>
          <w:lang w:val="en-US"/>
        </w:rPr>
        <w:t xml:space="preserve">, Drawve, &amp; Harris, </w:t>
      </w:r>
      <w:r w:rsidR="008B43C5" w:rsidRPr="009627FD">
        <w:rPr>
          <w:rFonts w:eastAsiaTheme="minorEastAsia"/>
          <w:lang w:val="en-US"/>
        </w:rPr>
        <w:t xml:space="preserve">2020; </w:t>
      </w:r>
      <w:r w:rsidR="00410674" w:rsidRPr="009627FD">
        <w:rPr>
          <w:shd w:val="clear" w:color="auto" w:fill="FFFFFF"/>
          <w:lang w:val="en-US"/>
        </w:rPr>
        <w:t>Lebrasseur</w:t>
      </w:r>
      <w:r w:rsidR="00410674" w:rsidRPr="009627FD">
        <w:rPr>
          <w:rFonts w:eastAsiaTheme="minorEastAsia"/>
          <w:lang w:val="en-US"/>
        </w:rPr>
        <w:t xml:space="preserve"> et al., 2021; </w:t>
      </w:r>
      <w:r w:rsidR="00C75ACF" w:rsidRPr="009627FD">
        <w:rPr>
          <w:rFonts w:eastAsiaTheme="minorEastAsia"/>
          <w:lang w:val="en-US"/>
        </w:rPr>
        <w:t>Mansueto</w:t>
      </w:r>
      <w:r w:rsidR="00052D30" w:rsidRPr="009627FD">
        <w:rPr>
          <w:rFonts w:eastAsiaTheme="minorEastAsia"/>
          <w:lang w:val="en-US"/>
        </w:rPr>
        <w:t xml:space="preserve">, </w:t>
      </w:r>
      <w:r w:rsidR="00052D30" w:rsidRPr="009627FD">
        <w:rPr>
          <w:shd w:val="clear" w:color="auto" w:fill="FFFFFF"/>
          <w:lang w:val="en-US"/>
        </w:rPr>
        <w:t xml:space="preserve">Lopes, Grassi, &amp; Cosci, </w:t>
      </w:r>
      <w:r w:rsidR="00C75ACF" w:rsidRPr="009627FD">
        <w:rPr>
          <w:rFonts w:eastAsiaTheme="minorEastAsia"/>
          <w:lang w:val="en-US"/>
        </w:rPr>
        <w:t xml:space="preserve">2021; </w:t>
      </w:r>
      <w:r w:rsidR="00C91004" w:rsidRPr="009627FD">
        <w:rPr>
          <w:rFonts w:eastAsiaTheme="minorEastAsia"/>
          <w:lang w:val="en-US"/>
        </w:rPr>
        <w:t xml:space="preserve">Peng et al., 2020; </w:t>
      </w:r>
      <w:r w:rsidR="008B43C5" w:rsidRPr="009627FD">
        <w:rPr>
          <w:rFonts w:eastAsiaTheme="minorEastAsia"/>
          <w:lang w:val="en-US"/>
        </w:rPr>
        <w:t>Taylor</w:t>
      </w:r>
      <w:r w:rsidR="00C75CC6" w:rsidRPr="009627FD">
        <w:rPr>
          <w:rFonts w:eastAsiaTheme="minorEastAsia"/>
          <w:lang w:val="en-US"/>
        </w:rPr>
        <w:t xml:space="preserve">, </w:t>
      </w:r>
      <w:r w:rsidR="00C75CC6" w:rsidRPr="009627FD">
        <w:rPr>
          <w:shd w:val="clear" w:color="auto" w:fill="FFFFFF"/>
          <w:lang w:val="en-US"/>
        </w:rPr>
        <w:t>Paluszek, Rachor, McKay, &amp; Asmundson</w:t>
      </w:r>
      <w:r w:rsidR="00C75CC6" w:rsidRPr="009627FD">
        <w:rPr>
          <w:rFonts w:eastAsiaTheme="minorEastAsia"/>
          <w:lang w:val="en-US"/>
        </w:rPr>
        <w:t xml:space="preserve">, </w:t>
      </w:r>
      <w:r w:rsidR="008B43C5" w:rsidRPr="009627FD">
        <w:rPr>
          <w:rFonts w:eastAsiaTheme="minorEastAsia"/>
          <w:lang w:val="en-US"/>
        </w:rPr>
        <w:t>2021;</w:t>
      </w:r>
      <w:r w:rsidR="005525B6" w:rsidRPr="009627FD">
        <w:rPr>
          <w:rFonts w:eastAsiaTheme="minorEastAsia"/>
          <w:lang w:val="en-US"/>
        </w:rPr>
        <w:t xml:space="preserve"> </w:t>
      </w:r>
      <w:r w:rsidR="008B43C5" w:rsidRPr="009627FD">
        <w:rPr>
          <w:shd w:val="clear" w:color="auto" w:fill="FFFFFF"/>
          <w:lang w:val="en-US"/>
        </w:rPr>
        <w:t>Zhang</w:t>
      </w:r>
      <w:r w:rsidR="005525B6" w:rsidRPr="009627FD">
        <w:rPr>
          <w:rFonts w:eastAsiaTheme="minorEastAsia"/>
          <w:lang w:val="en-US"/>
        </w:rPr>
        <w:t xml:space="preserve"> et al., 2020).</w:t>
      </w:r>
      <w:r w:rsidR="003E1100" w:rsidRPr="009627FD">
        <w:rPr>
          <w:rFonts w:eastAsiaTheme="minorEastAsia"/>
          <w:lang w:val="en-US"/>
        </w:rPr>
        <w:t xml:space="preserve"> </w:t>
      </w:r>
      <w:r w:rsidR="00E27472" w:rsidRPr="009627FD">
        <w:rPr>
          <w:rFonts w:eastAsiaTheme="minorEastAsia"/>
          <w:lang w:val="en-US"/>
        </w:rPr>
        <w:t xml:space="preserve">Moreover, </w:t>
      </w:r>
      <w:r w:rsidR="00A1670A" w:rsidRPr="009627FD">
        <w:rPr>
          <w:rFonts w:eastAsiaTheme="minorEastAsia"/>
          <w:lang w:val="en-US"/>
        </w:rPr>
        <w:t xml:space="preserve">it has been suggested that the </w:t>
      </w:r>
      <w:r w:rsidR="004B6543" w:rsidRPr="009627FD">
        <w:rPr>
          <w:rFonts w:eastAsiaTheme="minorEastAsia"/>
          <w:lang w:val="en-US"/>
        </w:rPr>
        <w:t xml:space="preserve">COVID-19 pandemic may </w:t>
      </w:r>
      <w:r w:rsidR="00CD01BA" w:rsidRPr="009627FD">
        <w:rPr>
          <w:rFonts w:eastAsiaTheme="minorEastAsia"/>
          <w:lang w:val="en-US"/>
        </w:rPr>
        <w:t xml:space="preserve">have </w:t>
      </w:r>
      <w:r w:rsidR="00A1670A" w:rsidRPr="009627FD">
        <w:rPr>
          <w:rFonts w:eastAsiaTheme="minorEastAsia"/>
          <w:lang w:val="en-US"/>
        </w:rPr>
        <w:t xml:space="preserve">also </w:t>
      </w:r>
      <w:r w:rsidR="004B6543" w:rsidRPr="009627FD">
        <w:rPr>
          <w:rFonts w:eastAsiaTheme="minorEastAsia"/>
          <w:lang w:val="en-US"/>
        </w:rPr>
        <w:t>exacerbate</w:t>
      </w:r>
      <w:r w:rsidR="00CD01BA" w:rsidRPr="009627FD">
        <w:rPr>
          <w:rFonts w:eastAsiaTheme="minorEastAsia"/>
          <w:lang w:val="en-US"/>
        </w:rPr>
        <w:t>d</w:t>
      </w:r>
      <w:r w:rsidR="004B6543" w:rsidRPr="009627FD">
        <w:rPr>
          <w:rFonts w:eastAsiaTheme="minorEastAsia"/>
          <w:lang w:val="en-US"/>
        </w:rPr>
        <w:t xml:space="preserve"> </w:t>
      </w:r>
      <w:r w:rsidR="005018E1" w:rsidRPr="009627FD">
        <w:rPr>
          <w:rFonts w:eastAsiaTheme="minorEastAsia"/>
          <w:lang w:val="en-US"/>
        </w:rPr>
        <w:t>dysfunctional</w:t>
      </w:r>
      <w:r w:rsidR="00060DA1" w:rsidRPr="009627FD">
        <w:rPr>
          <w:rFonts w:eastAsiaTheme="minorEastAsia"/>
          <w:lang w:val="en-US"/>
        </w:rPr>
        <w:t xml:space="preserve"> coping </w:t>
      </w:r>
      <w:r w:rsidR="00596985" w:rsidRPr="009627FD">
        <w:rPr>
          <w:rFonts w:eastAsiaTheme="minorEastAsia"/>
          <w:lang w:val="en-US"/>
        </w:rPr>
        <w:t xml:space="preserve">strategies </w:t>
      </w:r>
      <w:r w:rsidR="00600752" w:rsidRPr="009627FD">
        <w:rPr>
          <w:rFonts w:eastAsiaTheme="minorEastAsia"/>
          <w:lang w:val="en-US"/>
        </w:rPr>
        <w:t xml:space="preserve">in response to fear or threat of </w:t>
      </w:r>
      <w:r w:rsidR="00CD01BA" w:rsidRPr="009627FD">
        <w:rPr>
          <w:rFonts w:eastAsiaTheme="minorEastAsia"/>
          <w:lang w:val="en-US"/>
        </w:rPr>
        <w:t xml:space="preserve">the </w:t>
      </w:r>
      <w:r w:rsidR="00600752" w:rsidRPr="009627FD">
        <w:rPr>
          <w:rFonts w:eastAsiaTheme="minorEastAsia"/>
          <w:lang w:val="en-US"/>
        </w:rPr>
        <w:t xml:space="preserve">COVID-19 </w:t>
      </w:r>
      <w:r w:rsidR="00A1670A" w:rsidRPr="009627FD">
        <w:rPr>
          <w:rFonts w:eastAsiaTheme="minorEastAsia"/>
          <w:lang w:val="en-US"/>
        </w:rPr>
        <w:t xml:space="preserve">pandemic itself, </w:t>
      </w:r>
      <w:r w:rsidR="00833774" w:rsidRPr="009627FD">
        <w:rPr>
          <w:rFonts w:eastAsiaTheme="minorEastAsia"/>
          <w:lang w:val="en-US"/>
        </w:rPr>
        <w:t>such as</w:t>
      </w:r>
      <w:r w:rsidR="00E645E5" w:rsidRPr="009627FD">
        <w:rPr>
          <w:rFonts w:eastAsiaTheme="minorEastAsia"/>
          <w:lang w:val="en-US"/>
        </w:rPr>
        <w:t>,</w:t>
      </w:r>
      <w:r w:rsidR="00A1670A" w:rsidRPr="009627FD">
        <w:rPr>
          <w:rFonts w:eastAsiaTheme="minorEastAsia"/>
          <w:lang w:val="en-US"/>
        </w:rPr>
        <w:t xml:space="preserve"> avoidant behaviours, checking, worrying and threat monitoring </w:t>
      </w:r>
      <w:r w:rsidR="00C928A9" w:rsidRPr="009627FD">
        <w:rPr>
          <w:rFonts w:eastAsiaTheme="minorEastAsia"/>
          <w:lang w:val="en-US"/>
        </w:rPr>
        <w:t>(</w:t>
      </w:r>
      <w:r w:rsidR="00E13568" w:rsidRPr="009627FD">
        <w:rPr>
          <w:rFonts w:eastAsiaTheme="minorEastAsia"/>
          <w:lang w:val="en-US"/>
        </w:rPr>
        <w:t>Nikčević</w:t>
      </w:r>
      <w:r w:rsidR="00E13568" w:rsidRPr="009627FD">
        <w:rPr>
          <w:lang w:val="en-US"/>
        </w:rPr>
        <w:t xml:space="preserve"> </w:t>
      </w:r>
      <w:r w:rsidR="00C928A9" w:rsidRPr="009627FD">
        <w:rPr>
          <w:lang w:val="en-US"/>
        </w:rPr>
        <w:t xml:space="preserve">&amp; Spada, 2020; </w:t>
      </w:r>
      <w:r w:rsidR="00E13568" w:rsidRPr="009627FD">
        <w:rPr>
          <w:lang w:val="en-US"/>
        </w:rPr>
        <w:t>Nikčević</w:t>
      </w:r>
      <w:r w:rsidR="00AA6D3C" w:rsidRPr="009627FD">
        <w:rPr>
          <w:lang w:val="en-US"/>
        </w:rPr>
        <w:t xml:space="preserve">, </w:t>
      </w:r>
      <w:r w:rsidR="00AA6D3C" w:rsidRPr="009627FD">
        <w:rPr>
          <w:rFonts w:eastAsiaTheme="minorEastAsia"/>
          <w:lang w:val="en-US"/>
        </w:rPr>
        <w:t xml:space="preserve">Marino, Kolubinski, Leach, &amp; Spada, </w:t>
      </w:r>
      <w:r w:rsidR="00C928A9" w:rsidRPr="009627FD">
        <w:rPr>
          <w:lang w:val="en-US"/>
        </w:rPr>
        <w:t>2021)</w:t>
      </w:r>
      <w:r w:rsidR="00A1670A" w:rsidRPr="009627FD">
        <w:rPr>
          <w:lang w:val="en-US"/>
        </w:rPr>
        <w:t xml:space="preserve">. Such </w:t>
      </w:r>
      <w:r w:rsidR="00CD01BA" w:rsidRPr="009627FD">
        <w:rPr>
          <w:lang w:val="en-US"/>
        </w:rPr>
        <w:t xml:space="preserve">dysfunctional coping </w:t>
      </w:r>
      <w:r w:rsidR="00A1670A" w:rsidRPr="009627FD">
        <w:rPr>
          <w:lang w:val="en-US"/>
        </w:rPr>
        <w:t>strategies</w:t>
      </w:r>
      <w:r w:rsidR="004B6543" w:rsidRPr="009627FD">
        <w:rPr>
          <w:lang w:val="en-US"/>
        </w:rPr>
        <w:t xml:space="preserve"> may ‘lock’ the person in a state of fear and threat of COVID-19, </w:t>
      </w:r>
      <w:r w:rsidR="004B6543" w:rsidRPr="009627FD">
        <w:rPr>
          <w:rFonts w:eastAsiaTheme="minorEastAsia"/>
          <w:lang w:val="en-US"/>
        </w:rPr>
        <w:t>hindering</w:t>
      </w:r>
      <w:r w:rsidR="00060DA1" w:rsidRPr="009627FD">
        <w:rPr>
          <w:rFonts w:eastAsiaTheme="minorEastAsia"/>
          <w:lang w:val="en-US"/>
        </w:rPr>
        <w:t xml:space="preserve"> the return to </w:t>
      </w:r>
      <w:r w:rsidR="0061722B" w:rsidRPr="009627FD">
        <w:rPr>
          <w:rFonts w:eastAsiaTheme="minorEastAsia"/>
          <w:lang w:val="en-US"/>
        </w:rPr>
        <w:t>“</w:t>
      </w:r>
      <w:r w:rsidR="00060DA1" w:rsidRPr="009627FD">
        <w:rPr>
          <w:rFonts w:eastAsiaTheme="minorEastAsia"/>
          <w:lang w:val="en-US"/>
        </w:rPr>
        <w:t>full</w:t>
      </w:r>
      <w:r w:rsidR="004B6543" w:rsidRPr="009627FD">
        <w:rPr>
          <w:rFonts w:eastAsiaTheme="minorEastAsia"/>
          <w:lang w:val="en-US"/>
        </w:rPr>
        <w:t>/normal</w:t>
      </w:r>
      <w:r w:rsidR="0061722B" w:rsidRPr="009627FD">
        <w:rPr>
          <w:rFonts w:eastAsiaTheme="minorEastAsia"/>
          <w:lang w:val="en-US"/>
        </w:rPr>
        <w:t xml:space="preserve"> functioning”</w:t>
      </w:r>
      <w:r w:rsidR="00C928A9" w:rsidRPr="009627FD">
        <w:rPr>
          <w:rFonts w:eastAsiaTheme="minorEastAsia"/>
          <w:lang w:val="en-US"/>
        </w:rPr>
        <w:t xml:space="preserve"> (Lee, 2020</w:t>
      </w:r>
      <w:r w:rsidR="00BE0E28" w:rsidRPr="009627FD">
        <w:rPr>
          <w:rFonts w:eastAsiaTheme="minorEastAsia"/>
          <w:lang w:val="en-US"/>
        </w:rPr>
        <w:t>a</w:t>
      </w:r>
      <w:r w:rsidR="0061722B" w:rsidRPr="009627FD">
        <w:rPr>
          <w:rFonts w:eastAsiaTheme="minorEastAsia"/>
          <w:lang w:val="en-US"/>
        </w:rPr>
        <w:t xml:space="preserve">; </w:t>
      </w:r>
      <w:r w:rsidR="00A96E26" w:rsidRPr="009627FD">
        <w:rPr>
          <w:rFonts w:eastAsiaTheme="minorEastAsia"/>
          <w:lang w:val="en-US"/>
        </w:rPr>
        <w:t>Nikčević</w:t>
      </w:r>
      <w:r w:rsidR="00A96E26" w:rsidRPr="009627FD">
        <w:rPr>
          <w:lang w:val="en-US"/>
        </w:rPr>
        <w:t xml:space="preserve"> &amp; Spada</w:t>
      </w:r>
      <w:r w:rsidR="0061722B" w:rsidRPr="009627FD">
        <w:rPr>
          <w:lang w:val="en-US"/>
        </w:rPr>
        <w:t>, 2020</w:t>
      </w:r>
      <w:r w:rsidR="00060DA1" w:rsidRPr="009627FD">
        <w:rPr>
          <w:lang w:val="en-US"/>
        </w:rPr>
        <w:t>)</w:t>
      </w:r>
      <w:r w:rsidR="004B6543" w:rsidRPr="009627FD">
        <w:rPr>
          <w:lang w:val="en-US"/>
        </w:rPr>
        <w:t>. This</w:t>
      </w:r>
      <w:r w:rsidR="00334DF6" w:rsidRPr="009627FD">
        <w:rPr>
          <w:lang w:val="en-US"/>
        </w:rPr>
        <w:t>,</w:t>
      </w:r>
      <w:r w:rsidR="00060DA1" w:rsidRPr="009627FD">
        <w:rPr>
          <w:lang w:val="en-US"/>
        </w:rPr>
        <w:t xml:space="preserve"> </w:t>
      </w:r>
      <w:r w:rsidR="004B6543" w:rsidRPr="009627FD">
        <w:rPr>
          <w:lang w:val="en-US"/>
        </w:rPr>
        <w:t>in turn</w:t>
      </w:r>
      <w:r w:rsidR="00F60E1A" w:rsidRPr="009627FD">
        <w:rPr>
          <w:lang w:val="en-US"/>
        </w:rPr>
        <w:t>,</w:t>
      </w:r>
      <w:r w:rsidR="004B6543" w:rsidRPr="009627FD">
        <w:rPr>
          <w:lang w:val="en-US"/>
        </w:rPr>
        <w:t xml:space="preserve"> may </w:t>
      </w:r>
      <w:r w:rsidR="00615D7E" w:rsidRPr="009627FD">
        <w:rPr>
          <w:lang w:val="en-US"/>
        </w:rPr>
        <w:t>lead</w:t>
      </w:r>
      <w:r w:rsidR="005E0D19" w:rsidRPr="009627FD">
        <w:rPr>
          <w:lang w:val="en-US"/>
        </w:rPr>
        <w:t xml:space="preserve"> to the maintenance of the psychological distress well beyond the course of the </w:t>
      </w:r>
      <w:r w:rsidR="001E346F" w:rsidRPr="009627FD">
        <w:rPr>
          <w:lang w:val="en-US"/>
        </w:rPr>
        <w:t xml:space="preserve">COVID-19 </w:t>
      </w:r>
      <w:r w:rsidR="005E0D19" w:rsidRPr="009627FD">
        <w:rPr>
          <w:lang w:val="en-US"/>
        </w:rPr>
        <w:t>pandemic</w:t>
      </w:r>
      <w:r w:rsidR="007C04B9" w:rsidRPr="009627FD">
        <w:rPr>
          <w:rFonts w:eastAsiaTheme="minorEastAsia"/>
          <w:lang w:val="en-US"/>
        </w:rPr>
        <w:t xml:space="preserve"> (</w:t>
      </w:r>
      <w:r w:rsidR="009C07E1" w:rsidRPr="009627FD">
        <w:rPr>
          <w:rFonts w:eastAsiaTheme="minorEastAsia"/>
          <w:lang w:val="en-US"/>
        </w:rPr>
        <w:t xml:space="preserve">Duffy &amp; </w:t>
      </w:r>
      <w:r w:rsidR="007C04B9" w:rsidRPr="009627FD">
        <w:rPr>
          <w:rFonts w:eastAsiaTheme="minorEastAsia"/>
          <w:lang w:val="en-US"/>
        </w:rPr>
        <w:t>Allington, 2020</w:t>
      </w:r>
      <w:r w:rsidR="00342EA4" w:rsidRPr="009627FD">
        <w:rPr>
          <w:rFonts w:eastAsiaTheme="minorEastAsia"/>
          <w:lang w:val="en-US"/>
        </w:rPr>
        <w:t>; Lee, 2020</w:t>
      </w:r>
      <w:r w:rsidR="00BE0E28" w:rsidRPr="009627FD">
        <w:rPr>
          <w:rFonts w:eastAsiaTheme="minorEastAsia"/>
          <w:lang w:val="en-US"/>
        </w:rPr>
        <w:t>a</w:t>
      </w:r>
      <w:r w:rsidR="00342EA4" w:rsidRPr="009627FD">
        <w:rPr>
          <w:rFonts w:eastAsiaTheme="minorEastAsia"/>
          <w:lang w:val="en-US"/>
        </w:rPr>
        <w:t xml:space="preserve">; </w:t>
      </w:r>
      <w:r w:rsidR="00EF7615" w:rsidRPr="009627FD">
        <w:rPr>
          <w:lang w:val="en-US"/>
        </w:rPr>
        <w:t>Nikčević &amp; Spada</w:t>
      </w:r>
      <w:r w:rsidR="00342EA4" w:rsidRPr="009627FD">
        <w:rPr>
          <w:lang w:val="en-US"/>
        </w:rPr>
        <w:t>, 2020</w:t>
      </w:r>
      <w:r w:rsidR="00EC736B" w:rsidRPr="009627FD">
        <w:rPr>
          <w:rFonts w:eastAsiaTheme="minorEastAsia"/>
          <w:lang w:val="en-US"/>
        </w:rPr>
        <w:t>)</w:t>
      </w:r>
      <w:r w:rsidR="00715869" w:rsidRPr="009627FD">
        <w:rPr>
          <w:rFonts w:eastAsiaTheme="minorEastAsia"/>
          <w:lang w:val="en-US"/>
        </w:rPr>
        <w:t>.</w:t>
      </w:r>
      <w:r w:rsidR="00EC736B" w:rsidRPr="009627FD">
        <w:rPr>
          <w:rFonts w:eastAsiaTheme="minorEastAsia"/>
          <w:lang w:val="en-US"/>
        </w:rPr>
        <w:t xml:space="preserve"> </w:t>
      </w:r>
    </w:p>
    <w:p w14:paraId="0DA43937" w14:textId="01F74C85" w:rsidR="005A137C" w:rsidRPr="009627FD" w:rsidRDefault="003D0E4C" w:rsidP="004B6543">
      <w:pPr>
        <w:tabs>
          <w:tab w:val="left" w:pos="142"/>
          <w:tab w:val="right" w:pos="9026"/>
        </w:tabs>
        <w:spacing w:line="360" w:lineRule="auto"/>
        <w:ind w:firstLine="567"/>
        <w:jc w:val="both"/>
        <w:rPr>
          <w:lang w:val="en-US"/>
        </w:rPr>
      </w:pPr>
      <w:r w:rsidRPr="009627FD">
        <w:rPr>
          <w:lang w:val="en-US"/>
        </w:rPr>
        <w:t>G</w:t>
      </w:r>
      <w:r w:rsidR="000C48D9" w:rsidRPr="009627FD">
        <w:rPr>
          <w:lang w:val="en-US"/>
        </w:rPr>
        <w:t>iven the role that COVID-19 pandemic seems to be playing in shaping behaviour (</w:t>
      </w:r>
      <w:r w:rsidR="005C513A" w:rsidRPr="009627FD">
        <w:rPr>
          <w:rFonts w:eastAsiaTheme="minorEastAsia"/>
          <w:lang w:val="en-US"/>
        </w:rPr>
        <w:t>Nikčević</w:t>
      </w:r>
      <w:r w:rsidR="005C513A" w:rsidRPr="009627FD">
        <w:rPr>
          <w:lang w:val="en-US"/>
        </w:rPr>
        <w:t xml:space="preserve"> et al., 2021; </w:t>
      </w:r>
      <w:r w:rsidR="00EF7615" w:rsidRPr="009627FD">
        <w:rPr>
          <w:rFonts w:eastAsiaTheme="minorEastAsia"/>
          <w:lang w:val="en-US"/>
        </w:rPr>
        <w:t>Nikčević</w:t>
      </w:r>
      <w:r w:rsidR="00EF7615" w:rsidRPr="009627FD">
        <w:rPr>
          <w:lang w:val="en-US"/>
        </w:rPr>
        <w:t xml:space="preserve">  &amp; Spada</w:t>
      </w:r>
      <w:r w:rsidR="000C48D9" w:rsidRPr="009627FD">
        <w:rPr>
          <w:lang w:val="en-US"/>
        </w:rPr>
        <w:t xml:space="preserve">, 2020), </w:t>
      </w:r>
      <w:r w:rsidRPr="009627FD">
        <w:rPr>
          <w:lang w:val="en-US"/>
        </w:rPr>
        <w:t xml:space="preserve">from </w:t>
      </w:r>
      <w:r w:rsidR="00CD01BA" w:rsidRPr="009627FD">
        <w:rPr>
          <w:lang w:val="en-US"/>
        </w:rPr>
        <w:t xml:space="preserve">a </w:t>
      </w:r>
      <w:r w:rsidRPr="009627FD">
        <w:rPr>
          <w:lang w:val="en-US"/>
        </w:rPr>
        <w:t xml:space="preserve">clinical perspective, </w:t>
      </w:r>
      <w:r w:rsidR="0058127A" w:rsidRPr="009627FD">
        <w:rPr>
          <w:lang w:val="en-US"/>
        </w:rPr>
        <w:t xml:space="preserve">the development of clinical tools </w:t>
      </w:r>
      <w:r w:rsidR="00CD01BA" w:rsidRPr="009627FD">
        <w:rPr>
          <w:lang w:val="en-US"/>
        </w:rPr>
        <w:t xml:space="preserve">which can </w:t>
      </w:r>
      <w:r w:rsidR="00DA57C6" w:rsidRPr="009627FD">
        <w:rPr>
          <w:lang w:val="en-US"/>
        </w:rPr>
        <w:t>enable clinicians and researcher</w:t>
      </w:r>
      <w:r w:rsidR="00CD01BA" w:rsidRPr="009627FD">
        <w:rPr>
          <w:lang w:val="en-US"/>
        </w:rPr>
        <w:t>s</w:t>
      </w:r>
      <w:r w:rsidR="00DA57C6" w:rsidRPr="009627FD">
        <w:rPr>
          <w:lang w:val="en-US"/>
        </w:rPr>
        <w:t xml:space="preserve"> to</w:t>
      </w:r>
      <w:r w:rsidR="0058127A" w:rsidRPr="009627FD">
        <w:rPr>
          <w:lang w:val="en-US"/>
        </w:rPr>
        <w:t xml:space="preserve"> </w:t>
      </w:r>
      <w:r w:rsidR="000C48D9" w:rsidRPr="009627FD">
        <w:rPr>
          <w:lang w:val="en-US"/>
        </w:rPr>
        <w:t xml:space="preserve">understand the nature and degree of </w:t>
      </w:r>
      <w:r w:rsidR="00A50D47" w:rsidRPr="009627FD">
        <w:rPr>
          <w:lang w:val="en-US"/>
        </w:rPr>
        <w:t>COVID-19 psychological distress</w:t>
      </w:r>
      <w:r w:rsidR="0058127A" w:rsidRPr="009627FD">
        <w:rPr>
          <w:lang w:val="en-US"/>
        </w:rPr>
        <w:t>,</w:t>
      </w:r>
      <w:r w:rsidR="00A4280B" w:rsidRPr="009627FD">
        <w:rPr>
          <w:lang w:val="en-US"/>
        </w:rPr>
        <w:t xml:space="preserve"> </w:t>
      </w:r>
      <w:r w:rsidR="0058127A" w:rsidRPr="009627FD">
        <w:rPr>
          <w:lang w:val="en-US"/>
        </w:rPr>
        <w:t xml:space="preserve">as well as, to </w:t>
      </w:r>
      <w:r w:rsidR="00A4280B" w:rsidRPr="009627FD">
        <w:rPr>
          <w:lang w:val="en-US"/>
        </w:rPr>
        <w:t xml:space="preserve">identify </w:t>
      </w:r>
      <w:r w:rsidR="00B702E2" w:rsidRPr="009627FD">
        <w:rPr>
          <w:lang w:val="en-US"/>
        </w:rPr>
        <w:t>COVID-19</w:t>
      </w:r>
      <w:r w:rsidR="00CD01BA" w:rsidRPr="009627FD">
        <w:rPr>
          <w:lang w:val="en-US"/>
        </w:rPr>
        <w:t>-related</w:t>
      </w:r>
      <w:r w:rsidR="00B702E2" w:rsidRPr="009627FD">
        <w:rPr>
          <w:lang w:val="en-US"/>
        </w:rPr>
        <w:t xml:space="preserve"> </w:t>
      </w:r>
      <w:r w:rsidR="00CD01BA" w:rsidRPr="009627FD">
        <w:rPr>
          <w:lang w:val="en-US"/>
        </w:rPr>
        <w:t xml:space="preserve">dysfunctional </w:t>
      </w:r>
      <w:r w:rsidR="00B702E2" w:rsidRPr="009627FD">
        <w:rPr>
          <w:lang w:val="en-US"/>
        </w:rPr>
        <w:t>coping strategies</w:t>
      </w:r>
      <w:r w:rsidR="000C0908" w:rsidRPr="009627FD">
        <w:rPr>
          <w:lang w:val="en-US"/>
        </w:rPr>
        <w:t>,</w:t>
      </w:r>
      <w:r w:rsidR="000C48D9" w:rsidRPr="009627FD">
        <w:rPr>
          <w:lang w:val="en-US"/>
        </w:rPr>
        <w:t xml:space="preserve"> have been recognized as a priority challenge </w:t>
      </w:r>
      <w:r w:rsidR="00980C5A" w:rsidRPr="009627FD">
        <w:rPr>
          <w:lang w:val="en-US"/>
        </w:rPr>
        <w:t>(</w:t>
      </w:r>
      <w:r w:rsidR="00CA0C2A" w:rsidRPr="009627FD">
        <w:rPr>
          <w:lang w:val="en-US"/>
        </w:rPr>
        <w:t xml:space="preserve">Bush et al. 2021; </w:t>
      </w:r>
      <w:r w:rsidR="00980C5A" w:rsidRPr="009627FD">
        <w:rPr>
          <w:rFonts w:eastAsiaTheme="minorEastAsia"/>
          <w:lang w:val="en-US"/>
        </w:rPr>
        <w:t>Lee, 2020</w:t>
      </w:r>
      <w:r w:rsidR="008B3030" w:rsidRPr="009627FD">
        <w:rPr>
          <w:rFonts w:eastAsiaTheme="minorEastAsia"/>
          <w:lang w:val="en-US"/>
        </w:rPr>
        <w:t>a</w:t>
      </w:r>
      <w:r w:rsidR="00980C5A" w:rsidRPr="009627FD">
        <w:rPr>
          <w:rFonts w:eastAsiaTheme="minorEastAsia"/>
          <w:lang w:val="en-US"/>
        </w:rPr>
        <w:t>;</w:t>
      </w:r>
      <w:r w:rsidR="00980C5A" w:rsidRPr="009627FD">
        <w:rPr>
          <w:lang w:val="en-US"/>
        </w:rPr>
        <w:t xml:space="preserve"> </w:t>
      </w:r>
      <w:r w:rsidR="00EF7615" w:rsidRPr="009627FD">
        <w:rPr>
          <w:rFonts w:eastAsiaTheme="minorEastAsia"/>
          <w:lang w:val="en-US"/>
        </w:rPr>
        <w:t>Nikčević</w:t>
      </w:r>
      <w:r w:rsidR="00EF7615" w:rsidRPr="009627FD">
        <w:rPr>
          <w:lang w:val="en-US"/>
        </w:rPr>
        <w:t xml:space="preserve">  &amp; Spada</w:t>
      </w:r>
      <w:r w:rsidR="000C48D9" w:rsidRPr="009627FD">
        <w:rPr>
          <w:lang w:val="en-US"/>
        </w:rPr>
        <w:t>, 2020</w:t>
      </w:r>
      <w:r w:rsidR="00D352FE" w:rsidRPr="009627FD">
        <w:rPr>
          <w:lang w:val="en-US"/>
        </w:rPr>
        <w:t>; Taylor, 2019</w:t>
      </w:r>
      <w:r w:rsidR="000C48D9" w:rsidRPr="009627FD">
        <w:rPr>
          <w:lang w:val="en-US"/>
        </w:rPr>
        <w:t xml:space="preserve">). </w:t>
      </w:r>
      <w:r w:rsidR="003628F4" w:rsidRPr="009627FD">
        <w:rPr>
          <w:lang w:val="en-US"/>
        </w:rPr>
        <w:t>As result, i</w:t>
      </w:r>
      <w:r w:rsidR="000C48D9" w:rsidRPr="009627FD">
        <w:rPr>
          <w:lang w:val="en-US"/>
        </w:rPr>
        <w:t xml:space="preserve">n a short space of time, different measures </w:t>
      </w:r>
      <w:r w:rsidR="00CD01BA" w:rsidRPr="009627FD">
        <w:rPr>
          <w:lang w:val="en-US"/>
        </w:rPr>
        <w:t xml:space="preserve">have been </w:t>
      </w:r>
      <w:r w:rsidR="000C48D9" w:rsidRPr="009627FD">
        <w:rPr>
          <w:lang w:val="en-US"/>
        </w:rPr>
        <w:t>developed for assessing fear, anxiety, and stress related to COVID-19</w:t>
      </w:r>
      <w:r w:rsidR="00A32FB1" w:rsidRPr="009627FD">
        <w:rPr>
          <w:lang w:val="en-US"/>
        </w:rPr>
        <w:t>,</w:t>
      </w:r>
      <w:r w:rsidR="000C48D9" w:rsidRPr="009627FD">
        <w:rPr>
          <w:lang w:val="en-US"/>
        </w:rPr>
        <w:t xml:space="preserve"> such as</w:t>
      </w:r>
      <w:r w:rsidR="00A32FB1" w:rsidRPr="009627FD">
        <w:rPr>
          <w:lang w:val="en-US"/>
        </w:rPr>
        <w:t>,</w:t>
      </w:r>
      <w:r w:rsidR="000C48D9" w:rsidRPr="009627FD">
        <w:rPr>
          <w:lang w:val="en-US"/>
        </w:rPr>
        <w:t xml:space="preserve"> the Fear of COVID-19 Scale (FCV-19S; </w:t>
      </w:r>
      <w:r w:rsidR="008F011D" w:rsidRPr="009627FD">
        <w:rPr>
          <w:lang w:val="en-US"/>
        </w:rPr>
        <w:t>Ahorsu et al., 2020</w:t>
      </w:r>
      <w:r w:rsidR="000C48D9" w:rsidRPr="009627FD">
        <w:rPr>
          <w:lang w:val="en-US"/>
        </w:rPr>
        <w:t>), the Coronavirus Anxiety Scale (CAS; Lee, 2020</w:t>
      </w:r>
      <w:r w:rsidR="00BE0E28" w:rsidRPr="009627FD">
        <w:rPr>
          <w:lang w:val="en-US"/>
        </w:rPr>
        <w:t>b</w:t>
      </w:r>
      <w:r w:rsidR="000C48D9" w:rsidRPr="009627FD">
        <w:rPr>
          <w:lang w:val="en-US"/>
        </w:rPr>
        <w:t>), the COVID Stress Scales (CSS; Taylor et al., 2020), the Perceived Coronavirus Threat Questionnaire (PCTQ; Conway et al., 2020), and the Coronavirus Stress Scale (Arslan et al., 202</w:t>
      </w:r>
      <w:r w:rsidR="00FC6636" w:rsidRPr="009627FD">
        <w:rPr>
          <w:lang w:val="en-US"/>
        </w:rPr>
        <w:t>1</w:t>
      </w:r>
      <w:r w:rsidR="000C48D9" w:rsidRPr="009627FD">
        <w:rPr>
          <w:lang w:val="en-US"/>
        </w:rPr>
        <w:t>).</w:t>
      </w:r>
      <w:r w:rsidR="00A4280B" w:rsidRPr="009627FD">
        <w:rPr>
          <w:lang w:val="en-US"/>
        </w:rPr>
        <w:t xml:space="preserve"> </w:t>
      </w:r>
    </w:p>
    <w:p w14:paraId="655FFB48" w14:textId="2BFC41ED" w:rsidR="005B4520" w:rsidRPr="009627FD" w:rsidRDefault="00AD0E84" w:rsidP="005A137C">
      <w:pPr>
        <w:tabs>
          <w:tab w:val="left" w:pos="142"/>
          <w:tab w:val="right" w:pos="9026"/>
        </w:tabs>
        <w:spacing w:line="360" w:lineRule="auto"/>
        <w:ind w:firstLine="567"/>
        <w:jc w:val="both"/>
        <w:rPr>
          <w:lang w:val="en-US"/>
        </w:rPr>
      </w:pPr>
      <w:r w:rsidRPr="009627FD">
        <w:rPr>
          <w:rFonts w:eastAsiaTheme="minorEastAsia"/>
          <w:lang w:val="en-US"/>
        </w:rPr>
        <w:t>I</w:t>
      </w:r>
      <w:r w:rsidR="00D24FCC" w:rsidRPr="009627FD">
        <w:rPr>
          <w:rFonts w:eastAsiaTheme="minorEastAsia"/>
          <w:lang w:val="en-US"/>
        </w:rPr>
        <w:t xml:space="preserve">n </w:t>
      </w:r>
      <w:r w:rsidR="006706D7" w:rsidRPr="009627FD">
        <w:rPr>
          <w:rFonts w:eastAsiaTheme="minorEastAsia"/>
          <w:lang w:val="en-US"/>
        </w:rPr>
        <w:t xml:space="preserve">early </w:t>
      </w:r>
      <w:r w:rsidR="00D24FCC" w:rsidRPr="009627FD">
        <w:rPr>
          <w:rFonts w:eastAsiaTheme="minorEastAsia"/>
          <w:lang w:val="en-US"/>
        </w:rPr>
        <w:t xml:space="preserve">2020 </w:t>
      </w:r>
      <w:r w:rsidR="00D3469F" w:rsidRPr="009627FD">
        <w:rPr>
          <w:rFonts w:eastAsiaTheme="minorEastAsia"/>
          <w:lang w:val="en-US"/>
        </w:rPr>
        <w:t>Nikčević</w:t>
      </w:r>
      <w:r w:rsidR="00D3469F" w:rsidRPr="009627FD">
        <w:rPr>
          <w:lang w:val="en-US"/>
        </w:rPr>
        <w:t xml:space="preserve"> and Spada</w:t>
      </w:r>
      <w:r w:rsidR="00D3469F" w:rsidRPr="009627FD">
        <w:rPr>
          <w:rFonts w:eastAsiaTheme="minorEastAsia"/>
          <w:lang w:val="en-US"/>
        </w:rPr>
        <w:t xml:space="preserve"> </w:t>
      </w:r>
      <w:r w:rsidR="003D0E4C" w:rsidRPr="009627FD">
        <w:rPr>
          <w:rFonts w:eastAsiaTheme="minorEastAsia"/>
          <w:lang w:val="en-US"/>
        </w:rPr>
        <w:t xml:space="preserve">developed </w:t>
      </w:r>
      <w:r w:rsidR="006706D7" w:rsidRPr="009627FD">
        <w:rPr>
          <w:rFonts w:eastAsiaTheme="minorEastAsia"/>
          <w:lang w:val="en-US"/>
        </w:rPr>
        <w:t xml:space="preserve">a measure to </w:t>
      </w:r>
      <w:r w:rsidR="005A137C" w:rsidRPr="009627FD">
        <w:rPr>
          <w:rFonts w:eastAsiaTheme="minorEastAsia"/>
          <w:lang w:val="en-US"/>
        </w:rPr>
        <w:t xml:space="preserve">specifically </w:t>
      </w:r>
      <w:r w:rsidR="006706D7" w:rsidRPr="009627FD">
        <w:rPr>
          <w:rFonts w:eastAsiaTheme="minorEastAsia"/>
          <w:lang w:val="en-US"/>
        </w:rPr>
        <w:t xml:space="preserve">assess </w:t>
      </w:r>
      <w:r w:rsidR="008803F8" w:rsidRPr="009627FD">
        <w:rPr>
          <w:rFonts w:eastAsiaTheme="minorEastAsia"/>
          <w:lang w:val="en-US"/>
        </w:rPr>
        <w:t xml:space="preserve">COVID-19 </w:t>
      </w:r>
      <w:r w:rsidR="00CD01BA" w:rsidRPr="009627FD">
        <w:rPr>
          <w:rFonts w:eastAsiaTheme="minorEastAsia"/>
          <w:lang w:val="en-US"/>
        </w:rPr>
        <w:t xml:space="preserve">dysfunctional </w:t>
      </w:r>
      <w:r w:rsidR="006706D7" w:rsidRPr="009627FD">
        <w:rPr>
          <w:rFonts w:eastAsiaTheme="minorEastAsia"/>
          <w:lang w:val="en-US"/>
        </w:rPr>
        <w:t>cognitive–behavioural coping strategies</w:t>
      </w:r>
      <w:r w:rsidR="005A137C" w:rsidRPr="009627FD">
        <w:rPr>
          <w:rFonts w:eastAsiaTheme="minorEastAsia"/>
          <w:lang w:val="en-US"/>
        </w:rPr>
        <w:t xml:space="preserve"> </w:t>
      </w:r>
      <w:r w:rsidR="008803F8" w:rsidRPr="009627FD">
        <w:rPr>
          <w:rFonts w:eastAsiaTheme="minorEastAsia"/>
          <w:lang w:val="en-US"/>
        </w:rPr>
        <w:t>i.</w:t>
      </w:r>
      <w:r w:rsidR="005A137C" w:rsidRPr="009627FD">
        <w:rPr>
          <w:rFonts w:eastAsiaTheme="minorEastAsia"/>
          <w:lang w:val="en-US"/>
        </w:rPr>
        <w:t xml:space="preserve">e., </w:t>
      </w:r>
      <w:r w:rsidR="006706D7" w:rsidRPr="009627FD">
        <w:rPr>
          <w:rFonts w:eastAsiaTheme="minorEastAsia"/>
          <w:lang w:val="en-US"/>
        </w:rPr>
        <w:t xml:space="preserve">avoidance, checking, worrying and threat </w:t>
      </w:r>
      <w:r w:rsidR="006706D7" w:rsidRPr="009627FD">
        <w:rPr>
          <w:rFonts w:eastAsiaTheme="minorEastAsia"/>
          <w:lang w:val="en-US"/>
        </w:rPr>
        <w:lastRenderedPageBreak/>
        <w:t xml:space="preserve">monitoring in response to fear or threat of COVID-19. </w:t>
      </w:r>
      <w:r w:rsidR="00D3469F" w:rsidRPr="009627FD">
        <w:rPr>
          <w:rFonts w:eastAsiaTheme="minorEastAsia"/>
          <w:lang w:val="en-US"/>
        </w:rPr>
        <w:t>Nikčević</w:t>
      </w:r>
      <w:r w:rsidR="00D3469F" w:rsidRPr="009627FD">
        <w:rPr>
          <w:lang w:val="en-US"/>
        </w:rPr>
        <w:t xml:space="preserve"> </w:t>
      </w:r>
      <w:r w:rsidR="006706D7" w:rsidRPr="009627FD">
        <w:rPr>
          <w:rFonts w:eastAsiaTheme="minorEastAsia"/>
          <w:lang w:val="en-US"/>
        </w:rPr>
        <w:t>and Spada (2020) labelled this pattern of coping strategies</w:t>
      </w:r>
      <w:r w:rsidR="00A1670A" w:rsidRPr="009627FD">
        <w:rPr>
          <w:rFonts w:eastAsiaTheme="minorEastAsia"/>
          <w:lang w:val="en-US"/>
        </w:rPr>
        <w:t xml:space="preserve"> as</w:t>
      </w:r>
      <w:r w:rsidR="006706D7" w:rsidRPr="009627FD">
        <w:rPr>
          <w:rFonts w:eastAsiaTheme="minorEastAsia"/>
          <w:lang w:val="en-US"/>
        </w:rPr>
        <w:t xml:space="preserve"> the “COVID</w:t>
      </w:r>
      <w:r w:rsidR="003D0E4C" w:rsidRPr="009627FD">
        <w:rPr>
          <w:rFonts w:eastAsiaTheme="minorEastAsia"/>
          <w:lang w:val="en-US"/>
        </w:rPr>
        <w:t>-19</w:t>
      </w:r>
      <w:r w:rsidR="00197A85" w:rsidRPr="009627FD">
        <w:rPr>
          <w:rFonts w:eastAsiaTheme="minorEastAsia"/>
          <w:lang w:val="en-US"/>
        </w:rPr>
        <w:t xml:space="preserve"> </w:t>
      </w:r>
      <w:r w:rsidR="006706D7" w:rsidRPr="009627FD">
        <w:rPr>
          <w:rFonts w:eastAsiaTheme="minorEastAsia"/>
          <w:lang w:val="en-US"/>
        </w:rPr>
        <w:t>a</w:t>
      </w:r>
      <w:r w:rsidR="00D24FCC" w:rsidRPr="009627FD">
        <w:rPr>
          <w:rFonts w:eastAsiaTheme="minorEastAsia"/>
          <w:lang w:val="en-US"/>
        </w:rPr>
        <w:t xml:space="preserve">nxiety </w:t>
      </w:r>
      <w:r w:rsidR="006706D7" w:rsidRPr="009627FD">
        <w:rPr>
          <w:rFonts w:eastAsiaTheme="minorEastAsia"/>
          <w:lang w:val="en-US"/>
        </w:rPr>
        <w:t>s</w:t>
      </w:r>
      <w:r w:rsidR="00D24FCC" w:rsidRPr="009627FD">
        <w:rPr>
          <w:rFonts w:eastAsiaTheme="minorEastAsia"/>
          <w:lang w:val="en-US"/>
        </w:rPr>
        <w:t>yndrome</w:t>
      </w:r>
      <w:r w:rsidR="006706D7" w:rsidRPr="009627FD">
        <w:rPr>
          <w:rFonts w:eastAsiaTheme="minorEastAsia"/>
          <w:lang w:val="en-US"/>
        </w:rPr>
        <w:t>”</w:t>
      </w:r>
      <w:r w:rsidR="00D24FCC" w:rsidRPr="009627FD">
        <w:rPr>
          <w:rFonts w:eastAsiaTheme="minorEastAsia"/>
          <w:lang w:val="en-US"/>
        </w:rPr>
        <w:t xml:space="preserve"> </w:t>
      </w:r>
      <w:r w:rsidR="00A1670A" w:rsidRPr="009627FD">
        <w:rPr>
          <w:rFonts w:eastAsiaTheme="minorEastAsia"/>
          <w:lang w:val="en-US"/>
        </w:rPr>
        <w:t xml:space="preserve">and </w:t>
      </w:r>
      <w:r w:rsidR="00484613" w:rsidRPr="009627FD">
        <w:rPr>
          <w:rFonts w:eastAsiaTheme="minorEastAsia"/>
          <w:lang w:val="en-US"/>
        </w:rPr>
        <w:t>developed</w:t>
      </w:r>
      <w:r w:rsidR="006706D7" w:rsidRPr="009627FD">
        <w:rPr>
          <w:rFonts w:eastAsiaTheme="minorEastAsia"/>
          <w:lang w:val="en-US"/>
        </w:rPr>
        <w:t xml:space="preserve"> a </w:t>
      </w:r>
      <w:r w:rsidR="007D313B" w:rsidRPr="009627FD">
        <w:rPr>
          <w:rFonts w:eastAsiaTheme="minorEastAsia"/>
          <w:lang w:val="en-US"/>
        </w:rPr>
        <w:t xml:space="preserve">self-report </w:t>
      </w:r>
      <w:r w:rsidR="006706D7" w:rsidRPr="009627FD">
        <w:rPr>
          <w:rFonts w:eastAsiaTheme="minorEastAsia"/>
          <w:lang w:val="en-US"/>
        </w:rPr>
        <w:t xml:space="preserve">measure to assess this construct, i.e., the COVID -19 Anxiety Syndrome Scale </w:t>
      </w:r>
      <w:r w:rsidR="00D24FCC" w:rsidRPr="009627FD">
        <w:rPr>
          <w:rFonts w:eastAsiaTheme="minorEastAsia"/>
          <w:lang w:val="en-US"/>
        </w:rPr>
        <w:t>(C-19ASS)</w:t>
      </w:r>
      <w:r w:rsidR="00024E36" w:rsidRPr="009627FD">
        <w:rPr>
          <w:rFonts w:eastAsiaTheme="minorEastAsia"/>
          <w:lang w:val="en-US"/>
        </w:rPr>
        <w:t>.</w:t>
      </w:r>
      <w:r w:rsidR="00D24FCC" w:rsidRPr="009627FD">
        <w:rPr>
          <w:rFonts w:eastAsiaTheme="minorEastAsia"/>
          <w:lang w:val="en-US"/>
        </w:rPr>
        <w:t xml:space="preserve"> </w:t>
      </w:r>
      <w:r w:rsidR="009662B3" w:rsidRPr="009627FD">
        <w:rPr>
          <w:lang w:val="en-US"/>
        </w:rPr>
        <w:t xml:space="preserve">The C-19ASS </w:t>
      </w:r>
      <w:r w:rsidR="00CD01BA" w:rsidRPr="009627FD">
        <w:rPr>
          <w:lang w:val="en-US"/>
        </w:rPr>
        <w:t>comprises</w:t>
      </w:r>
      <w:r w:rsidR="00522ACB" w:rsidRPr="009627FD">
        <w:rPr>
          <w:lang w:val="en-US"/>
        </w:rPr>
        <w:t xml:space="preserve"> two </w:t>
      </w:r>
      <w:r w:rsidR="006F72AA" w:rsidRPr="009627FD">
        <w:rPr>
          <w:lang w:val="en-US"/>
        </w:rPr>
        <w:t>factors</w:t>
      </w:r>
      <w:r w:rsidR="001C26C5" w:rsidRPr="009627FD">
        <w:rPr>
          <w:lang w:val="en-US"/>
        </w:rPr>
        <w:t xml:space="preserve">, i.e., </w:t>
      </w:r>
      <w:r w:rsidR="00522ACB" w:rsidRPr="009627FD">
        <w:rPr>
          <w:lang w:val="en-US"/>
        </w:rPr>
        <w:t xml:space="preserve">perseveration </w:t>
      </w:r>
      <w:r w:rsidR="001C26C5" w:rsidRPr="009627FD">
        <w:rPr>
          <w:lang w:val="en-US"/>
        </w:rPr>
        <w:t>(</w:t>
      </w:r>
      <w:r w:rsidR="003D0E4C" w:rsidRPr="009627FD">
        <w:rPr>
          <w:lang w:val="en-US"/>
        </w:rPr>
        <w:t>i.e., checking,</w:t>
      </w:r>
      <w:r w:rsidR="00197A85" w:rsidRPr="009627FD">
        <w:rPr>
          <w:lang w:val="en-US"/>
        </w:rPr>
        <w:t xml:space="preserve"> </w:t>
      </w:r>
      <w:r w:rsidR="009662B3" w:rsidRPr="009627FD">
        <w:rPr>
          <w:lang w:val="en-US"/>
        </w:rPr>
        <w:t>worrying and monitoring because of</w:t>
      </w:r>
      <w:r w:rsidR="00522ACB" w:rsidRPr="009627FD">
        <w:rPr>
          <w:lang w:val="en-US"/>
        </w:rPr>
        <w:t xml:space="preserve"> the fear or threat of COVID-19</w:t>
      </w:r>
      <w:r w:rsidR="00A1670A" w:rsidRPr="009627FD">
        <w:rPr>
          <w:lang w:val="en-US"/>
        </w:rPr>
        <w:t>)</w:t>
      </w:r>
      <w:r w:rsidR="00522ACB" w:rsidRPr="009627FD">
        <w:rPr>
          <w:lang w:val="en-US"/>
        </w:rPr>
        <w:t xml:space="preserve">, and avoidance </w:t>
      </w:r>
      <w:r w:rsidR="001C26C5" w:rsidRPr="009627FD">
        <w:rPr>
          <w:lang w:val="en-US"/>
        </w:rPr>
        <w:t>(</w:t>
      </w:r>
      <w:r w:rsidR="003D0E4C" w:rsidRPr="009627FD">
        <w:rPr>
          <w:lang w:val="en-US"/>
        </w:rPr>
        <w:t>i.e</w:t>
      </w:r>
      <w:r w:rsidR="00A32FB1" w:rsidRPr="009627FD">
        <w:rPr>
          <w:lang w:val="en-US"/>
        </w:rPr>
        <w:t>.</w:t>
      </w:r>
      <w:r w:rsidR="003D0E4C" w:rsidRPr="009627FD">
        <w:rPr>
          <w:lang w:val="en-US"/>
        </w:rPr>
        <w:t>, avoidance</w:t>
      </w:r>
      <w:r w:rsidR="00197A85" w:rsidRPr="009627FD">
        <w:rPr>
          <w:lang w:val="en-US"/>
        </w:rPr>
        <w:t xml:space="preserve"> </w:t>
      </w:r>
      <w:r w:rsidR="009662B3" w:rsidRPr="009627FD">
        <w:rPr>
          <w:lang w:val="en-US"/>
        </w:rPr>
        <w:t>of public spaces, transport and contact with objects because of the fear or threat of COVID-19</w:t>
      </w:r>
      <w:r w:rsidR="001C26C5" w:rsidRPr="009627FD">
        <w:rPr>
          <w:lang w:val="en-US"/>
        </w:rPr>
        <w:t>)</w:t>
      </w:r>
      <w:r w:rsidR="00197A85" w:rsidRPr="009627FD">
        <w:rPr>
          <w:lang w:val="en-US"/>
        </w:rPr>
        <w:t xml:space="preserve"> </w:t>
      </w:r>
      <w:r w:rsidR="00D352FE" w:rsidRPr="009627FD">
        <w:rPr>
          <w:lang w:val="en-US"/>
        </w:rPr>
        <w:t>(</w:t>
      </w:r>
      <w:r w:rsidR="00D3469F" w:rsidRPr="009627FD">
        <w:rPr>
          <w:rFonts w:eastAsiaTheme="minorEastAsia"/>
          <w:lang w:val="en-US"/>
        </w:rPr>
        <w:t>Nikčević</w:t>
      </w:r>
      <w:r w:rsidR="00D3469F" w:rsidRPr="009627FD">
        <w:rPr>
          <w:lang w:val="en-US"/>
        </w:rPr>
        <w:t xml:space="preserve"> </w:t>
      </w:r>
      <w:r w:rsidR="00D352FE" w:rsidRPr="009627FD">
        <w:rPr>
          <w:rFonts w:eastAsiaTheme="minorEastAsia"/>
          <w:lang w:val="en-US"/>
        </w:rPr>
        <w:t>&amp; Spada, 2020)</w:t>
      </w:r>
      <w:r w:rsidR="009662B3" w:rsidRPr="009627FD">
        <w:rPr>
          <w:lang w:val="en-US"/>
        </w:rPr>
        <w:t xml:space="preserve">. The C-19ASS </w:t>
      </w:r>
      <w:r w:rsidR="00CD01BA" w:rsidRPr="009627FD">
        <w:rPr>
          <w:lang w:val="en-US"/>
        </w:rPr>
        <w:t>was</w:t>
      </w:r>
      <w:r w:rsidR="00A1670A" w:rsidRPr="009627FD">
        <w:rPr>
          <w:lang w:val="en-US"/>
        </w:rPr>
        <w:t xml:space="preserve"> firstly</w:t>
      </w:r>
      <w:r w:rsidR="009662B3" w:rsidRPr="009627FD">
        <w:rPr>
          <w:lang w:val="en-US"/>
        </w:rPr>
        <w:t xml:space="preserve"> val</w:t>
      </w:r>
      <w:r w:rsidR="003D0E4C" w:rsidRPr="009627FD">
        <w:rPr>
          <w:lang w:val="en-US"/>
        </w:rPr>
        <w:t>idated in a UK community sample</w:t>
      </w:r>
      <w:r w:rsidR="00197A85" w:rsidRPr="009627FD">
        <w:rPr>
          <w:lang w:val="en-US"/>
        </w:rPr>
        <w:t xml:space="preserve"> </w:t>
      </w:r>
      <w:r w:rsidR="009662B3" w:rsidRPr="009627FD">
        <w:rPr>
          <w:lang w:val="en-US"/>
        </w:rPr>
        <w:t>(</w:t>
      </w:r>
      <w:r w:rsidR="00D3469F" w:rsidRPr="009627FD">
        <w:rPr>
          <w:rFonts w:eastAsiaTheme="minorEastAsia"/>
          <w:lang w:val="en-US"/>
        </w:rPr>
        <w:t>Nikčević</w:t>
      </w:r>
      <w:r w:rsidR="00D3469F" w:rsidRPr="009627FD">
        <w:rPr>
          <w:lang w:val="en-US"/>
        </w:rPr>
        <w:t xml:space="preserve"> </w:t>
      </w:r>
      <w:r w:rsidR="00776B69" w:rsidRPr="009627FD">
        <w:rPr>
          <w:lang w:val="en-US"/>
        </w:rPr>
        <w:t xml:space="preserve">&amp; Spada, 2020; </w:t>
      </w:r>
      <w:r w:rsidR="009662B3" w:rsidRPr="009627FD">
        <w:rPr>
          <w:lang w:val="en-US"/>
        </w:rPr>
        <w:t>Albery et al., 2021) and in an Iranian c</w:t>
      </w:r>
      <w:r w:rsidR="003D0E4C" w:rsidRPr="009627FD">
        <w:rPr>
          <w:lang w:val="en-US"/>
        </w:rPr>
        <w:t>ommunity sample (Akbari</w:t>
      </w:r>
      <w:r w:rsidR="00147A1B" w:rsidRPr="009627FD">
        <w:rPr>
          <w:lang w:val="en-US"/>
        </w:rPr>
        <w:t xml:space="preserve">, </w:t>
      </w:r>
      <w:r w:rsidR="00147A1B" w:rsidRPr="009627FD">
        <w:rPr>
          <w:shd w:val="clear" w:color="auto" w:fill="FFFFFF"/>
          <w:lang w:val="en-US"/>
        </w:rPr>
        <w:t xml:space="preserve">Seydavi, Zamani, Nikčević, &amp; Spada, </w:t>
      </w:r>
      <w:r w:rsidR="009662B3" w:rsidRPr="009627FD">
        <w:rPr>
          <w:lang w:val="en-US"/>
        </w:rPr>
        <w:t>2021</w:t>
      </w:r>
      <w:r w:rsidR="00344706" w:rsidRPr="009627FD">
        <w:rPr>
          <w:lang w:val="en-US"/>
        </w:rPr>
        <w:t>b</w:t>
      </w:r>
      <w:r w:rsidR="009662B3" w:rsidRPr="009627FD">
        <w:rPr>
          <w:lang w:val="en-US"/>
        </w:rPr>
        <w:t>)</w:t>
      </w:r>
      <w:r w:rsidR="00427B7A" w:rsidRPr="009627FD">
        <w:rPr>
          <w:lang w:val="en-US"/>
        </w:rPr>
        <w:t>,</w:t>
      </w:r>
      <w:r w:rsidR="00AB414B" w:rsidRPr="009627FD">
        <w:rPr>
          <w:lang w:val="en-US"/>
        </w:rPr>
        <w:t xml:space="preserve"> showing </w:t>
      </w:r>
      <w:r w:rsidR="00F905B9" w:rsidRPr="009627FD">
        <w:rPr>
          <w:lang w:val="en-US"/>
        </w:rPr>
        <w:t>good internal consistency, construct, concurrent</w:t>
      </w:r>
      <w:r w:rsidR="00826785" w:rsidRPr="009627FD">
        <w:rPr>
          <w:lang w:val="en-US"/>
        </w:rPr>
        <w:t>,</w:t>
      </w:r>
      <w:r w:rsidR="00F905B9" w:rsidRPr="009627FD">
        <w:rPr>
          <w:lang w:val="en-US"/>
        </w:rPr>
        <w:t xml:space="preserve"> </w:t>
      </w:r>
      <w:r w:rsidR="009E0924" w:rsidRPr="009627FD">
        <w:rPr>
          <w:lang w:val="en-US"/>
        </w:rPr>
        <w:t>divergent</w:t>
      </w:r>
      <w:r w:rsidR="0057238D" w:rsidRPr="009627FD">
        <w:rPr>
          <w:lang w:val="en-US"/>
        </w:rPr>
        <w:t>,</w:t>
      </w:r>
      <w:r w:rsidR="009E0924" w:rsidRPr="009627FD">
        <w:rPr>
          <w:lang w:val="en-US"/>
        </w:rPr>
        <w:t xml:space="preserve"> </w:t>
      </w:r>
      <w:r w:rsidR="00F905B9" w:rsidRPr="009627FD">
        <w:rPr>
          <w:lang w:val="en-US"/>
        </w:rPr>
        <w:t>and incremental validity</w:t>
      </w:r>
      <w:r w:rsidR="00F905B9" w:rsidRPr="009627FD">
        <w:rPr>
          <w:rFonts w:eastAsiaTheme="minorEastAsia"/>
          <w:lang w:val="en-US"/>
        </w:rPr>
        <w:t xml:space="preserve"> (</w:t>
      </w:r>
      <w:r w:rsidR="00344706" w:rsidRPr="009627FD">
        <w:rPr>
          <w:rFonts w:eastAsiaTheme="minorEastAsia"/>
          <w:lang w:val="en-US"/>
        </w:rPr>
        <w:t>Nikčević</w:t>
      </w:r>
      <w:r w:rsidR="00344706" w:rsidRPr="009627FD">
        <w:rPr>
          <w:lang w:val="en-US"/>
        </w:rPr>
        <w:t xml:space="preserve"> </w:t>
      </w:r>
      <w:r w:rsidR="00F905B9" w:rsidRPr="009627FD">
        <w:rPr>
          <w:lang w:val="en-US"/>
        </w:rPr>
        <w:t>&amp; Spada, 2020; Albery et al., 2021; Akbari et al., 2021</w:t>
      </w:r>
      <w:r w:rsidR="00FD00C4" w:rsidRPr="009627FD">
        <w:rPr>
          <w:lang w:val="en-US"/>
        </w:rPr>
        <w:t>b</w:t>
      </w:r>
      <w:r w:rsidR="00F905B9" w:rsidRPr="009627FD">
        <w:rPr>
          <w:rFonts w:eastAsiaTheme="minorEastAsia"/>
          <w:lang w:val="en-US"/>
        </w:rPr>
        <w:t>)</w:t>
      </w:r>
      <w:r w:rsidR="009662B3" w:rsidRPr="009627FD">
        <w:rPr>
          <w:lang w:val="en-US"/>
        </w:rPr>
        <w:t xml:space="preserve">. </w:t>
      </w:r>
      <w:r w:rsidR="00F05EC0" w:rsidRPr="009627FD">
        <w:rPr>
          <w:lang w:val="en-US"/>
        </w:rPr>
        <w:t xml:space="preserve">The </w:t>
      </w:r>
      <w:r w:rsidR="00FE0581" w:rsidRPr="009627FD">
        <w:rPr>
          <w:rFonts w:eastAsiaTheme="minorEastAsia"/>
          <w:lang w:val="en-US"/>
        </w:rPr>
        <w:t xml:space="preserve">perseveration component of the COVID-19 anxiety syndrome </w:t>
      </w:r>
      <w:r w:rsidR="003D0E4C" w:rsidRPr="009627FD">
        <w:rPr>
          <w:rFonts w:eastAsiaTheme="minorEastAsia"/>
          <w:lang w:val="en-US"/>
        </w:rPr>
        <w:t>has</w:t>
      </w:r>
      <w:r w:rsidR="00197A85" w:rsidRPr="009627FD">
        <w:rPr>
          <w:lang w:val="en-US"/>
        </w:rPr>
        <w:t xml:space="preserve"> </w:t>
      </w:r>
      <w:r w:rsidR="00F05EC0" w:rsidRPr="009627FD">
        <w:rPr>
          <w:rFonts w:eastAsiaTheme="minorEastAsia"/>
          <w:lang w:val="en-US"/>
        </w:rPr>
        <w:t xml:space="preserve">been found to </w:t>
      </w:r>
      <w:r w:rsidR="00FE0581" w:rsidRPr="009627FD">
        <w:rPr>
          <w:rFonts w:eastAsiaTheme="minorEastAsia"/>
          <w:lang w:val="en-US"/>
        </w:rPr>
        <w:t>predict COVID-19 anxiety, (</w:t>
      </w:r>
      <w:r w:rsidR="00FE0581" w:rsidRPr="009627FD">
        <w:rPr>
          <w:lang w:val="en-US"/>
        </w:rPr>
        <w:t>Akb</w:t>
      </w:r>
      <w:r w:rsidR="003D0E4C" w:rsidRPr="009627FD">
        <w:rPr>
          <w:lang w:val="en-US"/>
        </w:rPr>
        <w:t>ari et al., 2021</w:t>
      </w:r>
      <w:r w:rsidR="00FD00C4" w:rsidRPr="009627FD">
        <w:rPr>
          <w:lang w:val="en-US"/>
        </w:rPr>
        <w:t>b</w:t>
      </w:r>
      <w:r w:rsidR="003D0E4C" w:rsidRPr="009627FD">
        <w:rPr>
          <w:lang w:val="en-US"/>
        </w:rPr>
        <w:t xml:space="preserve">; </w:t>
      </w:r>
      <w:r w:rsidR="00FD00C4" w:rsidRPr="009627FD">
        <w:rPr>
          <w:rFonts w:eastAsiaTheme="minorEastAsia"/>
          <w:lang w:val="en-US"/>
        </w:rPr>
        <w:t>Nikčević</w:t>
      </w:r>
      <w:r w:rsidR="003D0E4C" w:rsidRPr="009627FD">
        <w:rPr>
          <w:lang w:val="en-US"/>
        </w:rPr>
        <w:t xml:space="preserve"> &amp;</w:t>
      </w:r>
      <w:r w:rsidR="00197A85" w:rsidRPr="009627FD">
        <w:rPr>
          <w:lang w:val="en-US"/>
        </w:rPr>
        <w:t xml:space="preserve"> </w:t>
      </w:r>
      <w:r w:rsidR="00FE0581" w:rsidRPr="009627FD">
        <w:rPr>
          <w:lang w:val="en-US"/>
        </w:rPr>
        <w:t>Spada, 2020</w:t>
      </w:r>
      <w:r w:rsidR="00FE0581" w:rsidRPr="009627FD">
        <w:rPr>
          <w:rFonts w:eastAsiaTheme="minorEastAsia"/>
          <w:lang w:val="en-US"/>
        </w:rPr>
        <w:t>)</w:t>
      </w:r>
      <w:r w:rsidR="007D313B" w:rsidRPr="009627FD">
        <w:rPr>
          <w:rFonts w:eastAsiaTheme="minorEastAsia"/>
          <w:lang w:val="en-US"/>
        </w:rPr>
        <w:t>,</w:t>
      </w:r>
      <w:r w:rsidR="00FE0581" w:rsidRPr="009627FD">
        <w:rPr>
          <w:rFonts w:eastAsiaTheme="minorEastAsia"/>
          <w:lang w:val="en-US"/>
        </w:rPr>
        <w:t xml:space="preserve"> generalized anxiety</w:t>
      </w:r>
      <w:r w:rsidR="007D313B" w:rsidRPr="009627FD">
        <w:rPr>
          <w:rFonts w:eastAsiaTheme="minorEastAsia"/>
          <w:lang w:val="en-US"/>
        </w:rPr>
        <w:t>,</w:t>
      </w:r>
      <w:r w:rsidR="00FE0581" w:rsidRPr="009627FD">
        <w:rPr>
          <w:rFonts w:eastAsiaTheme="minorEastAsia"/>
          <w:lang w:val="en-US"/>
        </w:rPr>
        <w:t xml:space="preserve"> depression (Albery et al., 2021)</w:t>
      </w:r>
      <w:r w:rsidR="007D313B" w:rsidRPr="009627FD">
        <w:rPr>
          <w:rFonts w:eastAsiaTheme="minorEastAsia"/>
          <w:lang w:val="en-US"/>
        </w:rPr>
        <w:t xml:space="preserve"> and functional impairments (</w:t>
      </w:r>
      <w:r w:rsidR="007D313B" w:rsidRPr="009627FD">
        <w:rPr>
          <w:lang w:val="en-US"/>
        </w:rPr>
        <w:t>Akbari et al., 2021</w:t>
      </w:r>
      <w:r w:rsidR="00FD00C4" w:rsidRPr="009627FD">
        <w:rPr>
          <w:lang w:val="en-US"/>
        </w:rPr>
        <w:t>b</w:t>
      </w:r>
      <w:r w:rsidR="007D313B" w:rsidRPr="009627FD">
        <w:rPr>
          <w:lang w:val="en-US"/>
        </w:rPr>
        <w:t xml:space="preserve">; </w:t>
      </w:r>
      <w:r w:rsidR="00FD00C4" w:rsidRPr="009627FD">
        <w:rPr>
          <w:rFonts w:eastAsiaTheme="minorEastAsia"/>
          <w:lang w:val="en-US"/>
        </w:rPr>
        <w:t>Nikčević</w:t>
      </w:r>
      <w:r w:rsidR="007D313B" w:rsidRPr="009627FD">
        <w:rPr>
          <w:lang w:val="en-US"/>
        </w:rPr>
        <w:t xml:space="preserve"> &amp; Spada, 2020</w:t>
      </w:r>
      <w:r w:rsidR="007D313B" w:rsidRPr="009627FD">
        <w:rPr>
          <w:rFonts w:eastAsiaTheme="minorEastAsia"/>
          <w:lang w:val="en-US"/>
        </w:rPr>
        <w:t>)</w:t>
      </w:r>
      <w:r w:rsidR="00F60E1A" w:rsidRPr="009627FD">
        <w:rPr>
          <w:rFonts w:eastAsiaTheme="minorEastAsia"/>
          <w:lang w:val="en-US"/>
        </w:rPr>
        <w:t>.</w:t>
      </w:r>
      <w:r w:rsidR="003D0E4C" w:rsidRPr="009627FD">
        <w:rPr>
          <w:rFonts w:eastAsiaTheme="minorEastAsia"/>
          <w:lang w:val="en-US"/>
        </w:rPr>
        <w:t xml:space="preserve"> In a representative sample of</w:t>
      </w:r>
      <w:r w:rsidR="00197A85" w:rsidRPr="009627FD">
        <w:rPr>
          <w:lang w:val="en-US"/>
        </w:rPr>
        <w:t xml:space="preserve"> </w:t>
      </w:r>
      <w:r w:rsidR="00FE0581" w:rsidRPr="009627FD">
        <w:rPr>
          <w:rFonts w:eastAsiaTheme="minorEastAsia"/>
          <w:lang w:val="en-US"/>
        </w:rPr>
        <w:t xml:space="preserve">UK residents during the third national lockdown </w:t>
      </w:r>
      <w:r w:rsidR="00F05EC0" w:rsidRPr="009627FD">
        <w:rPr>
          <w:rFonts w:eastAsiaTheme="minorEastAsia"/>
          <w:lang w:val="en-US"/>
        </w:rPr>
        <w:t xml:space="preserve">the </w:t>
      </w:r>
      <w:r w:rsidR="00FE0581" w:rsidRPr="009627FD">
        <w:rPr>
          <w:rFonts w:eastAsiaTheme="minorEastAsia"/>
          <w:lang w:val="en-US"/>
        </w:rPr>
        <w:t>total COVI</w:t>
      </w:r>
      <w:r w:rsidR="003D0E4C" w:rsidRPr="009627FD">
        <w:rPr>
          <w:rFonts w:eastAsiaTheme="minorEastAsia"/>
          <w:lang w:val="en-US"/>
        </w:rPr>
        <w:t>D-19 anxiety syndrome score and</w:t>
      </w:r>
      <w:r w:rsidR="00197A85" w:rsidRPr="009627FD">
        <w:rPr>
          <w:lang w:val="en-US"/>
        </w:rPr>
        <w:t xml:space="preserve"> </w:t>
      </w:r>
      <w:r w:rsidR="00FE0581" w:rsidRPr="009627FD">
        <w:rPr>
          <w:rFonts w:eastAsiaTheme="minorEastAsia"/>
          <w:lang w:val="en-US"/>
        </w:rPr>
        <w:t xml:space="preserve">its perseveration component were </w:t>
      </w:r>
      <w:r w:rsidR="00F05EC0" w:rsidRPr="009627FD">
        <w:rPr>
          <w:rFonts w:eastAsiaTheme="minorEastAsia"/>
          <w:lang w:val="en-US"/>
        </w:rPr>
        <w:t xml:space="preserve">found to be </w:t>
      </w:r>
      <w:r w:rsidR="00FE0581" w:rsidRPr="009627FD">
        <w:rPr>
          <w:rFonts w:eastAsiaTheme="minorEastAsia"/>
          <w:lang w:val="en-US"/>
        </w:rPr>
        <w:t>positively correlate</w:t>
      </w:r>
      <w:r w:rsidR="003D0E4C" w:rsidRPr="009627FD">
        <w:rPr>
          <w:rFonts w:eastAsiaTheme="minorEastAsia"/>
          <w:lang w:val="en-US"/>
        </w:rPr>
        <w:t>d with general attentional bias</w:t>
      </w:r>
      <w:r w:rsidR="00197A85" w:rsidRPr="009627FD">
        <w:rPr>
          <w:lang w:val="en-US"/>
        </w:rPr>
        <w:t xml:space="preserve"> </w:t>
      </w:r>
      <w:r w:rsidR="00FE0581" w:rsidRPr="009627FD">
        <w:rPr>
          <w:rFonts w:eastAsiaTheme="minorEastAsia"/>
          <w:lang w:val="en-US"/>
        </w:rPr>
        <w:t xml:space="preserve">indices, suggesting that increasing attentional bias could be a </w:t>
      </w:r>
      <w:r w:rsidR="003D0E4C" w:rsidRPr="009627FD">
        <w:rPr>
          <w:rFonts w:eastAsiaTheme="minorEastAsia"/>
          <w:lang w:val="en-US"/>
        </w:rPr>
        <w:t>cognitive marker for increasing</w:t>
      </w:r>
      <w:r w:rsidR="00197A85" w:rsidRPr="009627FD">
        <w:rPr>
          <w:lang w:val="en-US"/>
        </w:rPr>
        <w:t xml:space="preserve"> </w:t>
      </w:r>
      <w:r w:rsidR="00FE0581" w:rsidRPr="009627FD">
        <w:rPr>
          <w:rFonts w:eastAsiaTheme="minorEastAsia"/>
          <w:lang w:val="en-US"/>
        </w:rPr>
        <w:t>COVID-19 anxiety syndrome</w:t>
      </w:r>
      <w:r w:rsidR="00F05EC0" w:rsidRPr="009627FD">
        <w:rPr>
          <w:rFonts w:eastAsiaTheme="minorEastAsia"/>
          <w:lang w:val="en-US"/>
        </w:rPr>
        <w:t xml:space="preserve"> (Albery et al., 2021).</w:t>
      </w:r>
      <w:r w:rsidR="00FE0581" w:rsidRPr="009627FD">
        <w:rPr>
          <w:rFonts w:eastAsiaTheme="minorEastAsia"/>
          <w:lang w:val="en-US"/>
        </w:rPr>
        <w:t xml:space="preserve"> </w:t>
      </w:r>
      <w:r w:rsidR="00FE0581" w:rsidRPr="009627FD">
        <w:rPr>
          <w:lang w:val="en-US"/>
        </w:rPr>
        <w:t xml:space="preserve">Moreover, </w:t>
      </w:r>
      <w:r w:rsidR="006F4230" w:rsidRPr="009627FD">
        <w:rPr>
          <w:lang w:val="en-US"/>
        </w:rPr>
        <w:t xml:space="preserve">in </w:t>
      </w:r>
      <w:r w:rsidR="00427B7A" w:rsidRPr="009627FD">
        <w:rPr>
          <w:lang w:val="en-US"/>
        </w:rPr>
        <w:t xml:space="preserve">the </w:t>
      </w:r>
      <w:r w:rsidR="006F4230" w:rsidRPr="009627FD">
        <w:rPr>
          <w:lang w:val="en-US"/>
        </w:rPr>
        <w:t>UK and Iranian community sample</w:t>
      </w:r>
      <w:r w:rsidR="00137F61" w:rsidRPr="009627FD">
        <w:rPr>
          <w:lang w:val="en-US"/>
        </w:rPr>
        <w:t>s</w:t>
      </w:r>
      <w:r w:rsidR="00427B7A" w:rsidRPr="009627FD">
        <w:rPr>
          <w:lang w:val="en-US"/>
        </w:rPr>
        <w:t>,</w:t>
      </w:r>
      <w:r w:rsidR="006F4230" w:rsidRPr="009627FD">
        <w:rPr>
          <w:lang w:val="en-US"/>
        </w:rPr>
        <w:t xml:space="preserve"> </w:t>
      </w:r>
      <w:r w:rsidR="003D0E4C" w:rsidRPr="009627FD">
        <w:rPr>
          <w:lang w:val="en-US"/>
        </w:rPr>
        <w:t>th</w:t>
      </w:r>
      <w:r w:rsidR="00D34D83" w:rsidRPr="009627FD">
        <w:rPr>
          <w:lang w:val="en-US"/>
        </w:rPr>
        <w:t>e</w:t>
      </w:r>
      <w:r w:rsidR="00197A85" w:rsidRPr="009627FD">
        <w:rPr>
          <w:lang w:val="en-US"/>
        </w:rPr>
        <w:t xml:space="preserve"> </w:t>
      </w:r>
      <w:r w:rsidR="00635091" w:rsidRPr="009627FD">
        <w:rPr>
          <w:lang w:val="en-US"/>
        </w:rPr>
        <w:t xml:space="preserve">total </w:t>
      </w:r>
      <w:r w:rsidR="00FE0581" w:rsidRPr="009627FD">
        <w:rPr>
          <w:lang w:val="en-US"/>
        </w:rPr>
        <w:t xml:space="preserve">COVID-19 anxiety syndrome </w:t>
      </w:r>
      <w:r w:rsidR="00635091" w:rsidRPr="009627FD">
        <w:rPr>
          <w:lang w:val="en-US"/>
        </w:rPr>
        <w:t xml:space="preserve">score </w:t>
      </w:r>
      <w:r w:rsidR="00D34D83" w:rsidRPr="009627FD">
        <w:rPr>
          <w:lang w:val="en-US"/>
        </w:rPr>
        <w:t>was found to</w:t>
      </w:r>
      <w:r w:rsidR="00FE0581" w:rsidRPr="009627FD">
        <w:rPr>
          <w:lang w:val="en-US"/>
        </w:rPr>
        <w:t xml:space="preserve"> mediat</w:t>
      </w:r>
      <w:r w:rsidR="00D34D83" w:rsidRPr="009627FD">
        <w:rPr>
          <w:lang w:val="en-US"/>
        </w:rPr>
        <w:t>e</w:t>
      </w:r>
      <w:r w:rsidR="00FE0581" w:rsidRPr="009627FD">
        <w:rPr>
          <w:lang w:val="en-US"/>
        </w:rPr>
        <w:t xml:space="preserve"> t</w:t>
      </w:r>
      <w:r w:rsidR="003D0E4C" w:rsidRPr="009627FD">
        <w:rPr>
          <w:lang w:val="en-US"/>
        </w:rPr>
        <w:t>he association between Big Five</w:t>
      </w:r>
      <w:r w:rsidR="00197A85" w:rsidRPr="009627FD">
        <w:rPr>
          <w:lang w:val="en-US"/>
        </w:rPr>
        <w:t xml:space="preserve"> </w:t>
      </w:r>
      <w:r w:rsidR="00FE0581" w:rsidRPr="009627FD">
        <w:rPr>
          <w:lang w:val="en-US"/>
        </w:rPr>
        <w:t>personality traits and generalised anxiety, health anxiety, d</w:t>
      </w:r>
      <w:r w:rsidR="003D0E4C" w:rsidRPr="009627FD">
        <w:rPr>
          <w:lang w:val="en-US"/>
        </w:rPr>
        <w:t>epressive symptoms</w:t>
      </w:r>
      <w:r w:rsidR="00037806" w:rsidRPr="009627FD">
        <w:rPr>
          <w:lang w:val="en-US"/>
        </w:rPr>
        <w:t>,</w:t>
      </w:r>
      <w:r w:rsidR="003D0E4C" w:rsidRPr="009627FD">
        <w:rPr>
          <w:lang w:val="en-US"/>
        </w:rPr>
        <w:t xml:space="preserve"> and COVID-19</w:t>
      </w:r>
      <w:r w:rsidR="00197A85" w:rsidRPr="009627FD">
        <w:rPr>
          <w:lang w:val="en-US"/>
        </w:rPr>
        <w:t xml:space="preserve"> </w:t>
      </w:r>
      <w:r w:rsidR="00FE0581" w:rsidRPr="009627FD">
        <w:rPr>
          <w:lang w:val="en-US"/>
        </w:rPr>
        <w:t>anxiety (</w:t>
      </w:r>
      <w:r w:rsidR="00FD00C4" w:rsidRPr="009627FD">
        <w:rPr>
          <w:rFonts w:eastAsiaTheme="minorEastAsia"/>
          <w:lang w:val="en-US"/>
        </w:rPr>
        <w:t>Nikčević</w:t>
      </w:r>
      <w:r w:rsidR="00A558E9" w:rsidRPr="009627FD">
        <w:rPr>
          <w:lang w:val="en-US"/>
        </w:rPr>
        <w:t xml:space="preserve"> </w:t>
      </w:r>
      <w:r w:rsidR="00FE0581" w:rsidRPr="009627FD">
        <w:rPr>
          <w:lang w:val="en-US"/>
        </w:rPr>
        <w:t>et al. 2021; Akbari et al., 2021</w:t>
      </w:r>
      <w:r w:rsidR="00FD00C4" w:rsidRPr="009627FD">
        <w:rPr>
          <w:lang w:val="en-US"/>
        </w:rPr>
        <w:t>b</w:t>
      </w:r>
      <w:r w:rsidR="00FE0581" w:rsidRPr="009627FD">
        <w:rPr>
          <w:lang w:val="en-US"/>
        </w:rPr>
        <w:t>).</w:t>
      </w:r>
      <w:r w:rsidR="00826785" w:rsidRPr="009627FD">
        <w:rPr>
          <w:lang w:val="en-US"/>
        </w:rPr>
        <w:t xml:space="preserve"> </w:t>
      </w:r>
    </w:p>
    <w:p w14:paraId="5FE45A73" w14:textId="1F0931DA" w:rsidR="00FE0581" w:rsidRDefault="004E6F49" w:rsidP="005B4520">
      <w:pPr>
        <w:tabs>
          <w:tab w:val="left" w:pos="142"/>
          <w:tab w:val="right" w:pos="9026"/>
        </w:tabs>
        <w:spacing w:line="360" w:lineRule="auto"/>
        <w:ind w:firstLine="567"/>
        <w:jc w:val="both"/>
        <w:rPr>
          <w:lang w:val="en-US"/>
        </w:rPr>
      </w:pPr>
      <w:r w:rsidRPr="009627FD">
        <w:rPr>
          <w:lang w:val="en-US"/>
        </w:rPr>
        <w:t>To sum up,</w:t>
      </w:r>
      <w:r w:rsidR="002634EF" w:rsidRPr="009627FD">
        <w:rPr>
          <w:lang w:val="en-US"/>
        </w:rPr>
        <w:t xml:space="preserve"> the C-19ASS appears to be </w:t>
      </w:r>
      <w:r w:rsidR="009B50DA" w:rsidRPr="009627FD">
        <w:rPr>
          <w:lang w:val="en-US"/>
        </w:rPr>
        <w:t xml:space="preserve">a </w:t>
      </w:r>
      <w:r w:rsidR="00A32FB1" w:rsidRPr="009627FD">
        <w:rPr>
          <w:lang w:val="en-US"/>
        </w:rPr>
        <w:t>reliable</w:t>
      </w:r>
      <w:r w:rsidR="009B50DA" w:rsidRPr="009627FD">
        <w:rPr>
          <w:lang w:val="en-US"/>
        </w:rPr>
        <w:t xml:space="preserve"> </w:t>
      </w:r>
      <w:r w:rsidR="001C26C5" w:rsidRPr="009627FD">
        <w:rPr>
          <w:lang w:val="en-US"/>
        </w:rPr>
        <w:t xml:space="preserve">tool </w:t>
      </w:r>
      <w:r w:rsidR="008E48D6" w:rsidRPr="009627FD">
        <w:rPr>
          <w:lang w:val="en-US"/>
        </w:rPr>
        <w:t>to enable clinicians</w:t>
      </w:r>
      <w:r w:rsidR="00A1670A" w:rsidRPr="009627FD">
        <w:rPr>
          <w:lang w:val="en-US"/>
        </w:rPr>
        <w:t xml:space="preserve"> and </w:t>
      </w:r>
      <w:r w:rsidR="009B50DA" w:rsidRPr="009627FD">
        <w:rPr>
          <w:lang w:val="en-US"/>
        </w:rPr>
        <w:t>practitioners</w:t>
      </w:r>
      <w:r w:rsidR="008E48D6" w:rsidRPr="009627FD">
        <w:rPr>
          <w:lang w:val="en-US"/>
        </w:rPr>
        <w:t xml:space="preserve"> to </w:t>
      </w:r>
      <w:r w:rsidR="001C26C5" w:rsidRPr="009627FD">
        <w:rPr>
          <w:lang w:val="en-US"/>
        </w:rPr>
        <w:t>identify COVID-</w:t>
      </w:r>
      <w:r w:rsidR="00427B7A" w:rsidRPr="009627FD">
        <w:rPr>
          <w:lang w:val="en-US"/>
        </w:rPr>
        <w:t>19-</w:t>
      </w:r>
      <w:r w:rsidR="00A1670A" w:rsidRPr="009627FD">
        <w:rPr>
          <w:lang w:val="en-US"/>
        </w:rPr>
        <w:t>related</w:t>
      </w:r>
      <w:r w:rsidR="003A60E8" w:rsidRPr="009627FD">
        <w:rPr>
          <w:lang w:val="en-US"/>
        </w:rPr>
        <w:t xml:space="preserve"> </w:t>
      </w:r>
      <w:r w:rsidR="00427B7A" w:rsidRPr="009627FD">
        <w:rPr>
          <w:rFonts w:eastAsiaTheme="minorEastAsia"/>
          <w:lang w:val="en-US"/>
        </w:rPr>
        <w:t xml:space="preserve">dysfunctional </w:t>
      </w:r>
      <w:r w:rsidR="001C26C5" w:rsidRPr="009627FD">
        <w:rPr>
          <w:lang w:val="en-US"/>
        </w:rPr>
        <w:t xml:space="preserve">coping strategies </w:t>
      </w:r>
      <w:r w:rsidR="00D34D83" w:rsidRPr="009627FD">
        <w:rPr>
          <w:lang w:val="en-US"/>
        </w:rPr>
        <w:t xml:space="preserve">that may </w:t>
      </w:r>
      <w:r w:rsidR="00427B7A" w:rsidRPr="009627FD">
        <w:rPr>
          <w:rFonts w:eastAsiaTheme="minorEastAsia"/>
          <w:lang w:val="en-US"/>
        </w:rPr>
        <w:t xml:space="preserve">aggravate </w:t>
      </w:r>
      <w:r w:rsidR="004C7DAE" w:rsidRPr="009627FD">
        <w:rPr>
          <w:rFonts w:eastAsiaTheme="minorEastAsia"/>
          <w:lang w:val="en-US"/>
        </w:rPr>
        <w:t xml:space="preserve">health </w:t>
      </w:r>
      <w:r w:rsidR="001C26C5" w:rsidRPr="009627FD">
        <w:rPr>
          <w:rFonts w:eastAsiaTheme="minorEastAsia"/>
          <w:lang w:val="en-US"/>
        </w:rPr>
        <w:t>outcomes</w:t>
      </w:r>
      <w:r w:rsidR="00821D19" w:rsidRPr="009627FD">
        <w:rPr>
          <w:rFonts w:eastAsiaTheme="minorEastAsia"/>
          <w:lang w:val="en-US"/>
        </w:rPr>
        <w:t xml:space="preserve"> </w:t>
      </w:r>
      <w:r w:rsidR="00635091" w:rsidRPr="009627FD">
        <w:rPr>
          <w:lang w:val="en-US"/>
        </w:rPr>
        <w:t>(Albery et al., 2021; Akbari et al., 2021</w:t>
      </w:r>
      <w:r w:rsidR="00FD00C4" w:rsidRPr="009627FD">
        <w:rPr>
          <w:lang w:val="en-US"/>
        </w:rPr>
        <w:t>b</w:t>
      </w:r>
      <w:r w:rsidR="00635091" w:rsidRPr="009627FD">
        <w:rPr>
          <w:lang w:val="en-US"/>
        </w:rPr>
        <w:t xml:space="preserve">; </w:t>
      </w:r>
      <w:r w:rsidR="000D29E6" w:rsidRPr="009627FD">
        <w:rPr>
          <w:rFonts w:eastAsiaTheme="minorEastAsia"/>
          <w:lang w:val="en-US"/>
        </w:rPr>
        <w:t>Nikčević</w:t>
      </w:r>
      <w:r w:rsidR="000D29E6" w:rsidRPr="009627FD">
        <w:rPr>
          <w:lang w:val="en-US"/>
        </w:rPr>
        <w:t xml:space="preserve"> et al. 2021; </w:t>
      </w:r>
      <w:r w:rsidR="00FD00C4" w:rsidRPr="009627FD">
        <w:rPr>
          <w:rFonts w:eastAsiaTheme="minorEastAsia"/>
          <w:lang w:val="en-US"/>
        </w:rPr>
        <w:t>Nikčević</w:t>
      </w:r>
      <w:r w:rsidR="00635091" w:rsidRPr="009627FD">
        <w:rPr>
          <w:lang w:val="en-US"/>
        </w:rPr>
        <w:t>́ &amp; Spada, 2020)</w:t>
      </w:r>
      <w:r w:rsidR="00F60E1A" w:rsidRPr="009627FD">
        <w:rPr>
          <w:lang w:val="en-US"/>
        </w:rPr>
        <w:t>.</w:t>
      </w:r>
      <w:r w:rsidR="00635091" w:rsidRPr="009627FD">
        <w:rPr>
          <w:lang w:val="en-US"/>
        </w:rPr>
        <w:t xml:space="preserve"> </w:t>
      </w:r>
      <w:r w:rsidR="0035696F" w:rsidRPr="009627FD">
        <w:rPr>
          <w:rFonts w:eastAsiaTheme="minorEastAsia"/>
          <w:lang w:val="en-US"/>
        </w:rPr>
        <w:t>Within this framework, c</w:t>
      </w:r>
      <w:r w:rsidR="00FE0581" w:rsidRPr="009627FD">
        <w:rPr>
          <w:rFonts w:eastAsiaTheme="minorEastAsia"/>
          <w:lang w:val="en-US"/>
        </w:rPr>
        <w:t xml:space="preserve">onsidering </w:t>
      </w:r>
      <w:r w:rsidR="004C7DAE" w:rsidRPr="009627FD">
        <w:rPr>
          <w:rFonts w:eastAsiaTheme="minorEastAsia"/>
          <w:lang w:val="en-US"/>
        </w:rPr>
        <w:t>the current high prevalence of COVID-19 in Italy (around 9%; Bassi</w:t>
      </w:r>
      <w:r w:rsidR="00750209" w:rsidRPr="009627FD">
        <w:rPr>
          <w:rFonts w:eastAsiaTheme="minorEastAsia"/>
          <w:lang w:val="en-US"/>
        </w:rPr>
        <w:t>, Arbia, &amp; Falorsi</w:t>
      </w:r>
      <w:r w:rsidR="004C7DAE" w:rsidRPr="009627FD">
        <w:rPr>
          <w:rFonts w:eastAsiaTheme="minorEastAsia"/>
          <w:lang w:val="en-US"/>
        </w:rPr>
        <w:t xml:space="preserve">, 2021) and </w:t>
      </w:r>
      <w:r w:rsidR="00427B7A" w:rsidRPr="009627FD">
        <w:rPr>
          <w:rFonts w:eastAsiaTheme="minorEastAsia"/>
          <w:lang w:val="en-US"/>
        </w:rPr>
        <w:t>lack of an</w:t>
      </w:r>
      <w:r w:rsidR="00FE0581" w:rsidRPr="009627FD">
        <w:rPr>
          <w:rFonts w:eastAsiaTheme="minorEastAsia"/>
          <w:lang w:val="en-US"/>
        </w:rPr>
        <w:t xml:space="preserve"> instrument assessing </w:t>
      </w:r>
      <w:r w:rsidR="00427B7A" w:rsidRPr="009627FD">
        <w:rPr>
          <w:rFonts w:eastAsiaTheme="minorEastAsia"/>
          <w:lang w:val="en-US"/>
        </w:rPr>
        <w:t xml:space="preserve">the </w:t>
      </w:r>
      <w:r w:rsidR="00FE0581" w:rsidRPr="009627FD">
        <w:rPr>
          <w:lang w:val="en-US"/>
        </w:rPr>
        <w:t>COVID-19 anxiety syndrome</w:t>
      </w:r>
      <w:r w:rsidR="00427B7A" w:rsidRPr="009627FD">
        <w:rPr>
          <w:lang w:val="en-US"/>
        </w:rPr>
        <w:t>,</w:t>
      </w:r>
      <w:r w:rsidR="00FE0581" w:rsidRPr="009627FD">
        <w:rPr>
          <w:lang w:val="en-US"/>
        </w:rPr>
        <w:t xml:space="preserve"> </w:t>
      </w:r>
      <w:r w:rsidR="00FE0581" w:rsidRPr="009627FD">
        <w:rPr>
          <w:rFonts w:eastAsiaTheme="minorEastAsia"/>
          <w:lang w:val="en-US"/>
        </w:rPr>
        <w:t xml:space="preserve">there is a clear need for an assessment tool in Italian to measure this construct. </w:t>
      </w:r>
      <w:r w:rsidR="00821D19" w:rsidRPr="009627FD">
        <w:rPr>
          <w:lang w:val="en-US"/>
        </w:rPr>
        <w:t>T</w:t>
      </w:r>
      <w:r w:rsidR="00FE0581" w:rsidRPr="009627FD">
        <w:rPr>
          <w:lang w:val="en-US"/>
        </w:rPr>
        <w:t xml:space="preserve">he present study aimed to: </w:t>
      </w:r>
      <w:r w:rsidR="0057238D" w:rsidRPr="009627FD">
        <w:rPr>
          <w:lang w:val="en-US"/>
        </w:rPr>
        <w:t>(</w:t>
      </w:r>
      <w:r w:rsidR="00FE0581" w:rsidRPr="009627FD">
        <w:rPr>
          <w:lang w:val="en-US"/>
        </w:rPr>
        <w:t xml:space="preserve">1) </w:t>
      </w:r>
      <w:r w:rsidR="004C7DAE" w:rsidRPr="009627FD">
        <w:rPr>
          <w:lang w:val="en-US"/>
        </w:rPr>
        <w:t xml:space="preserve">provide a preliminary </w:t>
      </w:r>
      <w:r w:rsidR="009E0924" w:rsidRPr="009627FD">
        <w:rPr>
          <w:lang w:val="en-US"/>
        </w:rPr>
        <w:t>validat</w:t>
      </w:r>
      <w:r w:rsidR="004C7DAE" w:rsidRPr="009627FD">
        <w:rPr>
          <w:lang w:val="en-US"/>
        </w:rPr>
        <w:t>ion of</w:t>
      </w:r>
      <w:r w:rsidR="00344210" w:rsidRPr="009627FD">
        <w:rPr>
          <w:lang w:val="en-US"/>
        </w:rPr>
        <w:t xml:space="preserve"> </w:t>
      </w:r>
      <w:r w:rsidR="008F44D8" w:rsidRPr="009627FD">
        <w:rPr>
          <w:lang w:val="en-US"/>
        </w:rPr>
        <w:t xml:space="preserve">the </w:t>
      </w:r>
      <w:r w:rsidR="00FE0581" w:rsidRPr="009627FD">
        <w:rPr>
          <w:lang w:val="en-US"/>
        </w:rPr>
        <w:t xml:space="preserve">Italian </w:t>
      </w:r>
      <w:r w:rsidR="000F7F3E" w:rsidRPr="009627FD">
        <w:rPr>
          <w:lang w:val="en-US"/>
        </w:rPr>
        <w:t>version of the C</w:t>
      </w:r>
      <w:r w:rsidR="00A84181" w:rsidRPr="009627FD">
        <w:rPr>
          <w:lang w:val="en-US"/>
        </w:rPr>
        <w:t>-19</w:t>
      </w:r>
      <w:r w:rsidR="000F7F3E" w:rsidRPr="009627FD">
        <w:rPr>
          <w:lang w:val="en-US"/>
        </w:rPr>
        <w:t xml:space="preserve">ASS </w:t>
      </w:r>
      <w:r w:rsidR="00344210" w:rsidRPr="009627FD">
        <w:rPr>
          <w:lang w:val="en-US"/>
        </w:rPr>
        <w:t xml:space="preserve">by </w:t>
      </w:r>
      <w:r w:rsidR="00A8019C" w:rsidRPr="009627FD">
        <w:rPr>
          <w:lang w:val="en-US"/>
        </w:rPr>
        <w:t>evaluating the</w:t>
      </w:r>
      <w:r w:rsidR="00344210" w:rsidRPr="009627FD">
        <w:rPr>
          <w:lang w:val="en-US"/>
        </w:rPr>
        <w:t xml:space="preserve"> factor structure, </w:t>
      </w:r>
      <w:r w:rsidR="00FC7B55" w:rsidRPr="009627FD">
        <w:rPr>
          <w:lang w:val="en-US"/>
        </w:rPr>
        <w:t xml:space="preserve">construct validity, internal </w:t>
      </w:r>
      <w:r w:rsidR="00344210" w:rsidRPr="009627FD">
        <w:rPr>
          <w:lang w:val="en-US"/>
        </w:rPr>
        <w:t xml:space="preserve">reliability, concurrent validity and incremental validity of the </w:t>
      </w:r>
      <w:r w:rsidR="000C3A31" w:rsidRPr="009627FD">
        <w:rPr>
          <w:lang w:val="en-US"/>
        </w:rPr>
        <w:t xml:space="preserve">Italian version of the </w:t>
      </w:r>
      <w:r w:rsidR="00344210" w:rsidRPr="009627FD">
        <w:rPr>
          <w:lang w:val="en-US"/>
        </w:rPr>
        <w:t>C</w:t>
      </w:r>
      <w:r w:rsidR="00A84181" w:rsidRPr="009627FD">
        <w:rPr>
          <w:lang w:val="en-US"/>
        </w:rPr>
        <w:t>-19</w:t>
      </w:r>
      <w:r w:rsidR="00344210" w:rsidRPr="009627FD">
        <w:rPr>
          <w:lang w:val="en-US"/>
        </w:rPr>
        <w:t>ASS</w:t>
      </w:r>
      <w:r w:rsidR="00FE0581" w:rsidRPr="009627FD">
        <w:rPr>
          <w:lang w:val="en-US"/>
        </w:rPr>
        <w:t xml:space="preserve">; </w:t>
      </w:r>
      <w:r w:rsidR="00037806" w:rsidRPr="009627FD">
        <w:rPr>
          <w:lang w:val="en-US"/>
        </w:rPr>
        <w:t xml:space="preserve">and </w:t>
      </w:r>
      <w:r w:rsidR="0057238D" w:rsidRPr="009627FD">
        <w:rPr>
          <w:lang w:val="en-US"/>
        </w:rPr>
        <w:t>(</w:t>
      </w:r>
      <w:r w:rsidR="00650613" w:rsidRPr="009627FD">
        <w:rPr>
          <w:lang w:val="en-US"/>
        </w:rPr>
        <w:t>2</w:t>
      </w:r>
      <w:r w:rsidR="00FE0581" w:rsidRPr="009627FD">
        <w:rPr>
          <w:lang w:val="en-US"/>
        </w:rPr>
        <w:t>) explor</w:t>
      </w:r>
      <w:r w:rsidR="00344210" w:rsidRPr="009627FD">
        <w:rPr>
          <w:lang w:val="en-US"/>
        </w:rPr>
        <w:t xml:space="preserve">e </w:t>
      </w:r>
      <w:r w:rsidR="009E0924" w:rsidRPr="009627FD">
        <w:rPr>
          <w:lang w:val="en-US"/>
        </w:rPr>
        <w:t>whether the</w:t>
      </w:r>
      <w:r w:rsidR="00FE0581" w:rsidRPr="009627FD">
        <w:rPr>
          <w:lang w:val="en-US"/>
        </w:rPr>
        <w:t xml:space="preserve"> </w:t>
      </w:r>
      <w:r w:rsidR="009E0924" w:rsidRPr="009627FD">
        <w:rPr>
          <w:lang w:val="en-US"/>
        </w:rPr>
        <w:t>C</w:t>
      </w:r>
      <w:r w:rsidR="00A84181" w:rsidRPr="009627FD">
        <w:rPr>
          <w:lang w:val="en-US"/>
        </w:rPr>
        <w:t>-19</w:t>
      </w:r>
      <w:r w:rsidR="009E0924" w:rsidRPr="009627FD">
        <w:rPr>
          <w:lang w:val="en-US"/>
        </w:rPr>
        <w:t xml:space="preserve">ASS </w:t>
      </w:r>
      <w:r w:rsidR="004C7DAE" w:rsidRPr="009627FD">
        <w:rPr>
          <w:lang w:val="en-US"/>
        </w:rPr>
        <w:t xml:space="preserve">would </w:t>
      </w:r>
      <w:r w:rsidR="009E0924" w:rsidRPr="009627FD">
        <w:rPr>
          <w:lang w:val="en-US"/>
        </w:rPr>
        <w:t>mediate</w:t>
      </w:r>
      <w:r w:rsidR="00FE0581" w:rsidRPr="009627FD">
        <w:rPr>
          <w:lang w:val="en-US"/>
        </w:rPr>
        <w:t xml:space="preserve"> the relationship between Big Five personality traits and </w:t>
      </w:r>
      <w:r w:rsidR="009B50DA" w:rsidRPr="009627FD">
        <w:rPr>
          <w:lang w:val="en-US"/>
        </w:rPr>
        <w:t xml:space="preserve">psychological </w:t>
      </w:r>
      <w:r w:rsidR="00037806" w:rsidRPr="009627FD">
        <w:rPr>
          <w:lang w:val="en-US"/>
        </w:rPr>
        <w:t xml:space="preserve">outcomes </w:t>
      </w:r>
      <w:r w:rsidR="00FF5015" w:rsidRPr="009627FD">
        <w:rPr>
          <w:lang w:val="en-US"/>
        </w:rPr>
        <w:t xml:space="preserve">(i.e., depression, generalized anxiety, and health </w:t>
      </w:r>
      <w:r w:rsidR="005D60F0" w:rsidRPr="009627FD">
        <w:rPr>
          <w:lang w:val="en-US"/>
        </w:rPr>
        <w:t>anxiety</w:t>
      </w:r>
      <w:r w:rsidR="00FF5015" w:rsidRPr="009627FD">
        <w:rPr>
          <w:lang w:val="en-US"/>
        </w:rPr>
        <w:t xml:space="preserve">) </w:t>
      </w:r>
      <w:r w:rsidR="008F44D8" w:rsidRPr="009627FD">
        <w:rPr>
          <w:lang w:val="en-US"/>
        </w:rPr>
        <w:t>in the Italian population</w:t>
      </w:r>
      <w:r w:rsidR="00A63CC3" w:rsidRPr="009627FD">
        <w:rPr>
          <w:lang w:val="en-US"/>
        </w:rPr>
        <w:t xml:space="preserve"> (Figure 1)</w:t>
      </w:r>
      <w:r w:rsidR="004C7DAE" w:rsidRPr="009627FD">
        <w:rPr>
          <w:lang w:val="en-US"/>
        </w:rPr>
        <w:t>, similarly to what has been found in UK and Iranian samples (Akbari et al., 2021</w:t>
      </w:r>
      <w:r w:rsidR="00FD00C4" w:rsidRPr="009627FD">
        <w:rPr>
          <w:lang w:val="en-US"/>
        </w:rPr>
        <w:t>b</w:t>
      </w:r>
      <w:r w:rsidR="004C7DAE" w:rsidRPr="009627FD">
        <w:rPr>
          <w:lang w:val="en-US"/>
        </w:rPr>
        <w:t>; Nikcevic et al. 2021)</w:t>
      </w:r>
      <w:r w:rsidR="00FE0581" w:rsidRPr="009627FD">
        <w:rPr>
          <w:lang w:val="en-US"/>
        </w:rPr>
        <w:t xml:space="preserve">. </w:t>
      </w:r>
    </w:p>
    <w:p w14:paraId="3ECA388F" w14:textId="6EE8A0E9" w:rsidR="009627FD" w:rsidRDefault="009627FD" w:rsidP="005B4520">
      <w:pPr>
        <w:tabs>
          <w:tab w:val="left" w:pos="142"/>
          <w:tab w:val="right" w:pos="9026"/>
        </w:tabs>
        <w:spacing w:line="360" w:lineRule="auto"/>
        <w:ind w:firstLine="567"/>
        <w:jc w:val="both"/>
        <w:rPr>
          <w:lang w:val="en-US"/>
        </w:rPr>
      </w:pPr>
    </w:p>
    <w:p w14:paraId="6D71F81D" w14:textId="484858E9" w:rsidR="009627FD" w:rsidRDefault="009627FD" w:rsidP="005B4520">
      <w:pPr>
        <w:tabs>
          <w:tab w:val="left" w:pos="142"/>
          <w:tab w:val="right" w:pos="9026"/>
        </w:tabs>
        <w:spacing w:line="360" w:lineRule="auto"/>
        <w:ind w:firstLine="567"/>
        <w:jc w:val="both"/>
        <w:rPr>
          <w:lang w:val="en-US"/>
        </w:rPr>
      </w:pPr>
    </w:p>
    <w:p w14:paraId="1A87BD89" w14:textId="77777777" w:rsidR="009627FD" w:rsidRPr="009627FD" w:rsidRDefault="009627FD" w:rsidP="005B4520">
      <w:pPr>
        <w:tabs>
          <w:tab w:val="left" w:pos="142"/>
          <w:tab w:val="right" w:pos="9026"/>
        </w:tabs>
        <w:spacing w:line="360" w:lineRule="auto"/>
        <w:ind w:firstLine="567"/>
        <w:jc w:val="both"/>
        <w:rPr>
          <w:lang w:val="en-US"/>
        </w:rPr>
      </w:pPr>
    </w:p>
    <w:p w14:paraId="1D1B236E" w14:textId="34406114" w:rsidR="00C146A6" w:rsidRPr="009627FD" w:rsidRDefault="00C146A6" w:rsidP="00522ACB">
      <w:pPr>
        <w:spacing w:line="360" w:lineRule="auto"/>
        <w:rPr>
          <w:b/>
          <w:bCs/>
          <w:lang w:val="en-US"/>
        </w:rPr>
      </w:pPr>
      <w:r w:rsidRPr="009627FD">
        <w:rPr>
          <w:b/>
          <w:bCs/>
          <w:lang w:val="en-US"/>
        </w:rPr>
        <w:lastRenderedPageBreak/>
        <w:t xml:space="preserve">Study 1 </w:t>
      </w:r>
      <w:bookmarkStart w:id="0" w:name="_Hlk40266279"/>
      <w:r w:rsidRPr="009627FD">
        <w:rPr>
          <w:b/>
          <w:lang w:val="en-US"/>
        </w:rPr>
        <w:t>Translation and adaptation of a</w:t>
      </w:r>
      <w:r w:rsidR="000129B5" w:rsidRPr="009627FD">
        <w:rPr>
          <w:b/>
          <w:lang w:val="en-US"/>
        </w:rPr>
        <w:t>n</w:t>
      </w:r>
      <w:r w:rsidRPr="009627FD">
        <w:rPr>
          <w:b/>
          <w:lang w:val="en-US"/>
        </w:rPr>
        <w:t xml:space="preserve"> Italian Version of </w:t>
      </w:r>
      <w:bookmarkEnd w:id="0"/>
      <w:r w:rsidRPr="009627FD">
        <w:rPr>
          <w:b/>
          <w:bCs/>
          <w:lang w:val="en-US"/>
        </w:rPr>
        <w:t xml:space="preserve">the </w:t>
      </w:r>
      <w:r w:rsidRPr="009627FD">
        <w:rPr>
          <w:b/>
          <w:iCs/>
          <w:lang w:val="en-US"/>
        </w:rPr>
        <w:t>COVID-19 Anxiety Syndrome Scale (</w:t>
      </w:r>
      <w:r w:rsidRPr="009627FD">
        <w:rPr>
          <w:b/>
          <w:bCs/>
          <w:lang w:val="en-US"/>
        </w:rPr>
        <w:t>C</w:t>
      </w:r>
      <w:r w:rsidR="00940391" w:rsidRPr="009627FD">
        <w:rPr>
          <w:b/>
          <w:bCs/>
          <w:lang w:val="en-US"/>
        </w:rPr>
        <w:t>-19</w:t>
      </w:r>
      <w:r w:rsidRPr="009627FD">
        <w:rPr>
          <w:b/>
          <w:bCs/>
          <w:lang w:val="en-US"/>
        </w:rPr>
        <w:t xml:space="preserve">ASS) </w:t>
      </w:r>
    </w:p>
    <w:p w14:paraId="352AFE6A" w14:textId="07786C97" w:rsidR="00C146A6" w:rsidRPr="009627FD" w:rsidRDefault="00C146A6" w:rsidP="00522ACB">
      <w:pPr>
        <w:spacing w:line="360" w:lineRule="auto"/>
        <w:jc w:val="both"/>
        <w:rPr>
          <w:b/>
          <w:bCs/>
          <w:lang w:val="en-US"/>
        </w:rPr>
      </w:pPr>
      <w:r w:rsidRPr="009627FD">
        <w:rPr>
          <w:b/>
          <w:bCs/>
          <w:lang w:val="en-US"/>
        </w:rPr>
        <w:t>2. Methods</w:t>
      </w:r>
    </w:p>
    <w:p w14:paraId="4D6EFEF9" w14:textId="31EA8E89" w:rsidR="00C146A6" w:rsidRPr="009627FD" w:rsidRDefault="00C146A6" w:rsidP="00522ACB">
      <w:pPr>
        <w:spacing w:line="360" w:lineRule="auto"/>
        <w:jc w:val="both"/>
        <w:rPr>
          <w:b/>
          <w:bCs/>
          <w:iCs/>
          <w:lang w:val="en-US"/>
        </w:rPr>
      </w:pPr>
      <w:r w:rsidRPr="009627FD">
        <w:rPr>
          <w:b/>
          <w:bCs/>
          <w:iCs/>
          <w:lang w:val="en-US"/>
        </w:rPr>
        <w:t>2.1</w:t>
      </w:r>
      <w:r w:rsidR="005820AC" w:rsidRPr="009627FD">
        <w:rPr>
          <w:b/>
          <w:bCs/>
          <w:iCs/>
          <w:lang w:val="en-US"/>
        </w:rPr>
        <w:t>.</w:t>
      </w:r>
      <w:r w:rsidRPr="009627FD">
        <w:rPr>
          <w:b/>
          <w:bCs/>
          <w:iCs/>
          <w:lang w:val="en-US"/>
        </w:rPr>
        <w:t xml:space="preserve"> Participants</w:t>
      </w:r>
    </w:p>
    <w:p w14:paraId="363887D3" w14:textId="5514AF95" w:rsidR="00C146A6" w:rsidRPr="009627FD" w:rsidRDefault="00C146A6" w:rsidP="00971F49">
      <w:pPr>
        <w:spacing w:line="360" w:lineRule="auto"/>
        <w:ind w:firstLine="708"/>
        <w:jc w:val="both"/>
        <w:rPr>
          <w:lang w:val="en-US"/>
        </w:rPr>
      </w:pPr>
      <w:r w:rsidRPr="009627FD">
        <w:rPr>
          <w:lang w:val="en-US"/>
        </w:rPr>
        <w:t xml:space="preserve">A convenience sample was recruited from the general population between </w:t>
      </w:r>
      <w:r w:rsidR="00945500" w:rsidRPr="009627FD">
        <w:rPr>
          <w:lang w:val="en-US"/>
        </w:rPr>
        <w:t>February</w:t>
      </w:r>
      <w:r w:rsidRPr="009627FD">
        <w:rPr>
          <w:lang w:val="en-US"/>
        </w:rPr>
        <w:t xml:space="preserve"> and </w:t>
      </w:r>
      <w:r w:rsidR="00945500" w:rsidRPr="009627FD">
        <w:rPr>
          <w:lang w:val="en-US"/>
        </w:rPr>
        <w:t xml:space="preserve">May </w:t>
      </w:r>
      <w:r w:rsidRPr="009627FD">
        <w:rPr>
          <w:lang w:val="en-US"/>
        </w:rPr>
        <w:t>2021. Participants were eligible for inclusion in the study if they: (1) were 18 years of age or above; (2) reside</w:t>
      </w:r>
      <w:r w:rsidR="00730CDC" w:rsidRPr="009627FD">
        <w:rPr>
          <w:lang w:val="en-US"/>
        </w:rPr>
        <w:t>d</w:t>
      </w:r>
      <w:r w:rsidRPr="009627FD">
        <w:rPr>
          <w:lang w:val="en-US"/>
        </w:rPr>
        <w:t xml:space="preserve"> in Italy; (3) </w:t>
      </w:r>
      <w:r w:rsidR="00730CDC" w:rsidRPr="009627FD">
        <w:rPr>
          <w:lang w:val="en-US"/>
        </w:rPr>
        <w:t xml:space="preserve">understood </w:t>
      </w:r>
      <w:r w:rsidRPr="009627FD">
        <w:rPr>
          <w:lang w:val="en-US"/>
        </w:rPr>
        <w:t>written Italian; and (4) consent</w:t>
      </w:r>
      <w:r w:rsidR="00730CDC" w:rsidRPr="009627FD">
        <w:rPr>
          <w:lang w:val="en-US"/>
        </w:rPr>
        <w:t>ed</w:t>
      </w:r>
      <w:r w:rsidRPr="009627FD">
        <w:rPr>
          <w:lang w:val="en-US"/>
        </w:rPr>
        <w:t xml:space="preserve"> to participate. Eligibility criteria were minimal to attract a sample that represented a broad range of individuals. </w:t>
      </w:r>
    </w:p>
    <w:p w14:paraId="77589FB2" w14:textId="64BACC67" w:rsidR="00B2567E" w:rsidRPr="009627FD" w:rsidRDefault="0023285E" w:rsidP="00B2567E">
      <w:pPr>
        <w:spacing w:line="360" w:lineRule="auto"/>
        <w:ind w:firstLine="708"/>
        <w:jc w:val="both"/>
        <w:rPr>
          <w:lang w:val="en-US"/>
        </w:rPr>
      </w:pPr>
      <w:r w:rsidRPr="009627FD">
        <w:rPr>
          <w:lang w:val="en-US"/>
        </w:rPr>
        <w:t>A total of 271 individuals completed the C-19ASS, 182 (67%) were females and 89 (33%) were males. The mean age was 31.71±15.24 years. With regards to ethnic background, 261 (96.3%) participants were White, 2 (.7%) were Black, 7 (2.6%) were Latin American and one (.4%) was Asian. With regards to education level, 7 (3%) participants completed secondary school, 126 (46.5%) completed high school, 106 (39%) were graduates and 32 (12%) achieved post-graduate degrees. With regards to civil status, 65 (24%) participants were married, 185 (68%) were unmarried, 20 (7%) were cohabitants, and one (.4%) was widower. With regards to working status, 75 (28%) participants were unemployed, 115 (42%) were employed, and 81 (30%) were retired and</w:t>
      </w:r>
      <w:r w:rsidR="005456C4" w:rsidRPr="009627FD">
        <w:rPr>
          <w:lang w:val="en-US"/>
        </w:rPr>
        <w:t>/or</w:t>
      </w:r>
      <w:r w:rsidRPr="009627FD">
        <w:rPr>
          <w:lang w:val="en-US"/>
        </w:rPr>
        <w:t xml:space="preserve"> </w:t>
      </w:r>
      <w:r w:rsidR="005456C4" w:rsidRPr="009627FD">
        <w:rPr>
          <w:lang w:val="en-US"/>
        </w:rPr>
        <w:t xml:space="preserve">a </w:t>
      </w:r>
      <w:r w:rsidRPr="009627FD">
        <w:rPr>
          <w:lang w:val="en-US"/>
        </w:rPr>
        <w:t>housewife.</w:t>
      </w:r>
      <w:r w:rsidR="00B2567E" w:rsidRPr="009627FD">
        <w:rPr>
          <w:lang w:val="en-US"/>
        </w:rPr>
        <w:t xml:space="preserve"> With regards to COVID-19-related clinical features, 171 (63%) participants had been tested for COVID-19, 22 (8%) had been diagnosed with COVID-19, 253 (93%) knew people that had been diagnosed with COVID-19, 30 (11%) had experienced loss as a consequence of COVID-19, and 159 (59%) perceived themselves to be vulnerable to the disease.  </w:t>
      </w:r>
    </w:p>
    <w:p w14:paraId="31BF7CAD" w14:textId="15A0D101" w:rsidR="00C146A6" w:rsidRPr="009627FD" w:rsidRDefault="00C146A6" w:rsidP="00522ACB">
      <w:pPr>
        <w:spacing w:line="360" w:lineRule="auto"/>
        <w:jc w:val="both"/>
        <w:rPr>
          <w:b/>
          <w:bCs/>
          <w:iCs/>
          <w:lang w:val="en-US"/>
        </w:rPr>
      </w:pPr>
      <w:r w:rsidRPr="009627FD">
        <w:rPr>
          <w:b/>
          <w:bCs/>
          <w:iCs/>
          <w:lang w:val="en-US"/>
        </w:rPr>
        <w:t xml:space="preserve">2.2. Procedure and </w:t>
      </w:r>
      <w:r w:rsidR="00DB4FA4" w:rsidRPr="009627FD">
        <w:rPr>
          <w:b/>
          <w:bCs/>
          <w:iCs/>
          <w:lang w:val="en-US"/>
        </w:rPr>
        <w:t>measures</w:t>
      </w:r>
    </w:p>
    <w:p w14:paraId="58C48689" w14:textId="4745CBD6" w:rsidR="00522ACB" w:rsidRPr="009627FD" w:rsidRDefault="00C146A6" w:rsidP="00522ACB">
      <w:pPr>
        <w:spacing w:line="360" w:lineRule="auto"/>
        <w:ind w:firstLine="708"/>
        <w:jc w:val="both"/>
        <w:rPr>
          <w:lang w:val="en-US"/>
        </w:rPr>
      </w:pPr>
      <w:r w:rsidRPr="009627FD">
        <w:rPr>
          <w:lang w:val="en-US"/>
        </w:rPr>
        <w:t xml:space="preserve">Ethics approval for the study was obtained from Sigmund Freud University, </w:t>
      </w:r>
      <w:r w:rsidR="005F06FF" w:rsidRPr="009627FD">
        <w:rPr>
          <w:lang w:val="en-US"/>
        </w:rPr>
        <w:t xml:space="preserve">Milan </w:t>
      </w:r>
      <w:r w:rsidRPr="009627FD">
        <w:rPr>
          <w:lang w:val="en-US"/>
        </w:rPr>
        <w:t xml:space="preserve">branch. All procedures contributing to this work comply with the ethical standards of the relevant national and institutional committees on human experimentation and with the Helsinki Declaration of 1975, as revised in 2008. </w:t>
      </w:r>
    </w:p>
    <w:p w14:paraId="27412CC1" w14:textId="51F910CD" w:rsidR="00C146A6" w:rsidRPr="009627FD" w:rsidRDefault="008B701A" w:rsidP="00CB2744">
      <w:pPr>
        <w:spacing w:line="360" w:lineRule="auto"/>
        <w:ind w:firstLine="708"/>
        <w:jc w:val="both"/>
        <w:rPr>
          <w:shd w:val="clear" w:color="auto" w:fill="FFFFFF"/>
          <w:lang w:val="en-US"/>
        </w:rPr>
      </w:pPr>
      <w:r w:rsidRPr="009627FD">
        <w:rPr>
          <w:shd w:val="clear" w:color="auto" w:fill="FFFFFF"/>
          <w:lang w:val="en-US"/>
        </w:rPr>
        <w:t>T</w:t>
      </w:r>
      <w:r w:rsidR="00C146A6" w:rsidRPr="009627FD">
        <w:rPr>
          <w:shd w:val="clear" w:color="auto" w:fill="FFFFFF"/>
          <w:lang w:val="en-US"/>
        </w:rPr>
        <w:t xml:space="preserve">he original C-19ASS </w:t>
      </w:r>
      <w:r w:rsidRPr="009627FD">
        <w:rPr>
          <w:shd w:val="clear" w:color="auto" w:fill="FFFFFF"/>
          <w:lang w:val="en-US"/>
        </w:rPr>
        <w:t>(</w:t>
      </w:r>
      <w:r w:rsidR="00940391" w:rsidRPr="009627FD">
        <w:rPr>
          <w:rFonts w:eastAsiaTheme="minorEastAsia"/>
          <w:lang w:val="en-US"/>
        </w:rPr>
        <w:t>Nikčević</w:t>
      </w:r>
      <w:r w:rsidR="00940391" w:rsidRPr="009627FD">
        <w:rPr>
          <w:lang w:val="en-US"/>
        </w:rPr>
        <w:t xml:space="preserve"> </w:t>
      </w:r>
      <w:r w:rsidRPr="009627FD">
        <w:rPr>
          <w:lang w:val="en-US"/>
        </w:rPr>
        <w:t>&amp; Spada, 2020</w:t>
      </w:r>
      <w:r w:rsidRPr="009627FD">
        <w:rPr>
          <w:shd w:val="clear" w:color="auto" w:fill="FFFFFF"/>
          <w:lang w:val="en-US"/>
        </w:rPr>
        <w:t xml:space="preserve">) </w:t>
      </w:r>
      <w:r w:rsidR="00C146A6" w:rsidRPr="009627FD">
        <w:rPr>
          <w:shd w:val="clear" w:color="auto" w:fill="FFFFFF"/>
          <w:lang w:val="en-US"/>
        </w:rPr>
        <w:t xml:space="preserve">was translated into Italian </w:t>
      </w:r>
      <w:r w:rsidR="00FD188E" w:rsidRPr="009627FD">
        <w:rPr>
          <w:shd w:val="clear" w:color="auto" w:fill="FFFFFF"/>
          <w:lang w:val="en-US"/>
        </w:rPr>
        <w:t>utilizing</w:t>
      </w:r>
      <w:r w:rsidR="00C146A6" w:rsidRPr="009627FD">
        <w:rPr>
          <w:shd w:val="clear" w:color="auto" w:fill="FFFFFF"/>
          <w:lang w:val="en-US"/>
        </w:rPr>
        <w:t xml:space="preserve"> </w:t>
      </w:r>
      <w:r w:rsidR="00730CDC" w:rsidRPr="009627FD">
        <w:rPr>
          <w:shd w:val="clear" w:color="auto" w:fill="FFFFFF"/>
          <w:lang w:val="en-US"/>
        </w:rPr>
        <w:t xml:space="preserve">the </w:t>
      </w:r>
      <w:r w:rsidR="00C146A6" w:rsidRPr="009627FD">
        <w:rPr>
          <w:shd w:val="clear" w:color="auto" w:fill="FFFFFF"/>
          <w:lang w:val="en-US"/>
        </w:rPr>
        <w:t xml:space="preserve">forward and </w:t>
      </w:r>
      <w:r w:rsidR="006A6A80" w:rsidRPr="009627FD">
        <w:rPr>
          <w:shd w:val="clear" w:color="auto" w:fill="FFFFFF"/>
          <w:lang w:val="en-US"/>
        </w:rPr>
        <w:t>backward</w:t>
      </w:r>
      <w:r w:rsidR="00C146A6" w:rsidRPr="009627FD">
        <w:rPr>
          <w:shd w:val="clear" w:color="auto" w:fill="FFFFFF"/>
          <w:lang w:val="en-US"/>
        </w:rPr>
        <w:t>-translation method</w:t>
      </w:r>
      <w:r w:rsidRPr="009627FD">
        <w:rPr>
          <w:shd w:val="clear" w:color="auto" w:fill="FFFFFF"/>
          <w:lang w:val="en-US"/>
        </w:rPr>
        <w:t xml:space="preserve"> (Sousa </w:t>
      </w:r>
      <w:r w:rsidR="00940391" w:rsidRPr="009627FD">
        <w:rPr>
          <w:shd w:val="clear" w:color="auto" w:fill="FFFFFF"/>
          <w:lang w:val="en-US"/>
        </w:rPr>
        <w:t xml:space="preserve">&amp; </w:t>
      </w:r>
      <w:r w:rsidR="00940391" w:rsidRPr="009627FD">
        <w:rPr>
          <w:noProof/>
          <w:lang w:val="en-US"/>
        </w:rPr>
        <w:t>Rojjanasrirat</w:t>
      </w:r>
      <w:r w:rsidRPr="009627FD">
        <w:rPr>
          <w:shd w:val="clear" w:color="auto" w:fill="FFFFFF"/>
          <w:lang w:val="en-US"/>
        </w:rPr>
        <w:t>, 2011)</w:t>
      </w:r>
      <w:r w:rsidR="00C146A6" w:rsidRPr="009627FD">
        <w:rPr>
          <w:shd w:val="clear" w:color="auto" w:fill="FFFFFF"/>
          <w:lang w:val="en-US"/>
        </w:rPr>
        <w:t xml:space="preserve">. First, the C-19ASS </w:t>
      </w:r>
      <w:r w:rsidR="00600486" w:rsidRPr="009627FD">
        <w:rPr>
          <w:shd w:val="clear" w:color="auto" w:fill="FFFFFF"/>
          <w:lang w:val="en-US"/>
        </w:rPr>
        <w:t>was translated into Itali</w:t>
      </w:r>
      <w:r w:rsidR="00C146A6" w:rsidRPr="009627FD">
        <w:rPr>
          <w:shd w:val="clear" w:color="auto" w:fill="FFFFFF"/>
          <w:lang w:val="en-US"/>
        </w:rPr>
        <w:t>a</w:t>
      </w:r>
      <w:r w:rsidR="00600486" w:rsidRPr="009627FD">
        <w:rPr>
          <w:shd w:val="clear" w:color="auto" w:fill="FFFFFF"/>
          <w:lang w:val="en-US"/>
        </w:rPr>
        <w:t>n</w:t>
      </w:r>
      <w:r w:rsidR="00C146A6" w:rsidRPr="009627FD">
        <w:rPr>
          <w:shd w:val="clear" w:color="auto" w:fill="FFFFFF"/>
          <w:lang w:val="en-US"/>
        </w:rPr>
        <w:t xml:space="preserve"> by two bilingual independent translators. Second, </w:t>
      </w:r>
      <w:r w:rsidR="00600486" w:rsidRPr="009627FD">
        <w:rPr>
          <w:shd w:val="clear" w:color="auto" w:fill="FFFFFF"/>
          <w:lang w:val="en-US"/>
        </w:rPr>
        <w:t>t</w:t>
      </w:r>
      <w:r w:rsidR="00C146A6" w:rsidRPr="009627FD">
        <w:rPr>
          <w:shd w:val="clear" w:color="auto" w:fill="FFFFFF"/>
          <w:lang w:val="en-US"/>
        </w:rPr>
        <w:t>he Italian version was back</w:t>
      </w:r>
      <w:r w:rsidR="005F06FF" w:rsidRPr="009627FD">
        <w:rPr>
          <w:shd w:val="clear" w:color="auto" w:fill="FFFFFF"/>
          <w:lang w:val="en-US"/>
        </w:rPr>
        <w:t xml:space="preserve"> </w:t>
      </w:r>
      <w:r w:rsidR="00C146A6" w:rsidRPr="009627FD">
        <w:rPr>
          <w:shd w:val="clear" w:color="auto" w:fill="FFFFFF"/>
          <w:lang w:val="en-US"/>
        </w:rPr>
        <w:t xml:space="preserve">translated into English by </w:t>
      </w:r>
      <w:r w:rsidR="005F06FF" w:rsidRPr="009627FD">
        <w:rPr>
          <w:shd w:val="clear" w:color="auto" w:fill="FFFFFF"/>
          <w:lang w:val="en-US"/>
        </w:rPr>
        <w:t xml:space="preserve">another </w:t>
      </w:r>
      <w:r w:rsidR="00C146A6" w:rsidRPr="009627FD">
        <w:rPr>
          <w:shd w:val="clear" w:color="auto" w:fill="FFFFFF"/>
          <w:lang w:val="en-US"/>
        </w:rPr>
        <w:t xml:space="preserve">two bilingual independent translators. A comparison was made between both the forward and backward translations of the </w:t>
      </w:r>
      <w:r w:rsidR="00552358" w:rsidRPr="009627FD">
        <w:rPr>
          <w:shd w:val="clear" w:color="auto" w:fill="FFFFFF"/>
          <w:lang w:val="en-US"/>
        </w:rPr>
        <w:t>measure</w:t>
      </w:r>
      <w:r w:rsidR="00C146A6" w:rsidRPr="009627FD">
        <w:rPr>
          <w:shd w:val="clear" w:color="auto" w:fill="FFFFFF"/>
          <w:lang w:val="en-US"/>
        </w:rPr>
        <w:t xml:space="preserve"> to evaluate for any discrepancy of sentence structure and ensure the translation's accuracy. Discrepancies were examined with the collaboration of the authors of the C-19ASS. Then, a pilot-testing of </w:t>
      </w:r>
      <w:r w:rsidR="005F06FF" w:rsidRPr="009627FD">
        <w:rPr>
          <w:shd w:val="clear" w:color="auto" w:fill="FFFFFF"/>
          <w:lang w:val="en-US"/>
        </w:rPr>
        <w:t xml:space="preserve">the </w:t>
      </w:r>
      <w:r w:rsidR="00C146A6" w:rsidRPr="009627FD">
        <w:rPr>
          <w:shd w:val="clear" w:color="auto" w:fill="FFFFFF"/>
          <w:lang w:val="en-US"/>
        </w:rPr>
        <w:t xml:space="preserve">final version </w:t>
      </w:r>
      <w:r w:rsidR="005F06FF" w:rsidRPr="009627FD">
        <w:rPr>
          <w:shd w:val="clear" w:color="auto" w:fill="FFFFFF"/>
          <w:lang w:val="en-US"/>
        </w:rPr>
        <w:t xml:space="preserve">of the </w:t>
      </w:r>
      <w:r w:rsidR="00552358" w:rsidRPr="009627FD">
        <w:rPr>
          <w:shd w:val="clear" w:color="auto" w:fill="FFFFFF"/>
          <w:lang w:val="en-US"/>
        </w:rPr>
        <w:t>measure</w:t>
      </w:r>
      <w:r w:rsidR="005F06FF" w:rsidRPr="009627FD">
        <w:rPr>
          <w:shd w:val="clear" w:color="auto" w:fill="FFFFFF"/>
          <w:lang w:val="en-US"/>
        </w:rPr>
        <w:t xml:space="preserve"> </w:t>
      </w:r>
      <w:r w:rsidR="00C146A6" w:rsidRPr="009627FD">
        <w:rPr>
          <w:shd w:val="clear" w:color="auto" w:fill="FFFFFF"/>
          <w:lang w:val="en-US"/>
        </w:rPr>
        <w:t xml:space="preserve">was </w:t>
      </w:r>
      <w:r w:rsidR="005F06FF" w:rsidRPr="009627FD">
        <w:rPr>
          <w:shd w:val="clear" w:color="auto" w:fill="FFFFFF"/>
          <w:lang w:val="en-US"/>
        </w:rPr>
        <w:t xml:space="preserve">tested </w:t>
      </w:r>
      <w:r w:rsidR="00C146A6" w:rsidRPr="009627FD">
        <w:rPr>
          <w:shd w:val="clear" w:color="auto" w:fill="FFFFFF"/>
          <w:lang w:val="en-US"/>
        </w:rPr>
        <w:t xml:space="preserve">in 10 healthy volunteers. </w:t>
      </w:r>
      <w:r w:rsidR="00C146A6" w:rsidRPr="009627FD">
        <w:rPr>
          <w:lang w:val="en-US"/>
        </w:rPr>
        <w:t xml:space="preserve">Participants were asked about the clarity and understandability of the </w:t>
      </w:r>
      <w:r w:rsidR="00552358" w:rsidRPr="009627FD">
        <w:rPr>
          <w:lang w:val="en-US"/>
        </w:rPr>
        <w:t>measure</w:t>
      </w:r>
      <w:r w:rsidR="00C146A6" w:rsidRPr="009627FD">
        <w:rPr>
          <w:lang w:val="en-US"/>
        </w:rPr>
        <w:t xml:space="preserve">. There were no apparent issues regarding the clarity of the </w:t>
      </w:r>
      <w:r w:rsidR="00552358" w:rsidRPr="009627FD">
        <w:rPr>
          <w:lang w:val="en-US"/>
        </w:rPr>
        <w:t>measure</w:t>
      </w:r>
      <w:r w:rsidR="00C146A6" w:rsidRPr="009627FD">
        <w:rPr>
          <w:lang w:val="en-US"/>
        </w:rPr>
        <w:t xml:space="preserve">, and no changes were required. </w:t>
      </w:r>
      <w:r w:rsidR="00C146A6" w:rsidRPr="009627FD">
        <w:rPr>
          <w:shd w:val="clear" w:color="auto" w:fill="FFFFFF"/>
          <w:lang w:val="en-US"/>
        </w:rPr>
        <w:t xml:space="preserve">Thereafter, the final version of the Italian C-19ASS (see Appendix) was administered to the participants </w:t>
      </w:r>
      <w:r w:rsidR="005F06FF" w:rsidRPr="009627FD">
        <w:rPr>
          <w:shd w:val="clear" w:color="auto" w:fill="FFFFFF"/>
          <w:lang w:val="en-US"/>
        </w:rPr>
        <w:t>in our study</w:t>
      </w:r>
      <w:r w:rsidR="00C146A6" w:rsidRPr="009627FD">
        <w:rPr>
          <w:shd w:val="clear" w:color="auto" w:fill="FFFFFF"/>
          <w:lang w:val="en-US"/>
        </w:rPr>
        <w:t>.</w:t>
      </w:r>
    </w:p>
    <w:p w14:paraId="02C5798A" w14:textId="66F81CE3" w:rsidR="00D32AE0" w:rsidRPr="009627FD" w:rsidRDefault="00C146A6" w:rsidP="00D32AE0">
      <w:pPr>
        <w:spacing w:line="360" w:lineRule="auto"/>
        <w:ind w:firstLine="708"/>
        <w:jc w:val="both"/>
        <w:rPr>
          <w:lang w:val="en-US"/>
        </w:rPr>
      </w:pPr>
      <w:r w:rsidRPr="009627FD">
        <w:rPr>
          <w:lang w:val="en-US"/>
        </w:rPr>
        <w:lastRenderedPageBreak/>
        <w:t xml:space="preserve">Participants were recruited via email and social media. Those who agreed to participate provided a digital informed consent of privacy protection disclaimer and completed an online </w:t>
      </w:r>
      <w:r w:rsidR="005F06FF" w:rsidRPr="009627FD">
        <w:rPr>
          <w:lang w:val="en-US"/>
        </w:rPr>
        <w:t>study pack</w:t>
      </w:r>
      <w:r w:rsidRPr="009627FD">
        <w:rPr>
          <w:lang w:val="en-US"/>
        </w:rPr>
        <w:t xml:space="preserve">. </w:t>
      </w:r>
      <w:r w:rsidR="00D32AE0" w:rsidRPr="009627FD">
        <w:rPr>
          <w:lang w:val="en-US"/>
        </w:rPr>
        <w:t>Participants were asked to provide a socio-demographic details and information relating to COVID-19, including whether they had been tested for COVID-19, whether they had been diagnosed with COVID-19,</w:t>
      </w:r>
      <w:r w:rsidR="00D32AE0" w:rsidRPr="009627FD">
        <w:rPr>
          <w:bCs/>
          <w:lang w:val="en-US"/>
        </w:rPr>
        <w:t xml:space="preserve"> </w:t>
      </w:r>
      <w:r w:rsidR="00D32AE0" w:rsidRPr="009627FD">
        <w:rPr>
          <w:lang w:val="en-US"/>
        </w:rPr>
        <w:t xml:space="preserve">whether </w:t>
      </w:r>
      <w:r w:rsidR="00D32AE0" w:rsidRPr="009627FD">
        <w:rPr>
          <w:bCs/>
          <w:lang w:val="en-US"/>
        </w:rPr>
        <w:t xml:space="preserve">they </w:t>
      </w:r>
      <w:r w:rsidR="000129B5" w:rsidRPr="009627FD">
        <w:rPr>
          <w:bCs/>
          <w:lang w:val="en-US"/>
        </w:rPr>
        <w:t xml:space="preserve">knew </w:t>
      </w:r>
      <w:r w:rsidR="00D32AE0" w:rsidRPr="009627FD">
        <w:rPr>
          <w:bCs/>
          <w:lang w:val="en-US"/>
        </w:rPr>
        <w:t xml:space="preserve">people that </w:t>
      </w:r>
      <w:r w:rsidR="000129B5" w:rsidRPr="009627FD">
        <w:rPr>
          <w:bCs/>
          <w:lang w:val="en-US"/>
        </w:rPr>
        <w:t xml:space="preserve">had </w:t>
      </w:r>
      <w:r w:rsidR="00D32AE0" w:rsidRPr="009627FD">
        <w:rPr>
          <w:bCs/>
          <w:lang w:val="en-US"/>
        </w:rPr>
        <w:t xml:space="preserve">been diagnosed with COVID-19, </w:t>
      </w:r>
      <w:r w:rsidR="00D32AE0" w:rsidRPr="009627FD">
        <w:rPr>
          <w:lang w:val="en-US"/>
        </w:rPr>
        <w:t xml:space="preserve">whether they </w:t>
      </w:r>
      <w:r w:rsidR="000129B5" w:rsidRPr="009627FD">
        <w:rPr>
          <w:bCs/>
          <w:lang w:val="en-US"/>
        </w:rPr>
        <w:t>had</w:t>
      </w:r>
      <w:r w:rsidR="00D32AE0" w:rsidRPr="009627FD">
        <w:rPr>
          <w:bCs/>
          <w:lang w:val="en-US"/>
        </w:rPr>
        <w:t xml:space="preserve"> experienced </w:t>
      </w:r>
      <w:r w:rsidR="000129B5" w:rsidRPr="009627FD">
        <w:rPr>
          <w:bCs/>
          <w:lang w:val="en-US"/>
        </w:rPr>
        <w:t xml:space="preserve">a </w:t>
      </w:r>
      <w:r w:rsidR="00D32AE0" w:rsidRPr="009627FD">
        <w:rPr>
          <w:bCs/>
          <w:lang w:val="en-US"/>
        </w:rPr>
        <w:t xml:space="preserve">loss as a consequence of COVID-19, </w:t>
      </w:r>
      <w:r w:rsidR="005F06FF" w:rsidRPr="009627FD">
        <w:rPr>
          <w:bCs/>
          <w:lang w:val="en-US"/>
        </w:rPr>
        <w:t xml:space="preserve">and </w:t>
      </w:r>
      <w:r w:rsidR="00D32AE0" w:rsidRPr="009627FD">
        <w:rPr>
          <w:lang w:val="en-US"/>
        </w:rPr>
        <w:t xml:space="preserve">whether they </w:t>
      </w:r>
      <w:r w:rsidR="005F06FF" w:rsidRPr="009627FD">
        <w:rPr>
          <w:lang w:val="en-US"/>
        </w:rPr>
        <w:t xml:space="preserve">perceived </w:t>
      </w:r>
      <w:r w:rsidR="00D32AE0" w:rsidRPr="009627FD">
        <w:rPr>
          <w:lang w:val="en-US"/>
        </w:rPr>
        <w:t xml:space="preserve">themselves to be vulnerable to COVID-19. </w:t>
      </w:r>
    </w:p>
    <w:p w14:paraId="3183702B" w14:textId="57793084" w:rsidR="00C146A6" w:rsidRPr="009627FD" w:rsidRDefault="00044645" w:rsidP="00522ACB">
      <w:pPr>
        <w:spacing w:line="360" w:lineRule="auto"/>
        <w:ind w:firstLine="708"/>
        <w:jc w:val="both"/>
        <w:rPr>
          <w:i/>
          <w:iCs/>
          <w:lang w:val="en-US"/>
        </w:rPr>
      </w:pPr>
      <w:r w:rsidRPr="009627FD">
        <w:rPr>
          <w:iCs/>
          <w:lang w:val="en-US"/>
        </w:rPr>
        <w:t>T</w:t>
      </w:r>
      <w:r w:rsidR="00C146A6" w:rsidRPr="009627FD">
        <w:rPr>
          <w:iCs/>
          <w:lang w:val="en-US"/>
        </w:rPr>
        <w:t>he or</w:t>
      </w:r>
      <w:r w:rsidR="00522ACB" w:rsidRPr="009627FD">
        <w:rPr>
          <w:iCs/>
          <w:lang w:val="en-US"/>
        </w:rPr>
        <w:t>i</w:t>
      </w:r>
      <w:r w:rsidR="00C146A6" w:rsidRPr="009627FD">
        <w:rPr>
          <w:iCs/>
          <w:lang w:val="en-US"/>
        </w:rPr>
        <w:t xml:space="preserve">ginal </w:t>
      </w:r>
      <w:r w:rsidR="005F06FF" w:rsidRPr="009627FD">
        <w:rPr>
          <w:iCs/>
          <w:lang w:val="en-US"/>
        </w:rPr>
        <w:t>C-19ASS</w:t>
      </w:r>
      <w:r w:rsidR="00C146A6" w:rsidRPr="009627FD">
        <w:rPr>
          <w:iCs/>
          <w:lang w:val="en-US"/>
        </w:rPr>
        <w:t xml:space="preserve"> (C-19ASS; </w:t>
      </w:r>
      <w:r w:rsidR="00940391" w:rsidRPr="009627FD">
        <w:rPr>
          <w:rFonts w:eastAsiaTheme="minorEastAsia"/>
          <w:lang w:val="en-US"/>
        </w:rPr>
        <w:t>Nikčević</w:t>
      </w:r>
      <w:r w:rsidR="00940391" w:rsidRPr="009627FD">
        <w:rPr>
          <w:iCs/>
          <w:lang w:val="en-US"/>
        </w:rPr>
        <w:t xml:space="preserve"> </w:t>
      </w:r>
      <w:r w:rsidR="00C146A6" w:rsidRPr="009627FD">
        <w:rPr>
          <w:iCs/>
          <w:lang w:val="en-US"/>
        </w:rPr>
        <w:t xml:space="preserve">&amp; Spada, 2020) is </w:t>
      </w:r>
      <w:r w:rsidR="00C146A6" w:rsidRPr="009627FD">
        <w:rPr>
          <w:lang w:val="en-US"/>
        </w:rPr>
        <w:t xml:space="preserve">a self-report </w:t>
      </w:r>
      <w:r w:rsidR="00552358" w:rsidRPr="009627FD">
        <w:rPr>
          <w:lang w:val="en-US"/>
        </w:rPr>
        <w:t>measure</w:t>
      </w:r>
      <w:r w:rsidR="00C146A6" w:rsidRPr="009627FD">
        <w:rPr>
          <w:lang w:val="en-US"/>
        </w:rPr>
        <w:t xml:space="preserve"> </w:t>
      </w:r>
      <w:r w:rsidR="005F06FF" w:rsidRPr="009627FD">
        <w:rPr>
          <w:lang w:val="en-US"/>
        </w:rPr>
        <w:t xml:space="preserve">comprising of </w:t>
      </w:r>
      <w:r w:rsidR="00C146A6" w:rsidRPr="009627FD">
        <w:rPr>
          <w:lang w:val="en-US"/>
        </w:rPr>
        <w:t xml:space="preserve">nine items </w:t>
      </w:r>
      <w:r w:rsidR="00DB4FA4" w:rsidRPr="009627FD">
        <w:rPr>
          <w:lang w:val="en-US"/>
        </w:rPr>
        <w:t>split into</w:t>
      </w:r>
      <w:r w:rsidR="00C146A6" w:rsidRPr="009627FD">
        <w:rPr>
          <w:lang w:val="en-US"/>
        </w:rPr>
        <w:t xml:space="preserve"> two factors: </w:t>
      </w:r>
      <w:r w:rsidR="0057238D" w:rsidRPr="009627FD">
        <w:rPr>
          <w:lang w:val="en-US"/>
        </w:rPr>
        <w:t>(</w:t>
      </w:r>
      <w:r w:rsidR="00C146A6" w:rsidRPr="009627FD">
        <w:rPr>
          <w:lang w:val="en-US"/>
        </w:rPr>
        <w:t>1) Perseveration (six items), with items concerning checking (e.g., "I have checked myself for symptoms of coronavirus"), worrying (e.g., "I have imagined what could happen to my family members if they contracted coronavirus"), and threat monitoring (e.g., "I have been paying close attention to others displaying possible symptoms of coronavirus</w:t>
      </w:r>
      <w:r w:rsidR="00DB4FA4" w:rsidRPr="009627FD">
        <w:rPr>
          <w:lang w:val="en-US"/>
        </w:rPr>
        <w:t xml:space="preserve">"); </w:t>
      </w:r>
      <w:r w:rsidR="00C146A6" w:rsidRPr="009627FD">
        <w:rPr>
          <w:lang w:val="en-US"/>
        </w:rPr>
        <w:t xml:space="preserve">and </w:t>
      </w:r>
      <w:r w:rsidR="0057238D" w:rsidRPr="009627FD">
        <w:rPr>
          <w:lang w:val="en-US"/>
        </w:rPr>
        <w:t>(</w:t>
      </w:r>
      <w:r w:rsidR="00C146A6" w:rsidRPr="009627FD">
        <w:rPr>
          <w:lang w:val="en-US"/>
        </w:rPr>
        <w:t>2) Avoidance (three items) (e.g., "I have avoided touching things in public spaces because of the fear of contracting coronavirus"). Items are rated on a 5-point Likert scale from 0 (</w:t>
      </w:r>
      <w:r w:rsidR="00C9625D" w:rsidRPr="009627FD">
        <w:rPr>
          <w:lang w:val="en-US"/>
        </w:rPr>
        <w:t>“</w:t>
      </w:r>
      <w:r w:rsidR="00C146A6" w:rsidRPr="009627FD">
        <w:rPr>
          <w:lang w:val="en-US"/>
        </w:rPr>
        <w:t>Not at all</w:t>
      </w:r>
      <w:r w:rsidR="00C9625D" w:rsidRPr="009627FD">
        <w:rPr>
          <w:lang w:val="en-US"/>
        </w:rPr>
        <w:t>”</w:t>
      </w:r>
      <w:r w:rsidR="00C146A6" w:rsidRPr="009627FD">
        <w:rPr>
          <w:lang w:val="en-US"/>
        </w:rPr>
        <w:t>) to 4 (</w:t>
      </w:r>
      <w:r w:rsidR="00C9625D" w:rsidRPr="009627FD">
        <w:rPr>
          <w:lang w:val="en-US"/>
        </w:rPr>
        <w:t>“</w:t>
      </w:r>
      <w:r w:rsidR="00C146A6" w:rsidRPr="009627FD">
        <w:rPr>
          <w:lang w:val="en-US"/>
        </w:rPr>
        <w:t>Nearly every day over the last two weeks</w:t>
      </w:r>
      <w:r w:rsidR="00C9625D" w:rsidRPr="009627FD">
        <w:rPr>
          <w:lang w:val="en-US"/>
        </w:rPr>
        <w:t>”</w:t>
      </w:r>
      <w:r w:rsidR="00C146A6" w:rsidRPr="009627FD">
        <w:rPr>
          <w:lang w:val="en-US"/>
        </w:rPr>
        <w:t xml:space="preserve">) with a total score ranging from 0 to 36. Higher scores indicate higher levels of COVID-19 anxiety syndrome. The C-19ASS has </w:t>
      </w:r>
      <w:r w:rsidR="00DB4FA4" w:rsidRPr="009627FD">
        <w:rPr>
          <w:lang w:val="en-US"/>
        </w:rPr>
        <w:t xml:space="preserve">been </w:t>
      </w:r>
      <w:r w:rsidR="00C146A6" w:rsidRPr="009627FD">
        <w:rPr>
          <w:lang w:val="en-US"/>
        </w:rPr>
        <w:t>show</w:t>
      </w:r>
      <w:r w:rsidR="00DB4FA4" w:rsidRPr="009627FD">
        <w:rPr>
          <w:lang w:val="en-US"/>
        </w:rPr>
        <w:t>n to possess</w:t>
      </w:r>
      <w:r w:rsidR="00C146A6" w:rsidRPr="009627FD">
        <w:rPr>
          <w:lang w:val="en-US"/>
        </w:rPr>
        <w:t xml:space="preserve"> good psychometric proprieties (Nikčević &amp; Spada, 2020). </w:t>
      </w:r>
    </w:p>
    <w:p w14:paraId="46AA409C" w14:textId="75A92B80" w:rsidR="00C146A6" w:rsidRPr="009627FD" w:rsidRDefault="00C146A6" w:rsidP="00522ACB">
      <w:pPr>
        <w:spacing w:line="360" w:lineRule="auto"/>
        <w:rPr>
          <w:b/>
          <w:bCs/>
          <w:iCs/>
          <w:lang w:val="en-US"/>
        </w:rPr>
      </w:pPr>
      <w:r w:rsidRPr="009627FD">
        <w:rPr>
          <w:b/>
          <w:bCs/>
          <w:iCs/>
          <w:lang w:val="en-US"/>
        </w:rPr>
        <w:t>2.3</w:t>
      </w:r>
      <w:r w:rsidR="00F82A8F" w:rsidRPr="009627FD">
        <w:rPr>
          <w:b/>
          <w:bCs/>
          <w:iCs/>
          <w:lang w:val="en-US"/>
        </w:rPr>
        <w:t>.</w:t>
      </w:r>
      <w:r w:rsidRPr="009627FD">
        <w:rPr>
          <w:b/>
          <w:bCs/>
          <w:iCs/>
          <w:lang w:val="en-US"/>
        </w:rPr>
        <w:t xml:space="preserve"> Statistical analyses </w:t>
      </w:r>
    </w:p>
    <w:p w14:paraId="0C7D80F5" w14:textId="6D4071FE" w:rsidR="00C146A6" w:rsidRPr="009627FD" w:rsidRDefault="00B97FA2" w:rsidP="001D0CAF">
      <w:pPr>
        <w:spacing w:line="360" w:lineRule="auto"/>
        <w:ind w:firstLine="708"/>
        <w:jc w:val="both"/>
        <w:rPr>
          <w:lang w:val="en-US"/>
        </w:rPr>
      </w:pPr>
      <w:r w:rsidRPr="009627FD">
        <w:rPr>
          <w:lang w:val="en-US"/>
        </w:rPr>
        <w:t>Exploratory factor analysis (EFA), employing</w:t>
      </w:r>
      <w:r w:rsidRPr="009627FD">
        <w:rPr>
          <w:rFonts w:ascii="Arial" w:hAnsi="Arial" w:cs="Arial"/>
          <w:color w:val="202124"/>
          <w:shd w:val="clear" w:color="auto" w:fill="FFFFFF"/>
          <w:lang w:val="en-US"/>
        </w:rPr>
        <w:t xml:space="preserve"> </w:t>
      </w:r>
      <w:r w:rsidRPr="009627FD">
        <w:rPr>
          <w:lang w:val="en-US"/>
        </w:rPr>
        <w:t xml:space="preserve">Maximum likelihood method with Promax rotation adopting kappa = 4 was used to explore the factor structure of the Italian version of the C-19ASS. Kaiser-Meyer-Olkin (KMO) test (Keiser, 1970) and Bartlett’s test of sphericity (Bartlett, 1937) were performed. The eigenvalue was set to 1.0 or above and lowest accepted loading was .30 or above (Barbaranelli &amp; D’Olimpio, 2006; Costello &amp; Osborne, 2005). The number of factors to be extracted was determined according to the consideration of the Kaiser’s eigenvalue criterion (eigenvalues &gt; 1) (Keiser, 1970), </w:t>
      </w:r>
      <w:r w:rsidR="00722A14" w:rsidRPr="009627FD">
        <w:rPr>
          <w:lang w:val="en-US"/>
        </w:rPr>
        <w:t xml:space="preserve">Horn’s parallel analysis (Horn, 1965) and </w:t>
      </w:r>
      <w:r w:rsidRPr="009627FD">
        <w:rPr>
          <w:lang w:val="en-US"/>
        </w:rPr>
        <w:t>the scree-test criteria (Cattell, 1966)</w:t>
      </w:r>
      <w:r w:rsidR="00722A14" w:rsidRPr="009627FD">
        <w:rPr>
          <w:lang w:val="en-US"/>
        </w:rPr>
        <w:t>.</w:t>
      </w:r>
      <w:r w:rsidRPr="009627FD">
        <w:rPr>
          <w:lang w:val="en-US"/>
        </w:rPr>
        <w:t xml:space="preserve"> </w:t>
      </w:r>
      <w:r w:rsidR="00C146A6" w:rsidRPr="009627FD">
        <w:rPr>
          <w:lang w:val="en-US"/>
        </w:rPr>
        <w:t xml:space="preserve">Data were </w:t>
      </w:r>
      <w:r w:rsidR="00ED0408" w:rsidRPr="009627FD">
        <w:rPr>
          <w:lang w:val="en-US"/>
        </w:rPr>
        <w:t>analysed</w:t>
      </w:r>
      <w:r w:rsidR="00C146A6" w:rsidRPr="009627FD">
        <w:rPr>
          <w:lang w:val="en-US"/>
        </w:rPr>
        <w:t xml:space="preserve"> using version 27 of SPSS (IBM SPSS Statistics).</w:t>
      </w:r>
    </w:p>
    <w:p w14:paraId="4A310753" w14:textId="77777777" w:rsidR="00C146A6" w:rsidRPr="009627FD" w:rsidRDefault="00C146A6" w:rsidP="00522ACB">
      <w:pPr>
        <w:spacing w:line="360" w:lineRule="auto"/>
        <w:jc w:val="both"/>
        <w:rPr>
          <w:b/>
          <w:bCs/>
          <w:lang w:val="en-US"/>
        </w:rPr>
      </w:pPr>
      <w:r w:rsidRPr="009627FD">
        <w:rPr>
          <w:b/>
          <w:bCs/>
          <w:lang w:val="en-US"/>
        </w:rPr>
        <w:t>3. Results</w:t>
      </w:r>
    </w:p>
    <w:p w14:paraId="5D947203" w14:textId="5C6210A9" w:rsidR="001D0CAF" w:rsidRPr="009627FD" w:rsidRDefault="006429DB" w:rsidP="00DF1435">
      <w:pPr>
        <w:spacing w:line="360" w:lineRule="auto"/>
        <w:ind w:firstLine="708"/>
        <w:jc w:val="both"/>
        <w:rPr>
          <w:lang w:val="en-US"/>
        </w:rPr>
      </w:pPr>
      <w:r w:rsidRPr="009627FD">
        <w:rPr>
          <w:lang w:val="en-US"/>
        </w:rPr>
        <w:t>The Kaiser-Meyer-Olkin (KMO) me</w:t>
      </w:r>
      <w:r w:rsidR="004C0925" w:rsidRPr="009627FD">
        <w:rPr>
          <w:lang w:val="en-US"/>
        </w:rPr>
        <w:t xml:space="preserve">asure of sampling adequacy was </w:t>
      </w:r>
      <w:r w:rsidRPr="009627FD">
        <w:rPr>
          <w:lang w:val="en-US"/>
        </w:rPr>
        <w:t>.84, and the Barlett’s test o</w:t>
      </w:r>
      <w:r w:rsidR="004C0925" w:rsidRPr="009627FD">
        <w:rPr>
          <w:lang w:val="en-US"/>
        </w:rPr>
        <w:t>f sphericity was significant (&lt;</w:t>
      </w:r>
      <w:r w:rsidRPr="009627FD">
        <w:rPr>
          <w:lang w:val="en-US"/>
        </w:rPr>
        <w:t xml:space="preserve">.001) suggesting that data was suitable for factor analysis. Before factor analysis, the random Eigenvalues were compared with the observed data using a parallel analysis (Horn, 1965). The first two random Eigenvalues (i.e., .42 and .32) were below the first two observed Eigenvalues (i.e., 3.51 and 1.04), suggesting two factors. The scree-plot also clearly indicated a two-factor solution. Therefore, the EFA was conducted with two factors resulting in a solution comparable to the Nikčević &amp; Spada (2020) study. A summary of the EFA is displayed in Table 1. All items loaded clearly on one of the </w:t>
      </w:r>
      <w:r w:rsidR="00260A88" w:rsidRPr="009627FD">
        <w:rPr>
          <w:lang w:val="en-US"/>
        </w:rPr>
        <w:t xml:space="preserve">two factors, with a minimum of </w:t>
      </w:r>
      <w:r w:rsidRPr="009627FD">
        <w:rPr>
          <w:lang w:val="en-US"/>
        </w:rPr>
        <w:t>.30. There were no significant cross-loadings</w:t>
      </w:r>
      <w:r w:rsidR="009C121F" w:rsidRPr="009627FD">
        <w:rPr>
          <w:lang w:val="en-US"/>
        </w:rPr>
        <w:t xml:space="preserve">. </w:t>
      </w:r>
      <w:r w:rsidRPr="009627FD">
        <w:rPr>
          <w:lang w:val="en-US"/>
        </w:rPr>
        <w:t xml:space="preserve">The two factors together accounted for 50.54% of variance and the </w:t>
      </w:r>
      <w:r w:rsidRPr="009627FD">
        <w:rPr>
          <w:lang w:val="en-US"/>
        </w:rPr>
        <w:lastRenderedPageBreak/>
        <w:t>estimated correlation between the two</w:t>
      </w:r>
      <w:r w:rsidR="00260A88" w:rsidRPr="009627FD">
        <w:rPr>
          <w:lang w:val="en-US"/>
        </w:rPr>
        <w:t xml:space="preserve"> factors was </w:t>
      </w:r>
      <w:r w:rsidRPr="009627FD">
        <w:rPr>
          <w:lang w:val="en-US"/>
        </w:rPr>
        <w:t xml:space="preserve">.54. Based on Nikčević and Spada’s article (2020) factor 1 was labelled “Perseveration” (C-19ASS-P; 6 items) and factor 2 was labelled “Avoidance” (C-19ASS-A; 3 items). </w:t>
      </w:r>
    </w:p>
    <w:p w14:paraId="0047764D" w14:textId="355FB33D" w:rsidR="004A7A7A" w:rsidRPr="009627FD" w:rsidRDefault="00C146A6" w:rsidP="004A7A7A">
      <w:pPr>
        <w:spacing w:line="360" w:lineRule="auto"/>
        <w:jc w:val="both"/>
        <w:rPr>
          <w:b/>
          <w:bCs/>
          <w:lang w:val="en-US"/>
        </w:rPr>
      </w:pPr>
      <w:r w:rsidRPr="009627FD">
        <w:rPr>
          <w:b/>
          <w:bCs/>
          <w:lang w:val="en-US"/>
        </w:rPr>
        <w:t xml:space="preserve">Study 2: </w:t>
      </w:r>
      <w:r w:rsidR="00E6394B" w:rsidRPr="009627FD">
        <w:rPr>
          <w:b/>
          <w:lang w:val="en-US"/>
        </w:rPr>
        <w:t>C</w:t>
      </w:r>
      <w:r w:rsidR="00FB5FD3" w:rsidRPr="009627FD">
        <w:rPr>
          <w:b/>
          <w:lang w:val="en-US"/>
        </w:rPr>
        <w:t>onstruct</w:t>
      </w:r>
      <w:r w:rsidR="00C753EC" w:rsidRPr="009627FD">
        <w:rPr>
          <w:b/>
          <w:lang w:val="en-US"/>
        </w:rPr>
        <w:t xml:space="preserve"> validity</w:t>
      </w:r>
      <w:r w:rsidR="00FB5FD3" w:rsidRPr="009627FD">
        <w:rPr>
          <w:b/>
          <w:lang w:val="en-US"/>
        </w:rPr>
        <w:t xml:space="preserve">, </w:t>
      </w:r>
      <w:r w:rsidR="00FC7B55" w:rsidRPr="009627FD">
        <w:rPr>
          <w:b/>
          <w:lang w:val="en-US"/>
        </w:rPr>
        <w:t>internal</w:t>
      </w:r>
      <w:r w:rsidR="00FC7B55" w:rsidRPr="009627FD">
        <w:rPr>
          <w:lang w:val="en-US"/>
        </w:rPr>
        <w:t xml:space="preserve"> </w:t>
      </w:r>
      <w:r w:rsidR="00E6394B" w:rsidRPr="009627FD">
        <w:rPr>
          <w:b/>
          <w:lang w:val="en-US"/>
        </w:rPr>
        <w:t xml:space="preserve">reliability, </w:t>
      </w:r>
      <w:r w:rsidR="005116AC" w:rsidRPr="009627FD">
        <w:rPr>
          <w:b/>
          <w:lang w:val="en-US"/>
        </w:rPr>
        <w:t>concurrent validity</w:t>
      </w:r>
      <w:r w:rsidR="00552358" w:rsidRPr="009627FD">
        <w:rPr>
          <w:b/>
          <w:lang w:val="en-US"/>
        </w:rPr>
        <w:t>,</w:t>
      </w:r>
      <w:r w:rsidR="005116AC" w:rsidRPr="009627FD">
        <w:rPr>
          <w:b/>
          <w:lang w:val="en-US"/>
        </w:rPr>
        <w:t xml:space="preserve"> and incremental validity of the</w:t>
      </w:r>
      <w:r w:rsidR="0088306B" w:rsidRPr="009627FD">
        <w:rPr>
          <w:b/>
          <w:lang w:val="en-US"/>
        </w:rPr>
        <w:t xml:space="preserve"> Italian version of the</w:t>
      </w:r>
      <w:r w:rsidR="005116AC" w:rsidRPr="009627FD">
        <w:rPr>
          <w:b/>
          <w:lang w:val="en-US"/>
        </w:rPr>
        <w:t xml:space="preserve"> C</w:t>
      </w:r>
      <w:r w:rsidR="00B63650" w:rsidRPr="009627FD">
        <w:rPr>
          <w:b/>
          <w:lang w:val="en-US"/>
        </w:rPr>
        <w:t>-19</w:t>
      </w:r>
      <w:r w:rsidR="005116AC" w:rsidRPr="009627FD">
        <w:rPr>
          <w:b/>
          <w:lang w:val="en-US"/>
        </w:rPr>
        <w:t>ASS</w:t>
      </w:r>
      <w:r w:rsidR="005116AC" w:rsidRPr="009627FD">
        <w:rPr>
          <w:b/>
          <w:bCs/>
          <w:lang w:val="en-US"/>
        </w:rPr>
        <w:t xml:space="preserve"> </w:t>
      </w:r>
      <w:r w:rsidR="004A7A7A" w:rsidRPr="009627FD">
        <w:rPr>
          <w:b/>
          <w:iCs/>
          <w:lang w:val="en-US"/>
        </w:rPr>
        <w:t xml:space="preserve">and </w:t>
      </w:r>
      <w:r w:rsidR="004A7A7A" w:rsidRPr="009627FD">
        <w:rPr>
          <w:b/>
          <w:bCs/>
          <w:lang w:val="en-US"/>
        </w:rPr>
        <w:t xml:space="preserve">investigation of association between the COVID-19 Anxiety Syndrome and </w:t>
      </w:r>
      <w:r w:rsidR="00484613" w:rsidRPr="009627FD">
        <w:rPr>
          <w:b/>
          <w:lang w:val="en-US"/>
        </w:rPr>
        <w:t xml:space="preserve">psychological symptoms </w:t>
      </w:r>
      <w:r w:rsidR="004A7A7A" w:rsidRPr="009627FD">
        <w:rPr>
          <w:b/>
          <w:bCs/>
          <w:lang w:val="en-US"/>
        </w:rPr>
        <w:t xml:space="preserve">in Italian population </w:t>
      </w:r>
    </w:p>
    <w:p w14:paraId="28B91A4D" w14:textId="32626920" w:rsidR="00C146A6" w:rsidRPr="009627FD" w:rsidRDefault="00C146A6" w:rsidP="00297718">
      <w:pPr>
        <w:spacing w:line="360" w:lineRule="auto"/>
        <w:ind w:firstLine="708"/>
        <w:jc w:val="both"/>
        <w:rPr>
          <w:lang w:val="en-US"/>
        </w:rPr>
      </w:pPr>
      <w:r w:rsidRPr="009627FD">
        <w:rPr>
          <w:lang w:val="en-US"/>
        </w:rPr>
        <w:t xml:space="preserve">We conducted a second study aimed </w:t>
      </w:r>
      <w:r w:rsidR="00CB2744" w:rsidRPr="009627FD">
        <w:rPr>
          <w:lang w:val="en-US"/>
        </w:rPr>
        <w:t>at</w:t>
      </w:r>
      <w:r w:rsidRPr="009627FD">
        <w:rPr>
          <w:lang w:val="en-US"/>
        </w:rPr>
        <w:t xml:space="preserve">: (1) </w:t>
      </w:r>
      <w:r w:rsidR="0044128E" w:rsidRPr="009627FD">
        <w:rPr>
          <w:lang w:val="en-US"/>
        </w:rPr>
        <w:t xml:space="preserve">evaluating </w:t>
      </w:r>
      <w:r w:rsidR="00FC7B55" w:rsidRPr="009627FD">
        <w:rPr>
          <w:lang w:val="en-US"/>
        </w:rPr>
        <w:t xml:space="preserve">construct validity, </w:t>
      </w:r>
      <w:r w:rsidRPr="009627FD">
        <w:rPr>
          <w:lang w:val="en-US"/>
        </w:rPr>
        <w:t>internal reliability</w:t>
      </w:r>
      <w:r w:rsidR="00A90221" w:rsidRPr="009627FD">
        <w:rPr>
          <w:lang w:val="en-US"/>
        </w:rPr>
        <w:t>, c</w:t>
      </w:r>
      <w:r w:rsidRPr="009627FD">
        <w:rPr>
          <w:lang w:val="en-US"/>
        </w:rPr>
        <w:t>oncurrent validity</w:t>
      </w:r>
      <w:r w:rsidR="00283326" w:rsidRPr="009627FD">
        <w:rPr>
          <w:lang w:val="en-US"/>
        </w:rPr>
        <w:t>,</w:t>
      </w:r>
      <w:r w:rsidR="00A90221" w:rsidRPr="009627FD">
        <w:rPr>
          <w:lang w:val="en-US"/>
        </w:rPr>
        <w:t xml:space="preserve"> and</w:t>
      </w:r>
      <w:r w:rsidRPr="009627FD">
        <w:rPr>
          <w:lang w:val="en-US"/>
        </w:rPr>
        <w:t xml:space="preserve"> incremental validity </w:t>
      </w:r>
      <w:r w:rsidR="00A90221" w:rsidRPr="009627FD">
        <w:rPr>
          <w:lang w:val="en-US"/>
        </w:rPr>
        <w:t xml:space="preserve">of the </w:t>
      </w:r>
      <w:r w:rsidR="00D67352" w:rsidRPr="009627FD">
        <w:rPr>
          <w:lang w:val="en-US"/>
        </w:rPr>
        <w:t xml:space="preserve">Italian version of the </w:t>
      </w:r>
      <w:r w:rsidR="00A90221" w:rsidRPr="009627FD">
        <w:rPr>
          <w:lang w:val="en-US"/>
        </w:rPr>
        <w:t xml:space="preserve">C-19ASS; </w:t>
      </w:r>
      <w:r w:rsidR="0044128E" w:rsidRPr="009627FD">
        <w:rPr>
          <w:lang w:val="en-US"/>
        </w:rPr>
        <w:t xml:space="preserve">and </w:t>
      </w:r>
      <w:r w:rsidR="00522ACB" w:rsidRPr="009627FD">
        <w:rPr>
          <w:lang w:val="en-US"/>
        </w:rPr>
        <w:t>(</w:t>
      </w:r>
      <w:r w:rsidR="00650613" w:rsidRPr="009627FD">
        <w:rPr>
          <w:lang w:val="en-US"/>
        </w:rPr>
        <w:t>2</w:t>
      </w:r>
      <w:r w:rsidR="00522ACB" w:rsidRPr="009627FD">
        <w:rPr>
          <w:lang w:val="en-US"/>
        </w:rPr>
        <w:t xml:space="preserve">) </w:t>
      </w:r>
      <w:r w:rsidR="0044128E" w:rsidRPr="009627FD">
        <w:rPr>
          <w:lang w:val="en-US"/>
        </w:rPr>
        <w:t xml:space="preserve">evaluating </w:t>
      </w:r>
      <w:r w:rsidR="00297718" w:rsidRPr="009627FD">
        <w:rPr>
          <w:lang w:val="en-US"/>
        </w:rPr>
        <w:t xml:space="preserve">whether </w:t>
      </w:r>
      <w:r w:rsidR="00306C95" w:rsidRPr="009627FD">
        <w:rPr>
          <w:lang w:val="en-US"/>
        </w:rPr>
        <w:t>the C</w:t>
      </w:r>
      <w:r w:rsidR="00B63650" w:rsidRPr="009627FD">
        <w:rPr>
          <w:lang w:val="en-US"/>
        </w:rPr>
        <w:t>-19</w:t>
      </w:r>
      <w:r w:rsidR="00306C95" w:rsidRPr="009627FD">
        <w:rPr>
          <w:lang w:val="en-US"/>
        </w:rPr>
        <w:t>ASS could mediate the relationship between Big Five personality traits and</w:t>
      </w:r>
      <w:r w:rsidR="00484613" w:rsidRPr="009627FD">
        <w:rPr>
          <w:lang w:val="en-US"/>
        </w:rPr>
        <w:t xml:space="preserve"> psychological </w:t>
      </w:r>
      <w:r w:rsidR="0057238D" w:rsidRPr="009627FD">
        <w:rPr>
          <w:lang w:val="en-US"/>
        </w:rPr>
        <w:t xml:space="preserve">outcomes </w:t>
      </w:r>
      <w:r w:rsidR="005D60F0" w:rsidRPr="009627FD">
        <w:rPr>
          <w:lang w:val="en-US"/>
        </w:rPr>
        <w:t xml:space="preserve">(i.e., depression, generalized anxiety, and health anxiety) </w:t>
      </w:r>
      <w:r w:rsidR="00306C95" w:rsidRPr="009627FD">
        <w:rPr>
          <w:lang w:val="en-US"/>
        </w:rPr>
        <w:t>in the Italian population</w:t>
      </w:r>
      <w:r w:rsidR="00A63CC3" w:rsidRPr="009627FD">
        <w:rPr>
          <w:lang w:val="en-US"/>
        </w:rPr>
        <w:t xml:space="preserve"> (Figure 1)</w:t>
      </w:r>
      <w:r w:rsidR="00306C95" w:rsidRPr="009627FD">
        <w:rPr>
          <w:lang w:val="en-US"/>
        </w:rPr>
        <w:t>.</w:t>
      </w:r>
    </w:p>
    <w:p w14:paraId="6032B9F0" w14:textId="4EF2263C" w:rsidR="00C146A6" w:rsidRPr="009627FD" w:rsidRDefault="005820AC" w:rsidP="00522ACB">
      <w:pPr>
        <w:spacing w:line="360" w:lineRule="auto"/>
        <w:jc w:val="both"/>
        <w:rPr>
          <w:b/>
          <w:bCs/>
          <w:lang w:val="en-US"/>
        </w:rPr>
      </w:pPr>
      <w:r w:rsidRPr="009627FD">
        <w:rPr>
          <w:b/>
          <w:bCs/>
          <w:lang w:val="en-US"/>
        </w:rPr>
        <w:t>4</w:t>
      </w:r>
      <w:r w:rsidR="00C146A6" w:rsidRPr="009627FD">
        <w:rPr>
          <w:b/>
          <w:bCs/>
          <w:lang w:val="en-US"/>
        </w:rPr>
        <w:t>. Methods</w:t>
      </w:r>
    </w:p>
    <w:p w14:paraId="15140E59" w14:textId="12C0093A" w:rsidR="00C146A6" w:rsidRPr="009627FD" w:rsidRDefault="005820AC" w:rsidP="00522ACB">
      <w:pPr>
        <w:spacing w:line="360" w:lineRule="auto"/>
        <w:jc w:val="both"/>
        <w:rPr>
          <w:b/>
          <w:bCs/>
          <w:lang w:val="en-US"/>
        </w:rPr>
      </w:pPr>
      <w:r w:rsidRPr="009627FD">
        <w:rPr>
          <w:b/>
          <w:bCs/>
          <w:lang w:val="en-US"/>
        </w:rPr>
        <w:t>4</w:t>
      </w:r>
      <w:r w:rsidR="00C146A6" w:rsidRPr="009627FD">
        <w:rPr>
          <w:b/>
          <w:bCs/>
          <w:lang w:val="en-US"/>
        </w:rPr>
        <w:t>.1</w:t>
      </w:r>
      <w:r w:rsidRPr="009627FD">
        <w:rPr>
          <w:b/>
          <w:bCs/>
          <w:lang w:val="en-US"/>
        </w:rPr>
        <w:t>.</w:t>
      </w:r>
      <w:r w:rsidR="00C146A6" w:rsidRPr="009627FD">
        <w:rPr>
          <w:b/>
          <w:bCs/>
          <w:lang w:val="en-US"/>
        </w:rPr>
        <w:t xml:space="preserve"> Participants</w:t>
      </w:r>
    </w:p>
    <w:p w14:paraId="3D771DDC" w14:textId="2F965306" w:rsidR="00C146A6" w:rsidRPr="009627FD" w:rsidRDefault="00C146A6" w:rsidP="00971F49">
      <w:pPr>
        <w:spacing w:line="360" w:lineRule="auto"/>
        <w:ind w:firstLine="708"/>
        <w:jc w:val="both"/>
        <w:rPr>
          <w:lang w:val="en-US"/>
        </w:rPr>
      </w:pPr>
      <w:r w:rsidRPr="009627FD">
        <w:rPr>
          <w:lang w:val="en-US"/>
        </w:rPr>
        <w:t>A convenience sample was recruited from the general population between June 2021 and September 2021. Participants were eligible for inclusion in the study if they: (1) were 18 years of age; (2) reside</w:t>
      </w:r>
      <w:r w:rsidR="0044128E" w:rsidRPr="009627FD">
        <w:rPr>
          <w:lang w:val="en-US"/>
        </w:rPr>
        <w:t>d</w:t>
      </w:r>
      <w:r w:rsidRPr="009627FD">
        <w:rPr>
          <w:lang w:val="en-US"/>
        </w:rPr>
        <w:t xml:space="preserve"> in Italy; (3) underst</w:t>
      </w:r>
      <w:r w:rsidR="0044128E" w:rsidRPr="009627FD">
        <w:rPr>
          <w:lang w:val="en-US"/>
        </w:rPr>
        <w:t>ood</w:t>
      </w:r>
      <w:r w:rsidRPr="009627FD">
        <w:rPr>
          <w:lang w:val="en-US"/>
        </w:rPr>
        <w:t xml:space="preserve"> spoken and written Italian; and (4) consent</w:t>
      </w:r>
      <w:r w:rsidR="0044128E" w:rsidRPr="009627FD">
        <w:rPr>
          <w:lang w:val="en-US"/>
        </w:rPr>
        <w:t>ed</w:t>
      </w:r>
      <w:r w:rsidRPr="009627FD">
        <w:rPr>
          <w:lang w:val="en-US"/>
        </w:rPr>
        <w:t xml:space="preserve"> to participate. </w:t>
      </w:r>
      <w:r w:rsidR="00514A6D" w:rsidRPr="009627FD">
        <w:rPr>
          <w:lang w:val="en-US"/>
        </w:rPr>
        <w:t>Eligibility criteria were minimal to attract a sample that represented a broad range of individuals.</w:t>
      </w:r>
    </w:p>
    <w:p w14:paraId="76E35CA4" w14:textId="751A9933" w:rsidR="00B2567E" w:rsidRPr="009627FD" w:rsidRDefault="0023285E" w:rsidP="00B2567E">
      <w:pPr>
        <w:spacing w:line="360" w:lineRule="auto"/>
        <w:ind w:firstLine="708"/>
        <w:contextualSpacing/>
        <w:jc w:val="both"/>
        <w:rPr>
          <w:lang w:val="en-US"/>
        </w:rPr>
      </w:pPr>
      <w:r w:rsidRPr="009627FD">
        <w:rPr>
          <w:bCs/>
          <w:lang w:val="en-US"/>
        </w:rPr>
        <w:t>A total of</w:t>
      </w:r>
      <w:r w:rsidRPr="009627FD">
        <w:rPr>
          <w:b/>
          <w:bCs/>
          <w:lang w:val="en-US"/>
        </w:rPr>
        <w:t xml:space="preserve"> </w:t>
      </w:r>
      <w:r w:rsidRPr="009627FD">
        <w:rPr>
          <w:lang w:val="en-US"/>
        </w:rPr>
        <w:t xml:space="preserve">484 </w:t>
      </w:r>
      <w:r w:rsidR="00CE7BDD" w:rsidRPr="009627FD">
        <w:rPr>
          <w:lang w:val="en-US"/>
        </w:rPr>
        <w:t>participated in the study</w:t>
      </w:r>
      <w:r w:rsidRPr="009627FD">
        <w:rPr>
          <w:lang w:val="en-US"/>
        </w:rPr>
        <w:t xml:space="preserve">, 364 (75%) </w:t>
      </w:r>
      <w:r w:rsidR="00CE7BDD" w:rsidRPr="009627FD">
        <w:rPr>
          <w:lang w:val="en-US"/>
        </w:rPr>
        <w:t xml:space="preserve">of whom </w:t>
      </w:r>
      <w:r w:rsidRPr="009627FD">
        <w:rPr>
          <w:lang w:val="en-US"/>
        </w:rPr>
        <w:t>were females and 120 (25%) males</w:t>
      </w:r>
      <w:r w:rsidR="007D6554" w:rsidRPr="009627FD">
        <w:rPr>
          <w:lang w:val="en-US"/>
        </w:rPr>
        <w:t xml:space="preserve"> with a</w:t>
      </w:r>
      <w:r w:rsidRPr="009627FD">
        <w:rPr>
          <w:lang w:val="en-US"/>
        </w:rPr>
        <w:t xml:space="preserve"> mean age </w:t>
      </w:r>
      <w:r w:rsidR="007D6554" w:rsidRPr="009627FD">
        <w:rPr>
          <w:lang w:val="en-US"/>
        </w:rPr>
        <w:t xml:space="preserve">of </w:t>
      </w:r>
      <w:r w:rsidRPr="009627FD">
        <w:rPr>
          <w:lang w:val="en-US"/>
        </w:rPr>
        <w:t xml:space="preserve">36.76±12.53 years. The sample reported their ethnic background as follows: 476 (98.3%) were White, 2 (.4%) were Black, 4 (.8%) were Latin American, and 2 (.4%) were Asian. With regards to education level, 37 (8%) of </w:t>
      </w:r>
      <w:r w:rsidR="007D6554" w:rsidRPr="009627FD">
        <w:rPr>
          <w:lang w:val="en-US"/>
        </w:rPr>
        <w:t xml:space="preserve">the </w:t>
      </w:r>
      <w:r w:rsidRPr="009627FD">
        <w:rPr>
          <w:lang w:val="en-US"/>
        </w:rPr>
        <w:t>participants had completed secondary school, 155 (32%) had completed secondary school, 210 (43%) had graduated, and 82 (17%) had achieved post-undergraduate degrees. With regards to civil status, 137 (28%) were married, 226 (47%) were unmarried, 117 (24%) were cohabiting, and 4 (0.83%) were widowers. With regards to working status, 37 (8%) were unemployed, 408 (84%) were employed, and 39 (8%) were retired and/or housewives. With regards to working status, 113 (23%) were health workers.</w:t>
      </w:r>
      <w:r w:rsidR="00B2567E" w:rsidRPr="009627FD">
        <w:rPr>
          <w:lang w:val="en-US"/>
        </w:rPr>
        <w:t xml:space="preserve"> With regards to COVID-19 clinical features, 344 participants (71%) had been tested for COVID-19, 63 (13%) have been diagnosed with COVID-19, 454 (94%) knew someone </w:t>
      </w:r>
      <w:r w:rsidR="00B2567E" w:rsidRPr="009627FD">
        <w:rPr>
          <w:bCs/>
          <w:lang w:val="en-US"/>
        </w:rPr>
        <w:t xml:space="preserve">who had been diagnosed with COVID-19, 85 (18%) </w:t>
      </w:r>
      <w:r w:rsidR="00B2567E" w:rsidRPr="009627FD">
        <w:rPr>
          <w:lang w:val="en-US"/>
        </w:rPr>
        <w:t>had</w:t>
      </w:r>
      <w:r w:rsidR="00B2567E" w:rsidRPr="009627FD">
        <w:rPr>
          <w:bCs/>
          <w:lang w:val="en-US"/>
        </w:rPr>
        <w:t xml:space="preserve"> experienced a loss as a consequence of COVID-19, </w:t>
      </w:r>
      <w:r w:rsidR="00B2567E" w:rsidRPr="009627FD">
        <w:rPr>
          <w:lang w:val="en-US"/>
        </w:rPr>
        <w:t xml:space="preserve">382 (79%) had been vaccinated for COVID-19, and 235 (48%) perceived themselves to be vulnerable to COVID-19.  </w:t>
      </w:r>
    </w:p>
    <w:p w14:paraId="1DC15D3C" w14:textId="4580D4B4" w:rsidR="00C146A6" w:rsidRPr="009627FD" w:rsidRDefault="005820AC" w:rsidP="00522ACB">
      <w:pPr>
        <w:spacing w:line="360" w:lineRule="auto"/>
        <w:jc w:val="both"/>
        <w:rPr>
          <w:b/>
          <w:bCs/>
          <w:lang w:val="en-US"/>
        </w:rPr>
      </w:pPr>
      <w:r w:rsidRPr="009627FD">
        <w:rPr>
          <w:b/>
          <w:bCs/>
          <w:lang w:val="en-US"/>
        </w:rPr>
        <w:t>4</w:t>
      </w:r>
      <w:r w:rsidR="00C146A6" w:rsidRPr="009627FD">
        <w:rPr>
          <w:b/>
          <w:bCs/>
          <w:lang w:val="en-US"/>
        </w:rPr>
        <w:t>.</w:t>
      </w:r>
      <w:r w:rsidRPr="009627FD">
        <w:rPr>
          <w:b/>
          <w:bCs/>
          <w:lang w:val="en-US"/>
        </w:rPr>
        <w:t>2.</w:t>
      </w:r>
      <w:r w:rsidR="00C146A6" w:rsidRPr="009627FD">
        <w:rPr>
          <w:b/>
          <w:bCs/>
          <w:lang w:val="en-US"/>
        </w:rPr>
        <w:t xml:space="preserve"> Procedure and </w:t>
      </w:r>
      <w:r w:rsidR="0057238D" w:rsidRPr="009627FD">
        <w:rPr>
          <w:b/>
          <w:bCs/>
          <w:lang w:val="en-US"/>
        </w:rPr>
        <w:t>measures</w:t>
      </w:r>
    </w:p>
    <w:p w14:paraId="30376D5F" w14:textId="18689CFB" w:rsidR="00C146A6" w:rsidRPr="009627FD" w:rsidRDefault="00484613" w:rsidP="00484613">
      <w:pPr>
        <w:spacing w:line="360" w:lineRule="auto"/>
        <w:ind w:firstLine="708"/>
        <w:jc w:val="both"/>
        <w:rPr>
          <w:lang w:val="en-US"/>
        </w:rPr>
      </w:pPr>
      <w:r w:rsidRPr="009627FD">
        <w:rPr>
          <w:lang w:val="en-US"/>
        </w:rPr>
        <w:t xml:space="preserve">The procedure used in Study 2 </w:t>
      </w:r>
      <w:r w:rsidR="0044128E" w:rsidRPr="009627FD">
        <w:rPr>
          <w:lang w:val="en-US"/>
        </w:rPr>
        <w:t xml:space="preserve">was </w:t>
      </w:r>
      <w:r w:rsidRPr="009627FD">
        <w:rPr>
          <w:lang w:val="en-US"/>
        </w:rPr>
        <w:t xml:space="preserve">the same </w:t>
      </w:r>
      <w:r w:rsidR="0044128E" w:rsidRPr="009627FD">
        <w:rPr>
          <w:lang w:val="en-US"/>
        </w:rPr>
        <w:t xml:space="preserve">as the one </w:t>
      </w:r>
      <w:r w:rsidRPr="009627FD">
        <w:rPr>
          <w:lang w:val="en-US"/>
        </w:rPr>
        <w:t xml:space="preserve">used in Study 1 (see </w:t>
      </w:r>
      <w:r w:rsidR="0044128E" w:rsidRPr="009627FD">
        <w:rPr>
          <w:lang w:val="en-US"/>
        </w:rPr>
        <w:t xml:space="preserve">sub-section </w:t>
      </w:r>
      <w:r w:rsidRPr="009627FD">
        <w:rPr>
          <w:lang w:val="en-US"/>
        </w:rPr>
        <w:t xml:space="preserve">2.2). </w:t>
      </w:r>
      <w:r w:rsidR="00B76AAE" w:rsidRPr="009627FD">
        <w:rPr>
          <w:lang w:val="en-US"/>
        </w:rPr>
        <w:t>P</w:t>
      </w:r>
      <w:r w:rsidRPr="009627FD">
        <w:rPr>
          <w:lang w:val="en-US"/>
        </w:rPr>
        <w:t>articipants provide</w:t>
      </w:r>
      <w:r w:rsidR="0044128E" w:rsidRPr="009627FD">
        <w:rPr>
          <w:lang w:val="en-US"/>
        </w:rPr>
        <w:t>d</w:t>
      </w:r>
      <w:r w:rsidRPr="009627FD">
        <w:rPr>
          <w:lang w:val="en-US"/>
        </w:rPr>
        <w:t xml:space="preserve"> the same information with regards </w:t>
      </w:r>
      <w:r w:rsidR="0044128E" w:rsidRPr="009627FD">
        <w:rPr>
          <w:lang w:val="en-US"/>
        </w:rPr>
        <w:t xml:space="preserve">to </w:t>
      </w:r>
      <w:r w:rsidR="00C146A6" w:rsidRPr="009627FD">
        <w:rPr>
          <w:lang w:val="en-US"/>
        </w:rPr>
        <w:t xml:space="preserve">socio-demographic details </w:t>
      </w:r>
      <w:r w:rsidR="000B74FB" w:rsidRPr="009627FD">
        <w:rPr>
          <w:lang w:val="en-US"/>
        </w:rPr>
        <w:t xml:space="preserve">and </w:t>
      </w:r>
      <w:r w:rsidR="00C146A6" w:rsidRPr="009627FD">
        <w:rPr>
          <w:lang w:val="en-US"/>
        </w:rPr>
        <w:t>information relat</w:t>
      </w:r>
      <w:r w:rsidRPr="009627FD">
        <w:rPr>
          <w:lang w:val="en-US"/>
        </w:rPr>
        <w:t xml:space="preserve">ed </w:t>
      </w:r>
      <w:r w:rsidR="00C146A6" w:rsidRPr="009627FD">
        <w:rPr>
          <w:lang w:val="en-US"/>
        </w:rPr>
        <w:t>to COVID-19</w:t>
      </w:r>
      <w:r w:rsidR="005F6BED" w:rsidRPr="009627FD">
        <w:rPr>
          <w:lang w:val="en-US"/>
        </w:rPr>
        <w:t xml:space="preserve">, </w:t>
      </w:r>
      <w:r w:rsidRPr="009627FD">
        <w:rPr>
          <w:lang w:val="en-US"/>
        </w:rPr>
        <w:t xml:space="preserve">i.e., </w:t>
      </w:r>
      <w:r w:rsidR="00C146A6" w:rsidRPr="009627FD">
        <w:rPr>
          <w:lang w:val="en-US"/>
        </w:rPr>
        <w:t xml:space="preserve">whether they </w:t>
      </w:r>
      <w:r w:rsidR="0044128E" w:rsidRPr="009627FD">
        <w:rPr>
          <w:lang w:val="en-US"/>
        </w:rPr>
        <w:t xml:space="preserve">had </w:t>
      </w:r>
      <w:r w:rsidR="00C146A6" w:rsidRPr="009627FD">
        <w:rPr>
          <w:lang w:val="en-US"/>
        </w:rPr>
        <w:t xml:space="preserve">been tested for COVID-19, </w:t>
      </w:r>
      <w:r w:rsidR="002D6A26" w:rsidRPr="009627FD">
        <w:rPr>
          <w:lang w:val="en-US"/>
        </w:rPr>
        <w:t xml:space="preserve">whether they </w:t>
      </w:r>
      <w:r w:rsidR="0044128E" w:rsidRPr="009627FD">
        <w:rPr>
          <w:lang w:val="en-US"/>
        </w:rPr>
        <w:t xml:space="preserve">had </w:t>
      </w:r>
      <w:r w:rsidR="002D6A26" w:rsidRPr="009627FD">
        <w:rPr>
          <w:lang w:val="en-US"/>
        </w:rPr>
        <w:t>been diagnosed with COVID-19,</w:t>
      </w:r>
      <w:r w:rsidR="002D6A26" w:rsidRPr="009627FD">
        <w:rPr>
          <w:bCs/>
          <w:lang w:val="en-US"/>
        </w:rPr>
        <w:t xml:space="preserve"> </w:t>
      </w:r>
      <w:r w:rsidR="002D6A26" w:rsidRPr="009627FD">
        <w:rPr>
          <w:lang w:val="en-US"/>
        </w:rPr>
        <w:t xml:space="preserve">whether </w:t>
      </w:r>
      <w:r w:rsidR="002D6A26" w:rsidRPr="009627FD">
        <w:rPr>
          <w:bCs/>
          <w:lang w:val="en-US"/>
        </w:rPr>
        <w:t xml:space="preserve">they </w:t>
      </w:r>
      <w:r w:rsidR="0044128E" w:rsidRPr="009627FD">
        <w:rPr>
          <w:bCs/>
          <w:lang w:val="en-US"/>
        </w:rPr>
        <w:t xml:space="preserve">knew of </w:t>
      </w:r>
      <w:r w:rsidR="002D6A26" w:rsidRPr="009627FD">
        <w:rPr>
          <w:bCs/>
          <w:lang w:val="en-US"/>
        </w:rPr>
        <w:t xml:space="preserve">people </w:t>
      </w:r>
      <w:r w:rsidR="00552358" w:rsidRPr="009627FD">
        <w:rPr>
          <w:bCs/>
          <w:lang w:val="en-US"/>
        </w:rPr>
        <w:t xml:space="preserve">who </w:t>
      </w:r>
      <w:r w:rsidR="0044128E" w:rsidRPr="009627FD">
        <w:rPr>
          <w:bCs/>
          <w:lang w:val="en-US"/>
        </w:rPr>
        <w:t xml:space="preserve">had </w:t>
      </w:r>
      <w:r w:rsidR="002D6A26" w:rsidRPr="009627FD">
        <w:rPr>
          <w:bCs/>
          <w:lang w:val="en-US"/>
        </w:rPr>
        <w:t xml:space="preserve">been diagnosed with COVID-19, </w:t>
      </w:r>
      <w:r w:rsidR="002D6A26" w:rsidRPr="009627FD">
        <w:rPr>
          <w:lang w:val="en-US"/>
        </w:rPr>
        <w:t xml:space="preserve">whether they </w:t>
      </w:r>
      <w:r w:rsidR="00826903" w:rsidRPr="009627FD">
        <w:rPr>
          <w:bCs/>
          <w:lang w:val="en-US"/>
        </w:rPr>
        <w:t xml:space="preserve">had </w:t>
      </w:r>
      <w:r w:rsidR="002D6A26" w:rsidRPr="009627FD">
        <w:rPr>
          <w:bCs/>
          <w:lang w:val="en-US"/>
        </w:rPr>
        <w:t xml:space="preserve">experienced loss as a consequence of COVID-19, </w:t>
      </w:r>
      <w:r w:rsidR="00C146A6" w:rsidRPr="009627FD">
        <w:rPr>
          <w:lang w:val="en-US"/>
        </w:rPr>
        <w:t xml:space="preserve">whether they </w:t>
      </w:r>
      <w:r w:rsidR="0044128E" w:rsidRPr="009627FD">
        <w:rPr>
          <w:lang w:val="en-US"/>
        </w:rPr>
        <w:t xml:space="preserve">had </w:t>
      </w:r>
      <w:r w:rsidR="0044128E" w:rsidRPr="009627FD">
        <w:rPr>
          <w:lang w:val="en-US"/>
        </w:rPr>
        <w:lastRenderedPageBreak/>
        <w:t xml:space="preserve">been vaccinated </w:t>
      </w:r>
      <w:r w:rsidR="00C146A6" w:rsidRPr="009627FD">
        <w:rPr>
          <w:lang w:val="en-US"/>
        </w:rPr>
        <w:t xml:space="preserve">for COVID-19, </w:t>
      </w:r>
      <w:r w:rsidR="0044128E" w:rsidRPr="009627FD">
        <w:rPr>
          <w:lang w:val="en-US"/>
        </w:rPr>
        <w:t xml:space="preserve">and </w:t>
      </w:r>
      <w:r w:rsidR="005A147D" w:rsidRPr="009627FD">
        <w:rPr>
          <w:lang w:val="en-US"/>
        </w:rPr>
        <w:t xml:space="preserve">whether they </w:t>
      </w:r>
      <w:r w:rsidR="0044128E" w:rsidRPr="009627FD">
        <w:rPr>
          <w:lang w:val="en-US"/>
        </w:rPr>
        <w:t xml:space="preserve">perceived </w:t>
      </w:r>
      <w:r w:rsidR="00C146A6" w:rsidRPr="009627FD">
        <w:rPr>
          <w:lang w:val="en-US"/>
        </w:rPr>
        <w:t xml:space="preserve">themselves to be </w:t>
      </w:r>
      <w:r w:rsidR="00C87945" w:rsidRPr="009627FD">
        <w:rPr>
          <w:lang w:val="en-US"/>
        </w:rPr>
        <w:t>vulnerable</w:t>
      </w:r>
      <w:r w:rsidR="00C146A6" w:rsidRPr="009627FD">
        <w:rPr>
          <w:lang w:val="en-US"/>
        </w:rPr>
        <w:t xml:space="preserve"> to </w:t>
      </w:r>
      <w:r w:rsidR="00863A7C" w:rsidRPr="009627FD">
        <w:rPr>
          <w:lang w:val="en-US"/>
        </w:rPr>
        <w:t>COVID-19</w:t>
      </w:r>
      <w:r w:rsidR="005F6BED" w:rsidRPr="009627FD">
        <w:rPr>
          <w:lang w:val="en-US"/>
        </w:rPr>
        <w:t>.</w:t>
      </w:r>
      <w:r w:rsidR="001C0105" w:rsidRPr="009627FD">
        <w:rPr>
          <w:lang w:val="en-US"/>
        </w:rPr>
        <w:t xml:space="preserve"> </w:t>
      </w:r>
      <w:r w:rsidR="005F6BED" w:rsidRPr="009627FD">
        <w:rPr>
          <w:lang w:val="en-US"/>
        </w:rPr>
        <w:t>They then completed the batch of self-report measures.</w:t>
      </w:r>
    </w:p>
    <w:p w14:paraId="596BB019" w14:textId="77777777" w:rsidR="00C146A6" w:rsidRPr="009627FD" w:rsidRDefault="00C146A6" w:rsidP="00522ACB">
      <w:pPr>
        <w:spacing w:line="360" w:lineRule="auto"/>
        <w:jc w:val="both"/>
        <w:rPr>
          <w:i/>
          <w:iCs/>
          <w:lang w:val="en-US"/>
        </w:rPr>
      </w:pPr>
    </w:p>
    <w:p w14:paraId="134FA014" w14:textId="77777777" w:rsidR="00C146A6" w:rsidRPr="009627FD" w:rsidRDefault="00C146A6" w:rsidP="00522ACB">
      <w:pPr>
        <w:spacing w:line="360" w:lineRule="auto"/>
        <w:jc w:val="both"/>
        <w:rPr>
          <w:i/>
          <w:iCs/>
          <w:lang w:val="en-US"/>
        </w:rPr>
      </w:pPr>
      <w:r w:rsidRPr="009627FD">
        <w:rPr>
          <w:i/>
          <w:iCs/>
          <w:lang w:val="en-US"/>
        </w:rPr>
        <w:t xml:space="preserve">COVID-19 Anxiety Syndrome Scale </w:t>
      </w:r>
      <w:r w:rsidRPr="009627FD">
        <w:rPr>
          <w:iCs/>
          <w:lang w:val="en-US"/>
        </w:rPr>
        <w:t>(C-19ASS; Nikčević &amp; Spada, 2020)</w:t>
      </w:r>
    </w:p>
    <w:p w14:paraId="70BCCF71" w14:textId="7C4F28A7" w:rsidR="00C146A6" w:rsidRPr="009627FD" w:rsidRDefault="00C146A6" w:rsidP="00522ACB">
      <w:pPr>
        <w:spacing w:line="360" w:lineRule="auto"/>
        <w:jc w:val="both"/>
        <w:rPr>
          <w:lang w:val="en-US"/>
        </w:rPr>
      </w:pPr>
      <w:r w:rsidRPr="009627FD">
        <w:rPr>
          <w:lang w:val="en-US"/>
        </w:rPr>
        <w:t xml:space="preserve">The </w:t>
      </w:r>
      <w:r w:rsidR="00BD2F3C" w:rsidRPr="009627FD">
        <w:rPr>
          <w:lang w:val="en-US"/>
        </w:rPr>
        <w:t>Italian translate</w:t>
      </w:r>
      <w:r w:rsidR="003F4B05" w:rsidRPr="009627FD">
        <w:rPr>
          <w:lang w:val="en-US"/>
        </w:rPr>
        <w:t>d</w:t>
      </w:r>
      <w:r w:rsidR="00BD2F3C" w:rsidRPr="009627FD">
        <w:rPr>
          <w:lang w:val="en-US"/>
        </w:rPr>
        <w:t xml:space="preserve"> version of the </w:t>
      </w:r>
      <w:r w:rsidRPr="009627FD">
        <w:rPr>
          <w:lang w:val="en-US"/>
        </w:rPr>
        <w:t>C-19ASS administer</w:t>
      </w:r>
      <w:r w:rsidR="003F4B05" w:rsidRPr="009627FD">
        <w:rPr>
          <w:lang w:val="en-US"/>
        </w:rPr>
        <w:t>ed</w:t>
      </w:r>
      <w:r w:rsidRPr="009627FD">
        <w:rPr>
          <w:lang w:val="en-US"/>
        </w:rPr>
        <w:t xml:space="preserve"> in Study 1 was used also in </w:t>
      </w:r>
      <w:r w:rsidR="003F4B05" w:rsidRPr="009627FD">
        <w:rPr>
          <w:lang w:val="en-US"/>
        </w:rPr>
        <w:t>S</w:t>
      </w:r>
      <w:r w:rsidRPr="009627FD">
        <w:rPr>
          <w:lang w:val="en-US"/>
        </w:rPr>
        <w:t>tudy</w:t>
      </w:r>
      <w:r w:rsidR="003F4B05" w:rsidRPr="009627FD">
        <w:rPr>
          <w:lang w:val="en-US"/>
        </w:rPr>
        <w:t xml:space="preserve"> 2</w:t>
      </w:r>
      <w:r w:rsidRPr="009627FD">
        <w:rPr>
          <w:lang w:val="en-US"/>
        </w:rPr>
        <w:t xml:space="preserve">. </w:t>
      </w:r>
    </w:p>
    <w:p w14:paraId="166F1A63" w14:textId="77777777" w:rsidR="00C146A6" w:rsidRPr="009627FD" w:rsidRDefault="00C146A6" w:rsidP="00522ACB">
      <w:pPr>
        <w:spacing w:line="360" w:lineRule="auto"/>
        <w:jc w:val="both"/>
        <w:rPr>
          <w:i/>
          <w:iCs/>
          <w:lang w:val="en-US"/>
        </w:rPr>
      </w:pPr>
    </w:p>
    <w:p w14:paraId="3F541704" w14:textId="4F48138F" w:rsidR="00C146A6" w:rsidRPr="009627FD" w:rsidRDefault="00C146A6" w:rsidP="00522ACB">
      <w:pPr>
        <w:spacing w:line="360" w:lineRule="auto"/>
        <w:jc w:val="both"/>
        <w:rPr>
          <w:i/>
          <w:iCs/>
          <w:lang w:val="en-US"/>
        </w:rPr>
      </w:pPr>
      <w:r w:rsidRPr="009627FD">
        <w:rPr>
          <w:i/>
          <w:iCs/>
          <w:lang w:val="en-US"/>
        </w:rPr>
        <w:t xml:space="preserve">Coronavirus Anxiety Scale </w:t>
      </w:r>
      <w:r w:rsidRPr="009627FD">
        <w:rPr>
          <w:iCs/>
          <w:lang w:val="en-US"/>
        </w:rPr>
        <w:t>(CAS; Lee, 2020</w:t>
      </w:r>
      <w:r w:rsidR="00B63650" w:rsidRPr="009627FD">
        <w:rPr>
          <w:iCs/>
          <w:lang w:val="en-US"/>
        </w:rPr>
        <w:t>b</w:t>
      </w:r>
      <w:r w:rsidR="000B74FB" w:rsidRPr="009627FD">
        <w:rPr>
          <w:iCs/>
          <w:lang w:val="en-US"/>
        </w:rPr>
        <w:t>)</w:t>
      </w:r>
      <w:r w:rsidRPr="009627FD">
        <w:rPr>
          <w:iCs/>
          <w:lang w:val="en-US"/>
        </w:rPr>
        <w:t xml:space="preserve"> </w:t>
      </w:r>
    </w:p>
    <w:p w14:paraId="1803C022" w14:textId="187425F4" w:rsidR="00C146A6" w:rsidRPr="009627FD" w:rsidRDefault="00DE7DF9" w:rsidP="00522ACB">
      <w:pPr>
        <w:spacing w:line="360" w:lineRule="auto"/>
        <w:jc w:val="both"/>
        <w:rPr>
          <w:lang w:val="en-US"/>
        </w:rPr>
      </w:pPr>
      <w:r w:rsidRPr="009627FD">
        <w:rPr>
          <w:lang w:val="en-US"/>
        </w:rPr>
        <w:t>The CAS</w:t>
      </w:r>
      <w:r w:rsidR="000B74FB" w:rsidRPr="009627FD">
        <w:rPr>
          <w:iCs/>
          <w:lang w:val="en-US"/>
        </w:rPr>
        <w:t xml:space="preserve"> is a </w:t>
      </w:r>
      <w:r w:rsidR="003F4B05" w:rsidRPr="009627FD">
        <w:rPr>
          <w:iCs/>
          <w:lang w:val="en-US"/>
        </w:rPr>
        <w:t>5-item</w:t>
      </w:r>
      <w:r w:rsidR="003F4B05" w:rsidRPr="009627FD">
        <w:rPr>
          <w:i/>
          <w:iCs/>
          <w:lang w:val="en-US"/>
        </w:rPr>
        <w:t xml:space="preserve"> </w:t>
      </w:r>
      <w:r w:rsidR="00C146A6" w:rsidRPr="009627FD">
        <w:rPr>
          <w:lang w:val="en-US"/>
        </w:rPr>
        <w:t xml:space="preserve">self-report </w:t>
      </w:r>
      <w:r w:rsidR="00552358" w:rsidRPr="009627FD">
        <w:rPr>
          <w:lang w:val="en-US"/>
        </w:rPr>
        <w:t>measure</w:t>
      </w:r>
      <w:r w:rsidR="00C146A6" w:rsidRPr="009627FD">
        <w:rPr>
          <w:lang w:val="en-US"/>
        </w:rPr>
        <w:t xml:space="preserve"> assessing thoughts and physiological symptoms related to COVID-19 during the last two weeks</w:t>
      </w:r>
      <w:r w:rsidR="00834DEF" w:rsidRPr="009627FD">
        <w:rPr>
          <w:lang w:val="en-US"/>
        </w:rPr>
        <w:t xml:space="preserve">. The items are </w:t>
      </w:r>
      <w:r w:rsidR="00C146A6" w:rsidRPr="009627FD">
        <w:rPr>
          <w:lang w:val="en-US"/>
        </w:rPr>
        <w:t>rated on a 5-point Likert scale from 0 (</w:t>
      </w:r>
      <w:r w:rsidR="000B74FB" w:rsidRPr="009627FD">
        <w:rPr>
          <w:lang w:val="en-US"/>
        </w:rPr>
        <w:t>“</w:t>
      </w:r>
      <w:r w:rsidR="00C146A6" w:rsidRPr="009627FD">
        <w:rPr>
          <w:lang w:val="en-US"/>
        </w:rPr>
        <w:t>Not at all</w:t>
      </w:r>
      <w:r w:rsidR="000B74FB" w:rsidRPr="009627FD">
        <w:rPr>
          <w:lang w:val="en-US"/>
        </w:rPr>
        <w:t>”</w:t>
      </w:r>
      <w:r w:rsidR="00C146A6" w:rsidRPr="009627FD">
        <w:rPr>
          <w:lang w:val="en-US"/>
        </w:rPr>
        <w:t>) to 4 (</w:t>
      </w:r>
      <w:r w:rsidR="000B74FB" w:rsidRPr="009627FD">
        <w:rPr>
          <w:lang w:val="en-US"/>
        </w:rPr>
        <w:t>“</w:t>
      </w:r>
      <w:r w:rsidR="00C146A6" w:rsidRPr="009627FD">
        <w:rPr>
          <w:lang w:val="en-US"/>
        </w:rPr>
        <w:t>Nearly every day over the last two weeks</w:t>
      </w:r>
      <w:r w:rsidR="000B74FB" w:rsidRPr="009627FD">
        <w:rPr>
          <w:lang w:val="en-US"/>
        </w:rPr>
        <w:t>”</w:t>
      </w:r>
      <w:r w:rsidR="00C146A6" w:rsidRPr="009627FD">
        <w:rPr>
          <w:lang w:val="en-US"/>
        </w:rPr>
        <w:t xml:space="preserve">). The CAS total score </w:t>
      </w:r>
      <w:r w:rsidRPr="009627FD">
        <w:rPr>
          <w:lang w:val="en-US"/>
        </w:rPr>
        <w:t>ranges from 0 to 20</w:t>
      </w:r>
      <w:r w:rsidR="00C146A6" w:rsidRPr="009627FD">
        <w:rPr>
          <w:lang w:val="en-US"/>
        </w:rPr>
        <w:t>, and high</w:t>
      </w:r>
      <w:r w:rsidR="0044128E" w:rsidRPr="009627FD">
        <w:rPr>
          <w:lang w:val="en-US"/>
        </w:rPr>
        <w:t>er</w:t>
      </w:r>
      <w:r w:rsidR="00C146A6" w:rsidRPr="009627FD">
        <w:rPr>
          <w:lang w:val="en-US"/>
        </w:rPr>
        <w:t xml:space="preserve"> scores indicate higher levels of COVID-</w:t>
      </w:r>
      <w:r w:rsidR="0044128E" w:rsidRPr="009627FD">
        <w:rPr>
          <w:lang w:val="en-US"/>
        </w:rPr>
        <w:t>19-</w:t>
      </w:r>
      <w:r w:rsidR="00C146A6" w:rsidRPr="009627FD">
        <w:rPr>
          <w:lang w:val="en-US"/>
        </w:rPr>
        <w:t>related anxiety</w:t>
      </w:r>
      <w:r w:rsidR="000B74FB" w:rsidRPr="009627FD">
        <w:rPr>
          <w:lang w:val="en-US"/>
        </w:rPr>
        <w:t>.</w:t>
      </w:r>
      <w:r w:rsidR="00C146A6" w:rsidRPr="009627FD">
        <w:rPr>
          <w:lang w:val="en-US"/>
        </w:rPr>
        <w:t xml:space="preserve"> </w:t>
      </w:r>
      <w:r w:rsidR="000B74FB" w:rsidRPr="009627FD">
        <w:rPr>
          <w:lang w:val="en-US"/>
        </w:rPr>
        <w:t>T</w:t>
      </w:r>
      <w:r w:rsidR="00C146A6" w:rsidRPr="009627FD">
        <w:rPr>
          <w:lang w:val="en-US"/>
        </w:rPr>
        <w:t xml:space="preserve">he CAS </w:t>
      </w:r>
      <w:r w:rsidR="000B74FB" w:rsidRPr="009627FD">
        <w:rPr>
          <w:lang w:val="en-US"/>
        </w:rPr>
        <w:t xml:space="preserve">has </w:t>
      </w:r>
      <w:r w:rsidR="0044128E" w:rsidRPr="009627FD">
        <w:rPr>
          <w:lang w:val="en-US"/>
        </w:rPr>
        <w:t xml:space="preserve">been </w:t>
      </w:r>
      <w:r w:rsidR="000B74FB" w:rsidRPr="009627FD">
        <w:rPr>
          <w:lang w:val="en-US"/>
        </w:rPr>
        <w:t xml:space="preserve">shown </w:t>
      </w:r>
      <w:r w:rsidR="0044128E" w:rsidRPr="009627FD">
        <w:rPr>
          <w:lang w:val="en-US"/>
        </w:rPr>
        <w:t xml:space="preserve">to possess </w:t>
      </w:r>
      <w:r w:rsidR="000B74FB" w:rsidRPr="009627FD">
        <w:rPr>
          <w:lang w:val="en-US"/>
        </w:rPr>
        <w:t xml:space="preserve">good psychometric proprieties </w:t>
      </w:r>
      <w:r w:rsidR="00C146A6" w:rsidRPr="009627FD">
        <w:rPr>
          <w:lang w:val="en-US"/>
        </w:rPr>
        <w:t>(Lee, 2020a; 2020b</w:t>
      </w:r>
      <w:r w:rsidR="000B74FB" w:rsidRPr="009627FD">
        <w:rPr>
          <w:lang w:val="en-US"/>
        </w:rPr>
        <w:t xml:space="preserve">; Mozzoni </w:t>
      </w:r>
      <w:r w:rsidR="00912BE9" w:rsidRPr="009627FD">
        <w:rPr>
          <w:lang w:val="en-US"/>
        </w:rPr>
        <w:t xml:space="preserve">&amp; </w:t>
      </w:r>
      <w:r w:rsidR="00912BE9" w:rsidRPr="009627FD">
        <w:rPr>
          <w:shd w:val="clear" w:color="auto" w:fill="FFFFFF"/>
          <w:lang w:val="en-US"/>
        </w:rPr>
        <w:t>Franzot</w:t>
      </w:r>
      <w:r w:rsidR="000B74FB" w:rsidRPr="009627FD">
        <w:rPr>
          <w:lang w:val="en-US"/>
        </w:rPr>
        <w:t>, 2020</w:t>
      </w:r>
      <w:r w:rsidR="00C146A6" w:rsidRPr="009627FD">
        <w:rPr>
          <w:lang w:val="en-US"/>
        </w:rPr>
        <w:t xml:space="preserve">). </w:t>
      </w:r>
      <w:r w:rsidR="002D3262" w:rsidRPr="009627FD">
        <w:rPr>
          <w:lang w:val="en-US"/>
        </w:rPr>
        <w:t>In the current study we used the Italian translation</w:t>
      </w:r>
      <w:r w:rsidR="001C44D8" w:rsidRPr="009627FD">
        <w:rPr>
          <w:lang w:val="en-US"/>
        </w:rPr>
        <w:t xml:space="preserve"> </w:t>
      </w:r>
      <w:r w:rsidR="002D3262" w:rsidRPr="009627FD">
        <w:rPr>
          <w:lang w:val="en-US"/>
        </w:rPr>
        <w:t xml:space="preserve">of the </w:t>
      </w:r>
      <w:r w:rsidR="001C44D8" w:rsidRPr="009627FD">
        <w:rPr>
          <w:lang w:val="en-US"/>
        </w:rPr>
        <w:t xml:space="preserve">CAS (Mozzoni &amp; </w:t>
      </w:r>
      <w:r w:rsidR="001C44D8" w:rsidRPr="009627FD">
        <w:rPr>
          <w:shd w:val="clear" w:color="auto" w:fill="FFFFFF"/>
          <w:lang w:val="en-US"/>
        </w:rPr>
        <w:t>Franzot</w:t>
      </w:r>
      <w:r w:rsidR="001C44D8" w:rsidRPr="009627FD">
        <w:rPr>
          <w:lang w:val="en-US"/>
        </w:rPr>
        <w:t>, 2020). In the present study the CAS showed good internal consistency (Cronbach’s alpha = .</w:t>
      </w:r>
      <w:r w:rsidR="00D76F74" w:rsidRPr="009627FD">
        <w:rPr>
          <w:lang w:val="en-US"/>
        </w:rPr>
        <w:t>87</w:t>
      </w:r>
      <w:r w:rsidR="001C44D8" w:rsidRPr="009627FD">
        <w:rPr>
          <w:lang w:val="en-US"/>
        </w:rPr>
        <w:t>).</w:t>
      </w:r>
    </w:p>
    <w:p w14:paraId="62EE9D5C" w14:textId="77777777" w:rsidR="00C146A6" w:rsidRPr="009627FD" w:rsidRDefault="00C146A6" w:rsidP="00522ACB">
      <w:pPr>
        <w:spacing w:line="360" w:lineRule="auto"/>
        <w:jc w:val="both"/>
        <w:rPr>
          <w:i/>
          <w:iCs/>
          <w:lang w:val="en-US"/>
        </w:rPr>
      </w:pPr>
    </w:p>
    <w:p w14:paraId="7717B76C" w14:textId="5B85BDA7" w:rsidR="00C146A6" w:rsidRPr="009627FD" w:rsidRDefault="00C146A6" w:rsidP="00522ACB">
      <w:pPr>
        <w:spacing w:line="360" w:lineRule="auto"/>
        <w:jc w:val="both"/>
        <w:rPr>
          <w:i/>
          <w:iCs/>
          <w:lang w:val="en-US"/>
        </w:rPr>
      </w:pPr>
      <w:r w:rsidRPr="009627FD">
        <w:rPr>
          <w:i/>
          <w:iCs/>
          <w:lang w:val="en-US"/>
        </w:rPr>
        <w:t xml:space="preserve">Fear of COVID-19 Scale </w:t>
      </w:r>
      <w:r w:rsidR="000B74FB" w:rsidRPr="009627FD">
        <w:rPr>
          <w:lang w:val="en-US"/>
        </w:rPr>
        <w:t>(</w:t>
      </w:r>
      <w:r w:rsidR="00F73CBE" w:rsidRPr="009627FD">
        <w:rPr>
          <w:lang w:val="en-US"/>
        </w:rPr>
        <w:t xml:space="preserve">FCV-19S; </w:t>
      </w:r>
      <w:r w:rsidR="000B74FB" w:rsidRPr="009627FD">
        <w:rPr>
          <w:lang w:val="en-US"/>
        </w:rPr>
        <w:t>Ahorsu et al. 2020)</w:t>
      </w:r>
    </w:p>
    <w:p w14:paraId="63E4A4BE" w14:textId="3AE0AED3" w:rsidR="00C146A6" w:rsidRPr="009627FD" w:rsidRDefault="00DE7DF9" w:rsidP="00522ACB">
      <w:pPr>
        <w:spacing w:line="360" w:lineRule="auto"/>
        <w:jc w:val="both"/>
        <w:rPr>
          <w:lang w:val="en-US"/>
        </w:rPr>
      </w:pPr>
      <w:r w:rsidRPr="009627FD">
        <w:rPr>
          <w:lang w:val="en-US"/>
        </w:rPr>
        <w:t>The FCV-19S</w:t>
      </w:r>
      <w:r w:rsidR="000B74FB" w:rsidRPr="009627FD">
        <w:rPr>
          <w:i/>
          <w:iCs/>
          <w:lang w:val="en-US"/>
        </w:rPr>
        <w:t xml:space="preserve"> </w:t>
      </w:r>
      <w:r w:rsidR="000B74FB" w:rsidRPr="009627FD">
        <w:rPr>
          <w:iCs/>
          <w:lang w:val="en-US"/>
        </w:rPr>
        <w:t>is a</w:t>
      </w:r>
      <w:r w:rsidR="005032F0" w:rsidRPr="009627FD">
        <w:rPr>
          <w:iCs/>
          <w:lang w:val="en-US"/>
        </w:rPr>
        <w:t xml:space="preserve"> 7-item</w:t>
      </w:r>
      <w:r w:rsidR="000B74FB" w:rsidRPr="009627FD">
        <w:rPr>
          <w:i/>
          <w:iCs/>
          <w:lang w:val="en-US"/>
        </w:rPr>
        <w:t xml:space="preserve"> </w:t>
      </w:r>
      <w:r w:rsidR="000B74FB" w:rsidRPr="009627FD">
        <w:rPr>
          <w:lang w:val="en-US"/>
        </w:rPr>
        <w:t xml:space="preserve">self-report </w:t>
      </w:r>
      <w:r w:rsidR="00552358" w:rsidRPr="009627FD">
        <w:rPr>
          <w:lang w:val="en-US"/>
        </w:rPr>
        <w:t>measure</w:t>
      </w:r>
      <w:r w:rsidR="00C146A6" w:rsidRPr="009627FD">
        <w:rPr>
          <w:lang w:val="en-US"/>
        </w:rPr>
        <w:t xml:space="preserve"> </w:t>
      </w:r>
      <w:r w:rsidR="000B74FB" w:rsidRPr="009627FD">
        <w:rPr>
          <w:lang w:val="en-US"/>
        </w:rPr>
        <w:t xml:space="preserve">assessing </w:t>
      </w:r>
      <w:r w:rsidR="00C146A6" w:rsidRPr="009627FD">
        <w:rPr>
          <w:lang w:val="en-US"/>
        </w:rPr>
        <w:t xml:space="preserve">the fear of COVID-19. The items (e.g., “I am most afraid of coronavirus-19”) are rated on a 5-point </w:t>
      </w:r>
      <w:r w:rsidR="0044128E" w:rsidRPr="009627FD">
        <w:rPr>
          <w:lang w:val="en-US"/>
        </w:rPr>
        <w:t xml:space="preserve">Likert </w:t>
      </w:r>
      <w:r w:rsidR="00C146A6" w:rsidRPr="009627FD">
        <w:rPr>
          <w:lang w:val="en-US"/>
        </w:rPr>
        <w:t>scale from 1 (</w:t>
      </w:r>
      <w:r w:rsidR="000B74FB" w:rsidRPr="009627FD">
        <w:rPr>
          <w:lang w:val="en-US"/>
        </w:rPr>
        <w:t>“</w:t>
      </w:r>
      <w:r w:rsidR="003E5685" w:rsidRPr="009627FD">
        <w:rPr>
          <w:lang w:val="en-US"/>
        </w:rPr>
        <w:t>S</w:t>
      </w:r>
      <w:r w:rsidR="00C146A6" w:rsidRPr="009627FD">
        <w:rPr>
          <w:lang w:val="en-US"/>
        </w:rPr>
        <w:t>trongly disagree</w:t>
      </w:r>
      <w:r w:rsidR="000B74FB" w:rsidRPr="009627FD">
        <w:rPr>
          <w:lang w:val="en-US"/>
        </w:rPr>
        <w:t>”</w:t>
      </w:r>
      <w:r w:rsidR="00C146A6" w:rsidRPr="009627FD">
        <w:rPr>
          <w:lang w:val="en-US"/>
        </w:rPr>
        <w:t>) to 5 (</w:t>
      </w:r>
      <w:r w:rsidR="000B74FB" w:rsidRPr="009627FD">
        <w:rPr>
          <w:lang w:val="en-US"/>
        </w:rPr>
        <w:t>“</w:t>
      </w:r>
      <w:r w:rsidR="003E5685" w:rsidRPr="009627FD">
        <w:rPr>
          <w:lang w:val="en-US"/>
        </w:rPr>
        <w:t>S</w:t>
      </w:r>
      <w:r w:rsidR="00C146A6" w:rsidRPr="009627FD">
        <w:rPr>
          <w:lang w:val="en-US"/>
        </w:rPr>
        <w:t>trongly agree</w:t>
      </w:r>
      <w:r w:rsidR="000B74FB" w:rsidRPr="009627FD">
        <w:rPr>
          <w:lang w:val="en-US"/>
        </w:rPr>
        <w:t>”</w:t>
      </w:r>
      <w:r w:rsidR="00C146A6" w:rsidRPr="009627FD">
        <w:rPr>
          <w:lang w:val="en-US"/>
        </w:rPr>
        <w:t>) with scores ranging from 7 to 35. High</w:t>
      </w:r>
      <w:r w:rsidR="0044128E" w:rsidRPr="009627FD">
        <w:rPr>
          <w:lang w:val="en-US"/>
        </w:rPr>
        <w:t>er</w:t>
      </w:r>
      <w:r w:rsidR="00C146A6" w:rsidRPr="009627FD">
        <w:rPr>
          <w:lang w:val="en-US"/>
        </w:rPr>
        <w:t xml:space="preserve"> scores indicate higher levels of fear of COVID-19. The </w:t>
      </w:r>
      <w:r w:rsidR="0044128E" w:rsidRPr="009627FD">
        <w:rPr>
          <w:lang w:val="en-US"/>
        </w:rPr>
        <w:t>FCV-1</w:t>
      </w:r>
      <w:r w:rsidRPr="009627FD">
        <w:rPr>
          <w:lang w:val="en-US"/>
        </w:rPr>
        <w:t>9</w:t>
      </w:r>
      <w:r w:rsidR="0044128E" w:rsidRPr="009627FD">
        <w:rPr>
          <w:lang w:val="en-US"/>
        </w:rPr>
        <w:t>S</w:t>
      </w:r>
      <w:r w:rsidR="000B74FB" w:rsidRPr="009627FD">
        <w:rPr>
          <w:lang w:val="en-US"/>
        </w:rPr>
        <w:t xml:space="preserve"> </w:t>
      </w:r>
      <w:r w:rsidR="00C146A6" w:rsidRPr="009627FD">
        <w:rPr>
          <w:lang w:val="en-US"/>
        </w:rPr>
        <w:t xml:space="preserve">has </w:t>
      </w:r>
      <w:r w:rsidRPr="009627FD">
        <w:rPr>
          <w:lang w:val="en-US"/>
        </w:rPr>
        <w:t xml:space="preserve">been </w:t>
      </w:r>
      <w:r w:rsidR="003E5685" w:rsidRPr="009627FD">
        <w:rPr>
          <w:lang w:val="en-US"/>
        </w:rPr>
        <w:t xml:space="preserve">shown </w:t>
      </w:r>
      <w:r w:rsidRPr="009627FD">
        <w:rPr>
          <w:lang w:val="en-US"/>
        </w:rPr>
        <w:t xml:space="preserve">to possess </w:t>
      </w:r>
      <w:r w:rsidR="00C146A6" w:rsidRPr="009627FD">
        <w:rPr>
          <w:lang w:val="en-US"/>
        </w:rPr>
        <w:t>good psychometric properties (</w:t>
      </w:r>
      <w:r w:rsidR="000B74FB" w:rsidRPr="009627FD">
        <w:rPr>
          <w:lang w:val="en-US"/>
        </w:rPr>
        <w:t xml:space="preserve">Ahorsu et al. 2020; </w:t>
      </w:r>
      <w:r w:rsidR="00C146A6" w:rsidRPr="009627FD">
        <w:rPr>
          <w:lang w:val="en-US"/>
        </w:rPr>
        <w:t>Soraci et al., 2020).</w:t>
      </w:r>
      <w:r w:rsidR="00852B8C" w:rsidRPr="009627FD">
        <w:rPr>
          <w:lang w:val="en-US"/>
        </w:rPr>
        <w:t xml:space="preserve"> In the current study we used the Italian </w:t>
      </w:r>
      <w:r w:rsidR="002D3262" w:rsidRPr="009627FD">
        <w:rPr>
          <w:lang w:val="en-US"/>
        </w:rPr>
        <w:t>validated translation</w:t>
      </w:r>
      <w:r w:rsidR="00852B8C" w:rsidRPr="009627FD">
        <w:rPr>
          <w:lang w:val="en-US"/>
        </w:rPr>
        <w:t xml:space="preserve"> of the FCV-19S (Soraci et al., 2020). In the present study the FCV-19S showed good internal consistency (Cronbach’s alpha = .91).</w:t>
      </w:r>
    </w:p>
    <w:p w14:paraId="5590E643" w14:textId="77777777" w:rsidR="00C146A6" w:rsidRPr="009627FD" w:rsidRDefault="00C146A6" w:rsidP="00522ACB">
      <w:pPr>
        <w:spacing w:line="360" w:lineRule="auto"/>
        <w:jc w:val="both"/>
        <w:rPr>
          <w:i/>
          <w:iCs/>
          <w:lang w:val="en-US"/>
        </w:rPr>
      </w:pPr>
    </w:p>
    <w:p w14:paraId="6C09B22D" w14:textId="54601981" w:rsidR="00ED0408" w:rsidRPr="009627FD" w:rsidRDefault="00ED0408" w:rsidP="00ED0408">
      <w:pPr>
        <w:spacing w:line="360" w:lineRule="auto"/>
        <w:contextualSpacing/>
        <w:jc w:val="both"/>
        <w:rPr>
          <w:iCs/>
          <w:lang w:val="en-US"/>
        </w:rPr>
      </w:pPr>
      <w:r w:rsidRPr="009627FD">
        <w:rPr>
          <w:i/>
          <w:lang w:val="en-US"/>
        </w:rPr>
        <w:t>Work and Social Adjustment Scale</w:t>
      </w:r>
      <w:r w:rsidRPr="009627FD">
        <w:rPr>
          <w:iCs/>
          <w:lang w:val="en-US"/>
        </w:rPr>
        <w:t xml:space="preserve"> (</w:t>
      </w:r>
      <w:r w:rsidRPr="009627FD">
        <w:rPr>
          <w:lang w:val="en-US"/>
        </w:rPr>
        <w:t>WSAS</w:t>
      </w:r>
      <w:r w:rsidRPr="009627FD">
        <w:rPr>
          <w:iCs/>
          <w:lang w:val="en-US"/>
        </w:rPr>
        <w:t>; Mundt</w:t>
      </w:r>
      <w:r w:rsidR="0086104E" w:rsidRPr="009627FD">
        <w:rPr>
          <w:iCs/>
          <w:lang w:val="en-US"/>
        </w:rPr>
        <w:t xml:space="preserve">, </w:t>
      </w:r>
      <w:r w:rsidR="0086104E" w:rsidRPr="009627FD">
        <w:rPr>
          <w:shd w:val="clear" w:color="auto" w:fill="FFFFFF"/>
          <w:lang w:val="en-US"/>
        </w:rPr>
        <w:t xml:space="preserve">Marks, Shear, &amp; Greist, </w:t>
      </w:r>
      <w:r w:rsidRPr="009627FD">
        <w:rPr>
          <w:iCs/>
          <w:lang w:val="en-US"/>
        </w:rPr>
        <w:t>2002)</w:t>
      </w:r>
    </w:p>
    <w:p w14:paraId="4B05628E" w14:textId="589F9C6F" w:rsidR="00ED0408" w:rsidRPr="009627FD" w:rsidRDefault="00ED0408" w:rsidP="00ED0408">
      <w:pPr>
        <w:spacing w:line="360" w:lineRule="auto"/>
        <w:contextualSpacing/>
        <w:jc w:val="both"/>
        <w:rPr>
          <w:i/>
          <w:iCs/>
          <w:lang w:val="en-US"/>
        </w:rPr>
      </w:pPr>
      <w:r w:rsidRPr="009627FD">
        <w:rPr>
          <w:lang w:val="en-US"/>
        </w:rPr>
        <w:t xml:space="preserve">The </w:t>
      </w:r>
      <w:r w:rsidR="00DE7DF9" w:rsidRPr="009627FD">
        <w:rPr>
          <w:iCs/>
          <w:lang w:val="en-US"/>
        </w:rPr>
        <w:t>WSAS</w:t>
      </w:r>
      <w:r w:rsidRPr="009627FD">
        <w:rPr>
          <w:iCs/>
          <w:lang w:val="en-US"/>
        </w:rPr>
        <w:t xml:space="preserve"> is</w:t>
      </w:r>
      <w:r w:rsidRPr="009627FD">
        <w:rPr>
          <w:i/>
          <w:iCs/>
          <w:lang w:val="en-US"/>
        </w:rPr>
        <w:t xml:space="preserve"> </w:t>
      </w:r>
      <w:r w:rsidRPr="009627FD">
        <w:rPr>
          <w:lang w:val="en-US"/>
        </w:rPr>
        <w:t>a</w:t>
      </w:r>
      <w:r w:rsidR="005032F0" w:rsidRPr="009627FD">
        <w:rPr>
          <w:lang w:val="en-US"/>
        </w:rPr>
        <w:t xml:space="preserve"> 5-item</w:t>
      </w:r>
      <w:r w:rsidRPr="009627FD">
        <w:rPr>
          <w:lang w:val="en-US"/>
        </w:rPr>
        <w:t xml:space="preserve"> self-report </w:t>
      </w:r>
      <w:r w:rsidR="00552358" w:rsidRPr="009627FD">
        <w:rPr>
          <w:lang w:val="en-US"/>
        </w:rPr>
        <w:t>measure</w:t>
      </w:r>
      <w:r w:rsidR="00FC4C16" w:rsidRPr="009627FD">
        <w:rPr>
          <w:lang w:val="en-US"/>
        </w:rPr>
        <w:t xml:space="preserve"> </w:t>
      </w:r>
      <w:r w:rsidRPr="009627FD">
        <w:rPr>
          <w:lang w:val="en-US"/>
        </w:rPr>
        <w:t xml:space="preserve">assessing the functional impairment of a particular problem. </w:t>
      </w:r>
      <w:r w:rsidR="00834DEF" w:rsidRPr="009627FD">
        <w:rPr>
          <w:lang w:val="en-US"/>
        </w:rPr>
        <w:t>The item</w:t>
      </w:r>
      <w:r w:rsidR="00BA0FB1" w:rsidRPr="009627FD">
        <w:rPr>
          <w:lang w:val="en-US"/>
        </w:rPr>
        <w:t>s</w:t>
      </w:r>
      <w:r w:rsidRPr="009627FD">
        <w:rPr>
          <w:lang w:val="en-US"/>
        </w:rPr>
        <w:t xml:space="preserve"> </w:t>
      </w:r>
      <w:r w:rsidR="00834DEF" w:rsidRPr="009627FD">
        <w:rPr>
          <w:lang w:val="en-US"/>
        </w:rPr>
        <w:t xml:space="preserve">are rated on </w:t>
      </w:r>
      <w:r w:rsidRPr="009627FD">
        <w:rPr>
          <w:lang w:val="en-US"/>
        </w:rPr>
        <w:t>a 9-point Likert scale from 0 (“Not at all”) to 8 (“Very severely”)</w:t>
      </w:r>
      <w:r w:rsidR="003E5685" w:rsidRPr="009627FD">
        <w:rPr>
          <w:lang w:val="en-US"/>
        </w:rPr>
        <w:t>.</w:t>
      </w:r>
      <w:r w:rsidRPr="009627FD">
        <w:rPr>
          <w:lang w:val="en-US"/>
        </w:rPr>
        <w:t xml:space="preserve"> </w:t>
      </w:r>
      <w:r w:rsidR="003E5685" w:rsidRPr="009627FD">
        <w:rPr>
          <w:lang w:val="en-US"/>
        </w:rPr>
        <w:t>T</w:t>
      </w:r>
      <w:r w:rsidRPr="009627FD">
        <w:rPr>
          <w:lang w:val="en-US"/>
        </w:rPr>
        <w:t>he WSAS scores range from 0 to 40, where high</w:t>
      </w:r>
      <w:r w:rsidR="00DE7DF9" w:rsidRPr="009627FD">
        <w:rPr>
          <w:lang w:val="en-US"/>
        </w:rPr>
        <w:t>er</w:t>
      </w:r>
      <w:r w:rsidRPr="009627FD">
        <w:rPr>
          <w:lang w:val="en-US"/>
        </w:rPr>
        <w:t xml:space="preserve"> scores indicate higher social and functional impairment levels. The WSAS has </w:t>
      </w:r>
      <w:r w:rsidR="00DE7DF9" w:rsidRPr="009627FD">
        <w:rPr>
          <w:lang w:val="en-US"/>
        </w:rPr>
        <w:t xml:space="preserve">been shown to possess </w:t>
      </w:r>
      <w:r w:rsidRPr="009627FD">
        <w:rPr>
          <w:lang w:val="en-US"/>
        </w:rPr>
        <w:t xml:space="preserve">good psychometric properties (Mundt et al., 2002). </w:t>
      </w:r>
      <w:r w:rsidR="001D77F0" w:rsidRPr="009627FD">
        <w:rPr>
          <w:lang w:val="en-US"/>
        </w:rPr>
        <w:t>In the present study the WSAS showed good internal consistency (Cronbach’s alpha = .91).</w:t>
      </w:r>
    </w:p>
    <w:p w14:paraId="28A2C551" w14:textId="77777777" w:rsidR="00ED0408" w:rsidRPr="009627FD" w:rsidRDefault="00ED0408" w:rsidP="00ED0408">
      <w:pPr>
        <w:spacing w:line="360" w:lineRule="auto"/>
        <w:jc w:val="both"/>
        <w:rPr>
          <w:bCs/>
          <w:i/>
          <w:lang w:val="en-US"/>
        </w:rPr>
      </w:pPr>
    </w:p>
    <w:p w14:paraId="07788534" w14:textId="5A0B5067" w:rsidR="00ED0408" w:rsidRPr="009627FD" w:rsidRDefault="00ED0408" w:rsidP="00ED0408">
      <w:pPr>
        <w:spacing w:line="360" w:lineRule="auto"/>
        <w:jc w:val="both"/>
        <w:rPr>
          <w:bCs/>
          <w:i/>
          <w:lang w:val="en-US"/>
        </w:rPr>
      </w:pPr>
      <w:r w:rsidRPr="009627FD">
        <w:rPr>
          <w:bCs/>
          <w:i/>
          <w:lang w:val="en-US"/>
        </w:rPr>
        <w:t>Big Five Inventory</w:t>
      </w:r>
      <w:r w:rsidR="004800CD" w:rsidRPr="009627FD">
        <w:rPr>
          <w:bCs/>
          <w:i/>
          <w:lang w:val="en-US"/>
        </w:rPr>
        <w:t>-</w:t>
      </w:r>
      <w:r w:rsidRPr="009627FD">
        <w:rPr>
          <w:bCs/>
          <w:i/>
          <w:lang w:val="en-US"/>
        </w:rPr>
        <w:t xml:space="preserve">10 </w:t>
      </w:r>
      <w:r w:rsidRPr="009627FD">
        <w:rPr>
          <w:bCs/>
          <w:lang w:val="en-US"/>
        </w:rPr>
        <w:t>(BFI</w:t>
      </w:r>
      <w:r w:rsidR="004800CD" w:rsidRPr="009627FD">
        <w:rPr>
          <w:bCs/>
          <w:lang w:val="en-US"/>
        </w:rPr>
        <w:t>-</w:t>
      </w:r>
      <w:r w:rsidRPr="009627FD">
        <w:rPr>
          <w:bCs/>
          <w:lang w:val="en-US"/>
        </w:rPr>
        <w:t xml:space="preserve">10; </w:t>
      </w:r>
      <w:r w:rsidRPr="009627FD">
        <w:rPr>
          <w:bCs/>
          <w:iCs/>
          <w:lang w:val="en-US"/>
        </w:rPr>
        <w:t>Rammstedt &amp; John, 2007)</w:t>
      </w:r>
    </w:p>
    <w:p w14:paraId="359AC806" w14:textId="70A09331" w:rsidR="00ED0408" w:rsidRPr="009627FD" w:rsidRDefault="00ED0408" w:rsidP="00ED0408">
      <w:pPr>
        <w:spacing w:line="360" w:lineRule="auto"/>
        <w:jc w:val="both"/>
        <w:rPr>
          <w:lang w:val="en-US"/>
        </w:rPr>
      </w:pPr>
      <w:r w:rsidRPr="009627FD">
        <w:rPr>
          <w:lang w:val="en-US"/>
        </w:rPr>
        <w:t xml:space="preserve">The </w:t>
      </w:r>
      <w:r w:rsidR="00DE7DF9" w:rsidRPr="009627FD">
        <w:rPr>
          <w:bCs/>
          <w:lang w:val="en-US"/>
        </w:rPr>
        <w:t>BFI</w:t>
      </w:r>
      <w:r w:rsidR="004800CD" w:rsidRPr="009627FD">
        <w:rPr>
          <w:bCs/>
          <w:lang w:val="en-US"/>
        </w:rPr>
        <w:t>-</w:t>
      </w:r>
      <w:r w:rsidRPr="009627FD">
        <w:rPr>
          <w:bCs/>
          <w:lang w:val="en-US"/>
        </w:rPr>
        <w:t xml:space="preserve">10 is </w:t>
      </w:r>
      <w:r w:rsidR="00DE7DF9" w:rsidRPr="009627FD">
        <w:rPr>
          <w:bCs/>
          <w:lang w:val="en-US"/>
        </w:rPr>
        <w:t xml:space="preserve">10-item </w:t>
      </w:r>
      <w:r w:rsidRPr="009627FD">
        <w:rPr>
          <w:lang w:val="en-US"/>
        </w:rPr>
        <w:t xml:space="preserve">self-report </w:t>
      </w:r>
      <w:r w:rsidR="00552358" w:rsidRPr="009627FD">
        <w:rPr>
          <w:lang w:val="en-US"/>
        </w:rPr>
        <w:t>measure</w:t>
      </w:r>
      <w:r w:rsidRPr="009627FD">
        <w:rPr>
          <w:lang w:val="en-US"/>
        </w:rPr>
        <w:t xml:space="preserve"> assessing the </w:t>
      </w:r>
      <w:r w:rsidR="00DE7DF9" w:rsidRPr="009627FD">
        <w:rPr>
          <w:lang w:val="en-US"/>
        </w:rPr>
        <w:t xml:space="preserve">Big Five </w:t>
      </w:r>
      <w:r w:rsidRPr="009627FD">
        <w:rPr>
          <w:lang w:val="en-US"/>
        </w:rPr>
        <w:t xml:space="preserve">personality traits, including agreeableness, conscientiousness, emotional stability, </w:t>
      </w:r>
      <w:r w:rsidR="000B7C8C" w:rsidRPr="009627FD">
        <w:rPr>
          <w:lang w:val="en-US"/>
        </w:rPr>
        <w:t>extraversion</w:t>
      </w:r>
      <w:r w:rsidRPr="009627FD">
        <w:rPr>
          <w:lang w:val="en-US"/>
        </w:rPr>
        <w:t xml:space="preserve">, and openness. </w:t>
      </w:r>
      <w:r w:rsidR="008D60AF" w:rsidRPr="009627FD">
        <w:rPr>
          <w:lang w:val="en-US"/>
        </w:rPr>
        <w:t>The</w:t>
      </w:r>
      <w:r w:rsidRPr="009627FD">
        <w:rPr>
          <w:lang w:val="en-US"/>
        </w:rPr>
        <w:t xml:space="preserve"> items are rated on a 5-point Likert scale from 1 (“Disagree strongly”) to 5 (“Agree strongly”). The BFI-10 presents </w:t>
      </w:r>
      <w:r w:rsidRPr="009627FD">
        <w:rPr>
          <w:lang w:val="en-US"/>
        </w:rPr>
        <w:lastRenderedPageBreak/>
        <w:t>a score with a range of 2-10 for each dimension. High</w:t>
      </w:r>
      <w:r w:rsidR="00DE7DF9" w:rsidRPr="009627FD">
        <w:rPr>
          <w:lang w:val="en-US"/>
        </w:rPr>
        <w:t>er</w:t>
      </w:r>
      <w:r w:rsidRPr="009627FD">
        <w:rPr>
          <w:lang w:val="en-US"/>
        </w:rPr>
        <w:t xml:space="preserve"> scores indicate </w:t>
      </w:r>
      <w:r w:rsidR="00DE7DF9" w:rsidRPr="009627FD">
        <w:rPr>
          <w:lang w:val="en-US"/>
        </w:rPr>
        <w:t xml:space="preserve">higher </w:t>
      </w:r>
      <w:r w:rsidRPr="009627FD">
        <w:rPr>
          <w:lang w:val="en-US"/>
        </w:rPr>
        <w:t xml:space="preserve">levels of </w:t>
      </w:r>
      <w:r w:rsidR="00DE7DF9" w:rsidRPr="009627FD">
        <w:rPr>
          <w:lang w:val="en-US"/>
        </w:rPr>
        <w:t>the given</w:t>
      </w:r>
      <w:r w:rsidRPr="009627FD">
        <w:rPr>
          <w:lang w:val="en-US"/>
        </w:rPr>
        <w:t xml:space="preserve"> trait.</w:t>
      </w:r>
      <w:r w:rsidRPr="009627FD">
        <w:rPr>
          <w:bCs/>
          <w:iCs/>
          <w:lang w:val="en-US"/>
        </w:rPr>
        <w:t xml:space="preserve"> </w:t>
      </w:r>
      <w:r w:rsidRPr="009627FD">
        <w:rPr>
          <w:lang w:val="en-US"/>
        </w:rPr>
        <w:t xml:space="preserve">The BFI-10 has </w:t>
      </w:r>
      <w:r w:rsidR="00DE7DF9" w:rsidRPr="009627FD">
        <w:rPr>
          <w:lang w:val="en-US"/>
        </w:rPr>
        <w:t xml:space="preserve">been </w:t>
      </w:r>
      <w:r w:rsidRPr="009627FD">
        <w:rPr>
          <w:lang w:val="en-US"/>
        </w:rPr>
        <w:t xml:space="preserve">shown </w:t>
      </w:r>
      <w:r w:rsidR="00DE7DF9" w:rsidRPr="009627FD">
        <w:rPr>
          <w:lang w:val="en-US"/>
        </w:rPr>
        <w:t xml:space="preserve">to possess </w:t>
      </w:r>
      <w:r w:rsidRPr="009627FD">
        <w:rPr>
          <w:lang w:val="en-US"/>
        </w:rPr>
        <w:t>good psychometric proprieties (</w:t>
      </w:r>
      <w:r w:rsidRPr="009627FD">
        <w:rPr>
          <w:bCs/>
          <w:iCs/>
          <w:lang w:val="en-US"/>
        </w:rPr>
        <w:t>Rammstedt &amp; John, 2007; Guido</w:t>
      </w:r>
      <w:r w:rsidR="002A534F" w:rsidRPr="009627FD">
        <w:rPr>
          <w:bCs/>
          <w:iCs/>
          <w:lang w:val="en-US"/>
        </w:rPr>
        <w:t>, Peluso, Capestro, &amp; Miglietta</w:t>
      </w:r>
      <w:r w:rsidRPr="009627FD">
        <w:rPr>
          <w:bCs/>
          <w:iCs/>
          <w:lang w:val="en-US"/>
        </w:rPr>
        <w:t>, 2015</w:t>
      </w:r>
      <w:r w:rsidRPr="009627FD">
        <w:rPr>
          <w:lang w:val="en-US"/>
        </w:rPr>
        <w:t>).</w:t>
      </w:r>
      <w:r w:rsidR="002D3262" w:rsidRPr="009627FD">
        <w:rPr>
          <w:lang w:val="en-US"/>
        </w:rPr>
        <w:t xml:space="preserve"> In the current study we used the Italian validated translation of the BFI-10 (</w:t>
      </w:r>
      <w:r w:rsidR="002D3262" w:rsidRPr="009627FD">
        <w:rPr>
          <w:bCs/>
          <w:iCs/>
          <w:lang w:val="en-US"/>
        </w:rPr>
        <w:t>Guido, Peluso, Capestro, &amp; Miglietta, 2015</w:t>
      </w:r>
      <w:r w:rsidR="002D3262" w:rsidRPr="009627FD">
        <w:rPr>
          <w:lang w:val="en-US"/>
        </w:rPr>
        <w:t xml:space="preserve">). In the present study the BFI-10 showed </w:t>
      </w:r>
      <w:r w:rsidR="006F06B6" w:rsidRPr="009627FD">
        <w:rPr>
          <w:lang w:val="en-US"/>
        </w:rPr>
        <w:t>acceptable</w:t>
      </w:r>
      <w:r w:rsidR="002D3262" w:rsidRPr="009627FD">
        <w:rPr>
          <w:lang w:val="en-US"/>
        </w:rPr>
        <w:t xml:space="preserve"> internal consistency (Cronbach’s alpha = .</w:t>
      </w:r>
      <w:r w:rsidR="00D86324" w:rsidRPr="009627FD">
        <w:rPr>
          <w:lang w:val="en-US"/>
        </w:rPr>
        <w:t>60</w:t>
      </w:r>
      <w:r w:rsidR="002D3262" w:rsidRPr="009627FD">
        <w:rPr>
          <w:lang w:val="en-US"/>
        </w:rPr>
        <w:t>).</w:t>
      </w:r>
    </w:p>
    <w:p w14:paraId="7ACB8066" w14:textId="77777777" w:rsidR="00ED0408" w:rsidRPr="009627FD" w:rsidRDefault="00ED0408" w:rsidP="00522ACB">
      <w:pPr>
        <w:spacing w:line="360" w:lineRule="auto"/>
        <w:jc w:val="both"/>
        <w:rPr>
          <w:i/>
          <w:iCs/>
          <w:lang w:val="en-US"/>
        </w:rPr>
      </w:pPr>
    </w:p>
    <w:p w14:paraId="54D2FA6E" w14:textId="49F4156B" w:rsidR="00C146A6" w:rsidRPr="009627FD" w:rsidRDefault="00C146A6" w:rsidP="00522ACB">
      <w:pPr>
        <w:tabs>
          <w:tab w:val="left" w:pos="7500"/>
        </w:tabs>
        <w:spacing w:line="360" w:lineRule="auto"/>
        <w:jc w:val="both"/>
        <w:rPr>
          <w:i/>
          <w:iCs/>
          <w:lang w:val="en-US"/>
        </w:rPr>
      </w:pPr>
      <w:r w:rsidRPr="009627FD">
        <w:rPr>
          <w:i/>
          <w:iCs/>
          <w:lang w:val="en-US"/>
        </w:rPr>
        <w:t xml:space="preserve">Patient Health Questionnaire 9 </w:t>
      </w:r>
      <w:r w:rsidRPr="009627FD">
        <w:rPr>
          <w:iCs/>
          <w:lang w:val="en-US"/>
        </w:rPr>
        <w:t>(PHQ-9; Kroenke</w:t>
      </w:r>
      <w:r w:rsidR="00333DD6" w:rsidRPr="009627FD">
        <w:rPr>
          <w:lang w:val="en-US"/>
        </w:rPr>
        <w:t xml:space="preserve">, Spitzer, &amp; Williams, </w:t>
      </w:r>
      <w:r w:rsidRPr="009627FD">
        <w:rPr>
          <w:iCs/>
          <w:lang w:val="en-US"/>
        </w:rPr>
        <w:t>2001)</w:t>
      </w:r>
    </w:p>
    <w:p w14:paraId="3CDE3DC1" w14:textId="5B3BB5A3" w:rsidR="00C146A6" w:rsidRPr="009627FD" w:rsidRDefault="00D90DEB" w:rsidP="00522ACB">
      <w:pPr>
        <w:spacing w:line="360" w:lineRule="auto"/>
        <w:jc w:val="both"/>
        <w:rPr>
          <w:lang w:val="en-US"/>
        </w:rPr>
      </w:pPr>
      <w:r w:rsidRPr="009627FD">
        <w:rPr>
          <w:lang w:val="en-US"/>
        </w:rPr>
        <w:t xml:space="preserve">The </w:t>
      </w:r>
      <w:r w:rsidR="00DE7DF9" w:rsidRPr="009627FD">
        <w:rPr>
          <w:iCs/>
          <w:lang w:val="en-US"/>
        </w:rPr>
        <w:t>PHQ-9</w:t>
      </w:r>
      <w:r w:rsidR="006B585F" w:rsidRPr="009627FD">
        <w:rPr>
          <w:iCs/>
          <w:lang w:val="en-US"/>
        </w:rPr>
        <w:t xml:space="preserve"> </w:t>
      </w:r>
      <w:r w:rsidRPr="009627FD">
        <w:rPr>
          <w:iCs/>
          <w:lang w:val="en-US"/>
        </w:rPr>
        <w:t xml:space="preserve">is </w:t>
      </w:r>
      <w:r w:rsidR="00DE7DF9" w:rsidRPr="009627FD">
        <w:rPr>
          <w:iCs/>
          <w:lang w:val="en-US"/>
        </w:rPr>
        <w:t xml:space="preserve">a 9-item </w:t>
      </w:r>
      <w:r w:rsidR="00C146A6" w:rsidRPr="009627FD">
        <w:rPr>
          <w:lang w:val="en-US"/>
        </w:rPr>
        <w:t xml:space="preserve">self-report </w:t>
      </w:r>
      <w:r w:rsidR="00552358" w:rsidRPr="009627FD">
        <w:rPr>
          <w:lang w:val="en-US"/>
        </w:rPr>
        <w:t>measure</w:t>
      </w:r>
      <w:r w:rsidR="00C146A6" w:rsidRPr="009627FD">
        <w:rPr>
          <w:lang w:val="en-US"/>
        </w:rPr>
        <w:t xml:space="preserve"> assessing, screening, and monitoring depression severity during the past two weeks. </w:t>
      </w:r>
      <w:r w:rsidR="008D60AF" w:rsidRPr="009627FD">
        <w:rPr>
          <w:lang w:val="en-US"/>
        </w:rPr>
        <w:t>The i</w:t>
      </w:r>
      <w:r w:rsidR="00C146A6" w:rsidRPr="009627FD">
        <w:rPr>
          <w:lang w:val="en-US"/>
        </w:rPr>
        <w:t>tems are rated on a 4-point Likert scale from 0 (</w:t>
      </w:r>
      <w:r w:rsidR="00BD6188" w:rsidRPr="009627FD">
        <w:rPr>
          <w:lang w:val="en-US"/>
        </w:rPr>
        <w:t>“</w:t>
      </w:r>
      <w:r w:rsidR="00C146A6" w:rsidRPr="009627FD">
        <w:rPr>
          <w:lang w:val="en-US"/>
        </w:rPr>
        <w:t>Not at all</w:t>
      </w:r>
      <w:r w:rsidR="00BD6188" w:rsidRPr="009627FD">
        <w:rPr>
          <w:lang w:val="en-US"/>
        </w:rPr>
        <w:t>”</w:t>
      </w:r>
      <w:r w:rsidR="00C146A6" w:rsidRPr="009627FD">
        <w:rPr>
          <w:lang w:val="en-US"/>
        </w:rPr>
        <w:t>) to 3 (</w:t>
      </w:r>
      <w:r w:rsidR="00BD6188" w:rsidRPr="009627FD">
        <w:rPr>
          <w:lang w:val="en-US"/>
        </w:rPr>
        <w:t>“</w:t>
      </w:r>
      <w:r w:rsidR="00C146A6" w:rsidRPr="009627FD">
        <w:rPr>
          <w:lang w:val="en-US"/>
        </w:rPr>
        <w:t>Nearly every day</w:t>
      </w:r>
      <w:r w:rsidR="00BD6188" w:rsidRPr="009627FD">
        <w:rPr>
          <w:lang w:val="en-US"/>
        </w:rPr>
        <w:t>”</w:t>
      </w:r>
      <w:r w:rsidR="00C146A6" w:rsidRPr="009627FD">
        <w:rPr>
          <w:lang w:val="en-US"/>
        </w:rPr>
        <w:t>)</w:t>
      </w:r>
      <w:r w:rsidR="00DE7DF9" w:rsidRPr="009627FD">
        <w:rPr>
          <w:lang w:val="en-US"/>
        </w:rPr>
        <w:t xml:space="preserve">. The PHQ-9 scores range from </w:t>
      </w:r>
      <w:r w:rsidR="00C146A6" w:rsidRPr="009627FD">
        <w:rPr>
          <w:lang w:val="en-US"/>
        </w:rPr>
        <w:t>0</w:t>
      </w:r>
      <w:r w:rsidR="00DE7DF9" w:rsidRPr="009627FD">
        <w:rPr>
          <w:lang w:val="en-US"/>
        </w:rPr>
        <w:t xml:space="preserve"> to </w:t>
      </w:r>
      <w:r w:rsidR="00C146A6" w:rsidRPr="009627FD">
        <w:rPr>
          <w:lang w:val="en-US"/>
        </w:rPr>
        <w:t>27. High scores indicate higher levels of depression. Scores rang</w:t>
      </w:r>
      <w:r w:rsidR="005032F0" w:rsidRPr="009627FD">
        <w:rPr>
          <w:lang w:val="en-US"/>
        </w:rPr>
        <w:t>ing</w:t>
      </w:r>
      <w:r w:rsidR="00C146A6" w:rsidRPr="009627FD">
        <w:rPr>
          <w:lang w:val="en-US"/>
        </w:rPr>
        <w:t xml:space="preserve"> </w:t>
      </w:r>
      <w:r w:rsidR="00B767DC" w:rsidRPr="009627FD">
        <w:rPr>
          <w:lang w:val="en-US"/>
        </w:rPr>
        <w:t xml:space="preserve">from </w:t>
      </w:r>
      <w:r w:rsidR="00C146A6" w:rsidRPr="009627FD">
        <w:rPr>
          <w:lang w:val="en-US"/>
        </w:rPr>
        <w:t>15</w:t>
      </w:r>
      <w:r w:rsidR="00B767DC" w:rsidRPr="009627FD">
        <w:rPr>
          <w:lang w:val="en-US"/>
        </w:rPr>
        <w:t xml:space="preserve"> to </w:t>
      </w:r>
      <w:r w:rsidR="00C146A6" w:rsidRPr="009627FD">
        <w:rPr>
          <w:lang w:val="en-US"/>
        </w:rPr>
        <w:t>19</w:t>
      </w:r>
      <w:r w:rsidR="00B767DC" w:rsidRPr="009627FD">
        <w:rPr>
          <w:lang w:val="en-US"/>
        </w:rPr>
        <w:t xml:space="preserve"> indicate</w:t>
      </w:r>
      <w:r w:rsidR="00C146A6" w:rsidRPr="009627FD">
        <w:rPr>
          <w:lang w:val="en-US"/>
        </w:rPr>
        <w:t xml:space="preserve"> </w:t>
      </w:r>
      <w:r w:rsidR="001668E0" w:rsidRPr="009627FD">
        <w:rPr>
          <w:lang w:val="en-US"/>
        </w:rPr>
        <w:t xml:space="preserve">depression of </w:t>
      </w:r>
      <w:r w:rsidR="00C146A6" w:rsidRPr="009627FD">
        <w:rPr>
          <w:lang w:val="en-US"/>
        </w:rPr>
        <w:t>moderate</w:t>
      </w:r>
      <w:r w:rsidR="00B767DC" w:rsidRPr="009627FD">
        <w:rPr>
          <w:lang w:val="en-US"/>
        </w:rPr>
        <w:t xml:space="preserve"> </w:t>
      </w:r>
      <w:r w:rsidR="001668E0" w:rsidRPr="009627FD">
        <w:rPr>
          <w:lang w:val="en-US"/>
        </w:rPr>
        <w:t>severity</w:t>
      </w:r>
      <w:r w:rsidR="00C146A6" w:rsidRPr="009627FD">
        <w:rPr>
          <w:lang w:val="en-US"/>
        </w:rPr>
        <w:t xml:space="preserve">, and </w:t>
      </w:r>
      <w:r w:rsidR="00B767DC" w:rsidRPr="009627FD">
        <w:rPr>
          <w:lang w:val="en-US"/>
        </w:rPr>
        <w:t xml:space="preserve">scores ranging from </w:t>
      </w:r>
      <w:r w:rsidR="00C146A6" w:rsidRPr="009627FD">
        <w:rPr>
          <w:lang w:val="en-US"/>
        </w:rPr>
        <w:t>20</w:t>
      </w:r>
      <w:r w:rsidR="00B767DC" w:rsidRPr="009627FD">
        <w:rPr>
          <w:lang w:val="en-US"/>
        </w:rPr>
        <w:t xml:space="preserve"> to </w:t>
      </w:r>
      <w:r w:rsidR="00C146A6" w:rsidRPr="009627FD">
        <w:rPr>
          <w:lang w:val="en-US"/>
        </w:rPr>
        <w:t xml:space="preserve">27 </w:t>
      </w:r>
      <w:r w:rsidR="00B767DC" w:rsidRPr="009627FD">
        <w:rPr>
          <w:lang w:val="en-US"/>
        </w:rPr>
        <w:t>indicate</w:t>
      </w:r>
      <w:r w:rsidR="00C146A6" w:rsidRPr="009627FD">
        <w:rPr>
          <w:lang w:val="en-US"/>
        </w:rPr>
        <w:t xml:space="preserve"> severe depression. The PHQ-9 has </w:t>
      </w:r>
      <w:r w:rsidR="00A1699F" w:rsidRPr="009627FD">
        <w:rPr>
          <w:lang w:val="en-US"/>
        </w:rPr>
        <w:t xml:space="preserve">been </w:t>
      </w:r>
      <w:r w:rsidR="00C146A6" w:rsidRPr="009627FD">
        <w:rPr>
          <w:lang w:val="en-US"/>
        </w:rPr>
        <w:t xml:space="preserve">shown </w:t>
      </w:r>
      <w:r w:rsidR="00A1699F" w:rsidRPr="009627FD">
        <w:rPr>
          <w:lang w:val="en-US"/>
        </w:rPr>
        <w:t xml:space="preserve">to possess </w:t>
      </w:r>
      <w:r w:rsidR="00C146A6" w:rsidRPr="009627FD">
        <w:rPr>
          <w:lang w:val="en-US"/>
        </w:rPr>
        <w:t>good psychometric proprieties (</w:t>
      </w:r>
      <w:r w:rsidR="00BD6188" w:rsidRPr="009627FD">
        <w:rPr>
          <w:iCs/>
          <w:lang w:val="en-US"/>
        </w:rPr>
        <w:t xml:space="preserve">Kroenke et al., 2001; </w:t>
      </w:r>
      <w:r w:rsidR="00C146A6" w:rsidRPr="009627FD">
        <w:rPr>
          <w:lang w:val="en-US"/>
        </w:rPr>
        <w:t>Manea</w:t>
      </w:r>
      <w:r w:rsidR="00EF69E2" w:rsidRPr="009627FD">
        <w:rPr>
          <w:lang w:val="en-US"/>
        </w:rPr>
        <w:t xml:space="preserve">, Gilbody, &amp; McMillan, </w:t>
      </w:r>
      <w:r w:rsidR="00C146A6" w:rsidRPr="009627FD">
        <w:rPr>
          <w:lang w:val="en-US"/>
        </w:rPr>
        <w:t>2012; Mazzotti et al., 2003).</w:t>
      </w:r>
      <w:r w:rsidR="003B2C71" w:rsidRPr="009627FD">
        <w:rPr>
          <w:lang w:val="en-US"/>
        </w:rPr>
        <w:t xml:space="preserve"> In the current study we used the Italian validated translation of the PHQ-9 (Mazzotti et al., 2003). In the present study the PHQ-9 showed good internal consistency (Cronbach’s alpha = .89).</w:t>
      </w:r>
    </w:p>
    <w:p w14:paraId="12E6130F" w14:textId="77777777" w:rsidR="00A1699F" w:rsidRPr="009627FD" w:rsidRDefault="00A1699F" w:rsidP="00522ACB">
      <w:pPr>
        <w:spacing w:line="360" w:lineRule="auto"/>
        <w:jc w:val="both"/>
        <w:rPr>
          <w:i/>
          <w:iCs/>
          <w:lang w:val="en-US"/>
        </w:rPr>
      </w:pPr>
    </w:p>
    <w:p w14:paraId="0D2E57CC" w14:textId="7C0C3499" w:rsidR="00C146A6" w:rsidRPr="009627FD" w:rsidRDefault="00C146A6" w:rsidP="00522ACB">
      <w:pPr>
        <w:spacing w:line="360" w:lineRule="auto"/>
        <w:jc w:val="both"/>
        <w:rPr>
          <w:i/>
          <w:iCs/>
          <w:lang w:val="en-US"/>
        </w:rPr>
      </w:pPr>
      <w:r w:rsidRPr="009627FD">
        <w:rPr>
          <w:i/>
          <w:iCs/>
          <w:lang w:val="en-US"/>
        </w:rPr>
        <w:t xml:space="preserve">Generalized Anxiety Disorder 7 </w:t>
      </w:r>
      <w:r w:rsidRPr="009627FD">
        <w:rPr>
          <w:iCs/>
          <w:lang w:val="en-US"/>
        </w:rPr>
        <w:t>(GAD-7; Spitzer</w:t>
      </w:r>
      <w:r w:rsidR="007B23C1" w:rsidRPr="009627FD">
        <w:rPr>
          <w:iCs/>
          <w:lang w:val="en-US"/>
        </w:rPr>
        <w:t xml:space="preserve">, Kroenke, Williams, </w:t>
      </w:r>
      <w:r w:rsidR="00E166B4" w:rsidRPr="009627FD">
        <w:rPr>
          <w:iCs/>
          <w:lang w:val="en-US"/>
        </w:rPr>
        <w:t xml:space="preserve">&amp; </w:t>
      </w:r>
      <w:r w:rsidR="007B23C1" w:rsidRPr="009627FD">
        <w:rPr>
          <w:iCs/>
          <w:lang w:val="en-US"/>
        </w:rPr>
        <w:t>Löwe</w:t>
      </w:r>
      <w:r w:rsidR="00E166B4" w:rsidRPr="009627FD">
        <w:rPr>
          <w:iCs/>
          <w:lang w:val="en-US"/>
        </w:rPr>
        <w:t xml:space="preserve">, </w:t>
      </w:r>
      <w:r w:rsidRPr="009627FD">
        <w:rPr>
          <w:iCs/>
          <w:lang w:val="en-US"/>
        </w:rPr>
        <w:t>2006)</w:t>
      </w:r>
    </w:p>
    <w:p w14:paraId="45EAF604" w14:textId="1CB40B5A" w:rsidR="00C146A6" w:rsidRPr="009627FD" w:rsidRDefault="00D552A5" w:rsidP="00522ACB">
      <w:pPr>
        <w:spacing w:line="360" w:lineRule="auto"/>
        <w:contextualSpacing/>
        <w:jc w:val="both"/>
        <w:rPr>
          <w:lang w:val="en-US"/>
        </w:rPr>
      </w:pPr>
      <w:r w:rsidRPr="009627FD">
        <w:rPr>
          <w:lang w:val="en-US"/>
        </w:rPr>
        <w:t xml:space="preserve">The </w:t>
      </w:r>
      <w:r w:rsidRPr="009627FD">
        <w:rPr>
          <w:iCs/>
          <w:lang w:val="en-US"/>
        </w:rPr>
        <w:t>G</w:t>
      </w:r>
      <w:r w:rsidR="00A1699F" w:rsidRPr="009627FD">
        <w:rPr>
          <w:iCs/>
          <w:lang w:val="en-US"/>
        </w:rPr>
        <w:t>AD-7</w:t>
      </w:r>
      <w:r w:rsidRPr="009627FD">
        <w:rPr>
          <w:iCs/>
          <w:lang w:val="en-US"/>
        </w:rPr>
        <w:t xml:space="preserve"> is </w:t>
      </w:r>
      <w:r w:rsidR="00A1699F" w:rsidRPr="009627FD">
        <w:rPr>
          <w:iCs/>
          <w:lang w:val="en-US"/>
        </w:rPr>
        <w:t xml:space="preserve">a 7-item </w:t>
      </w:r>
      <w:r w:rsidR="005032F0" w:rsidRPr="009627FD">
        <w:rPr>
          <w:lang w:val="en-US"/>
        </w:rPr>
        <w:t>self-</w:t>
      </w:r>
      <w:r w:rsidRPr="009627FD">
        <w:rPr>
          <w:lang w:val="en-US"/>
        </w:rPr>
        <w:t xml:space="preserve">report </w:t>
      </w:r>
      <w:r w:rsidR="00552358" w:rsidRPr="009627FD">
        <w:rPr>
          <w:lang w:val="en-US"/>
        </w:rPr>
        <w:t>measure</w:t>
      </w:r>
      <w:r w:rsidR="006D0170" w:rsidRPr="009627FD">
        <w:rPr>
          <w:lang w:val="en-US"/>
        </w:rPr>
        <w:t xml:space="preserve"> </w:t>
      </w:r>
      <w:r w:rsidR="00C146A6" w:rsidRPr="009627FD">
        <w:rPr>
          <w:lang w:val="en-US"/>
        </w:rPr>
        <w:t xml:space="preserve">assessing and screening generalized anxiety disorder and its severity during the past two weeks. </w:t>
      </w:r>
      <w:r w:rsidR="008D60AF" w:rsidRPr="009627FD">
        <w:rPr>
          <w:lang w:val="en-US"/>
        </w:rPr>
        <w:t>The i</w:t>
      </w:r>
      <w:r w:rsidR="00C146A6" w:rsidRPr="009627FD">
        <w:rPr>
          <w:lang w:val="en-US"/>
        </w:rPr>
        <w:t>tems are rated on a 4-point Likert scale from 0 (</w:t>
      </w:r>
      <w:r w:rsidRPr="009627FD">
        <w:rPr>
          <w:lang w:val="en-US"/>
        </w:rPr>
        <w:t>“</w:t>
      </w:r>
      <w:r w:rsidR="00C146A6" w:rsidRPr="009627FD">
        <w:rPr>
          <w:lang w:val="en-US"/>
        </w:rPr>
        <w:t>Not at all</w:t>
      </w:r>
      <w:r w:rsidRPr="009627FD">
        <w:rPr>
          <w:lang w:val="en-US"/>
        </w:rPr>
        <w:t>”</w:t>
      </w:r>
      <w:r w:rsidR="00C146A6" w:rsidRPr="009627FD">
        <w:rPr>
          <w:lang w:val="en-US"/>
        </w:rPr>
        <w:t>) to 3 (</w:t>
      </w:r>
      <w:r w:rsidRPr="009627FD">
        <w:rPr>
          <w:lang w:val="en-US"/>
        </w:rPr>
        <w:t>“</w:t>
      </w:r>
      <w:r w:rsidR="00C146A6" w:rsidRPr="009627FD">
        <w:rPr>
          <w:lang w:val="en-US"/>
        </w:rPr>
        <w:t>Nearly every day</w:t>
      </w:r>
      <w:r w:rsidRPr="009627FD">
        <w:rPr>
          <w:lang w:val="en-US"/>
        </w:rPr>
        <w:t>”</w:t>
      </w:r>
      <w:r w:rsidR="00C146A6" w:rsidRPr="009627FD">
        <w:rPr>
          <w:lang w:val="en-US"/>
        </w:rPr>
        <w:t xml:space="preserve">), with a total score ranging </w:t>
      </w:r>
      <w:r w:rsidR="00A1699F" w:rsidRPr="009627FD">
        <w:rPr>
          <w:lang w:val="en-US"/>
        </w:rPr>
        <w:t xml:space="preserve">from </w:t>
      </w:r>
      <w:r w:rsidR="00C146A6" w:rsidRPr="009627FD">
        <w:rPr>
          <w:lang w:val="en-US"/>
        </w:rPr>
        <w:t>0</w:t>
      </w:r>
      <w:r w:rsidR="00A1699F" w:rsidRPr="009627FD">
        <w:rPr>
          <w:lang w:val="en-US"/>
        </w:rPr>
        <w:t xml:space="preserve"> to </w:t>
      </w:r>
      <w:r w:rsidR="00C146A6" w:rsidRPr="009627FD">
        <w:rPr>
          <w:lang w:val="en-US"/>
        </w:rPr>
        <w:t>21. High</w:t>
      </w:r>
      <w:r w:rsidR="00A1699F" w:rsidRPr="009627FD">
        <w:rPr>
          <w:lang w:val="en-US"/>
        </w:rPr>
        <w:t>er</w:t>
      </w:r>
      <w:r w:rsidR="00C146A6" w:rsidRPr="009627FD">
        <w:rPr>
          <w:lang w:val="en-US"/>
        </w:rPr>
        <w:t xml:space="preserve"> scores indicate higher levels of ge</w:t>
      </w:r>
      <w:r w:rsidR="00A25301" w:rsidRPr="009627FD">
        <w:rPr>
          <w:lang w:val="en-US"/>
        </w:rPr>
        <w:t xml:space="preserve">neralized anxiety. Scores </w:t>
      </w:r>
      <w:r w:rsidR="005032F0" w:rsidRPr="009627FD">
        <w:rPr>
          <w:lang w:val="en-US"/>
        </w:rPr>
        <w:t xml:space="preserve">ranging </w:t>
      </w:r>
      <w:r w:rsidR="001668E0" w:rsidRPr="009627FD">
        <w:rPr>
          <w:lang w:val="en-US"/>
        </w:rPr>
        <w:t xml:space="preserve">from </w:t>
      </w:r>
      <w:r w:rsidR="00C146A6" w:rsidRPr="009627FD">
        <w:rPr>
          <w:lang w:val="en-US"/>
        </w:rPr>
        <w:t>10</w:t>
      </w:r>
      <w:r w:rsidR="001668E0" w:rsidRPr="009627FD">
        <w:rPr>
          <w:lang w:val="en-US"/>
        </w:rPr>
        <w:t xml:space="preserve"> to </w:t>
      </w:r>
      <w:r w:rsidR="00C146A6" w:rsidRPr="009627FD">
        <w:rPr>
          <w:lang w:val="en-US"/>
        </w:rPr>
        <w:t xml:space="preserve">14 </w:t>
      </w:r>
      <w:r w:rsidR="001668E0" w:rsidRPr="009627FD">
        <w:rPr>
          <w:lang w:val="en-US"/>
        </w:rPr>
        <w:t>indicate generalized anxiety of moderate severity, and scores ranging from</w:t>
      </w:r>
      <w:r w:rsidR="00C146A6" w:rsidRPr="009627FD">
        <w:rPr>
          <w:lang w:val="en-US"/>
        </w:rPr>
        <w:t xml:space="preserve"> 15</w:t>
      </w:r>
      <w:r w:rsidR="001668E0" w:rsidRPr="009627FD">
        <w:rPr>
          <w:lang w:val="en-US"/>
        </w:rPr>
        <w:t xml:space="preserve"> to </w:t>
      </w:r>
      <w:r w:rsidR="00C146A6" w:rsidRPr="009627FD">
        <w:rPr>
          <w:lang w:val="en-US"/>
        </w:rPr>
        <w:t xml:space="preserve">21 </w:t>
      </w:r>
      <w:r w:rsidR="001668E0" w:rsidRPr="009627FD">
        <w:rPr>
          <w:lang w:val="en-US"/>
        </w:rPr>
        <w:t>indicate</w:t>
      </w:r>
      <w:r w:rsidR="00C146A6" w:rsidRPr="009627FD">
        <w:rPr>
          <w:lang w:val="en-US"/>
        </w:rPr>
        <w:t xml:space="preserve"> severe generalized anxiety. </w:t>
      </w:r>
      <w:r w:rsidRPr="009627FD">
        <w:rPr>
          <w:lang w:val="en-US"/>
        </w:rPr>
        <w:t xml:space="preserve">The </w:t>
      </w:r>
      <w:r w:rsidRPr="009627FD">
        <w:rPr>
          <w:iCs/>
          <w:lang w:val="en-US"/>
        </w:rPr>
        <w:t xml:space="preserve">GAD-7 has </w:t>
      </w:r>
      <w:r w:rsidR="00A1699F" w:rsidRPr="009627FD">
        <w:rPr>
          <w:iCs/>
          <w:lang w:val="en-US"/>
        </w:rPr>
        <w:t xml:space="preserve">been </w:t>
      </w:r>
      <w:r w:rsidRPr="009627FD">
        <w:rPr>
          <w:iCs/>
          <w:lang w:val="en-US"/>
        </w:rPr>
        <w:t xml:space="preserve">shown </w:t>
      </w:r>
      <w:r w:rsidR="00A1699F" w:rsidRPr="009627FD">
        <w:rPr>
          <w:iCs/>
          <w:lang w:val="en-US"/>
        </w:rPr>
        <w:t xml:space="preserve">to possess </w:t>
      </w:r>
      <w:r w:rsidRPr="009627FD">
        <w:rPr>
          <w:iCs/>
          <w:lang w:val="en-US"/>
        </w:rPr>
        <w:t xml:space="preserve">good </w:t>
      </w:r>
      <w:r w:rsidRPr="009627FD">
        <w:rPr>
          <w:lang w:val="en-US"/>
        </w:rPr>
        <w:t>psychometric properties (</w:t>
      </w:r>
      <w:r w:rsidR="00C146A6" w:rsidRPr="009627FD">
        <w:rPr>
          <w:lang w:val="en-US"/>
        </w:rPr>
        <w:t>Spitzer et al. 200</w:t>
      </w:r>
      <w:r w:rsidR="001D571B" w:rsidRPr="009627FD">
        <w:rPr>
          <w:lang w:val="en-US"/>
        </w:rPr>
        <w:t>6</w:t>
      </w:r>
      <w:r w:rsidR="00C146A6" w:rsidRPr="009627FD">
        <w:rPr>
          <w:lang w:val="en-US"/>
        </w:rPr>
        <w:t xml:space="preserve">). </w:t>
      </w:r>
      <w:r w:rsidR="00B3784F" w:rsidRPr="009627FD">
        <w:rPr>
          <w:lang w:val="en-US"/>
        </w:rPr>
        <w:t>In the current study we used the Italian translation of the GAD-7 (Spitzer et al. 2006). In the present study the GAD-7 showed good internal consistency (Cronbach’s alpha = .93).</w:t>
      </w:r>
    </w:p>
    <w:p w14:paraId="6302F945" w14:textId="77777777" w:rsidR="00BA0FB1" w:rsidRPr="009627FD" w:rsidRDefault="00BA0FB1" w:rsidP="00522ACB">
      <w:pPr>
        <w:spacing w:line="360" w:lineRule="auto"/>
        <w:contextualSpacing/>
        <w:jc w:val="both"/>
        <w:rPr>
          <w:lang w:val="en-US"/>
        </w:rPr>
      </w:pPr>
    </w:p>
    <w:p w14:paraId="1F6147D8" w14:textId="42461C97" w:rsidR="00BA0FB1" w:rsidRPr="009627FD" w:rsidRDefault="00BA0FB1" w:rsidP="00BA0FB1">
      <w:pPr>
        <w:spacing w:line="360" w:lineRule="auto"/>
        <w:jc w:val="both"/>
        <w:rPr>
          <w:i/>
          <w:iCs/>
          <w:lang w:val="en-US"/>
        </w:rPr>
      </w:pPr>
      <w:r w:rsidRPr="009627FD">
        <w:rPr>
          <w:i/>
          <w:iCs/>
          <w:lang w:val="en-US"/>
        </w:rPr>
        <w:t xml:space="preserve">Health Anxiety Questionnaire </w:t>
      </w:r>
      <w:r w:rsidRPr="009627FD">
        <w:rPr>
          <w:lang w:val="en-US"/>
        </w:rPr>
        <w:t>(</w:t>
      </w:r>
      <w:r w:rsidRPr="009627FD">
        <w:rPr>
          <w:iCs/>
          <w:lang w:val="en-US"/>
        </w:rPr>
        <w:t>HAQ</w:t>
      </w:r>
      <w:r w:rsidRPr="009627FD">
        <w:rPr>
          <w:lang w:val="en-US"/>
        </w:rPr>
        <w:t>; Lucock &amp; Morley, 1996; Melli</w:t>
      </w:r>
      <w:r w:rsidR="002B5885" w:rsidRPr="009627FD">
        <w:rPr>
          <w:lang w:val="en-US"/>
        </w:rPr>
        <w:t xml:space="preserve">, Coradeschi, Smurra, </w:t>
      </w:r>
      <w:r w:rsidRPr="009627FD">
        <w:rPr>
          <w:lang w:val="en-US"/>
        </w:rPr>
        <w:t>2007)</w:t>
      </w:r>
    </w:p>
    <w:p w14:paraId="2AE258B1" w14:textId="05AD690F" w:rsidR="00121D35" w:rsidRPr="009627FD" w:rsidRDefault="00BA0FB1" w:rsidP="00121D35">
      <w:pPr>
        <w:spacing w:line="360" w:lineRule="auto"/>
        <w:contextualSpacing/>
        <w:jc w:val="both"/>
        <w:rPr>
          <w:lang w:val="en-US"/>
        </w:rPr>
      </w:pPr>
      <w:r w:rsidRPr="009627FD">
        <w:rPr>
          <w:lang w:val="en-US"/>
        </w:rPr>
        <w:t xml:space="preserve">The </w:t>
      </w:r>
      <w:r w:rsidR="00A1699F" w:rsidRPr="009627FD">
        <w:rPr>
          <w:iCs/>
          <w:lang w:val="en-US"/>
        </w:rPr>
        <w:t>HAQ</w:t>
      </w:r>
      <w:r w:rsidRPr="009627FD">
        <w:rPr>
          <w:iCs/>
          <w:lang w:val="en-US"/>
        </w:rPr>
        <w:t xml:space="preserve"> is a 21-item </w:t>
      </w:r>
      <w:r w:rsidRPr="009627FD">
        <w:rPr>
          <w:lang w:val="en-US"/>
        </w:rPr>
        <w:t xml:space="preserve">self-report </w:t>
      </w:r>
      <w:r w:rsidR="00552358" w:rsidRPr="009627FD">
        <w:rPr>
          <w:lang w:val="en-US"/>
        </w:rPr>
        <w:t>measure</w:t>
      </w:r>
      <w:r w:rsidR="00A1699F" w:rsidRPr="009627FD">
        <w:rPr>
          <w:lang w:val="en-US"/>
        </w:rPr>
        <w:t xml:space="preserve"> </w:t>
      </w:r>
      <w:r w:rsidRPr="009627FD">
        <w:rPr>
          <w:lang w:val="en-US"/>
        </w:rPr>
        <w:t xml:space="preserve">assessing the severity of health anxiety. The items are rated on a 4-poin Likert scale from 1 (“Never or rarely”) to 4 (“Almost always”). The HAQ includes four sub-scales, which </w:t>
      </w:r>
      <w:r w:rsidR="00A1699F" w:rsidRPr="009627FD">
        <w:rPr>
          <w:lang w:val="en-US"/>
        </w:rPr>
        <w:t xml:space="preserve">assess </w:t>
      </w:r>
      <w:r w:rsidRPr="009627FD">
        <w:rPr>
          <w:lang w:val="en-US"/>
        </w:rPr>
        <w:t xml:space="preserve">health worry and preoccupation, fear of illness and death, reassurance-seeking behavior and interference with life. </w:t>
      </w:r>
      <w:r w:rsidR="00A1699F" w:rsidRPr="009627FD">
        <w:rPr>
          <w:lang w:val="en-US"/>
        </w:rPr>
        <w:t xml:space="preserve">Higher scores indicate higher levels of health anxiety. </w:t>
      </w:r>
      <w:r w:rsidRPr="009627FD">
        <w:rPr>
          <w:lang w:val="en-US"/>
        </w:rPr>
        <w:t>The HAQ had good psychometric properties (Lucock &amp; Morley, 1996; Melli et al., 2007). In the present study we considered only the total score because we were interested in assessing the global severity of health anxiety.</w:t>
      </w:r>
      <w:r w:rsidR="00121D35" w:rsidRPr="009627FD">
        <w:rPr>
          <w:lang w:val="en-US"/>
        </w:rPr>
        <w:t xml:space="preserve"> In the current study we used the Italian validated translation of the HAQ (Melli et al., 2007). In the present study the HAQ showed good internal consistency (Cronbach’s alpha = .96).</w:t>
      </w:r>
    </w:p>
    <w:p w14:paraId="53A1ED60" w14:textId="5F205BA0" w:rsidR="00C146A6" w:rsidRPr="009627FD" w:rsidRDefault="005820AC" w:rsidP="00522ACB">
      <w:pPr>
        <w:spacing w:line="360" w:lineRule="auto"/>
        <w:rPr>
          <w:b/>
          <w:bCs/>
          <w:iCs/>
          <w:lang w:val="en-US"/>
        </w:rPr>
      </w:pPr>
      <w:r w:rsidRPr="009627FD">
        <w:rPr>
          <w:b/>
          <w:bCs/>
          <w:iCs/>
          <w:lang w:val="en-US"/>
        </w:rPr>
        <w:lastRenderedPageBreak/>
        <w:t>4</w:t>
      </w:r>
      <w:r w:rsidR="0070788D" w:rsidRPr="009627FD">
        <w:rPr>
          <w:b/>
          <w:bCs/>
          <w:iCs/>
          <w:lang w:val="en-US"/>
        </w:rPr>
        <w:t>.</w:t>
      </w:r>
      <w:r w:rsidRPr="009627FD">
        <w:rPr>
          <w:b/>
          <w:bCs/>
          <w:iCs/>
          <w:lang w:val="en-US"/>
        </w:rPr>
        <w:t>3.</w:t>
      </w:r>
      <w:r w:rsidR="00C146A6" w:rsidRPr="009627FD">
        <w:rPr>
          <w:b/>
          <w:bCs/>
          <w:iCs/>
          <w:lang w:val="en-US"/>
        </w:rPr>
        <w:t xml:space="preserve"> Statistical analyses </w:t>
      </w:r>
    </w:p>
    <w:p w14:paraId="0EC414B1" w14:textId="562FD12C" w:rsidR="00803AD9" w:rsidRPr="009627FD" w:rsidRDefault="00803AD9" w:rsidP="00803AD9">
      <w:pPr>
        <w:spacing w:line="360" w:lineRule="auto"/>
        <w:ind w:firstLine="708"/>
        <w:contextualSpacing/>
        <w:jc w:val="both"/>
        <w:rPr>
          <w:lang w:val="en-US"/>
        </w:rPr>
      </w:pPr>
      <w:r w:rsidRPr="009627FD">
        <w:rPr>
          <w:lang w:val="en-US"/>
        </w:rPr>
        <w:t xml:space="preserve">Statistical analyses followed five steps in order to: (i) test the factor structure of the C-19ASS, (ii) test the invariance between gender groups, (iii) evaluate concurrent and incremental validity, (iv) explore differences in C-19ASS scores between several groups, and (v) test </w:t>
      </w:r>
      <w:r w:rsidR="00E26827" w:rsidRPr="009627FD">
        <w:rPr>
          <w:bCs/>
          <w:lang w:val="en-US"/>
        </w:rPr>
        <w:t>t</w:t>
      </w:r>
      <w:r w:rsidRPr="009627FD">
        <w:rPr>
          <w:bCs/>
          <w:lang w:val="en-US"/>
        </w:rPr>
        <w:t>he pattern of relationships specified by our hypothesized model (Figure 1).</w:t>
      </w:r>
    </w:p>
    <w:p w14:paraId="4A0F191B" w14:textId="63959742" w:rsidR="00EA040D" w:rsidRPr="009627FD" w:rsidRDefault="00803AD9" w:rsidP="00803AD9">
      <w:pPr>
        <w:spacing w:line="360" w:lineRule="auto"/>
        <w:ind w:firstLine="708"/>
        <w:contextualSpacing/>
        <w:jc w:val="both"/>
        <w:rPr>
          <w:lang w:val="en-US"/>
        </w:rPr>
      </w:pPr>
      <w:r w:rsidRPr="009627FD">
        <w:rPr>
          <w:lang w:val="en-US"/>
        </w:rPr>
        <w:t>First, a</w:t>
      </w:r>
      <w:r w:rsidR="00C146A6" w:rsidRPr="009627FD">
        <w:rPr>
          <w:lang w:val="en-US"/>
        </w:rPr>
        <w:t xml:space="preserve"> confirmatory actor analysis (CFA) using the Lavaan package (Rosseel, 2012) of software R (R Development </w:t>
      </w:r>
      <w:r w:rsidR="00A30D75" w:rsidRPr="009627FD">
        <w:rPr>
          <w:lang w:val="en-US"/>
        </w:rPr>
        <w:t>Core Team, 2017</w:t>
      </w:r>
      <w:r w:rsidR="00C146A6" w:rsidRPr="009627FD">
        <w:rPr>
          <w:lang w:val="en-US"/>
        </w:rPr>
        <w:t>) was implemented</w:t>
      </w:r>
      <w:r w:rsidR="009440FA" w:rsidRPr="009627FD">
        <w:rPr>
          <w:lang w:val="en-US"/>
        </w:rPr>
        <w:t xml:space="preserve"> to </w:t>
      </w:r>
      <w:r w:rsidR="00A90221" w:rsidRPr="009627FD">
        <w:rPr>
          <w:lang w:val="en-US"/>
        </w:rPr>
        <w:t>evaluate</w:t>
      </w:r>
      <w:r w:rsidR="009440FA" w:rsidRPr="009627FD">
        <w:rPr>
          <w:lang w:val="en-US"/>
        </w:rPr>
        <w:t xml:space="preserve"> </w:t>
      </w:r>
      <w:r w:rsidR="00A90221" w:rsidRPr="009627FD">
        <w:rPr>
          <w:lang w:val="en-US"/>
        </w:rPr>
        <w:t xml:space="preserve">the </w:t>
      </w:r>
      <w:r w:rsidR="009440FA" w:rsidRPr="009627FD">
        <w:rPr>
          <w:lang w:val="en-US"/>
        </w:rPr>
        <w:t xml:space="preserve">construct validity of the </w:t>
      </w:r>
      <w:r w:rsidR="00457C88" w:rsidRPr="009627FD">
        <w:rPr>
          <w:lang w:val="en-US"/>
        </w:rPr>
        <w:t xml:space="preserve">Italian version of the </w:t>
      </w:r>
      <w:r w:rsidR="009440FA" w:rsidRPr="009627FD">
        <w:rPr>
          <w:lang w:val="en-US"/>
        </w:rPr>
        <w:t>C-19ASS</w:t>
      </w:r>
      <w:r w:rsidR="00C146A6" w:rsidRPr="009627FD">
        <w:rPr>
          <w:lang w:val="en-US"/>
        </w:rPr>
        <w:t xml:space="preserve">. Weighted least estimation with robust standard errors and mean and variance estimator for ordinal items was adopted. The indices used to assess the fit of the model were: </w:t>
      </w:r>
      <w:r w:rsidR="00A23BDC" w:rsidRPr="009627FD">
        <w:rPr>
          <w:lang w:val="en-US"/>
        </w:rPr>
        <w:t xml:space="preserve">the </w:t>
      </w:r>
      <w:r w:rsidR="00C146A6" w:rsidRPr="009627FD">
        <w:rPr>
          <w:lang w:val="en-US"/>
        </w:rPr>
        <w:t>Chi-square (χ</w:t>
      </w:r>
      <w:r w:rsidR="00C146A6" w:rsidRPr="009627FD">
        <w:rPr>
          <w:vertAlign w:val="superscript"/>
          <w:lang w:val="en-US"/>
        </w:rPr>
        <w:t>2</w:t>
      </w:r>
      <w:r w:rsidR="00C146A6" w:rsidRPr="009627FD">
        <w:rPr>
          <w:lang w:val="en-US"/>
        </w:rPr>
        <w:t>)</w:t>
      </w:r>
      <w:r w:rsidR="00A23BDC" w:rsidRPr="009627FD">
        <w:rPr>
          <w:lang w:val="en-US"/>
        </w:rPr>
        <w:t>,</w:t>
      </w:r>
      <w:r w:rsidR="00C146A6" w:rsidRPr="009627FD">
        <w:rPr>
          <w:lang w:val="en-US"/>
        </w:rPr>
        <w:t xml:space="preserve"> </w:t>
      </w:r>
      <w:r w:rsidR="00ED0E23" w:rsidRPr="009627FD">
        <w:rPr>
          <w:lang w:val="en-US"/>
        </w:rPr>
        <w:t xml:space="preserve">the </w:t>
      </w:r>
      <w:r w:rsidR="00C146A6" w:rsidRPr="009627FD">
        <w:rPr>
          <w:lang w:val="en-US"/>
        </w:rPr>
        <w:t>comparative fit index (CFI; acceptable fit ≥.90)</w:t>
      </w:r>
      <w:r w:rsidR="00A23BDC" w:rsidRPr="009627FD">
        <w:rPr>
          <w:lang w:val="en-US"/>
        </w:rPr>
        <w:t>,</w:t>
      </w:r>
      <w:r w:rsidR="00C146A6" w:rsidRPr="009627FD">
        <w:rPr>
          <w:lang w:val="en-US"/>
        </w:rPr>
        <w:t xml:space="preserve"> </w:t>
      </w:r>
      <w:r w:rsidR="00A23BDC" w:rsidRPr="009627FD">
        <w:rPr>
          <w:lang w:val="en-US"/>
        </w:rPr>
        <w:t xml:space="preserve">the </w:t>
      </w:r>
      <w:r w:rsidR="00C146A6" w:rsidRPr="009627FD">
        <w:rPr>
          <w:lang w:val="en-US"/>
        </w:rPr>
        <w:t>goodness-of-fit inde</w:t>
      </w:r>
      <w:r w:rsidR="00A23BDC" w:rsidRPr="009627FD">
        <w:rPr>
          <w:lang w:val="en-US"/>
        </w:rPr>
        <w:t xml:space="preserve">x (GFI; acceptable fit ≥.90), the </w:t>
      </w:r>
      <w:r w:rsidR="00C146A6" w:rsidRPr="009627FD">
        <w:rPr>
          <w:lang w:val="en-US"/>
        </w:rPr>
        <w:t>root mean square error of approxim</w:t>
      </w:r>
      <w:r w:rsidR="00260A88" w:rsidRPr="009627FD">
        <w:rPr>
          <w:lang w:val="en-US"/>
        </w:rPr>
        <w:t xml:space="preserve">ation (RMSEA; acceptable fit ≤ </w:t>
      </w:r>
      <w:r w:rsidR="00C146A6" w:rsidRPr="009627FD">
        <w:rPr>
          <w:lang w:val="en-US"/>
        </w:rPr>
        <w:t xml:space="preserve">.08) (Browne &amp; Cudeck, 1993), </w:t>
      </w:r>
      <w:r w:rsidR="00A23BDC" w:rsidRPr="009627FD">
        <w:rPr>
          <w:lang w:val="en-US"/>
        </w:rPr>
        <w:t xml:space="preserve">the </w:t>
      </w:r>
      <w:r w:rsidR="00C146A6" w:rsidRPr="009627FD">
        <w:rPr>
          <w:lang w:val="en-US"/>
        </w:rPr>
        <w:t>standardized root mean squ</w:t>
      </w:r>
      <w:r w:rsidR="00260A88" w:rsidRPr="009627FD">
        <w:rPr>
          <w:lang w:val="en-US"/>
        </w:rPr>
        <w:t xml:space="preserve">are residual (SRMR; good fit ≤ </w:t>
      </w:r>
      <w:r w:rsidR="00C146A6" w:rsidRPr="009627FD">
        <w:rPr>
          <w:lang w:val="en-US"/>
        </w:rPr>
        <w:t xml:space="preserve">.08) (Hu </w:t>
      </w:r>
      <w:r w:rsidR="00222E02" w:rsidRPr="009627FD">
        <w:rPr>
          <w:lang w:val="en-US"/>
        </w:rPr>
        <w:t>&amp;</w:t>
      </w:r>
      <w:r w:rsidR="00C146A6" w:rsidRPr="009627FD">
        <w:rPr>
          <w:lang w:val="en-US"/>
        </w:rPr>
        <w:t xml:space="preserve"> Bentler, 1999)</w:t>
      </w:r>
      <w:r w:rsidR="00367EE1" w:rsidRPr="009627FD">
        <w:rPr>
          <w:lang w:val="en-US"/>
        </w:rPr>
        <w:t xml:space="preserve">, the Tucker-Lewis Index (TLI), </w:t>
      </w:r>
      <w:r w:rsidR="00A23BDC" w:rsidRPr="009627FD">
        <w:rPr>
          <w:lang w:val="en-US"/>
        </w:rPr>
        <w:t xml:space="preserve">the </w:t>
      </w:r>
      <w:r w:rsidR="00367EE1" w:rsidRPr="009627FD">
        <w:rPr>
          <w:lang w:val="en-US"/>
        </w:rPr>
        <w:t xml:space="preserve">normed fit index (NFI), </w:t>
      </w:r>
      <w:r w:rsidR="00A23BDC" w:rsidRPr="009627FD">
        <w:rPr>
          <w:lang w:val="en-US"/>
        </w:rPr>
        <w:t xml:space="preserve">and the </w:t>
      </w:r>
      <w:r w:rsidR="00367EE1" w:rsidRPr="009627FD">
        <w:rPr>
          <w:lang w:val="en-US"/>
        </w:rPr>
        <w:t>incremental fit index (IFI)</w:t>
      </w:r>
      <w:r w:rsidR="00EA040D" w:rsidRPr="009627FD">
        <w:rPr>
          <w:lang w:val="en-US"/>
        </w:rPr>
        <w:t>.</w:t>
      </w:r>
      <w:r w:rsidR="00C146A6" w:rsidRPr="009627FD">
        <w:rPr>
          <w:lang w:val="en-US"/>
        </w:rPr>
        <w:t xml:space="preserve"> Cronbach’s α </w:t>
      </w:r>
      <w:r w:rsidR="00960BC1" w:rsidRPr="009627FD">
        <w:rPr>
          <w:lang w:val="en-US"/>
        </w:rPr>
        <w:t xml:space="preserve">(Cronbach, 1951) </w:t>
      </w:r>
      <w:r w:rsidR="00C146A6" w:rsidRPr="009627FD">
        <w:rPr>
          <w:lang w:val="en-US"/>
        </w:rPr>
        <w:t xml:space="preserve">was used to assess </w:t>
      </w:r>
      <w:r w:rsidR="00EA040D" w:rsidRPr="009627FD">
        <w:rPr>
          <w:lang w:val="en-US"/>
        </w:rPr>
        <w:t xml:space="preserve">internal reliability </w:t>
      </w:r>
      <w:r w:rsidR="00C146A6" w:rsidRPr="009627FD">
        <w:rPr>
          <w:lang w:val="en-US"/>
        </w:rPr>
        <w:t xml:space="preserve">of </w:t>
      </w:r>
      <w:r w:rsidR="00057E9F" w:rsidRPr="009627FD">
        <w:rPr>
          <w:lang w:val="en-US"/>
        </w:rPr>
        <w:t xml:space="preserve">the Italian version of the </w:t>
      </w:r>
      <w:r w:rsidR="00EA040D" w:rsidRPr="009627FD">
        <w:rPr>
          <w:bCs/>
          <w:lang w:val="en-US"/>
        </w:rPr>
        <w:t>C</w:t>
      </w:r>
      <w:r w:rsidR="00E95782" w:rsidRPr="009627FD">
        <w:rPr>
          <w:bCs/>
          <w:lang w:val="en-US"/>
        </w:rPr>
        <w:t>-19</w:t>
      </w:r>
      <w:r w:rsidR="00EA040D" w:rsidRPr="009627FD">
        <w:rPr>
          <w:bCs/>
          <w:lang w:val="en-US"/>
        </w:rPr>
        <w:t>ASS</w:t>
      </w:r>
      <w:r w:rsidR="00EA040D" w:rsidRPr="009627FD">
        <w:rPr>
          <w:lang w:val="en-US"/>
        </w:rPr>
        <w:t>.</w:t>
      </w:r>
      <w:r w:rsidR="00C146A6" w:rsidRPr="009627FD">
        <w:rPr>
          <w:lang w:val="en-US"/>
        </w:rPr>
        <w:t xml:space="preserve"> </w:t>
      </w:r>
    </w:p>
    <w:p w14:paraId="622B2A51" w14:textId="11A737B4" w:rsidR="007532E2" w:rsidRPr="009627FD" w:rsidRDefault="00803AD9" w:rsidP="00E26827">
      <w:pPr>
        <w:spacing w:line="360" w:lineRule="auto"/>
        <w:ind w:firstLine="708"/>
        <w:contextualSpacing/>
        <w:jc w:val="both"/>
        <w:rPr>
          <w:lang w:val="en-US"/>
        </w:rPr>
      </w:pPr>
      <w:r w:rsidRPr="009627FD">
        <w:rPr>
          <w:lang w:val="en-US"/>
        </w:rPr>
        <w:t xml:space="preserve">Second, </w:t>
      </w:r>
      <w:r w:rsidR="00E26827" w:rsidRPr="009627FD">
        <w:rPr>
          <w:lang w:val="en-US"/>
        </w:rPr>
        <w:t>in order to test the measurement invariance across gender, multi-group CFA was used</w:t>
      </w:r>
      <w:r w:rsidR="00397700" w:rsidRPr="009627FD">
        <w:rPr>
          <w:lang w:val="en-US"/>
        </w:rPr>
        <w:t xml:space="preserve"> </w:t>
      </w:r>
      <w:r w:rsidR="00976E64" w:rsidRPr="009627FD">
        <w:rPr>
          <w:lang w:val="en-US"/>
        </w:rPr>
        <w:t>(</w:t>
      </w:r>
      <w:r w:rsidR="00397700" w:rsidRPr="009627FD">
        <w:rPr>
          <w:lang w:val="en-US"/>
        </w:rPr>
        <w:t>Van de Schoot, Lugtig, &amp; Hox, 2012)</w:t>
      </w:r>
      <w:r w:rsidR="00E26827" w:rsidRPr="009627FD">
        <w:rPr>
          <w:lang w:val="en-US"/>
        </w:rPr>
        <w:t xml:space="preserve">. </w:t>
      </w:r>
      <w:r w:rsidR="00640844" w:rsidRPr="009627FD">
        <w:rPr>
          <w:lang w:val="en-US"/>
        </w:rPr>
        <w:t>Configural, metric, and scalar models were estimated. Measurement invariance was established when: (a) the change in values for fit indices (e.g., ΔCFI, ΔRMSEA) was negligible (i.e., ΔCFI lower than 0.01 and a change lower than .015 in RMSEA as indicative of invariance; Cheung &amp; Rensvold, 2002); and (b) the multi-group model fit indexes indicated a good fit (Beaujean, Freeman, Youngstrom, &amp; Carlson, 2012).</w:t>
      </w:r>
    </w:p>
    <w:p w14:paraId="5C1672D9" w14:textId="1E4A2780" w:rsidR="00087BA9" w:rsidRPr="009627FD" w:rsidRDefault="00803AD9" w:rsidP="0043040E">
      <w:pPr>
        <w:spacing w:line="360" w:lineRule="auto"/>
        <w:ind w:firstLine="708"/>
        <w:contextualSpacing/>
        <w:jc w:val="both"/>
        <w:rPr>
          <w:i/>
          <w:lang w:val="en-GB"/>
        </w:rPr>
      </w:pPr>
      <w:r w:rsidRPr="009627FD">
        <w:rPr>
          <w:lang w:val="en-US"/>
        </w:rPr>
        <w:t>Third, d</w:t>
      </w:r>
      <w:r w:rsidR="005421BE" w:rsidRPr="009627FD">
        <w:rPr>
          <w:lang w:val="en-US"/>
        </w:rPr>
        <w:t xml:space="preserve">escriptive analyses and univariate and multivariate normality tests were calculated. </w:t>
      </w:r>
      <w:r w:rsidR="0020751C" w:rsidRPr="009627FD">
        <w:rPr>
          <w:lang w:val="en-US"/>
        </w:rPr>
        <w:t>Skewness and kurtosis were assessed and were considered adequate for a linear model of analysis in a range of ± 2</w:t>
      </w:r>
      <w:r w:rsidR="00904B67" w:rsidRPr="009627FD">
        <w:rPr>
          <w:lang w:val="en-US"/>
        </w:rPr>
        <w:t xml:space="preserve"> (</w:t>
      </w:r>
      <w:r w:rsidR="0020751C" w:rsidRPr="009627FD">
        <w:rPr>
          <w:lang w:val="en-US"/>
        </w:rPr>
        <w:t>Gravetter</w:t>
      </w:r>
      <w:r w:rsidR="00802907" w:rsidRPr="009627FD">
        <w:rPr>
          <w:lang w:val="en-US"/>
        </w:rPr>
        <w:t xml:space="preserve"> &amp; Wallnau</w:t>
      </w:r>
      <w:r w:rsidR="0020751C" w:rsidRPr="009627FD">
        <w:rPr>
          <w:lang w:val="en-US"/>
        </w:rPr>
        <w:t>, 2016).</w:t>
      </w:r>
      <w:r w:rsidR="000F43F3" w:rsidRPr="009627FD">
        <w:rPr>
          <w:lang w:val="en-US"/>
        </w:rPr>
        <w:t xml:space="preserve"> </w:t>
      </w:r>
      <w:r w:rsidR="00C146A6" w:rsidRPr="009627FD">
        <w:rPr>
          <w:lang w:val="en-US"/>
        </w:rPr>
        <w:t xml:space="preserve">Bivariate correlation analyses </w:t>
      </w:r>
      <w:r w:rsidR="00105888" w:rsidRPr="009627FD">
        <w:rPr>
          <w:lang w:val="en-US"/>
        </w:rPr>
        <w:t xml:space="preserve">were run </w:t>
      </w:r>
      <w:r w:rsidR="00960BC1" w:rsidRPr="009627FD">
        <w:rPr>
          <w:lang w:val="en-US"/>
        </w:rPr>
        <w:t>to evaluate concurrent</w:t>
      </w:r>
      <w:r w:rsidR="00C146A6" w:rsidRPr="009627FD">
        <w:rPr>
          <w:lang w:val="en-US"/>
        </w:rPr>
        <w:t xml:space="preserve"> validity of </w:t>
      </w:r>
      <w:r w:rsidR="00E60FC2" w:rsidRPr="009627FD">
        <w:rPr>
          <w:lang w:val="en-US"/>
        </w:rPr>
        <w:t xml:space="preserve">the Italian version of the </w:t>
      </w:r>
      <w:r w:rsidR="00C146A6" w:rsidRPr="009627FD">
        <w:rPr>
          <w:lang w:val="en-US"/>
        </w:rPr>
        <w:t>C-19ASS</w:t>
      </w:r>
      <w:r w:rsidR="00960BC1" w:rsidRPr="009627FD">
        <w:rPr>
          <w:lang w:val="en-US"/>
        </w:rPr>
        <w:t xml:space="preserve">, by observing whether the two factors of the C-19ASS would correlate significantly with established measures of COVID-19 </w:t>
      </w:r>
      <w:r w:rsidR="006C0E47" w:rsidRPr="009627FD">
        <w:rPr>
          <w:lang w:val="en-US"/>
        </w:rPr>
        <w:t xml:space="preserve">anxiety and </w:t>
      </w:r>
      <w:r w:rsidR="00960BC1" w:rsidRPr="009627FD">
        <w:rPr>
          <w:lang w:val="en-US"/>
        </w:rPr>
        <w:t xml:space="preserve">perceived fear (i.e. </w:t>
      </w:r>
      <w:r w:rsidR="00607701" w:rsidRPr="009627FD">
        <w:rPr>
          <w:lang w:val="en-US"/>
        </w:rPr>
        <w:t>Coronavirus Anxiety Scale</w:t>
      </w:r>
      <w:r w:rsidR="00353638" w:rsidRPr="009627FD">
        <w:rPr>
          <w:lang w:val="en-US"/>
        </w:rPr>
        <w:t>, CAS</w:t>
      </w:r>
      <w:r w:rsidR="003B27D7" w:rsidRPr="009627FD">
        <w:rPr>
          <w:lang w:val="en-US"/>
        </w:rPr>
        <w:t>;</w:t>
      </w:r>
      <w:r w:rsidR="00D85A52" w:rsidRPr="009627FD">
        <w:rPr>
          <w:lang w:val="en-US"/>
        </w:rPr>
        <w:t xml:space="preserve"> </w:t>
      </w:r>
      <w:r w:rsidR="00D85A52" w:rsidRPr="009627FD">
        <w:rPr>
          <w:iCs/>
          <w:lang w:val="en-US"/>
        </w:rPr>
        <w:t>Lee, 2020</w:t>
      </w:r>
      <w:r w:rsidR="00802907" w:rsidRPr="009627FD">
        <w:rPr>
          <w:iCs/>
          <w:lang w:val="en-US"/>
        </w:rPr>
        <w:t>b</w:t>
      </w:r>
      <w:r w:rsidR="00D85A52" w:rsidRPr="009627FD">
        <w:rPr>
          <w:iCs/>
          <w:lang w:val="en-US"/>
        </w:rPr>
        <w:t xml:space="preserve">; </w:t>
      </w:r>
      <w:r w:rsidR="00607701" w:rsidRPr="009627FD">
        <w:rPr>
          <w:lang w:val="en-US"/>
        </w:rPr>
        <w:t>Fear of COVID-19 Scale</w:t>
      </w:r>
      <w:r w:rsidR="00353638" w:rsidRPr="009627FD">
        <w:rPr>
          <w:lang w:val="en-US"/>
        </w:rPr>
        <w:t>, FCV-19S</w:t>
      </w:r>
      <w:r w:rsidR="003B27D7" w:rsidRPr="009627FD">
        <w:rPr>
          <w:lang w:val="en-US"/>
        </w:rPr>
        <w:t>;</w:t>
      </w:r>
      <w:r w:rsidR="00D85A52" w:rsidRPr="009627FD">
        <w:rPr>
          <w:lang w:val="en-US"/>
        </w:rPr>
        <w:t xml:space="preserve"> Ahorsu et al. 2020</w:t>
      </w:r>
      <w:r w:rsidR="00960BC1" w:rsidRPr="009627FD">
        <w:rPr>
          <w:lang w:val="en-US"/>
        </w:rPr>
        <w:t>)</w:t>
      </w:r>
      <w:r w:rsidR="00F27655" w:rsidRPr="009627FD">
        <w:rPr>
          <w:lang w:val="en-US"/>
        </w:rPr>
        <w:t>.</w:t>
      </w:r>
      <w:r w:rsidR="00C146A6" w:rsidRPr="009627FD">
        <w:rPr>
          <w:lang w:val="en-US"/>
        </w:rPr>
        <w:t xml:space="preserve"> </w:t>
      </w:r>
      <w:r w:rsidRPr="009627FD">
        <w:rPr>
          <w:lang w:val="en-US"/>
        </w:rPr>
        <w:t>Moreover, a</w:t>
      </w:r>
      <w:r w:rsidR="00FC486C" w:rsidRPr="009627FD">
        <w:rPr>
          <w:lang w:val="en-US"/>
        </w:rPr>
        <w:t xml:space="preserve">ccording to </w:t>
      </w:r>
      <w:r w:rsidR="006432D0" w:rsidRPr="009627FD">
        <w:rPr>
          <w:rFonts w:eastAsiaTheme="minorEastAsia"/>
          <w:lang w:val="en-US"/>
        </w:rPr>
        <w:t>Nikčević</w:t>
      </w:r>
      <w:r w:rsidR="00FC486C" w:rsidRPr="009627FD">
        <w:rPr>
          <w:lang w:val="en-US"/>
        </w:rPr>
        <w:t xml:space="preserve"> </w:t>
      </w:r>
      <w:r w:rsidR="0024278A" w:rsidRPr="009627FD">
        <w:rPr>
          <w:lang w:val="en-US"/>
        </w:rPr>
        <w:t>and</w:t>
      </w:r>
      <w:r w:rsidR="00FC486C" w:rsidRPr="009627FD">
        <w:rPr>
          <w:lang w:val="en-US"/>
        </w:rPr>
        <w:t xml:space="preserve"> Spada</w:t>
      </w:r>
      <w:r w:rsidR="000F43F3" w:rsidRPr="009627FD">
        <w:rPr>
          <w:lang w:val="en-US"/>
        </w:rPr>
        <w:t>’s</w:t>
      </w:r>
      <w:r w:rsidR="00FC486C" w:rsidRPr="009627FD">
        <w:rPr>
          <w:lang w:val="en-US"/>
        </w:rPr>
        <w:t xml:space="preserve"> </w:t>
      </w:r>
      <w:r w:rsidR="000F43F3" w:rsidRPr="009627FD">
        <w:rPr>
          <w:lang w:val="en-US"/>
        </w:rPr>
        <w:t xml:space="preserve">article </w:t>
      </w:r>
      <w:r w:rsidR="00FC486C" w:rsidRPr="009627FD">
        <w:rPr>
          <w:lang w:val="en-US"/>
        </w:rPr>
        <w:t>(2020), h</w:t>
      </w:r>
      <w:r w:rsidR="00C146A6" w:rsidRPr="009627FD">
        <w:rPr>
          <w:lang w:val="en-US"/>
        </w:rPr>
        <w:t xml:space="preserve">ierarchical linear regression analyses </w:t>
      </w:r>
      <w:r w:rsidR="00105888" w:rsidRPr="009627FD">
        <w:rPr>
          <w:lang w:val="en-US"/>
        </w:rPr>
        <w:t xml:space="preserve">were run to evaluate </w:t>
      </w:r>
      <w:r w:rsidR="00C146A6" w:rsidRPr="009627FD">
        <w:rPr>
          <w:lang w:val="en-US"/>
        </w:rPr>
        <w:t>incremental validity of</w:t>
      </w:r>
      <w:r w:rsidR="00507075" w:rsidRPr="009627FD">
        <w:rPr>
          <w:lang w:val="en-US"/>
        </w:rPr>
        <w:t xml:space="preserve"> Italian version</w:t>
      </w:r>
      <w:r w:rsidR="00C146A6" w:rsidRPr="009627FD">
        <w:rPr>
          <w:lang w:val="en-US"/>
        </w:rPr>
        <w:t xml:space="preserve"> </w:t>
      </w:r>
      <w:r w:rsidR="00507075" w:rsidRPr="009627FD">
        <w:rPr>
          <w:lang w:val="en-US"/>
        </w:rPr>
        <w:t xml:space="preserve">of the </w:t>
      </w:r>
      <w:r w:rsidR="00C146A6" w:rsidRPr="009627FD">
        <w:rPr>
          <w:lang w:val="en-US"/>
        </w:rPr>
        <w:t>C-19ASS</w:t>
      </w:r>
      <w:r w:rsidR="00EE1F2F" w:rsidRPr="009627FD">
        <w:rPr>
          <w:lang w:val="en-US"/>
        </w:rPr>
        <w:t xml:space="preserve"> </w:t>
      </w:r>
      <w:r w:rsidR="00A90221" w:rsidRPr="009627FD">
        <w:rPr>
          <w:lang w:val="en-US"/>
        </w:rPr>
        <w:t>by observing</w:t>
      </w:r>
      <w:r w:rsidR="00EE1F2F" w:rsidRPr="009627FD">
        <w:rPr>
          <w:lang w:val="en-US"/>
        </w:rPr>
        <w:t>:</w:t>
      </w:r>
      <w:r w:rsidR="00A90221" w:rsidRPr="009627FD">
        <w:rPr>
          <w:lang w:val="en-US"/>
        </w:rPr>
        <w:t xml:space="preserve"> (a) whether the C-19ASS would explain additional variance in CAS (</w:t>
      </w:r>
      <w:r w:rsidR="00A90221" w:rsidRPr="009627FD">
        <w:rPr>
          <w:iCs/>
          <w:lang w:val="en-US"/>
        </w:rPr>
        <w:t>Lee, 2020</w:t>
      </w:r>
      <w:r w:rsidR="006432D0" w:rsidRPr="009627FD">
        <w:rPr>
          <w:iCs/>
          <w:lang w:val="en-US"/>
        </w:rPr>
        <w:t>b</w:t>
      </w:r>
      <w:r w:rsidR="00A90221" w:rsidRPr="009627FD">
        <w:rPr>
          <w:lang w:val="en-US"/>
        </w:rPr>
        <w:t>) when controlling for age, gender</w:t>
      </w:r>
      <w:r w:rsidR="00C55CD8" w:rsidRPr="009627FD">
        <w:rPr>
          <w:lang w:val="en-US"/>
        </w:rPr>
        <w:t>,</w:t>
      </w:r>
      <w:r w:rsidR="00A90221" w:rsidRPr="009627FD">
        <w:rPr>
          <w:lang w:val="en-US"/>
        </w:rPr>
        <w:t xml:space="preserve"> Big-Five personality traits, </w:t>
      </w:r>
      <w:r w:rsidR="00971F49" w:rsidRPr="009627FD">
        <w:rPr>
          <w:lang w:val="en-US"/>
        </w:rPr>
        <w:t xml:space="preserve">perception of vulnerability to COVID-19, </w:t>
      </w:r>
      <w:r w:rsidR="00A90221" w:rsidRPr="009627FD">
        <w:rPr>
          <w:lang w:val="en-US"/>
        </w:rPr>
        <w:t>and COVID-19 perceived fear; and (b) whether the C-19ASS would explain additional variance in WSAS (</w:t>
      </w:r>
      <w:r w:rsidR="00A90221" w:rsidRPr="009627FD">
        <w:rPr>
          <w:iCs/>
          <w:lang w:val="en-US"/>
        </w:rPr>
        <w:t xml:space="preserve">Mundt et al., 2002) </w:t>
      </w:r>
      <w:r w:rsidR="003B27D7" w:rsidRPr="009627FD">
        <w:rPr>
          <w:lang w:val="en-US"/>
        </w:rPr>
        <w:t xml:space="preserve">when </w:t>
      </w:r>
      <w:r w:rsidR="00A90221" w:rsidRPr="009627FD">
        <w:rPr>
          <w:lang w:val="en-US"/>
        </w:rPr>
        <w:t>controlling for age, gender</w:t>
      </w:r>
      <w:r w:rsidR="00C55CD8" w:rsidRPr="009627FD">
        <w:rPr>
          <w:lang w:val="en-US"/>
        </w:rPr>
        <w:t>,</w:t>
      </w:r>
      <w:r w:rsidR="00A90221" w:rsidRPr="009627FD">
        <w:rPr>
          <w:lang w:val="en-US"/>
        </w:rPr>
        <w:t xml:space="preserve"> </w:t>
      </w:r>
      <w:r w:rsidR="00BB5185" w:rsidRPr="009627FD">
        <w:rPr>
          <w:lang w:val="en-US"/>
        </w:rPr>
        <w:t>Big-Five</w:t>
      </w:r>
      <w:r w:rsidR="00132656" w:rsidRPr="009627FD">
        <w:rPr>
          <w:lang w:val="en-US"/>
        </w:rPr>
        <w:t xml:space="preserve"> personality traits</w:t>
      </w:r>
      <w:r w:rsidR="00BB5185" w:rsidRPr="009627FD">
        <w:rPr>
          <w:lang w:val="en-US"/>
        </w:rPr>
        <w:t xml:space="preserve">, </w:t>
      </w:r>
      <w:r w:rsidR="000F43F3" w:rsidRPr="009627FD">
        <w:rPr>
          <w:lang w:val="en-US"/>
        </w:rPr>
        <w:t>perception of vulnerability to</w:t>
      </w:r>
      <w:r w:rsidR="00F45792" w:rsidRPr="009627FD">
        <w:rPr>
          <w:lang w:val="en-US"/>
        </w:rPr>
        <w:t xml:space="preserve"> COVID-19</w:t>
      </w:r>
      <w:r w:rsidR="00C55CD8" w:rsidRPr="009627FD">
        <w:rPr>
          <w:lang w:val="en-US"/>
        </w:rPr>
        <w:t>,</w:t>
      </w:r>
      <w:r w:rsidR="00A90221" w:rsidRPr="009627FD">
        <w:rPr>
          <w:lang w:val="en-US"/>
        </w:rPr>
        <w:t xml:space="preserve"> and COVID-19 perceived fear</w:t>
      </w:r>
      <w:r w:rsidR="00EE1F2F" w:rsidRPr="009627FD">
        <w:rPr>
          <w:lang w:val="en-US"/>
        </w:rPr>
        <w:t>.</w:t>
      </w:r>
      <w:r w:rsidR="00A90221" w:rsidRPr="009627FD">
        <w:rPr>
          <w:lang w:val="en-US"/>
        </w:rPr>
        <w:t xml:space="preserve"> </w:t>
      </w:r>
      <w:r w:rsidR="00087BA9" w:rsidRPr="009627FD">
        <w:rPr>
          <w:lang w:val="en-GB"/>
        </w:rPr>
        <w:t xml:space="preserve">Statistical assumptions for using </w:t>
      </w:r>
      <w:r w:rsidR="00087BA9" w:rsidRPr="009627FD">
        <w:rPr>
          <w:lang w:val="en-US"/>
        </w:rPr>
        <w:t xml:space="preserve">hierarchical linear regression analyses </w:t>
      </w:r>
      <w:r w:rsidR="00087BA9" w:rsidRPr="009627FD">
        <w:rPr>
          <w:lang w:val="en-GB"/>
        </w:rPr>
        <w:t>were evaluated (</w:t>
      </w:r>
      <w:r w:rsidR="00087BA9" w:rsidRPr="009627FD">
        <w:rPr>
          <w:lang w:val="en-US"/>
        </w:rPr>
        <w:t xml:space="preserve">Barbaranelli &amp; D’Olimpio, 2006; Myers, 1990; </w:t>
      </w:r>
      <w:r w:rsidR="00087BA9" w:rsidRPr="009627FD">
        <w:rPr>
          <w:lang w:val="en-GB"/>
        </w:rPr>
        <w:t>Field, 2013).</w:t>
      </w:r>
      <w:r w:rsidR="00087BA9" w:rsidRPr="009627FD">
        <w:rPr>
          <w:i/>
          <w:lang w:val="en-GB"/>
        </w:rPr>
        <w:t xml:space="preserve"> </w:t>
      </w:r>
    </w:p>
    <w:p w14:paraId="46B0F5F2" w14:textId="5878441B" w:rsidR="003B27D7" w:rsidRPr="009627FD" w:rsidRDefault="00803AD9" w:rsidP="00ED0408">
      <w:pPr>
        <w:spacing w:line="360" w:lineRule="auto"/>
        <w:ind w:firstLine="708"/>
        <w:contextualSpacing/>
        <w:jc w:val="both"/>
        <w:rPr>
          <w:lang w:val="en-US"/>
        </w:rPr>
      </w:pPr>
      <w:r w:rsidRPr="009627FD">
        <w:rPr>
          <w:lang w:val="en-US"/>
        </w:rPr>
        <w:lastRenderedPageBreak/>
        <w:t>Fourth, a</w:t>
      </w:r>
      <w:r w:rsidR="00D85A52" w:rsidRPr="009627FD">
        <w:rPr>
          <w:lang w:val="en-US"/>
        </w:rPr>
        <w:t xml:space="preserve"> series of </w:t>
      </w:r>
      <w:r w:rsidR="000F1DC1" w:rsidRPr="009627FD">
        <w:rPr>
          <w:bCs/>
        </w:rPr>
        <w:t xml:space="preserve">ANOVA and Welch’s </w:t>
      </w:r>
      <w:r w:rsidR="000F1DC1" w:rsidRPr="009627FD">
        <w:rPr>
          <w:color w:val="000000" w:themeColor="text1"/>
          <w:lang w:val="en-US"/>
        </w:rPr>
        <w:t>test</w:t>
      </w:r>
      <w:r w:rsidR="00C146A6" w:rsidRPr="009627FD">
        <w:rPr>
          <w:color w:val="FF0000"/>
          <w:lang w:val="en-US"/>
        </w:rPr>
        <w:t xml:space="preserve"> </w:t>
      </w:r>
      <w:r w:rsidR="00C146A6" w:rsidRPr="009627FD">
        <w:rPr>
          <w:lang w:val="en-US"/>
        </w:rPr>
        <w:t xml:space="preserve">were </w:t>
      </w:r>
      <w:r w:rsidR="00EE4A3D" w:rsidRPr="009627FD">
        <w:rPr>
          <w:lang w:val="en-US"/>
        </w:rPr>
        <w:t>run</w:t>
      </w:r>
      <w:r w:rsidR="00C146A6" w:rsidRPr="009627FD">
        <w:rPr>
          <w:lang w:val="en-US"/>
        </w:rPr>
        <w:t xml:space="preserve"> to </w:t>
      </w:r>
      <w:r w:rsidR="00D85A52" w:rsidRPr="009627FD">
        <w:rPr>
          <w:lang w:val="en-US"/>
        </w:rPr>
        <w:t>explore differences on C-19ASS scores between</w:t>
      </w:r>
      <w:r w:rsidR="00EE4A3D" w:rsidRPr="009627FD">
        <w:rPr>
          <w:lang w:val="en-US"/>
        </w:rPr>
        <w:t>:</w:t>
      </w:r>
      <w:r w:rsidR="00D85A52" w:rsidRPr="009627FD">
        <w:rPr>
          <w:lang w:val="en-US"/>
        </w:rPr>
        <w:t xml:space="preserve"> males</w:t>
      </w:r>
      <w:r w:rsidR="000F43F3" w:rsidRPr="009627FD">
        <w:rPr>
          <w:i/>
          <w:lang w:val="en-US"/>
        </w:rPr>
        <w:t xml:space="preserve"> vs</w:t>
      </w:r>
      <w:r w:rsidR="00D85A52" w:rsidRPr="009627FD">
        <w:rPr>
          <w:lang w:val="en-US"/>
        </w:rPr>
        <w:t xml:space="preserve"> females</w:t>
      </w:r>
      <w:r w:rsidR="00EE4A3D" w:rsidRPr="009627FD">
        <w:rPr>
          <w:lang w:val="en-US"/>
        </w:rPr>
        <w:t>;</w:t>
      </w:r>
      <w:r w:rsidR="00D85A52" w:rsidRPr="009627FD">
        <w:rPr>
          <w:lang w:val="en-US"/>
        </w:rPr>
        <w:t xml:space="preserve"> </w:t>
      </w:r>
      <w:r w:rsidR="000F43F3" w:rsidRPr="009627FD">
        <w:rPr>
          <w:lang w:val="en-US"/>
        </w:rPr>
        <w:t xml:space="preserve">participants who had </w:t>
      </w:r>
      <w:r w:rsidR="00D85A52" w:rsidRPr="009627FD">
        <w:rPr>
          <w:bCs/>
          <w:lang w:val="en-US"/>
        </w:rPr>
        <w:t xml:space="preserve">tested for COVID-19 </w:t>
      </w:r>
      <w:r w:rsidR="009A0F6B" w:rsidRPr="009627FD">
        <w:rPr>
          <w:i/>
          <w:lang w:val="en-US"/>
        </w:rPr>
        <w:t>vs</w:t>
      </w:r>
      <w:r w:rsidR="009A0F6B" w:rsidRPr="009627FD">
        <w:rPr>
          <w:bCs/>
          <w:lang w:val="en-US"/>
        </w:rPr>
        <w:t xml:space="preserve"> </w:t>
      </w:r>
      <w:r w:rsidR="00D85A52" w:rsidRPr="009627FD">
        <w:rPr>
          <w:bCs/>
          <w:lang w:val="en-US"/>
        </w:rPr>
        <w:t xml:space="preserve">those </w:t>
      </w:r>
      <w:r w:rsidR="000F43F3" w:rsidRPr="009627FD">
        <w:rPr>
          <w:bCs/>
          <w:lang w:val="en-US"/>
        </w:rPr>
        <w:t xml:space="preserve">who had </w:t>
      </w:r>
      <w:r w:rsidR="00D85A52" w:rsidRPr="009627FD">
        <w:rPr>
          <w:bCs/>
          <w:lang w:val="en-US"/>
        </w:rPr>
        <w:t>not tested</w:t>
      </w:r>
      <w:r w:rsidR="009A0F6B" w:rsidRPr="009627FD">
        <w:rPr>
          <w:bCs/>
          <w:lang w:val="en-US"/>
        </w:rPr>
        <w:t xml:space="preserve"> for COVID-19; </w:t>
      </w:r>
      <w:r w:rsidR="000F43F3" w:rsidRPr="009627FD">
        <w:rPr>
          <w:bCs/>
          <w:lang w:val="en-US"/>
        </w:rPr>
        <w:t xml:space="preserve">participants </w:t>
      </w:r>
      <w:r w:rsidR="00D85A52" w:rsidRPr="009627FD">
        <w:rPr>
          <w:bCs/>
          <w:lang w:val="en-US"/>
        </w:rPr>
        <w:t xml:space="preserve">who </w:t>
      </w:r>
      <w:r w:rsidR="000F43F3" w:rsidRPr="009627FD">
        <w:rPr>
          <w:bCs/>
          <w:lang w:val="en-US"/>
        </w:rPr>
        <w:t xml:space="preserve">had </w:t>
      </w:r>
      <w:r w:rsidR="00D85A52" w:rsidRPr="009627FD">
        <w:rPr>
          <w:bCs/>
          <w:lang w:val="en-US"/>
        </w:rPr>
        <w:t xml:space="preserve">been diagnosed with COVID-19 </w:t>
      </w:r>
      <w:r w:rsidR="009A0F6B" w:rsidRPr="009627FD">
        <w:rPr>
          <w:i/>
          <w:lang w:val="en-US"/>
        </w:rPr>
        <w:t>vs</w:t>
      </w:r>
      <w:r w:rsidR="009A0F6B" w:rsidRPr="009627FD">
        <w:rPr>
          <w:bCs/>
          <w:lang w:val="en-US"/>
        </w:rPr>
        <w:t xml:space="preserve"> </w:t>
      </w:r>
      <w:r w:rsidR="00D85A52" w:rsidRPr="009627FD">
        <w:rPr>
          <w:bCs/>
          <w:lang w:val="en-US"/>
        </w:rPr>
        <w:t xml:space="preserve">those </w:t>
      </w:r>
      <w:r w:rsidR="000F43F3" w:rsidRPr="009627FD">
        <w:rPr>
          <w:bCs/>
          <w:lang w:val="en-US"/>
        </w:rPr>
        <w:t>who had not been diagnosed with</w:t>
      </w:r>
      <w:r w:rsidR="00D85A52" w:rsidRPr="009627FD">
        <w:rPr>
          <w:bCs/>
          <w:lang w:val="en-US"/>
        </w:rPr>
        <w:t xml:space="preserve"> COVID-19</w:t>
      </w:r>
      <w:r w:rsidR="009A0F6B" w:rsidRPr="009627FD">
        <w:rPr>
          <w:bCs/>
          <w:lang w:val="en-US"/>
        </w:rPr>
        <w:t xml:space="preserve">; </w:t>
      </w:r>
      <w:r w:rsidR="000F43F3" w:rsidRPr="009627FD">
        <w:rPr>
          <w:bCs/>
          <w:lang w:val="en-US"/>
        </w:rPr>
        <w:t xml:space="preserve">participants </w:t>
      </w:r>
      <w:r w:rsidR="00D85A52" w:rsidRPr="009627FD">
        <w:rPr>
          <w:bCs/>
          <w:lang w:val="en-US"/>
        </w:rPr>
        <w:t xml:space="preserve">who </w:t>
      </w:r>
      <w:r w:rsidR="000F43F3" w:rsidRPr="009627FD">
        <w:rPr>
          <w:bCs/>
          <w:lang w:val="en-US"/>
        </w:rPr>
        <w:t xml:space="preserve">knew </w:t>
      </w:r>
      <w:r w:rsidR="00D85A52" w:rsidRPr="009627FD">
        <w:rPr>
          <w:bCs/>
          <w:lang w:val="en-US"/>
        </w:rPr>
        <w:t xml:space="preserve">people </w:t>
      </w:r>
      <w:r w:rsidR="000F43F3" w:rsidRPr="009627FD">
        <w:rPr>
          <w:bCs/>
          <w:lang w:val="en-US"/>
        </w:rPr>
        <w:t xml:space="preserve">who had </w:t>
      </w:r>
      <w:r w:rsidR="00D85A52" w:rsidRPr="009627FD">
        <w:rPr>
          <w:bCs/>
          <w:lang w:val="en-US"/>
        </w:rPr>
        <w:t xml:space="preserve">been diagnosed with COVID-19 </w:t>
      </w:r>
      <w:r w:rsidR="009A0F6B" w:rsidRPr="009627FD">
        <w:rPr>
          <w:i/>
          <w:lang w:val="en-US"/>
        </w:rPr>
        <w:t>vs</w:t>
      </w:r>
      <w:r w:rsidR="009A0F6B" w:rsidRPr="009627FD">
        <w:rPr>
          <w:bCs/>
          <w:lang w:val="en-US"/>
        </w:rPr>
        <w:t xml:space="preserve"> those </w:t>
      </w:r>
      <w:r w:rsidR="000F43F3" w:rsidRPr="009627FD">
        <w:rPr>
          <w:bCs/>
          <w:lang w:val="en-US"/>
        </w:rPr>
        <w:t xml:space="preserve">who </w:t>
      </w:r>
      <w:r w:rsidR="009A0F6B" w:rsidRPr="009627FD">
        <w:rPr>
          <w:bCs/>
          <w:lang w:val="en-US"/>
        </w:rPr>
        <w:t xml:space="preserve">did </w:t>
      </w:r>
      <w:r w:rsidR="00D85A52" w:rsidRPr="009627FD">
        <w:rPr>
          <w:bCs/>
          <w:lang w:val="en-US"/>
        </w:rPr>
        <w:t xml:space="preserve">not know people </w:t>
      </w:r>
      <w:r w:rsidR="000F43F3" w:rsidRPr="009627FD">
        <w:rPr>
          <w:bCs/>
          <w:lang w:val="en-US"/>
        </w:rPr>
        <w:t xml:space="preserve">who had </w:t>
      </w:r>
      <w:r w:rsidR="00D85A52" w:rsidRPr="009627FD">
        <w:rPr>
          <w:bCs/>
          <w:lang w:val="en-US"/>
        </w:rPr>
        <w:t>been diagnosed with COVID-19</w:t>
      </w:r>
      <w:r w:rsidR="009A0F6B" w:rsidRPr="009627FD">
        <w:rPr>
          <w:bCs/>
          <w:lang w:val="en-US"/>
        </w:rPr>
        <w:t xml:space="preserve">; </w:t>
      </w:r>
      <w:r w:rsidR="000F43F3" w:rsidRPr="009627FD">
        <w:rPr>
          <w:bCs/>
          <w:lang w:val="en-US"/>
        </w:rPr>
        <w:t xml:space="preserve">participants </w:t>
      </w:r>
      <w:r w:rsidR="00EE4A3D" w:rsidRPr="009627FD">
        <w:rPr>
          <w:bCs/>
          <w:lang w:val="en-US"/>
        </w:rPr>
        <w:t xml:space="preserve">who </w:t>
      </w:r>
      <w:r w:rsidR="000F43F3" w:rsidRPr="009627FD">
        <w:rPr>
          <w:bCs/>
          <w:lang w:val="en-US"/>
        </w:rPr>
        <w:t xml:space="preserve">had </w:t>
      </w:r>
      <w:r w:rsidR="00EE4A3D" w:rsidRPr="009627FD">
        <w:rPr>
          <w:bCs/>
          <w:lang w:val="en-US"/>
        </w:rPr>
        <w:t>experienced loss as a consequence of COVID-19</w:t>
      </w:r>
      <w:r w:rsidR="00F27655" w:rsidRPr="009627FD">
        <w:rPr>
          <w:bCs/>
          <w:lang w:val="en-US"/>
        </w:rPr>
        <w:t xml:space="preserve"> </w:t>
      </w:r>
      <w:r w:rsidR="00F27655" w:rsidRPr="009627FD">
        <w:rPr>
          <w:bCs/>
          <w:i/>
          <w:lang w:val="en-US"/>
        </w:rPr>
        <w:t>vs</w:t>
      </w:r>
      <w:r w:rsidR="00F27655" w:rsidRPr="009627FD">
        <w:rPr>
          <w:bCs/>
          <w:lang w:val="en-US"/>
        </w:rPr>
        <w:t xml:space="preserve"> </w:t>
      </w:r>
      <w:r w:rsidR="000F43F3" w:rsidRPr="009627FD">
        <w:rPr>
          <w:bCs/>
          <w:lang w:val="en-US"/>
        </w:rPr>
        <w:t xml:space="preserve">those </w:t>
      </w:r>
      <w:r w:rsidR="00F27655" w:rsidRPr="009627FD">
        <w:rPr>
          <w:bCs/>
          <w:lang w:val="en-US"/>
        </w:rPr>
        <w:t xml:space="preserve">who </w:t>
      </w:r>
      <w:r w:rsidR="000F43F3" w:rsidRPr="009627FD">
        <w:rPr>
          <w:bCs/>
          <w:lang w:val="en-US"/>
        </w:rPr>
        <w:t xml:space="preserve">had </w:t>
      </w:r>
      <w:r w:rsidR="00F27655" w:rsidRPr="009627FD">
        <w:rPr>
          <w:bCs/>
          <w:lang w:val="en-US"/>
        </w:rPr>
        <w:t>not</w:t>
      </w:r>
      <w:r w:rsidR="000F43F3" w:rsidRPr="009627FD">
        <w:rPr>
          <w:bCs/>
          <w:lang w:val="en-US"/>
        </w:rPr>
        <w:t xml:space="preserve"> experienced loss as a consequence of COVID-19</w:t>
      </w:r>
      <w:r w:rsidR="009A0F6B" w:rsidRPr="009627FD">
        <w:rPr>
          <w:bCs/>
          <w:lang w:val="en-US"/>
        </w:rPr>
        <w:t xml:space="preserve">; </w:t>
      </w:r>
      <w:r w:rsidR="000F43F3" w:rsidRPr="009627FD">
        <w:rPr>
          <w:bCs/>
          <w:lang w:val="en-US"/>
        </w:rPr>
        <w:t xml:space="preserve">participants </w:t>
      </w:r>
      <w:r w:rsidR="00EE4A3D" w:rsidRPr="009627FD">
        <w:rPr>
          <w:bCs/>
          <w:lang w:val="en-US"/>
        </w:rPr>
        <w:t xml:space="preserve">who </w:t>
      </w:r>
      <w:r w:rsidR="000F43F3" w:rsidRPr="009627FD">
        <w:rPr>
          <w:bCs/>
          <w:lang w:val="en-US"/>
        </w:rPr>
        <w:t xml:space="preserve">had </w:t>
      </w:r>
      <w:r w:rsidR="00EE4A3D" w:rsidRPr="009627FD">
        <w:rPr>
          <w:bCs/>
          <w:lang w:val="en-US"/>
        </w:rPr>
        <w:t>been vaccinated</w:t>
      </w:r>
      <w:r w:rsidR="000C03C1" w:rsidRPr="009627FD">
        <w:rPr>
          <w:bCs/>
          <w:lang w:val="en-US"/>
        </w:rPr>
        <w:t xml:space="preserve"> for COVID-19</w:t>
      </w:r>
      <w:r w:rsidR="009A0F6B" w:rsidRPr="009627FD">
        <w:rPr>
          <w:bCs/>
          <w:lang w:val="en-US"/>
        </w:rPr>
        <w:t xml:space="preserve"> </w:t>
      </w:r>
      <w:r w:rsidR="009A0F6B" w:rsidRPr="009627FD">
        <w:rPr>
          <w:i/>
          <w:lang w:val="en-US"/>
        </w:rPr>
        <w:t>vs</w:t>
      </w:r>
      <w:r w:rsidR="009A0F6B" w:rsidRPr="009627FD">
        <w:rPr>
          <w:bCs/>
          <w:lang w:val="en-US"/>
        </w:rPr>
        <w:t xml:space="preserve"> those </w:t>
      </w:r>
      <w:r w:rsidR="000F43F3" w:rsidRPr="009627FD">
        <w:rPr>
          <w:bCs/>
          <w:lang w:val="en-US"/>
        </w:rPr>
        <w:t xml:space="preserve">who had </w:t>
      </w:r>
      <w:r w:rsidR="009A0F6B" w:rsidRPr="009627FD">
        <w:rPr>
          <w:bCs/>
          <w:lang w:val="en-US"/>
        </w:rPr>
        <w:t xml:space="preserve">not </w:t>
      </w:r>
      <w:r w:rsidR="000F43F3" w:rsidRPr="009627FD">
        <w:rPr>
          <w:bCs/>
          <w:lang w:val="en-US"/>
        </w:rPr>
        <w:t>been vaccinated</w:t>
      </w:r>
      <w:r w:rsidR="000C03C1" w:rsidRPr="009627FD">
        <w:rPr>
          <w:bCs/>
          <w:lang w:val="en-US"/>
        </w:rPr>
        <w:t xml:space="preserve"> for COVID-19</w:t>
      </w:r>
      <w:r w:rsidR="009A0F6B" w:rsidRPr="009627FD">
        <w:rPr>
          <w:bCs/>
          <w:lang w:val="en-US"/>
        </w:rPr>
        <w:t xml:space="preserve">; </w:t>
      </w:r>
      <w:r w:rsidR="000F43F3" w:rsidRPr="009627FD">
        <w:rPr>
          <w:lang w:val="en-US"/>
        </w:rPr>
        <w:t xml:space="preserve">participants who perceived </w:t>
      </w:r>
      <w:r w:rsidR="00EE4A3D" w:rsidRPr="009627FD">
        <w:rPr>
          <w:lang w:val="en-US"/>
        </w:rPr>
        <w:t>themselves to be vulnerable to COVID-19</w:t>
      </w:r>
      <w:r w:rsidR="009A0F6B" w:rsidRPr="009627FD">
        <w:rPr>
          <w:lang w:val="en-US"/>
        </w:rPr>
        <w:t xml:space="preserve"> </w:t>
      </w:r>
      <w:r w:rsidR="009A0F6B" w:rsidRPr="009627FD">
        <w:rPr>
          <w:i/>
          <w:lang w:val="en-US"/>
        </w:rPr>
        <w:t>vs</w:t>
      </w:r>
      <w:r w:rsidR="009A0F6B" w:rsidRPr="009627FD">
        <w:rPr>
          <w:lang w:val="en-US"/>
        </w:rPr>
        <w:t xml:space="preserve"> those </w:t>
      </w:r>
      <w:r w:rsidR="00CB2744" w:rsidRPr="009627FD">
        <w:rPr>
          <w:lang w:val="en-US"/>
        </w:rPr>
        <w:t xml:space="preserve">who </w:t>
      </w:r>
      <w:r w:rsidR="009A0F6B" w:rsidRPr="009627FD">
        <w:rPr>
          <w:lang w:val="en-US"/>
        </w:rPr>
        <w:t>did not perceiv</w:t>
      </w:r>
      <w:r w:rsidR="00F27655" w:rsidRPr="009627FD">
        <w:rPr>
          <w:lang w:val="en-US"/>
        </w:rPr>
        <w:t>e</w:t>
      </w:r>
      <w:r w:rsidR="009A0F6B" w:rsidRPr="009627FD">
        <w:rPr>
          <w:lang w:val="en-US"/>
        </w:rPr>
        <w:t xml:space="preserve"> themselves to be vulnerable to COVID-19; </w:t>
      </w:r>
      <w:r w:rsidR="006A55AE" w:rsidRPr="009627FD">
        <w:rPr>
          <w:lang w:val="en-US"/>
        </w:rPr>
        <w:t>general population</w:t>
      </w:r>
      <w:r w:rsidR="006A55AE" w:rsidRPr="009627FD">
        <w:rPr>
          <w:i/>
          <w:lang w:val="en-US"/>
        </w:rPr>
        <w:t xml:space="preserve"> vs</w:t>
      </w:r>
      <w:r w:rsidR="006A55AE" w:rsidRPr="009627FD">
        <w:rPr>
          <w:lang w:val="en-US"/>
        </w:rPr>
        <w:t xml:space="preserve"> </w:t>
      </w:r>
      <w:r w:rsidR="00C146A6" w:rsidRPr="009627FD">
        <w:rPr>
          <w:lang w:val="en-US"/>
        </w:rPr>
        <w:t>health worker</w:t>
      </w:r>
      <w:r w:rsidR="003B27D7" w:rsidRPr="009627FD">
        <w:rPr>
          <w:lang w:val="en-US"/>
        </w:rPr>
        <w:t>s</w:t>
      </w:r>
      <w:r w:rsidR="006A55AE" w:rsidRPr="009627FD">
        <w:rPr>
          <w:lang w:val="en-US"/>
        </w:rPr>
        <w:t>.</w:t>
      </w:r>
      <w:r w:rsidR="00C146A6" w:rsidRPr="009627FD">
        <w:rPr>
          <w:lang w:val="en-US"/>
        </w:rPr>
        <w:t xml:space="preserve"> </w:t>
      </w:r>
    </w:p>
    <w:p w14:paraId="749D9ABE" w14:textId="48D77399" w:rsidR="00181F5A" w:rsidRPr="009627FD" w:rsidRDefault="00E26827" w:rsidP="00181F5A">
      <w:pPr>
        <w:spacing w:line="360" w:lineRule="auto"/>
        <w:ind w:firstLine="708"/>
        <w:contextualSpacing/>
        <w:jc w:val="both"/>
        <w:rPr>
          <w:lang w:val="en-US"/>
        </w:rPr>
      </w:pPr>
      <w:r w:rsidRPr="009627FD">
        <w:rPr>
          <w:bCs/>
          <w:lang w:val="en-US"/>
        </w:rPr>
        <w:t>Fifth, t</w:t>
      </w:r>
      <w:r w:rsidR="006E3B94" w:rsidRPr="009627FD">
        <w:rPr>
          <w:bCs/>
          <w:lang w:val="en-US"/>
        </w:rPr>
        <w:t xml:space="preserve">he pattern of relationships specified by our </w:t>
      </w:r>
      <w:r w:rsidR="005D60F0" w:rsidRPr="009627FD">
        <w:rPr>
          <w:bCs/>
          <w:lang w:val="en-US"/>
        </w:rPr>
        <w:t>hypothesized</w:t>
      </w:r>
      <w:r w:rsidR="006E3B94" w:rsidRPr="009627FD">
        <w:rPr>
          <w:bCs/>
          <w:lang w:val="en-US"/>
        </w:rPr>
        <w:t xml:space="preserve"> model (Figure 1) was tested through path analysis, using the Lavaan package (Rosseel, 2012) of the software R (R Development Core Team 201</w:t>
      </w:r>
      <w:r w:rsidR="009E7D4B" w:rsidRPr="009627FD">
        <w:rPr>
          <w:bCs/>
          <w:lang w:val="en-US"/>
        </w:rPr>
        <w:t>7</w:t>
      </w:r>
      <w:r w:rsidR="006E3B94" w:rsidRPr="009627FD">
        <w:rPr>
          <w:bCs/>
          <w:lang w:val="en-US"/>
        </w:rPr>
        <w:t xml:space="preserve">). </w:t>
      </w:r>
      <w:r w:rsidR="009E7D4B" w:rsidRPr="009627FD">
        <w:rPr>
          <w:bCs/>
          <w:lang w:val="en-US"/>
        </w:rPr>
        <w:t>A</w:t>
      </w:r>
      <w:r w:rsidR="006E3B94" w:rsidRPr="009627FD">
        <w:rPr>
          <w:bCs/>
          <w:lang w:val="en-US"/>
        </w:rPr>
        <w:t xml:space="preserve"> single observed score for each variable and the maximum likelihood methods (Satorra &amp; Bentler, 1994) were used. In our model, the Big Five personality traits were the independent variables; the </w:t>
      </w:r>
      <w:r w:rsidR="009E7D4B" w:rsidRPr="009627FD">
        <w:rPr>
          <w:bCs/>
          <w:lang w:val="en-US"/>
        </w:rPr>
        <w:t xml:space="preserve">two factors of the </w:t>
      </w:r>
      <w:r w:rsidR="006E3B94" w:rsidRPr="009627FD">
        <w:rPr>
          <w:iCs/>
          <w:lang w:val="en-US"/>
        </w:rPr>
        <w:t xml:space="preserve">COVID-19 anxiety syndrome </w:t>
      </w:r>
      <w:r w:rsidR="005825F1" w:rsidRPr="009627FD">
        <w:rPr>
          <w:iCs/>
          <w:lang w:val="en-US"/>
        </w:rPr>
        <w:t xml:space="preserve">(i.e., C-19ASS perseveration; C-19ASS avoidance) </w:t>
      </w:r>
      <w:r w:rsidR="006E3B94" w:rsidRPr="009627FD">
        <w:rPr>
          <w:iCs/>
          <w:lang w:val="en-US"/>
        </w:rPr>
        <w:t xml:space="preserve">were the mediators; and </w:t>
      </w:r>
      <w:r w:rsidR="008158F9" w:rsidRPr="009627FD">
        <w:rPr>
          <w:iCs/>
          <w:lang w:val="en-US"/>
        </w:rPr>
        <w:t>depression, generalized</w:t>
      </w:r>
      <w:r w:rsidR="006E3B94" w:rsidRPr="009627FD">
        <w:rPr>
          <w:iCs/>
          <w:lang w:val="en-US"/>
        </w:rPr>
        <w:t xml:space="preserve"> anxiety</w:t>
      </w:r>
      <w:r w:rsidR="008158F9" w:rsidRPr="009627FD">
        <w:rPr>
          <w:iCs/>
          <w:lang w:val="en-US"/>
        </w:rPr>
        <w:t>, and health anxiety were</w:t>
      </w:r>
      <w:r w:rsidR="006E3B94" w:rsidRPr="009627FD">
        <w:rPr>
          <w:iCs/>
          <w:lang w:val="en-US"/>
        </w:rPr>
        <w:t xml:space="preserve"> the dependent variable</w:t>
      </w:r>
      <w:r w:rsidR="008158F9" w:rsidRPr="009627FD">
        <w:rPr>
          <w:iCs/>
          <w:lang w:val="en-US"/>
        </w:rPr>
        <w:t>s</w:t>
      </w:r>
      <w:r w:rsidR="006E3B94" w:rsidRPr="009627FD">
        <w:rPr>
          <w:iCs/>
          <w:lang w:val="en-US"/>
        </w:rPr>
        <w:t xml:space="preserve"> (Figure 1). A</w:t>
      </w:r>
      <w:r w:rsidR="006E3B94" w:rsidRPr="009627FD">
        <w:rPr>
          <w:bCs/>
          <w:lang w:val="en-US" w:eastAsia="en-GB"/>
        </w:rPr>
        <w:t>ge, gender, employment status</w:t>
      </w:r>
      <w:r w:rsidR="008158F9" w:rsidRPr="009627FD">
        <w:rPr>
          <w:bCs/>
          <w:lang w:val="en-US" w:eastAsia="en-GB"/>
        </w:rPr>
        <w:t xml:space="preserve"> (general population </w:t>
      </w:r>
      <w:r w:rsidR="008158F9" w:rsidRPr="009627FD">
        <w:rPr>
          <w:bCs/>
          <w:i/>
          <w:lang w:val="en-US" w:eastAsia="en-GB"/>
        </w:rPr>
        <w:t>vs</w:t>
      </w:r>
      <w:r w:rsidR="008158F9" w:rsidRPr="009627FD">
        <w:rPr>
          <w:bCs/>
          <w:lang w:val="en-US" w:eastAsia="en-GB"/>
        </w:rPr>
        <w:t xml:space="preserve"> health workers)</w:t>
      </w:r>
      <w:r w:rsidR="006E3B94" w:rsidRPr="009627FD">
        <w:rPr>
          <w:bCs/>
          <w:lang w:val="en-US" w:eastAsia="en-GB"/>
        </w:rPr>
        <w:t xml:space="preserve">, and </w:t>
      </w:r>
      <w:r w:rsidR="008158F9" w:rsidRPr="009627FD">
        <w:rPr>
          <w:bCs/>
          <w:lang w:val="en-US" w:eastAsia="en-GB"/>
        </w:rPr>
        <w:t xml:space="preserve">perceived vulnerability to COVID-19 </w:t>
      </w:r>
      <w:r w:rsidR="006E3B94" w:rsidRPr="009627FD">
        <w:rPr>
          <w:iCs/>
          <w:lang w:val="en-US"/>
        </w:rPr>
        <w:t xml:space="preserve">were </w:t>
      </w:r>
      <w:r w:rsidR="006E3B94" w:rsidRPr="009627FD">
        <w:rPr>
          <w:bCs/>
          <w:lang w:val="en-US"/>
        </w:rPr>
        <w:t>included as covariates of the mediators and the dependent variable</w:t>
      </w:r>
      <w:r w:rsidR="009E7D4B" w:rsidRPr="009627FD">
        <w:rPr>
          <w:bCs/>
          <w:lang w:val="en-US"/>
        </w:rPr>
        <w:t>s</w:t>
      </w:r>
      <w:r w:rsidR="006E3B94" w:rsidRPr="009627FD">
        <w:rPr>
          <w:bCs/>
          <w:lang w:val="en-US"/>
        </w:rPr>
        <w:t xml:space="preserve">. The mediating role of </w:t>
      </w:r>
      <w:r w:rsidR="008158F9" w:rsidRPr="009627FD">
        <w:rPr>
          <w:bCs/>
          <w:lang w:val="en-US"/>
        </w:rPr>
        <w:t xml:space="preserve">the </w:t>
      </w:r>
      <w:r w:rsidR="008158F9" w:rsidRPr="009627FD">
        <w:rPr>
          <w:iCs/>
          <w:lang w:val="en-US"/>
        </w:rPr>
        <w:t>COVID-19 anxiety syndrome</w:t>
      </w:r>
      <w:r w:rsidR="006E3B94" w:rsidRPr="009627FD">
        <w:rPr>
          <w:bCs/>
          <w:lang w:val="en-US"/>
        </w:rPr>
        <w:t xml:space="preserve"> was evaluated using </w:t>
      </w:r>
      <w:r w:rsidR="00C87CE9" w:rsidRPr="009627FD">
        <w:rPr>
          <w:lang w:val="en-US"/>
        </w:rPr>
        <w:t>bootstrap approach (1000 bootstrap samples).</w:t>
      </w:r>
      <w:r w:rsidR="00C87CE9" w:rsidRPr="009627FD">
        <w:rPr>
          <w:bCs/>
          <w:lang w:val="en-US"/>
        </w:rPr>
        <w:t xml:space="preserve"> </w:t>
      </w:r>
      <w:r w:rsidR="006E3B94" w:rsidRPr="009627FD">
        <w:rPr>
          <w:bCs/>
          <w:lang w:val="en-US"/>
        </w:rPr>
        <w:t>We first tested the full model and then we subsequently removed step-by-step path coefficients not significant at the 5% level in order to select the most plausible model. To evaluate the goodness of fit of the model we considered the explained variance of each endogenous variable (R</w:t>
      </w:r>
      <w:r w:rsidR="006E3B94" w:rsidRPr="009627FD">
        <w:rPr>
          <w:bCs/>
          <w:vertAlign w:val="superscript"/>
          <w:lang w:val="en-US"/>
        </w:rPr>
        <w:t>2</w:t>
      </w:r>
      <w:r w:rsidR="006E3B94" w:rsidRPr="009627FD">
        <w:rPr>
          <w:bCs/>
          <w:lang w:val="en-US"/>
        </w:rPr>
        <w:t>) and the total coefficient of determination (TCD; Bollen, 1989; Jӧreskog &amp; Sӧrbom, 1996), which is commonly considered a reliable fit index of models run as path analysis (that is SEM for observed variables). The TCD represents the joined effect of all predictor variables on all dependent variables, so that higher TCD scores indicate more variance explained.</w:t>
      </w:r>
    </w:p>
    <w:p w14:paraId="1A0CEA60" w14:textId="6BF01C0F" w:rsidR="002B3172" w:rsidRPr="009627FD" w:rsidRDefault="005820AC" w:rsidP="00522ACB">
      <w:pPr>
        <w:spacing w:line="360" w:lineRule="auto"/>
        <w:contextualSpacing/>
        <w:jc w:val="both"/>
        <w:rPr>
          <w:b/>
          <w:bCs/>
          <w:lang w:val="en-US"/>
        </w:rPr>
      </w:pPr>
      <w:r w:rsidRPr="009627FD">
        <w:rPr>
          <w:b/>
          <w:lang w:val="en-US"/>
        </w:rPr>
        <w:t>5</w:t>
      </w:r>
      <w:r w:rsidR="00C146A6" w:rsidRPr="009627FD">
        <w:rPr>
          <w:b/>
          <w:lang w:val="en-US"/>
        </w:rPr>
        <w:t xml:space="preserve">. </w:t>
      </w:r>
      <w:r w:rsidR="00C146A6" w:rsidRPr="009627FD">
        <w:rPr>
          <w:b/>
          <w:bCs/>
          <w:lang w:val="en-US"/>
        </w:rPr>
        <w:t>Results</w:t>
      </w:r>
    </w:p>
    <w:p w14:paraId="1CE709C4" w14:textId="02207E98" w:rsidR="002B3172" w:rsidRPr="009627FD" w:rsidRDefault="005820AC" w:rsidP="002B3172">
      <w:pPr>
        <w:spacing w:line="360" w:lineRule="auto"/>
        <w:contextualSpacing/>
        <w:jc w:val="both"/>
        <w:rPr>
          <w:b/>
          <w:bCs/>
          <w:lang w:val="en-US"/>
        </w:rPr>
      </w:pPr>
      <w:r w:rsidRPr="009627FD">
        <w:rPr>
          <w:b/>
          <w:bCs/>
          <w:lang w:val="en-US"/>
        </w:rPr>
        <w:t>5</w:t>
      </w:r>
      <w:r w:rsidR="002B3172" w:rsidRPr="009627FD">
        <w:rPr>
          <w:b/>
          <w:bCs/>
          <w:lang w:val="en-US"/>
        </w:rPr>
        <w:t>.1</w:t>
      </w:r>
      <w:r w:rsidRPr="009627FD">
        <w:rPr>
          <w:b/>
          <w:bCs/>
          <w:lang w:val="en-US"/>
        </w:rPr>
        <w:t>.</w:t>
      </w:r>
      <w:r w:rsidR="002B3172" w:rsidRPr="009627FD">
        <w:rPr>
          <w:b/>
          <w:bCs/>
          <w:lang w:val="en-US"/>
        </w:rPr>
        <w:t xml:space="preserve"> </w:t>
      </w:r>
      <w:r w:rsidR="00E26827" w:rsidRPr="009627FD">
        <w:rPr>
          <w:b/>
          <w:bCs/>
          <w:lang w:val="en-US"/>
        </w:rPr>
        <w:t>Factor structure of the C-19ASS and</w:t>
      </w:r>
      <w:r w:rsidR="00FB5B8C" w:rsidRPr="009627FD">
        <w:rPr>
          <w:b/>
          <w:bCs/>
          <w:lang w:val="en-US"/>
        </w:rPr>
        <w:t xml:space="preserve"> internal reliability </w:t>
      </w:r>
    </w:p>
    <w:p w14:paraId="5B953A1D" w14:textId="1003394F" w:rsidR="00C146A6" w:rsidRPr="009627FD" w:rsidRDefault="00664E3F" w:rsidP="00A77683">
      <w:pPr>
        <w:spacing w:line="360" w:lineRule="auto"/>
        <w:ind w:firstLine="708"/>
        <w:contextualSpacing/>
        <w:jc w:val="both"/>
        <w:rPr>
          <w:bCs/>
          <w:lang w:val="en-US"/>
        </w:rPr>
      </w:pPr>
      <w:r w:rsidRPr="009627FD">
        <w:rPr>
          <w:bCs/>
          <w:lang w:val="en-US"/>
        </w:rPr>
        <w:t>Table</w:t>
      </w:r>
      <w:r w:rsidR="00C146A6" w:rsidRPr="009627FD">
        <w:rPr>
          <w:bCs/>
          <w:lang w:val="en-US"/>
        </w:rPr>
        <w:t xml:space="preserve"> </w:t>
      </w:r>
      <w:r w:rsidR="00B07FD9" w:rsidRPr="009627FD">
        <w:rPr>
          <w:bCs/>
          <w:lang w:val="en-US"/>
        </w:rPr>
        <w:t>2</w:t>
      </w:r>
      <w:r w:rsidR="00C146A6" w:rsidRPr="009627FD">
        <w:rPr>
          <w:bCs/>
          <w:lang w:val="en-US"/>
        </w:rPr>
        <w:t xml:space="preserve"> presents the results of CFA, showing a comparison between the 2-factor model and 1-factor model. The two-factor model (χ</w:t>
      </w:r>
      <w:r w:rsidR="00C146A6" w:rsidRPr="009627FD">
        <w:rPr>
          <w:bCs/>
          <w:vertAlign w:val="superscript"/>
          <w:lang w:val="en-US"/>
        </w:rPr>
        <w:t>2</w:t>
      </w:r>
      <w:r w:rsidR="00C146A6" w:rsidRPr="009627FD">
        <w:rPr>
          <w:bCs/>
          <w:lang w:val="en-US"/>
        </w:rPr>
        <w:t xml:space="preserve"> =</w:t>
      </w:r>
      <w:r w:rsidR="009F0009" w:rsidRPr="009627FD">
        <w:rPr>
          <w:bCs/>
          <w:lang w:val="en-US"/>
        </w:rPr>
        <w:t xml:space="preserve"> 33.746</w:t>
      </w:r>
      <w:r w:rsidR="00C146A6" w:rsidRPr="009627FD">
        <w:rPr>
          <w:bCs/>
          <w:lang w:val="en-US"/>
        </w:rPr>
        <w:t>, df =</w:t>
      </w:r>
      <w:r w:rsidR="009F0009" w:rsidRPr="009627FD">
        <w:rPr>
          <w:bCs/>
          <w:lang w:val="en-US"/>
        </w:rPr>
        <w:t>26</w:t>
      </w:r>
      <w:r w:rsidR="00C146A6" w:rsidRPr="009627FD">
        <w:rPr>
          <w:bCs/>
          <w:lang w:val="en-US"/>
        </w:rPr>
        <w:t>, χ2/df =</w:t>
      </w:r>
      <w:r w:rsidR="009F0009" w:rsidRPr="009627FD">
        <w:rPr>
          <w:bCs/>
          <w:lang w:val="en-US"/>
        </w:rPr>
        <w:t>1.29</w:t>
      </w:r>
      <w:r w:rsidR="00C146A6" w:rsidRPr="009627FD">
        <w:rPr>
          <w:bCs/>
          <w:lang w:val="en-US"/>
        </w:rPr>
        <w:t xml:space="preserve">, </w:t>
      </w:r>
      <w:r w:rsidR="0070788D" w:rsidRPr="009627FD">
        <w:rPr>
          <w:bCs/>
          <w:i/>
          <w:lang w:val="en-US"/>
        </w:rPr>
        <w:t>p</w:t>
      </w:r>
      <w:r w:rsidR="0070788D" w:rsidRPr="009627FD">
        <w:rPr>
          <w:bCs/>
          <w:lang w:val="en-US"/>
        </w:rPr>
        <w:t xml:space="preserve"> = .142, </w:t>
      </w:r>
      <w:r w:rsidR="00C146A6" w:rsidRPr="009627FD">
        <w:rPr>
          <w:bCs/>
          <w:lang w:val="en-US"/>
        </w:rPr>
        <w:t>SRMR =</w:t>
      </w:r>
      <w:r w:rsidR="00110B3D" w:rsidRPr="009627FD">
        <w:rPr>
          <w:bCs/>
          <w:lang w:val="en-US"/>
        </w:rPr>
        <w:t xml:space="preserve"> </w:t>
      </w:r>
      <w:r w:rsidR="009F0009" w:rsidRPr="009627FD">
        <w:rPr>
          <w:bCs/>
          <w:lang w:val="en-US"/>
        </w:rPr>
        <w:t>.040</w:t>
      </w:r>
      <w:r w:rsidR="00C146A6" w:rsidRPr="009627FD">
        <w:rPr>
          <w:bCs/>
          <w:lang w:val="en-US"/>
        </w:rPr>
        <w:t>, RMSEA =</w:t>
      </w:r>
      <w:r w:rsidR="00110B3D" w:rsidRPr="009627FD">
        <w:rPr>
          <w:bCs/>
          <w:lang w:val="en-US"/>
        </w:rPr>
        <w:t xml:space="preserve"> </w:t>
      </w:r>
      <w:r w:rsidR="009F0009" w:rsidRPr="009627FD">
        <w:rPr>
          <w:bCs/>
          <w:lang w:val="en-US"/>
        </w:rPr>
        <w:t>.025</w:t>
      </w:r>
      <w:r w:rsidR="007C33E4" w:rsidRPr="009627FD">
        <w:rPr>
          <w:bCs/>
          <w:lang w:val="en-US"/>
        </w:rPr>
        <w:t xml:space="preserve"> </w:t>
      </w:r>
      <w:r w:rsidR="0070788D" w:rsidRPr="009627FD">
        <w:rPr>
          <w:bCs/>
          <w:lang w:val="en-US"/>
        </w:rPr>
        <w:t xml:space="preserve">90%CI </w:t>
      </w:r>
      <w:r w:rsidR="00110B3D" w:rsidRPr="009627FD">
        <w:rPr>
          <w:bCs/>
          <w:lang w:val="en-US"/>
        </w:rPr>
        <w:t>[.000-</w:t>
      </w:r>
      <w:r w:rsidR="007C33E4" w:rsidRPr="009627FD">
        <w:rPr>
          <w:bCs/>
          <w:lang w:val="en-US"/>
        </w:rPr>
        <w:t>.046]</w:t>
      </w:r>
      <w:r w:rsidR="00C146A6" w:rsidRPr="009627FD">
        <w:rPr>
          <w:bCs/>
          <w:lang w:val="en-US"/>
        </w:rPr>
        <w:t>, GFI =</w:t>
      </w:r>
      <w:r w:rsidR="00C53330" w:rsidRPr="009627FD">
        <w:rPr>
          <w:bCs/>
          <w:lang w:val="en-US"/>
        </w:rPr>
        <w:t xml:space="preserve"> </w:t>
      </w:r>
      <w:r w:rsidR="009F0009" w:rsidRPr="009627FD">
        <w:rPr>
          <w:bCs/>
          <w:lang w:val="en-US"/>
        </w:rPr>
        <w:t>.996</w:t>
      </w:r>
      <w:r w:rsidR="00C146A6" w:rsidRPr="009627FD">
        <w:rPr>
          <w:bCs/>
          <w:lang w:val="en-US"/>
        </w:rPr>
        <w:t>, CFI =</w:t>
      </w:r>
      <w:r w:rsidR="00110B3D" w:rsidRPr="009627FD">
        <w:rPr>
          <w:bCs/>
          <w:lang w:val="en-US"/>
        </w:rPr>
        <w:t xml:space="preserve"> </w:t>
      </w:r>
      <w:r w:rsidR="009F0009" w:rsidRPr="009627FD">
        <w:rPr>
          <w:bCs/>
          <w:lang w:val="en-US"/>
        </w:rPr>
        <w:t>.997</w:t>
      </w:r>
      <w:r w:rsidR="00C146A6" w:rsidRPr="009627FD">
        <w:rPr>
          <w:bCs/>
          <w:lang w:val="en-US"/>
        </w:rPr>
        <w:t>, NFI =</w:t>
      </w:r>
      <w:r w:rsidR="00110B3D" w:rsidRPr="009627FD">
        <w:rPr>
          <w:bCs/>
          <w:lang w:val="en-US"/>
        </w:rPr>
        <w:t xml:space="preserve"> </w:t>
      </w:r>
      <w:r w:rsidR="009F0009" w:rsidRPr="009627FD">
        <w:rPr>
          <w:bCs/>
          <w:lang w:val="en-US"/>
        </w:rPr>
        <w:t>.989</w:t>
      </w:r>
      <w:r w:rsidR="00C146A6" w:rsidRPr="009627FD">
        <w:rPr>
          <w:bCs/>
          <w:lang w:val="en-US"/>
        </w:rPr>
        <w:t>, TLI =</w:t>
      </w:r>
      <w:r w:rsidR="00110B3D" w:rsidRPr="009627FD">
        <w:rPr>
          <w:bCs/>
          <w:lang w:val="en-US"/>
        </w:rPr>
        <w:t xml:space="preserve"> </w:t>
      </w:r>
      <w:r w:rsidR="009F0009" w:rsidRPr="009627FD">
        <w:rPr>
          <w:bCs/>
          <w:lang w:val="en-US"/>
        </w:rPr>
        <w:t>.996</w:t>
      </w:r>
      <w:r w:rsidR="00C146A6" w:rsidRPr="009627FD">
        <w:rPr>
          <w:bCs/>
          <w:lang w:val="en-US"/>
        </w:rPr>
        <w:t>, IFI =</w:t>
      </w:r>
      <w:r w:rsidR="00110B3D" w:rsidRPr="009627FD">
        <w:rPr>
          <w:bCs/>
          <w:lang w:val="en-US"/>
        </w:rPr>
        <w:t xml:space="preserve"> </w:t>
      </w:r>
      <w:r w:rsidR="009F0009" w:rsidRPr="009627FD">
        <w:rPr>
          <w:bCs/>
          <w:lang w:val="en-US"/>
        </w:rPr>
        <w:t>.997</w:t>
      </w:r>
      <w:r w:rsidR="00C146A6" w:rsidRPr="009627FD">
        <w:rPr>
          <w:bCs/>
          <w:lang w:val="en-US"/>
        </w:rPr>
        <w:t>) had the best model fit</w:t>
      </w:r>
      <w:r w:rsidR="00F2409E" w:rsidRPr="009627FD">
        <w:rPr>
          <w:bCs/>
          <w:lang w:val="en-US"/>
        </w:rPr>
        <w:t xml:space="preserve"> (</w:t>
      </w:r>
      <w:r w:rsidR="00A77683" w:rsidRPr="009627FD">
        <w:rPr>
          <w:bCs/>
          <w:lang w:val="en-US"/>
        </w:rPr>
        <w:t xml:space="preserve">Chi-square difference test: </w:t>
      </w:r>
      <w:r w:rsidR="00F2409E" w:rsidRPr="009627FD">
        <w:rPr>
          <w:bCs/>
          <w:lang w:val="en-US"/>
        </w:rPr>
        <w:t>χ</w:t>
      </w:r>
      <w:r w:rsidR="00F2409E" w:rsidRPr="009627FD">
        <w:rPr>
          <w:bCs/>
          <w:vertAlign w:val="superscript"/>
          <w:lang w:val="en-US"/>
        </w:rPr>
        <w:t>2</w:t>
      </w:r>
      <w:r w:rsidR="00F2409E" w:rsidRPr="009627FD">
        <w:rPr>
          <w:bCs/>
          <w:lang w:val="en-US"/>
        </w:rPr>
        <w:t xml:space="preserve"> = </w:t>
      </w:r>
      <w:r w:rsidR="00A77683" w:rsidRPr="009627FD">
        <w:rPr>
          <w:bCs/>
          <w:lang w:val="en-US"/>
        </w:rPr>
        <w:t>29.087</w:t>
      </w:r>
      <w:r w:rsidR="00F2409E" w:rsidRPr="009627FD">
        <w:rPr>
          <w:bCs/>
          <w:lang w:val="en-US"/>
        </w:rPr>
        <w:t>, df =</w:t>
      </w:r>
      <w:r w:rsidR="00A77683" w:rsidRPr="009627FD">
        <w:rPr>
          <w:bCs/>
          <w:lang w:val="en-US"/>
        </w:rPr>
        <w:t xml:space="preserve"> 1</w:t>
      </w:r>
      <w:r w:rsidR="00F2409E" w:rsidRPr="009627FD">
        <w:rPr>
          <w:bCs/>
          <w:lang w:val="en-US"/>
        </w:rPr>
        <w:t xml:space="preserve">, </w:t>
      </w:r>
      <w:r w:rsidR="00F2409E" w:rsidRPr="009627FD">
        <w:rPr>
          <w:bCs/>
          <w:i/>
          <w:lang w:val="en-US"/>
        </w:rPr>
        <w:t>p</w:t>
      </w:r>
      <w:r w:rsidR="00F2409E" w:rsidRPr="009627FD">
        <w:rPr>
          <w:bCs/>
          <w:lang w:val="en-US"/>
        </w:rPr>
        <w:t xml:space="preserve"> &lt; .001)</w:t>
      </w:r>
      <w:r w:rsidR="00C146A6" w:rsidRPr="009627FD">
        <w:rPr>
          <w:bCs/>
          <w:lang w:val="en-US"/>
        </w:rPr>
        <w:t xml:space="preserve">. </w:t>
      </w:r>
      <w:r w:rsidR="00F60E1A" w:rsidRPr="009627FD">
        <w:rPr>
          <w:bCs/>
          <w:lang w:val="en-US"/>
        </w:rPr>
        <w:t>Therefore, the</w:t>
      </w:r>
      <w:r w:rsidR="00CE30E3" w:rsidRPr="009627FD">
        <w:rPr>
          <w:bCs/>
          <w:lang w:val="en-US"/>
        </w:rPr>
        <w:t xml:space="preserve"> two dimensions of the C-19ASS (</w:t>
      </w:r>
      <w:r w:rsidR="00F60E1A" w:rsidRPr="009627FD">
        <w:rPr>
          <w:bCs/>
          <w:lang w:val="en-US"/>
        </w:rPr>
        <w:t>i.e.</w:t>
      </w:r>
      <w:r w:rsidR="00CE30E3" w:rsidRPr="009627FD">
        <w:rPr>
          <w:bCs/>
          <w:lang w:val="en-US"/>
        </w:rPr>
        <w:t>,</w:t>
      </w:r>
      <w:r w:rsidR="00F60E1A" w:rsidRPr="009627FD">
        <w:rPr>
          <w:bCs/>
          <w:lang w:val="en-US"/>
        </w:rPr>
        <w:t xml:space="preserve"> </w:t>
      </w:r>
      <w:r w:rsidR="007B093E" w:rsidRPr="009627FD">
        <w:rPr>
          <w:bCs/>
          <w:lang w:val="en-US"/>
        </w:rPr>
        <w:t>C-19ASS</w:t>
      </w:r>
      <w:r w:rsidR="00CE30E3" w:rsidRPr="009627FD">
        <w:rPr>
          <w:bCs/>
          <w:lang w:val="en-US"/>
        </w:rPr>
        <w:t>-Perseveration</w:t>
      </w:r>
      <w:r w:rsidR="00F60E1A" w:rsidRPr="009627FD">
        <w:rPr>
          <w:bCs/>
          <w:lang w:val="en-US"/>
        </w:rPr>
        <w:t xml:space="preserve"> and C-19ASS</w:t>
      </w:r>
      <w:r w:rsidR="00CE30E3" w:rsidRPr="009627FD">
        <w:rPr>
          <w:bCs/>
          <w:lang w:val="en-US"/>
        </w:rPr>
        <w:t>-A</w:t>
      </w:r>
      <w:r w:rsidR="007B093E" w:rsidRPr="009627FD">
        <w:rPr>
          <w:bCs/>
          <w:lang w:val="en-US"/>
        </w:rPr>
        <w:t>voidance</w:t>
      </w:r>
      <w:r w:rsidR="00F60E1A" w:rsidRPr="009627FD">
        <w:rPr>
          <w:bCs/>
          <w:lang w:val="en-US"/>
        </w:rPr>
        <w:t xml:space="preserve">) </w:t>
      </w:r>
      <w:r w:rsidR="00A120CB" w:rsidRPr="009627FD">
        <w:rPr>
          <w:bCs/>
          <w:lang w:val="en-US"/>
        </w:rPr>
        <w:t xml:space="preserve">were </w:t>
      </w:r>
      <w:r w:rsidR="00F60E1A" w:rsidRPr="009627FD">
        <w:rPr>
          <w:bCs/>
          <w:lang w:val="en-US"/>
        </w:rPr>
        <w:t xml:space="preserve">used in the subsequent analyses. </w:t>
      </w:r>
      <w:r w:rsidR="00C146A6" w:rsidRPr="009627FD">
        <w:rPr>
          <w:bCs/>
          <w:lang w:val="en-US"/>
        </w:rPr>
        <w:t xml:space="preserve">Both the </w:t>
      </w:r>
      <w:r w:rsidR="00CE30E3" w:rsidRPr="009627FD">
        <w:rPr>
          <w:bCs/>
          <w:lang w:val="en-US"/>
        </w:rPr>
        <w:t xml:space="preserve">C-19ASS-Perseveration </w:t>
      </w:r>
      <w:r w:rsidR="00C146A6" w:rsidRPr="009627FD">
        <w:rPr>
          <w:bCs/>
          <w:lang w:val="en-US"/>
        </w:rPr>
        <w:t>(</w:t>
      </w:r>
      <w:r w:rsidR="00C32BEC" w:rsidRPr="009627FD">
        <w:rPr>
          <w:bCs/>
          <w:lang w:val="en-US"/>
        </w:rPr>
        <w:t>6</w:t>
      </w:r>
      <w:r w:rsidR="00C53330" w:rsidRPr="009627FD">
        <w:rPr>
          <w:bCs/>
          <w:lang w:val="en-US"/>
        </w:rPr>
        <w:t xml:space="preserve"> items; α = </w:t>
      </w:r>
      <w:r w:rsidR="00C146A6" w:rsidRPr="009627FD">
        <w:rPr>
          <w:bCs/>
          <w:lang w:val="en-US"/>
        </w:rPr>
        <w:t xml:space="preserve">.810) and the </w:t>
      </w:r>
      <w:r w:rsidR="00CE30E3" w:rsidRPr="009627FD">
        <w:rPr>
          <w:bCs/>
          <w:lang w:val="en-US"/>
        </w:rPr>
        <w:t>C-19ASS-Avoidance</w:t>
      </w:r>
      <w:r w:rsidR="00C146A6" w:rsidRPr="009627FD">
        <w:rPr>
          <w:bCs/>
          <w:lang w:val="en-US"/>
        </w:rPr>
        <w:t xml:space="preserve"> (</w:t>
      </w:r>
      <w:r w:rsidR="00C32BEC" w:rsidRPr="009627FD">
        <w:rPr>
          <w:bCs/>
          <w:lang w:val="en-US"/>
        </w:rPr>
        <w:t>3</w:t>
      </w:r>
      <w:r w:rsidR="00110B3D" w:rsidRPr="009627FD">
        <w:rPr>
          <w:bCs/>
          <w:lang w:val="en-US"/>
        </w:rPr>
        <w:t xml:space="preserve"> items; α = </w:t>
      </w:r>
      <w:r w:rsidR="00C146A6" w:rsidRPr="009627FD">
        <w:rPr>
          <w:bCs/>
          <w:lang w:val="en-US"/>
        </w:rPr>
        <w:t>.745) demonstrated acceptable internal consistency.</w:t>
      </w:r>
      <w:r w:rsidR="00A77683" w:rsidRPr="009627FD">
        <w:rPr>
          <w:bCs/>
          <w:lang w:val="en-US"/>
        </w:rPr>
        <w:t xml:space="preserve"> The averag</w:t>
      </w:r>
      <w:r w:rsidR="00D60E0D" w:rsidRPr="009627FD">
        <w:rPr>
          <w:bCs/>
          <w:lang w:val="en-US"/>
        </w:rPr>
        <w:t xml:space="preserve">e variance </w:t>
      </w:r>
      <w:r w:rsidR="00D60E0D" w:rsidRPr="009627FD">
        <w:rPr>
          <w:bCs/>
          <w:lang w:val="en-US"/>
        </w:rPr>
        <w:lastRenderedPageBreak/>
        <w:t xml:space="preserve">extracted (AVE) was </w:t>
      </w:r>
      <w:r w:rsidR="00A77683" w:rsidRPr="009627FD">
        <w:rPr>
          <w:bCs/>
          <w:lang w:val="en-US"/>
        </w:rPr>
        <w:t xml:space="preserve">.45 for the C-19ASS-Perseveration, and .49 for the </w:t>
      </w:r>
      <w:r w:rsidR="00D671F7" w:rsidRPr="009627FD">
        <w:rPr>
          <w:bCs/>
          <w:lang w:val="en-US"/>
        </w:rPr>
        <w:t>C-19ASS, whereas t</w:t>
      </w:r>
      <w:r w:rsidR="00A77683" w:rsidRPr="009627FD">
        <w:rPr>
          <w:bCs/>
          <w:lang w:val="en-US"/>
        </w:rPr>
        <w:t>he composite reliability was</w:t>
      </w:r>
      <w:r w:rsidR="00D671F7" w:rsidRPr="009627FD">
        <w:rPr>
          <w:bCs/>
          <w:lang w:val="en-US"/>
        </w:rPr>
        <w:t xml:space="preserve"> .81 for the C-19ASS-Perseveration, and .75 for the C-19ASS-Avoidance, which are overall considered acceptable (Fornell &amp; Larcker, 1981; Hair et al., 2010).</w:t>
      </w:r>
    </w:p>
    <w:p w14:paraId="5C8F0859" w14:textId="53157126" w:rsidR="00E26827" w:rsidRPr="009627FD" w:rsidRDefault="005820AC" w:rsidP="005820AC">
      <w:pPr>
        <w:spacing w:line="360" w:lineRule="auto"/>
        <w:contextualSpacing/>
        <w:jc w:val="both"/>
        <w:rPr>
          <w:b/>
          <w:bCs/>
          <w:lang w:val="en-US"/>
        </w:rPr>
      </w:pPr>
      <w:r w:rsidRPr="009627FD">
        <w:rPr>
          <w:b/>
          <w:bCs/>
          <w:lang w:val="en-US"/>
        </w:rPr>
        <w:t>5</w:t>
      </w:r>
      <w:r w:rsidR="00E26827" w:rsidRPr="009627FD">
        <w:rPr>
          <w:b/>
          <w:bCs/>
          <w:lang w:val="en-US"/>
        </w:rPr>
        <w:t>.2. Measurement invariance of the C-19ASS across gender groups</w:t>
      </w:r>
    </w:p>
    <w:p w14:paraId="447124D3" w14:textId="0F85A456" w:rsidR="00FF52E2" w:rsidRPr="009627FD" w:rsidRDefault="00FF52E2" w:rsidP="00976E64">
      <w:pPr>
        <w:spacing w:line="360" w:lineRule="auto"/>
        <w:ind w:firstLine="567"/>
        <w:jc w:val="both"/>
        <w:rPr>
          <w:lang w:val="en-US"/>
        </w:rPr>
      </w:pPr>
      <w:r w:rsidRPr="009627FD">
        <w:rPr>
          <w:lang w:val="en-US"/>
        </w:rPr>
        <w:t>Before testing for measurement invariance, the C-19ASS model was estimated separately in male and females. Results demonstrated that the model fit was adequate to excellent for both gender groups (</w:t>
      </w:r>
      <w:r w:rsidR="00397700" w:rsidRPr="009627FD">
        <w:rPr>
          <w:lang w:val="en-US"/>
        </w:rPr>
        <w:t>males</w:t>
      </w:r>
      <w:r w:rsidRPr="009627FD">
        <w:rPr>
          <w:lang w:val="en-US"/>
        </w:rPr>
        <w:t>: χ</w:t>
      </w:r>
      <w:r w:rsidRPr="009627FD">
        <w:rPr>
          <w:vertAlign w:val="superscript"/>
          <w:lang w:val="en-US"/>
        </w:rPr>
        <w:t>2</w:t>
      </w:r>
      <w:r w:rsidRPr="009627FD">
        <w:rPr>
          <w:lang w:val="en-US"/>
        </w:rPr>
        <w:t xml:space="preserve">= </w:t>
      </w:r>
      <w:r w:rsidR="00397700" w:rsidRPr="009627FD">
        <w:rPr>
          <w:lang w:val="en-US"/>
        </w:rPr>
        <w:t>13.312</w:t>
      </w:r>
      <w:r w:rsidRPr="009627FD">
        <w:rPr>
          <w:lang w:val="en-US"/>
        </w:rPr>
        <w:t xml:space="preserve">, </w:t>
      </w:r>
      <w:r w:rsidR="00110B3D" w:rsidRPr="009627FD">
        <w:rPr>
          <w:lang w:val="en-US"/>
        </w:rPr>
        <w:t xml:space="preserve">df = 26, </w:t>
      </w:r>
      <w:r w:rsidRPr="009627FD">
        <w:rPr>
          <w:i/>
          <w:lang w:val="en-US"/>
        </w:rPr>
        <w:t>p</w:t>
      </w:r>
      <w:r w:rsidR="00397700" w:rsidRPr="009627FD">
        <w:rPr>
          <w:lang w:val="en-US"/>
        </w:rPr>
        <w:t xml:space="preserve"> = .981</w:t>
      </w:r>
      <w:r w:rsidRPr="009627FD">
        <w:rPr>
          <w:lang w:val="en-US"/>
        </w:rPr>
        <w:t>, RMSEA=.0</w:t>
      </w:r>
      <w:r w:rsidR="00397700" w:rsidRPr="009627FD">
        <w:rPr>
          <w:lang w:val="en-US"/>
        </w:rPr>
        <w:t>43</w:t>
      </w:r>
      <w:r w:rsidRPr="009627FD">
        <w:rPr>
          <w:lang w:val="en-US"/>
        </w:rPr>
        <w:t xml:space="preserve"> </w:t>
      </w:r>
      <w:r w:rsidR="0026670A" w:rsidRPr="009627FD">
        <w:rPr>
          <w:bCs/>
          <w:lang w:val="en-US"/>
        </w:rPr>
        <w:t>90%CI</w:t>
      </w:r>
      <w:r w:rsidRPr="009627FD">
        <w:rPr>
          <w:lang w:val="en-US"/>
        </w:rPr>
        <w:t>[.000–.0</w:t>
      </w:r>
      <w:r w:rsidR="00397700" w:rsidRPr="009627FD">
        <w:rPr>
          <w:lang w:val="en-US"/>
        </w:rPr>
        <w:t>88</w:t>
      </w:r>
      <w:r w:rsidRPr="009627FD">
        <w:rPr>
          <w:lang w:val="en-US"/>
        </w:rPr>
        <w:t>]</w:t>
      </w:r>
      <w:r w:rsidR="00C53330" w:rsidRPr="009627FD">
        <w:rPr>
          <w:lang w:val="en-US"/>
        </w:rPr>
        <w:t xml:space="preserve">, </w:t>
      </w:r>
      <w:r w:rsidR="005C46C5" w:rsidRPr="009627FD">
        <w:rPr>
          <w:lang w:val="en-US"/>
        </w:rPr>
        <w:t>CFI = .983</w:t>
      </w:r>
      <w:r w:rsidRPr="009627FD">
        <w:rPr>
          <w:lang w:val="en-US"/>
        </w:rPr>
        <w:t xml:space="preserve">; and </w:t>
      </w:r>
      <w:r w:rsidR="00397700" w:rsidRPr="009627FD">
        <w:rPr>
          <w:lang w:val="en-US"/>
        </w:rPr>
        <w:t>females</w:t>
      </w:r>
      <w:r w:rsidRPr="009627FD">
        <w:rPr>
          <w:lang w:val="en-US"/>
        </w:rPr>
        <w:t>: χ</w:t>
      </w:r>
      <w:r w:rsidRPr="009627FD">
        <w:rPr>
          <w:vertAlign w:val="superscript"/>
          <w:lang w:val="en-US"/>
        </w:rPr>
        <w:t>2</w:t>
      </w:r>
      <w:r w:rsidRPr="009627FD">
        <w:rPr>
          <w:lang w:val="en-US"/>
        </w:rPr>
        <w:t xml:space="preserve">= </w:t>
      </w:r>
      <w:r w:rsidR="00397700" w:rsidRPr="009627FD">
        <w:rPr>
          <w:lang w:val="en-US"/>
        </w:rPr>
        <w:t>29.152</w:t>
      </w:r>
      <w:r w:rsidRPr="009627FD">
        <w:rPr>
          <w:lang w:val="en-US"/>
        </w:rPr>
        <w:t>,</w:t>
      </w:r>
      <w:r w:rsidR="00110B3D" w:rsidRPr="009627FD">
        <w:rPr>
          <w:lang w:val="en-US"/>
        </w:rPr>
        <w:t xml:space="preserve"> df = 26,</w:t>
      </w:r>
      <w:r w:rsidRPr="009627FD">
        <w:rPr>
          <w:lang w:val="en-US"/>
        </w:rPr>
        <w:t xml:space="preserve"> </w:t>
      </w:r>
      <w:r w:rsidRPr="009627FD">
        <w:rPr>
          <w:i/>
          <w:lang w:val="en-US"/>
        </w:rPr>
        <w:t>p</w:t>
      </w:r>
      <w:r w:rsidR="00397700" w:rsidRPr="009627FD">
        <w:rPr>
          <w:lang w:val="en-US"/>
        </w:rPr>
        <w:t xml:space="preserve"> = .304</w:t>
      </w:r>
      <w:r w:rsidRPr="009627FD">
        <w:rPr>
          <w:lang w:val="en-US"/>
        </w:rPr>
        <w:t xml:space="preserve">, </w:t>
      </w:r>
      <w:r w:rsidR="005C46C5" w:rsidRPr="009627FD">
        <w:rPr>
          <w:lang w:val="en-US"/>
        </w:rPr>
        <w:t xml:space="preserve">RMSEA=.064 </w:t>
      </w:r>
      <w:r w:rsidR="005C46C5" w:rsidRPr="009627FD">
        <w:rPr>
          <w:bCs/>
          <w:lang w:val="en-US"/>
        </w:rPr>
        <w:t>90%CI</w:t>
      </w:r>
      <w:r w:rsidR="005C46C5" w:rsidRPr="009627FD">
        <w:rPr>
          <w:lang w:val="en-US"/>
        </w:rPr>
        <w:t xml:space="preserve">[.045–.084], </w:t>
      </w:r>
      <w:r w:rsidRPr="009627FD">
        <w:rPr>
          <w:lang w:val="en-US"/>
        </w:rPr>
        <w:t>CFI</w:t>
      </w:r>
      <w:r w:rsidR="00397700" w:rsidRPr="009627FD">
        <w:rPr>
          <w:lang w:val="en-US"/>
        </w:rPr>
        <w:t xml:space="preserve"> </w:t>
      </w:r>
      <w:r w:rsidRPr="009627FD">
        <w:rPr>
          <w:lang w:val="en-US"/>
        </w:rPr>
        <w:t>=</w:t>
      </w:r>
      <w:r w:rsidR="00397700" w:rsidRPr="009627FD">
        <w:rPr>
          <w:lang w:val="en-US"/>
        </w:rPr>
        <w:t xml:space="preserve"> </w:t>
      </w:r>
      <w:r w:rsidRPr="009627FD">
        <w:rPr>
          <w:lang w:val="en-US"/>
        </w:rPr>
        <w:t>.9</w:t>
      </w:r>
      <w:r w:rsidR="00397700" w:rsidRPr="009627FD">
        <w:rPr>
          <w:lang w:val="en-US"/>
        </w:rPr>
        <w:t>67</w:t>
      </w:r>
      <w:r w:rsidRPr="009627FD">
        <w:rPr>
          <w:lang w:val="en-US"/>
        </w:rPr>
        <w:t xml:space="preserve">, </w:t>
      </w:r>
      <w:r w:rsidR="00397700" w:rsidRPr="009627FD">
        <w:rPr>
          <w:lang w:val="en-US"/>
        </w:rPr>
        <w:t xml:space="preserve">TLI </w:t>
      </w:r>
      <w:r w:rsidRPr="009627FD">
        <w:rPr>
          <w:lang w:val="en-US"/>
        </w:rPr>
        <w:t>=</w:t>
      </w:r>
      <w:r w:rsidR="00397700" w:rsidRPr="009627FD">
        <w:rPr>
          <w:lang w:val="en-US"/>
        </w:rPr>
        <w:t xml:space="preserve"> </w:t>
      </w:r>
      <w:r w:rsidRPr="009627FD">
        <w:rPr>
          <w:lang w:val="en-US"/>
        </w:rPr>
        <w:t>.9</w:t>
      </w:r>
      <w:r w:rsidR="00397700" w:rsidRPr="009627FD">
        <w:rPr>
          <w:lang w:val="en-US"/>
        </w:rPr>
        <w:t>54</w:t>
      </w:r>
      <w:r w:rsidRPr="009627FD">
        <w:rPr>
          <w:lang w:val="en-US"/>
        </w:rPr>
        <w:t xml:space="preserve">). Then, measurement invariance of the model </w:t>
      </w:r>
      <w:r w:rsidR="0026670A" w:rsidRPr="009627FD">
        <w:rPr>
          <w:lang w:val="en-US"/>
        </w:rPr>
        <w:t>was tested</w:t>
      </w:r>
      <w:r w:rsidRPr="009627FD">
        <w:rPr>
          <w:lang w:val="en-US"/>
        </w:rPr>
        <w:t xml:space="preserve"> through </w:t>
      </w:r>
      <w:r w:rsidR="0026670A" w:rsidRPr="009627FD">
        <w:rPr>
          <w:lang w:val="en-US"/>
        </w:rPr>
        <w:t>multi-group CFA</w:t>
      </w:r>
      <w:r w:rsidR="00397700" w:rsidRPr="009627FD">
        <w:rPr>
          <w:lang w:val="en-US"/>
        </w:rPr>
        <w:t xml:space="preserve">. </w:t>
      </w:r>
      <w:r w:rsidRPr="009627FD">
        <w:rPr>
          <w:lang w:val="en-US"/>
        </w:rPr>
        <w:t>The fit indices of the unconstrained multi-group model demonstrated the configural invariance of the model (χ</w:t>
      </w:r>
      <w:r w:rsidRPr="009627FD">
        <w:rPr>
          <w:vertAlign w:val="superscript"/>
          <w:lang w:val="en-US"/>
        </w:rPr>
        <w:t>2</w:t>
      </w:r>
      <w:r w:rsidRPr="009627FD">
        <w:rPr>
          <w:lang w:val="en-US"/>
        </w:rPr>
        <w:t>=</w:t>
      </w:r>
      <w:r w:rsidR="00640844" w:rsidRPr="009627FD">
        <w:rPr>
          <w:lang w:val="en-US"/>
        </w:rPr>
        <w:t xml:space="preserve"> 42.464</w:t>
      </w:r>
      <w:r w:rsidRPr="009627FD">
        <w:rPr>
          <w:lang w:val="en-US"/>
        </w:rPr>
        <w:t xml:space="preserve">, </w:t>
      </w:r>
      <w:r w:rsidR="0026670A" w:rsidRPr="009627FD">
        <w:rPr>
          <w:lang w:val="en-US"/>
        </w:rPr>
        <w:t xml:space="preserve">df = 52, </w:t>
      </w:r>
      <w:r w:rsidRPr="009627FD">
        <w:rPr>
          <w:i/>
          <w:lang w:val="en-US"/>
        </w:rPr>
        <w:t>p</w:t>
      </w:r>
      <w:r w:rsidR="00640844" w:rsidRPr="009627FD">
        <w:rPr>
          <w:i/>
          <w:lang w:val="en-US"/>
        </w:rPr>
        <w:t xml:space="preserve"> = </w:t>
      </w:r>
      <w:r w:rsidR="00480F57" w:rsidRPr="009627FD">
        <w:rPr>
          <w:i/>
          <w:lang w:val="en-US"/>
        </w:rPr>
        <w:t>.</w:t>
      </w:r>
      <w:r w:rsidR="00640844" w:rsidRPr="009627FD">
        <w:rPr>
          <w:lang w:val="en-US"/>
        </w:rPr>
        <w:t>825</w:t>
      </w:r>
      <w:r w:rsidRPr="009627FD">
        <w:rPr>
          <w:lang w:val="en-US"/>
        </w:rPr>
        <w:t>, CFI</w:t>
      </w:r>
      <w:r w:rsidR="005C46C5" w:rsidRPr="009627FD">
        <w:rPr>
          <w:lang w:val="en-US"/>
        </w:rPr>
        <w:t xml:space="preserve"> </w:t>
      </w:r>
      <w:r w:rsidRPr="009627FD">
        <w:rPr>
          <w:lang w:val="en-US"/>
        </w:rPr>
        <w:t>=</w:t>
      </w:r>
      <w:r w:rsidR="005C46C5" w:rsidRPr="009627FD">
        <w:rPr>
          <w:lang w:val="en-US"/>
        </w:rPr>
        <w:t xml:space="preserve"> 1</w:t>
      </w:r>
      <w:r w:rsidRPr="009627FD">
        <w:rPr>
          <w:lang w:val="en-US"/>
        </w:rPr>
        <w:t>.</w:t>
      </w:r>
      <w:r w:rsidR="005C46C5" w:rsidRPr="009627FD">
        <w:rPr>
          <w:lang w:val="en-US"/>
        </w:rPr>
        <w:t>000</w:t>
      </w:r>
      <w:r w:rsidRPr="009627FD">
        <w:rPr>
          <w:lang w:val="en-US"/>
        </w:rPr>
        <w:t>, RMSEA=.</w:t>
      </w:r>
      <w:r w:rsidR="003E0F73" w:rsidRPr="009627FD">
        <w:rPr>
          <w:lang w:val="en-US"/>
        </w:rPr>
        <w:t xml:space="preserve">000 </w:t>
      </w:r>
      <w:r w:rsidR="0026670A" w:rsidRPr="009627FD">
        <w:rPr>
          <w:bCs/>
          <w:lang w:val="en-US"/>
        </w:rPr>
        <w:t>90%CI</w:t>
      </w:r>
      <w:r w:rsidRPr="009627FD">
        <w:rPr>
          <w:lang w:val="en-US"/>
        </w:rPr>
        <w:t>[.0</w:t>
      </w:r>
      <w:r w:rsidR="003E0F73" w:rsidRPr="009627FD">
        <w:rPr>
          <w:lang w:val="en-US"/>
        </w:rPr>
        <w:t>00</w:t>
      </w:r>
      <w:r w:rsidRPr="009627FD">
        <w:rPr>
          <w:lang w:val="en-US"/>
        </w:rPr>
        <w:t>–.0</w:t>
      </w:r>
      <w:r w:rsidR="003E0F73" w:rsidRPr="009627FD">
        <w:rPr>
          <w:lang w:val="en-US"/>
        </w:rPr>
        <w:t>2</w:t>
      </w:r>
      <w:r w:rsidR="00480F57" w:rsidRPr="009627FD">
        <w:rPr>
          <w:lang w:val="en-US"/>
        </w:rPr>
        <w:t>6</w:t>
      </w:r>
      <w:r w:rsidRPr="009627FD">
        <w:rPr>
          <w:lang w:val="en-US"/>
        </w:rPr>
        <w:t xml:space="preserve">]) suggesting that the factor structure is similar across gender. </w:t>
      </w:r>
      <w:r w:rsidR="0026670A" w:rsidRPr="009627FD">
        <w:rPr>
          <w:lang w:val="en-US"/>
        </w:rPr>
        <w:t>Then, the</w:t>
      </w:r>
      <w:r w:rsidRPr="009627FD">
        <w:rPr>
          <w:lang w:val="en-US"/>
        </w:rPr>
        <w:t xml:space="preserve"> metric model testing for invariance of all </w:t>
      </w:r>
      <w:r w:rsidR="0026670A" w:rsidRPr="009627FD">
        <w:rPr>
          <w:lang w:val="en-US"/>
        </w:rPr>
        <w:t xml:space="preserve">factor loadings was tested </w:t>
      </w:r>
      <w:r w:rsidR="005C46C5" w:rsidRPr="009627FD">
        <w:rPr>
          <w:lang w:val="en-US"/>
        </w:rPr>
        <w:t>in which</w:t>
      </w:r>
      <w:r w:rsidR="0026670A" w:rsidRPr="009627FD">
        <w:rPr>
          <w:lang w:val="en-US"/>
        </w:rPr>
        <w:t xml:space="preserve"> </w:t>
      </w:r>
      <w:r w:rsidRPr="009627FD">
        <w:rPr>
          <w:lang w:val="en-US"/>
        </w:rPr>
        <w:t>loadings were constrained to equality</w:t>
      </w:r>
      <w:r w:rsidR="0026670A" w:rsidRPr="009627FD">
        <w:rPr>
          <w:lang w:val="en-US"/>
        </w:rPr>
        <w:t xml:space="preserve"> (χ</w:t>
      </w:r>
      <w:r w:rsidR="0026670A" w:rsidRPr="009627FD">
        <w:rPr>
          <w:vertAlign w:val="superscript"/>
          <w:lang w:val="en-US"/>
        </w:rPr>
        <w:t>2</w:t>
      </w:r>
      <w:r w:rsidR="0026670A" w:rsidRPr="009627FD">
        <w:rPr>
          <w:lang w:val="en-US"/>
        </w:rPr>
        <w:t xml:space="preserve">= </w:t>
      </w:r>
      <w:r w:rsidR="00480F57" w:rsidRPr="009627FD">
        <w:rPr>
          <w:lang w:val="en-US"/>
        </w:rPr>
        <w:t>60.844</w:t>
      </w:r>
      <w:r w:rsidR="0026670A" w:rsidRPr="009627FD">
        <w:rPr>
          <w:lang w:val="en-US"/>
        </w:rPr>
        <w:t>, df = 5</w:t>
      </w:r>
      <w:r w:rsidR="00480F57" w:rsidRPr="009627FD">
        <w:rPr>
          <w:lang w:val="en-US"/>
        </w:rPr>
        <w:t>9</w:t>
      </w:r>
      <w:r w:rsidR="0026670A" w:rsidRPr="009627FD">
        <w:rPr>
          <w:lang w:val="en-US"/>
        </w:rPr>
        <w:t xml:space="preserve">, </w:t>
      </w:r>
      <w:r w:rsidR="0026670A" w:rsidRPr="009627FD">
        <w:rPr>
          <w:i/>
          <w:lang w:val="en-US"/>
        </w:rPr>
        <w:t xml:space="preserve">p = </w:t>
      </w:r>
      <w:r w:rsidR="00C53330" w:rsidRPr="009627FD">
        <w:rPr>
          <w:i/>
          <w:lang w:val="en-US"/>
        </w:rPr>
        <w:t>.</w:t>
      </w:r>
      <w:r w:rsidR="006F2A65" w:rsidRPr="009627FD">
        <w:rPr>
          <w:lang w:val="en-US"/>
        </w:rPr>
        <w:t>409</w:t>
      </w:r>
      <w:r w:rsidR="0026670A" w:rsidRPr="009627FD">
        <w:rPr>
          <w:lang w:val="en-US"/>
        </w:rPr>
        <w:t>, CFI</w:t>
      </w:r>
      <w:r w:rsidR="00C53330" w:rsidRPr="009627FD">
        <w:rPr>
          <w:lang w:val="en-US"/>
        </w:rPr>
        <w:t xml:space="preserve"> </w:t>
      </w:r>
      <w:r w:rsidR="0026670A" w:rsidRPr="009627FD">
        <w:rPr>
          <w:lang w:val="en-US"/>
        </w:rPr>
        <w:t>=</w:t>
      </w:r>
      <w:r w:rsidR="00C53330" w:rsidRPr="009627FD">
        <w:rPr>
          <w:lang w:val="en-US"/>
        </w:rPr>
        <w:t xml:space="preserve"> </w:t>
      </w:r>
      <w:r w:rsidR="0026670A" w:rsidRPr="009627FD">
        <w:rPr>
          <w:lang w:val="en-US"/>
        </w:rPr>
        <w:t>.99</w:t>
      </w:r>
      <w:r w:rsidR="006F2A65" w:rsidRPr="009627FD">
        <w:rPr>
          <w:lang w:val="en-US"/>
        </w:rPr>
        <w:t>9</w:t>
      </w:r>
      <w:r w:rsidR="0026670A" w:rsidRPr="009627FD">
        <w:rPr>
          <w:lang w:val="en-US"/>
        </w:rPr>
        <w:t>, RMSEA</w:t>
      </w:r>
      <w:r w:rsidR="00C53330" w:rsidRPr="009627FD">
        <w:rPr>
          <w:lang w:val="en-US"/>
        </w:rPr>
        <w:t xml:space="preserve"> </w:t>
      </w:r>
      <w:r w:rsidR="0026670A" w:rsidRPr="009627FD">
        <w:rPr>
          <w:lang w:val="en-US"/>
        </w:rPr>
        <w:t>=</w:t>
      </w:r>
      <w:r w:rsidR="00C53330" w:rsidRPr="009627FD">
        <w:rPr>
          <w:lang w:val="en-US"/>
        </w:rPr>
        <w:t xml:space="preserve"> </w:t>
      </w:r>
      <w:r w:rsidR="0026670A" w:rsidRPr="009627FD">
        <w:rPr>
          <w:lang w:val="en-US"/>
        </w:rPr>
        <w:t>.01</w:t>
      </w:r>
      <w:r w:rsidR="006F2A65" w:rsidRPr="009627FD">
        <w:rPr>
          <w:lang w:val="en-US"/>
        </w:rPr>
        <w:t>1</w:t>
      </w:r>
      <w:r w:rsidR="0026670A" w:rsidRPr="009627FD">
        <w:rPr>
          <w:lang w:val="en-US"/>
        </w:rPr>
        <w:t xml:space="preserve"> </w:t>
      </w:r>
      <w:r w:rsidR="0026670A" w:rsidRPr="009627FD">
        <w:rPr>
          <w:bCs/>
          <w:lang w:val="en-US"/>
        </w:rPr>
        <w:t>90%CI</w:t>
      </w:r>
      <w:r w:rsidR="0026670A" w:rsidRPr="009627FD">
        <w:rPr>
          <w:lang w:val="en-US"/>
        </w:rPr>
        <w:t>[.000–.0</w:t>
      </w:r>
      <w:r w:rsidR="006F2A65" w:rsidRPr="009627FD">
        <w:rPr>
          <w:lang w:val="en-US"/>
        </w:rPr>
        <w:t>42</w:t>
      </w:r>
      <w:r w:rsidR="0026670A" w:rsidRPr="009627FD">
        <w:rPr>
          <w:lang w:val="en-US"/>
        </w:rPr>
        <w:t>]). This</w:t>
      </w:r>
      <w:r w:rsidRPr="009627FD">
        <w:rPr>
          <w:lang w:val="en-US"/>
        </w:rPr>
        <w:t xml:space="preserve"> did not lead to a significant reduction in model fit (ΔCFI=.00</w:t>
      </w:r>
      <w:r w:rsidR="00976E64" w:rsidRPr="009627FD">
        <w:rPr>
          <w:lang w:val="en-US"/>
        </w:rPr>
        <w:t>1</w:t>
      </w:r>
      <w:r w:rsidRPr="009627FD">
        <w:rPr>
          <w:lang w:val="en-US"/>
        </w:rPr>
        <w:t>, ΔRMSEA=.0</w:t>
      </w:r>
      <w:r w:rsidR="00976E64" w:rsidRPr="009627FD">
        <w:rPr>
          <w:lang w:val="en-US"/>
        </w:rPr>
        <w:t>11</w:t>
      </w:r>
      <w:r w:rsidRPr="009627FD">
        <w:rPr>
          <w:lang w:val="en-US"/>
        </w:rPr>
        <w:t xml:space="preserve">), suggesting that the </w:t>
      </w:r>
      <w:r w:rsidR="0026670A" w:rsidRPr="009627FD">
        <w:rPr>
          <w:lang w:val="en-US"/>
        </w:rPr>
        <w:t>C-19ASS</w:t>
      </w:r>
      <w:r w:rsidRPr="009627FD">
        <w:rPr>
          <w:lang w:val="en-US"/>
        </w:rPr>
        <w:t xml:space="preserve"> assesses similar underlying factors across males and females. Finally, all the item intercepts were constrained across groups to test for scalar invariance</w:t>
      </w:r>
      <w:r w:rsidR="0026670A" w:rsidRPr="009627FD">
        <w:rPr>
          <w:lang w:val="en-US"/>
        </w:rPr>
        <w:t xml:space="preserve"> (χ</w:t>
      </w:r>
      <w:r w:rsidR="0026670A" w:rsidRPr="009627FD">
        <w:rPr>
          <w:vertAlign w:val="superscript"/>
          <w:lang w:val="en-US"/>
        </w:rPr>
        <w:t>2</w:t>
      </w:r>
      <w:r w:rsidR="0026670A" w:rsidRPr="009627FD">
        <w:rPr>
          <w:lang w:val="en-US"/>
        </w:rPr>
        <w:t xml:space="preserve">= </w:t>
      </w:r>
      <w:r w:rsidR="00976E64" w:rsidRPr="009627FD">
        <w:rPr>
          <w:lang w:val="en-US"/>
        </w:rPr>
        <w:t>63.798</w:t>
      </w:r>
      <w:r w:rsidR="0026670A" w:rsidRPr="009627FD">
        <w:rPr>
          <w:lang w:val="en-US"/>
        </w:rPr>
        <w:t xml:space="preserve">, df = </w:t>
      </w:r>
      <w:r w:rsidR="00976E64" w:rsidRPr="009627FD">
        <w:rPr>
          <w:lang w:val="en-US"/>
        </w:rPr>
        <w:t>66</w:t>
      </w:r>
      <w:r w:rsidR="0026670A" w:rsidRPr="009627FD">
        <w:rPr>
          <w:lang w:val="en-US"/>
        </w:rPr>
        <w:t xml:space="preserve">, </w:t>
      </w:r>
      <w:r w:rsidR="0026670A" w:rsidRPr="009627FD">
        <w:rPr>
          <w:i/>
          <w:lang w:val="en-US"/>
        </w:rPr>
        <w:t xml:space="preserve">p = </w:t>
      </w:r>
      <w:r w:rsidR="00976E64" w:rsidRPr="009627FD">
        <w:rPr>
          <w:lang w:val="en-US"/>
        </w:rPr>
        <w:t>.554</w:t>
      </w:r>
      <w:r w:rsidR="0026670A" w:rsidRPr="009627FD">
        <w:rPr>
          <w:lang w:val="en-US"/>
        </w:rPr>
        <w:t>, CFI</w:t>
      </w:r>
      <w:r w:rsidR="00976E64" w:rsidRPr="009627FD">
        <w:rPr>
          <w:lang w:val="en-US"/>
        </w:rPr>
        <w:t xml:space="preserve"> </w:t>
      </w:r>
      <w:r w:rsidR="0026670A" w:rsidRPr="009627FD">
        <w:rPr>
          <w:lang w:val="en-US"/>
        </w:rPr>
        <w:t>=</w:t>
      </w:r>
      <w:r w:rsidR="00976E64" w:rsidRPr="009627FD">
        <w:rPr>
          <w:lang w:val="en-US"/>
        </w:rPr>
        <w:t xml:space="preserve"> 1</w:t>
      </w:r>
      <w:r w:rsidR="0026670A" w:rsidRPr="009627FD">
        <w:rPr>
          <w:lang w:val="en-US"/>
        </w:rPr>
        <w:t>.</w:t>
      </w:r>
      <w:r w:rsidR="00976E64" w:rsidRPr="009627FD">
        <w:rPr>
          <w:lang w:val="en-US"/>
        </w:rPr>
        <w:t>000</w:t>
      </w:r>
      <w:r w:rsidR="0026670A" w:rsidRPr="009627FD">
        <w:rPr>
          <w:lang w:val="en-US"/>
        </w:rPr>
        <w:t>, RMSEA=.0</w:t>
      </w:r>
      <w:r w:rsidR="00976E64" w:rsidRPr="009627FD">
        <w:rPr>
          <w:lang w:val="en-US"/>
        </w:rPr>
        <w:t>00</w:t>
      </w:r>
      <w:r w:rsidR="0026670A" w:rsidRPr="009627FD">
        <w:rPr>
          <w:lang w:val="en-US"/>
        </w:rPr>
        <w:t xml:space="preserve"> </w:t>
      </w:r>
      <w:r w:rsidR="0026670A" w:rsidRPr="009627FD">
        <w:rPr>
          <w:bCs/>
          <w:lang w:val="en-US"/>
        </w:rPr>
        <w:t>90%CI</w:t>
      </w:r>
      <w:r w:rsidR="0026670A" w:rsidRPr="009627FD">
        <w:rPr>
          <w:lang w:val="en-US"/>
        </w:rPr>
        <w:t>[.000–.0</w:t>
      </w:r>
      <w:r w:rsidR="00976E64" w:rsidRPr="009627FD">
        <w:rPr>
          <w:lang w:val="en-US"/>
        </w:rPr>
        <w:t>36</w:t>
      </w:r>
      <w:r w:rsidR="0026670A" w:rsidRPr="009627FD">
        <w:rPr>
          <w:lang w:val="en-US"/>
        </w:rPr>
        <w:t>])</w:t>
      </w:r>
      <w:r w:rsidRPr="009627FD">
        <w:rPr>
          <w:lang w:val="en-US"/>
        </w:rPr>
        <w:t>. Results demonstrated that total scalar invariance across gender groups was confirmed (ΔCFI=.001, ΔRMSEA=.0</w:t>
      </w:r>
      <w:r w:rsidR="00976E64" w:rsidRPr="009627FD">
        <w:rPr>
          <w:lang w:val="en-US"/>
        </w:rPr>
        <w:t>11</w:t>
      </w:r>
      <w:r w:rsidRPr="009627FD">
        <w:rPr>
          <w:lang w:val="en-US"/>
        </w:rPr>
        <w:t xml:space="preserve">). </w:t>
      </w:r>
    </w:p>
    <w:p w14:paraId="133429F0" w14:textId="10EC21EF" w:rsidR="00E26827" w:rsidRPr="009627FD" w:rsidRDefault="005820AC" w:rsidP="005820AC">
      <w:pPr>
        <w:spacing w:line="360" w:lineRule="auto"/>
        <w:contextualSpacing/>
        <w:jc w:val="both"/>
        <w:rPr>
          <w:bCs/>
          <w:lang w:val="en-US"/>
        </w:rPr>
      </w:pPr>
      <w:r w:rsidRPr="009627FD">
        <w:rPr>
          <w:b/>
          <w:bCs/>
          <w:lang w:val="en-US"/>
        </w:rPr>
        <w:t>5</w:t>
      </w:r>
      <w:r w:rsidR="00E26827" w:rsidRPr="009627FD">
        <w:rPr>
          <w:b/>
          <w:bCs/>
          <w:lang w:val="en-US"/>
        </w:rPr>
        <w:t>.3. Concurrent validity, and incremental validity of the Italian version of the C-19ASS</w:t>
      </w:r>
    </w:p>
    <w:p w14:paraId="3758262E" w14:textId="2C0EAA18" w:rsidR="00FF6D62" w:rsidRPr="009627FD" w:rsidRDefault="00C87FAC" w:rsidP="00EF2474">
      <w:pPr>
        <w:spacing w:line="360" w:lineRule="auto"/>
        <w:ind w:firstLine="708"/>
        <w:contextualSpacing/>
        <w:jc w:val="both"/>
        <w:rPr>
          <w:bCs/>
          <w:lang w:val="en-US"/>
        </w:rPr>
      </w:pPr>
      <w:r w:rsidRPr="009627FD">
        <w:rPr>
          <w:lang w:val="en-US"/>
        </w:rPr>
        <w:t>Table 3 presents m</w:t>
      </w:r>
      <w:r w:rsidR="00874036" w:rsidRPr="009627FD">
        <w:rPr>
          <w:lang w:val="en-US"/>
        </w:rPr>
        <w:t>eans, standard deviations, ranges</w:t>
      </w:r>
      <w:r w:rsidR="00D11D71" w:rsidRPr="009627FD">
        <w:rPr>
          <w:lang w:val="en-US"/>
        </w:rPr>
        <w:t>, skewness and kurtosis,</w:t>
      </w:r>
      <w:r w:rsidR="00874036" w:rsidRPr="009627FD">
        <w:rPr>
          <w:lang w:val="en-US"/>
        </w:rPr>
        <w:t xml:space="preserve"> </w:t>
      </w:r>
      <w:r w:rsidR="006E3470" w:rsidRPr="009627FD">
        <w:rPr>
          <w:bCs/>
          <w:lang w:val="en-US"/>
        </w:rPr>
        <w:t>suggesting that the variables of interest were overall normally distributed.</w:t>
      </w:r>
      <w:r w:rsidR="006E3470" w:rsidRPr="009627FD">
        <w:rPr>
          <w:lang w:val="en-US"/>
        </w:rPr>
        <w:t xml:space="preserve"> </w:t>
      </w:r>
    </w:p>
    <w:p w14:paraId="5DB1BEDE" w14:textId="2771C170" w:rsidR="00C26DB1" w:rsidRPr="009627FD" w:rsidRDefault="00097029" w:rsidP="00EF2474">
      <w:pPr>
        <w:spacing w:line="360" w:lineRule="auto"/>
        <w:ind w:firstLine="708"/>
        <w:contextualSpacing/>
        <w:jc w:val="both"/>
        <w:rPr>
          <w:lang w:val="en-US"/>
        </w:rPr>
      </w:pPr>
      <w:r w:rsidRPr="009627FD">
        <w:rPr>
          <w:lang w:val="en-US"/>
        </w:rPr>
        <w:t>C</w:t>
      </w:r>
      <w:r w:rsidR="007F2951" w:rsidRPr="009627FD">
        <w:rPr>
          <w:lang w:val="en-US"/>
        </w:rPr>
        <w:t xml:space="preserve">oncurrent validity </w:t>
      </w:r>
      <w:r w:rsidRPr="009627FD">
        <w:rPr>
          <w:lang w:val="en-US"/>
        </w:rPr>
        <w:t>was evaluated by examining the correlation between</w:t>
      </w:r>
      <w:r w:rsidR="000C0E1E" w:rsidRPr="009627FD">
        <w:rPr>
          <w:lang w:val="en-US"/>
        </w:rPr>
        <w:t xml:space="preserve"> </w:t>
      </w:r>
      <w:r w:rsidR="007F2951" w:rsidRPr="009627FD">
        <w:rPr>
          <w:lang w:val="en-US"/>
        </w:rPr>
        <w:t>C</w:t>
      </w:r>
      <w:r w:rsidR="000C0E1E" w:rsidRPr="009627FD">
        <w:rPr>
          <w:lang w:val="en-US"/>
        </w:rPr>
        <w:t>-19</w:t>
      </w:r>
      <w:r w:rsidR="007F2951" w:rsidRPr="009627FD">
        <w:rPr>
          <w:lang w:val="en-US"/>
        </w:rPr>
        <w:t>ASS</w:t>
      </w:r>
      <w:r w:rsidRPr="009627FD">
        <w:rPr>
          <w:lang w:val="en-US"/>
        </w:rPr>
        <w:t>, CAS and FCV-19S.</w:t>
      </w:r>
      <w:r w:rsidR="00874036" w:rsidRPr="009627FD">
        <w:rPr>
          <w:lang w:val="en-US"/>
        </w:rPr>
        <w:t xml:space="preserve"> </w:t>
      </w:r>
      <w:r w:rsidR="008038E0" w:rsidRPr="009627FD">
        <w:rPr>
          <w:lang w:val="en-US"/>
        </w:rPr>
        <w:t>C</w:t>
      </w:r>
      <w:r w:rsidR="004D3533" w:rsidRPr="009627FD">
        <w:rPr>
          <w:lang w:val="en-US"/>
        </w:rPr>
        <w:t>orrelation analyses showed that</w:t>
      </w:r>
      <w:r w:rsidR="003A7DC4" w:rsidRPr="009627FD">
        <w:rPr>
          <w:lang w:val="en-US"/>
        </w:rPr>
        <w:t xml:space="preserve"> </w:t>
      </w:r>
      <w:r w:rsidR="00C26DB1" w:rsidRPr="009627FD">
        <w:rPr>
          <w:lang w:val="en-US"/>
        </w:rPr>
        <w:t>both the C</w:t>
      </w:r>
      <w:r w:rsidR="000C0E1E" w:rsidRPr="009627FD">
        <w:rPr>
          <w:lang w:val="en-US"/>
        </w:rPr>
        <w:t>-19</w:t>
      </w:r>
      <w:r w:rsidR="00C26DB1" w:rsidRPr="009627FD">
        <w:rPr>
          <w:lang w:val="en-US"/>
        </w:rPr>
        <w:t>ASS-Perseveration and the C</w:t>
      </w:r>
      <w:r w:rsidR="000C0E1E" w:rsidRPr="009627FD">
        <w:rPr>
          <w:lang w:val="en-US"/>
        </w:rPr>
        <w:t>-19</w:t>
      </w:r>
      <w:r w:rsidR="00C26DB1" w:rsidRPr="009627FD">
        <w:rPr>
          <w:lang w:val="en-US"/>
        </w:rPr>
        <w:t xml:space="preserve">ASS-Avoidance were positively correlated with the </w:t>
      </w:r>
      <w:r w:rsidR="009F7985" w:rsidRPr="009627FD">
        <w:rPr>
          <w:lang w:val="en-US"/>
        </w:rPr>
        <w:t xml:space="preserve">CAS </w:t>
      </w:r>
      <w:r w:rsidR="009D02BE" w:rsidRPr="009627FD">
        <w:rPr>
          <w:lang w:val="en-US"/>
        </w:rPr>
        <w:t>(C-19ASS-Perseveration r = .602 , p</w:t>
      </w:r>
      <w:r w:rsidR="007002E1" w:rsidRPr="009627FD">
        <w:rPr>
          <w:lang w:val="en-US"/>
        </w:rPr>
        <w:t>&lt;.001</w:t>
      </w:r>
      <w:r w:rsidR="009D02BE" w:rsidRPr="009627FD">
        <w:rPr>
          <w:lang w:val="en-US"/>
        </w:rPr>
        <w:t>; C-19ASS-Avoidance r = .458 , p</w:t>
      </w:r>
      <w:r w:rsidR="007002E1" w:rsidRPr="009627FD">
        <w:rPr>
          <w:lang w:val="en-US"/>
        </w:rPr>
        <w:t>&lt;.001</w:t>
      </w:r>
      <w:r w:rsidR="009D02BE" w:rsidRPr="009627FD">
        <w:rPr>
          <w:lang w:val="en-US"/>
        </w:rPr>
        <w:t xml:space="preserve">) </w:t>
      </w:r>
      <w:r w:rsidR="009F7985" w:rsidRPr="009627FD">
        <w:rPr>
          <w:lang w:val="en-US"/>
        </w:rPr>
        <w:t xml:space="preserve">and </w:t>
      </w:r>
      <w:r w:rsidR="00F73CBE" w:rsidRPr="009627FD">
        <w:rPr>
          <w:lang w:val="en-US"/>
        </w:rPr>
        <w:t>FCV-19S</w:t>
      </w:r>
      <w:r w:rsidR="009D02BE" w:rsidRPr="009627FD">
        <w:rPr>
          <w:lang w:val="en-US"/>
        </w:rPr>
        <w:t xml:space="preserve"> (C-19ASS-Perseveration r = .611, </w:t>
      </w:r>
      <w:r w:rsidR="007002E1" w:rsidRPr="009627FD">
        <w:rPr>
          <w:lang w:val="en-US"/>
        </w:rPr>
        <w:t>p&lt;.001</w:t>
      </w:r>
      <w:r w:rsidR="009D02BE" w:rsidRPr="009627FD">
        <w:rPr>
          <w:lang w:val="en-US"/>
        </w:rPr>
        <w:t xml:space="preserve">; C-19ASS-Avoidance r = .503 , </w:t>
      </w:r>
      <w:r w:rsidR="007002E1" w:rsidRPr="009627FD">
        <w:rPr>
          <w:lang w:val="en-US"/>
        </w:rPr>
        <w:t>p&lt;.001</w:t>
      </w:r>
      <w:r w:rsidR="009D02BE" w:rsidRPr="009627FD">
        <w:rPr>
          <w:lang w:val="en-US"/>
        </w:rPr>
        <w:t>)</w:t>
      </w:r>
      <w:r w:rsidR="006E3470" w:rsidRPr="009627FD">
        <w:rPr>
          <w:lang w:val="en-US"/>
        </w:rPr>
        <w:t xml:space="preserve"> (Table 3)</w:t>
      </w:r>
      <w:r w:rsidR="00C26DB1" w:rsidRPr="009627FD">
        <w:rPr>
          <w:lang w:val="en-US"/>
        </w:rPr>
        <w:t>.</w:t>
      </w:r>
    </w:p>
    <w:p w14:paraId="20EA23A9" w14:textId="462B1ABA" w:rsidR="002875A2" w:rsidRPr="009627FD" w:rsidRDefault="002875A2" w:rsidP="00EF2474">
      <w:pPr>
        <w:spacing w:line="360" w:lineRule="auto"/>
        <w:ind w:firstLine="708"/>
        <w:contextualSpacing/>
        <w:jc w:val="both"/>
        <w:rPr>
          <w:lang w:val="en-US"/>
        </w:rPr>
      </w:pPr>
      <w:r w:rsidRPr="009627FD">
        <w:rPr>
          <w:lang w:val="en-US"/>
        </w:rPr>
        <w:t>The data also showed that the CAS was negatively correlated with BFI-10-Agreeableness</w:t>
      </w:r>
      <w:r w:rsidR="00410805" w:rsidRPr="009627FD">
        <w:rPr>
          <w:lang w:val="en-US"/>
        </w:rPr>
        <w:t xml:space="preserve"> (r = -.104, p</w:t>
      </w:r>
      <w:r w:rsidR="00017521" w:rsidRPr="009627FD">
        <w:rPr>
          <w:lang w:val="en-US"/>
        </w:rPr>
        <w:t xml:space="preserve"> </w:t>
      </w:r>
      <w:r w:rsidR="00410805" w:rsidRPr="009627FD">
        <w:rPr>
          <w:lang w:val="en-US"/>
        </w:rPr>
        <w:t>=</w:t>
      </w:r>
      <w:r w:rsidR="00017521" w:rsidRPr="009627FD">
        <w:rPr>
          <w:lang w:val="en-US"/>
        </w:rPr>
        <w:t xml:space="preserve"> .022</w:t>
      </w:r>
      <w:r w:rsidR="00410805" w:rsidRPr="009627FD">
        <w:rPr>
          <w:lang w:val="en-US"/>
        </w:rPr>
        <w:t>)</w:t>
      </w:r>
      <w:r w:rsidRPr="009627FD">
        <w:rPr>
          <w:lang w:val="en-US"/>
        </w:rPr>
        <w:t>, BFI-10</w:t>
      </w:r>
      <w:r w:rsidR="00283326" w:rsidRPr="009627FD">
        <w:rPr>
          <w:lang w:val="en-US"/>
        </w:rPr>
        <w:t>-</w:t>
      </w:r>
      <w:r w:rsidRPr="009627FD">
        <w:rPr>
          <w:lang w:val="en-US"/>
        </w:rPr>
        <w:t>Conscientiousness</w:t>
      </w:r>
      <w:r w:rsidR="00410805" w:rsidRPr="009627FD">
        <w:rPr>
          <w:lang w:val="en-US"/>
        </w:rPr>
        <w:t xml:space="preserve"> (r = -.139</w:t>
      </w:r>
      <w:r w:rsidRPr="009627FD">
        <w:rPr>
          <w:lang w:val="en-US"/>
        </w:rPr>
        <w:t>,</w:t>
      </w:r>
      <w:r w:rsidR="00410805" w:rsidRPr="009627FD">
        <w:rPr>
          <w:lang w:val="en-US"/>
        </w:rPr>
        <w:t xml:space="preserve"> p =</w:t>
      </w:r>
      <w:r w:rsidR="00017521" w:rsidRPr="009627FD">
        <w:rPr>
          <w:lang w:val="en-US"/>
        </w:rPr>
        <w:t xml:space="preserve"> .002</w:t>
      </w:r>
      <w:r w:rsidR="00410805" w:rsidRPr="009627FD">
        <w:rPr>
          <w:lang w:val="en-US"/>
        </w:rPr>
        <w:t>)</w:t>
      </w:r>
      <w:r w:rsidRPr="009627FD">
        <w:rPr>
          <w:lang w:val="en-US"/>
        </w:rPr>
        <w:t xml:space="preserve"> BFI-10</w:t>
      </w:r>
      <w:r w:rsidR="00283326" w:rsidRPr="009627FD">
        <w:rPr>
          <w:lang w:val="en-US"/>
        </w:rPr>
        <w:t>-</w:t>
      </w:r>
      <w:r w:rsidRPr="009627FD">
        <w:rPr>
          <w:lang w:val="en-US"/>
        </w:rPr>
        <w:t>Emotional stability</w:t>
      </w:r>
      <w:r w:rsidR="00410805" w:rsidRPr="009627FD">
        <w:rPr>
          <w:lang w:val="en-US"/>
        </w:rPr>
        <w:t xml:space="preserve"> (r = -.419,p</w:t>
      </w:r>
      <w:r w:rsidR="00017521" w:rsidRPr="009627FD">
        <w:rPr>
          <w:lang w:val="en-US"/>
        </w:rPr>
        <w:t>&lt;.001</w:t>
      </w:r>
      <w:r w:rsidR="00410805" w:rsidRPr="009627FD">
        <w:rPr>
          <w:lang w:val="en-US"/>
        </w:rPr>
        <w:t>)</w:t>
      </w:r>
      <w:r w:rsidRPr="009627FD">
        <w:rPr>
          <w:lang w:val="en-US"/>
        </w:rPr>
        <w:t>, and positively correlated with FCV-19S</w:t>
      </w:r>
      <w:r w:rsidR="00410805" w:rsidRPr="009627FD">
        <w:rPr>
          <w:lang w:val="en-US"/>
        </w:rPr>
        <w:t xml:space="preserve"> (r =.685, p</w:t>
      </w:r>
      <w:r w:rsidR="00017521" w:rsidRPr="009627FD">
        <w:rPr>
          <w:lang w:val="en-US"/>
        </w:rPr>
        <w:t>&lt;.001</w:t>
      </w:r>
      <w:r w:rsidR="00410805" w:rsidRPr="009627FD">
        <w:rPr>
          <w:lang w:val="en-US"/>
        </w:rPr>
        <w:t>)</w:t>
      </w:r>
      <w:r w:rsidRPr="009627FD">
        <w:rPr>
          <w:lang w:val="en-US"/>
        </w:rPr>
        <w:t xml:space="preserve"> (</w:t>
      </w:r>
      <w:r w:rsidR="00A120CB" w:rsidRPr="009627FD">
        <w:rPr>
          <w:lang w:val="en-US"/>
        </w:rPr>
        <w:t xml:space="preserve">Table </w:t>
      </w:r>
      <w:r w:rsidRPr="009627FD">
        <w:rPr>
          <w:lang w:val="en-US"/>
        </w:rPr>
        <w:t xml:space="preserve">3). </w:t>
      </w:r>
      <w:r w:rsidR="00C05724" w:rsidRPr="009627FD">
        <w:rPr>
          <w:lang w:val="en-US"/>
        </w:rPr>
        <w:t>B</w:t>
      </w:r>
      <w:r w:rsidRPr="009627FD">
        <w:rPr>
          <w:lang w:val="en-US"/>
        </w:rPr>
        <w:t xml:space="preserve">oth the C-19ASS-Perseveration </w:t>
      </w:r>
      <w:r w:rsidR="00410805" w:rsidRPr="009627FD">
        <w:rPr>
          <w:lang w:val="en-US"/>
        </w:rPr>
        <w:t>(r = .313, p</w:t>
      </w:r>
      <w:r w:rsidR="00017521" w:rsidRPr="009627FD">
        <w:rPr>
          <w:lang w:val="en-US"/>
        </w:rPr>
        <w:t>&lt;.001)</w:t>
      </w:r>
      <w:r w:rsidR="00410805" w:rsidRPr="009627FD">
        <w:rPr>
          <w:lang w:val="en-US"/>
        </w:rPr>
        <w:t xml:space="preserve"> </w:t>
      </w:r>
      <w:r w:rsidRPr="009627FD">
        <w:rPr>
          <w:lang w:val="en-US"/>
        </w:rPr>
        <w:t xml:space="preserve">and the C-19ASS-Avoidance </w:t>
      </w:r>
      <w:r w:rsidR="00410805" w:rsidRPr="009627FD">
        <w:rPr>
          <w:lang w:val="en-US"/>
        </w:rPr>
        <w:t xml:space="preserve">(r = .215, </w:t>
      </w:r>
      <w:r w:rsidR="00017521" w:rsidRPr="009627FD">
        <w:rPr>
          <w:lang w:val="en-US"/>
        </w:rPr>
        <w:t>p&lt;.001</w:t>
      </w:r>
      <w:r w:rsidR="00410805" w:rsidRPr="009627FD">
        <w:rPr>
          <w:lang w:val="en-US"/>
        </w:rPr>
        <w:t xml:space="preserve">) </w:t>
      </w:r>
      <w:r w:rsidRPr="009627FD">
        <w:rPr>
          <w:lang w:val="en-US"/>
        </w:rPr>
        <w:t xml:space="preserve">were </w:t>
      </w:r>
      <w:r w:rsidR="00C05724" w:rsidRPr="009627FD">
        <w:rPr>
          <w:lang w:val="en-US"/>
        </w:rPr>
        <w:t xml:space="preserve">also </w:t>
      </w:r>
      <w:r w:rsidRPr="009627FD">
        <w:rPr>
          <w:lang w:val="en-US"/>
        </w:rPr>
        <w:t xml:space="preserve">positively correlated with </w:t>
      </w:r>
      <w:r w:rsidR="00B328C1" w:rsidRPr="009627FD">
        <w:rPr>
          <w:lang w:val="en-US"/>
        </w:rPr>
        <w:t xml:space="preserve">the </w:t>
      </w:r>
      <w:r w:rsidRPr="009627FD">
        <w:rPr>
          <w:lang w:val="en-US"/>
        </w:rPr>
        <w:t xml:space="preserve">WSAS. </w:t>
      </w:r>
      <w:r w:rsidR="00C05724" w:rsidRPr="009627FD">
        <w:rPr>
          <w:lang w:val="en-US"/>
        </w:rPr>
        <w:t>Moreover, t</w:t>
      </w:r>
      <w:r w:rsidRPr="009627FD">
        <w:rPr>
          <w:lang w:val="en-US"/>
        </w:rPr>
        <w:t>he WSAS was found to be negatively correlated with all dimension</w:t>
      </w:r>
      <w:r w:rsidR="00B328C1" w:rsidRPr="009627FD">
        <w:rPr>
          <w:lang w:val="en-US"/>
        </w:rPr>
        <w:t>s</w:t>
      </w:r>
      <w:r w:rsidRPr="009627FD">
        <w:rPr>
          <w:lang w:val="en-US"/>
        </w:rPr>
        <w:t xml:space="preserve"> of </w:t>
      </w:r>
      <w:r w:rsidR="00B328C1" w:rsidRPr="009627FD">
        <w:rPr>
          <w:lang w:val="en-US"/>
        </w:rPr>
        <w:t xml:space="preserve">the </w:t>
      </w:r>
      <w:r w:rsidRPr="009627FD">
        <w:rPr>
          <w:lang w:val="en-US"/>
        </w:rPr>
        <w:t>BFI-10</w:t>
      </w:r>
      <w:r w:rsidR="00341123" w:rsidRPr="009627FD">
        <w:rPr>
          <w:lang w:val="en-US"/>
        </w:rPr>
        <w:t xml:space="preserve"> (r value range: -.419 to -.186, p&lt;.005)</w:t>
      </w:r>
      <w:r w:rsidR="00B328C1" w:rsidRPr="009627FD">
        <w:rPr>
          <w:lang w:val="en-US"/>
        </w:rPr>
        <w:t>,</w:t>
      </w:r>
      <w:r w:rsidRPr="009627FD">
        <w:rPr>
          <w:lang w:val="en-US"/>
        </w:rPr>
        <w:t xml:space="preserve"> </w:t>
      </w:r>
      <w:r w:rsidR="00B328C1" w:rsidRPr="009627FD">
        <w:rPr>
          <w:lang w:val="en-US"/>
        </w:rPr>
        <w:t>with the exception of</w:t>
      </w:r>
      <w:r w:rsidRPr="009627FD">
        <w:rPr>
          <w:lang w:val="en-US"/>
        </w:rPr>
        <w:t xml:space="preserve"> BFI-10-Openness</w:t>
      </w:r>
      <w:r w:rsidR="00341123" w:rsidRPr="009627FD">
        <w:rPr>
          <w:lang w:val="en-US"/>
        </w:rPr>
        <w:t xml:space="preserve"> (r = .045, p =</w:t>
      </w:r>
      <w:r w:rsidR="005A7828" w:rsidRPr="009627FD">
        <w:rPr>
          <w:lang w:val="en-US"/>
        </w:rPr>
        <w:t>.499</w:t>
      </w:r>
      <w:r w:rsidR="00341123" w:rsidRPr="009627FD">
        <w:rPr>
          <w:lang w:val="en-US"/>
        </w:rPr>
        <w:t>)</w:t>
      </w:r>
      <w:r w:rsidRPr="009627FD">
        <w:rPr>
          <w:lang w:val="en-US"/>
        </w:rPr>
        <w:t xml:space="preserve">, and positively correlated with FCV-19S </w:t>
      </w:r>
      <w:r w:rsidR="00341123" w:rsidRPr="009627FD">
        <w:rPr>
          <w:lang w:val="en-US"/>
        </w:rPr>
        <w:t>(r =.367, p</w:t>
      </w:r>
      <w:r w:rsidR="005A7828" w:rsidRPr="009627FD">
        <w:rPr>
          <w:lang w:val="en-US"/>
        </w:rPr>
        <w:t>&lt;.001</w:t>
      </w:r>
      <w:r w:rsidR="00341123" w:rsidRPr="009627FD">
        <w:rPr>
          <w:lang w:val="en-US"/>
        </w:rPr>
        <w:t xml:space="preserve">) </w:t>
      </w:r>
      <w:r w:rsidRPr="009627FD">
        <w:rPr>
          <w:lang w:val="en-US"/>
        </w:rPr>
        <w:t>and CAS</w:t>
      </w:r>
      <w:r w:rsidR="00341123" w:rsidRPr="009627FD">
        <w:rPr>
          <w:lang w:val="en-US"/>
        </w:rPr>
        <w:t xml:space="preserve"> (r = .427, p</w:t>
      </w:r>
      <w:r w:rsidR="005A7828" w:rsidRPr="009627FD">
        <w:rPr>
          <w:lang w:val="en-US"/>
        </w:rPr>
        <w:t>&lt;.001</w:t>
      </w:r>
      <w:r w:rsidR="00341123" w:rsidRPr="009627FD">
        <w:rPr>
          <w:lang w:val="en-US"/>
        </w:rPr>
        <w:t>)</w:t>
      </w:r>
      <w:r w:rsidRPr="009627FD">
        <w:rPr>
          <w:lang w:val="en-US"/>
        </w:rPr>
        <w:t xml:space="preserve"> (Table 3).</w:t>
      </w:r>
      <w:r w:rsidR="00466239" w:rsidRPr="009627FD">
        <w:rPr>
          <w:lang w:val="en-US"/>
        </w:rPr>
        <w:t xml:space="preserve"> </w:t>
      </w:r>
    </w:p>
    <w:p w14:paraId="400A7FBE" w14:textId="7AF1885C" w:rsidR="00A40822" w:rsidRPr="009627FD" w:rsidRDefault="00F36393" w:rsidP="00A40822">
      <w:pPr>
        <w:spacing w:line="360" w:lineRule="auto"/>
        <w:ind w:firstLine="708"/>
        <w:contextualSpacing/>
        <w:jc w:val="both"/>
        <w:rPr>
          <w:lang w:val="en-GB"/>
        </w:rPr>
      </w:pPr>
      <w:r w:rsidRPr="009627FD">
        <w:rPr>
          <w:lang w:val="en-GB"/>
        </w:rPr>
        <w:lastRenderedPageBreak/>
        <w:t xml:space="preserve">Tables 4-5 </w:t>
      </w:r>
      <w:r w:rsidR="007D6554" w:rsidRPr="009627FD">
        <w:rPr>
          <w:lang w:val="en-GB"/>
        </w:rPr>
        <w:t xml:space="preserve">reports </w:t>
      </w:r>
      <w:r w:rsidRPr="009627FD">
        <w:rPr>
          <w:lang w:val="en-GB"/>
        </w:rPr>
        <w:t xml:space="preserve">the hierarchical linear regression </w:t>
      </w:r>
      <w:r w:rsidR="00282E1F" w:rsidRPr="009627FD">
        <w:rPr>
          <w:lang w:val="en-GB"/>
        </w:rPr>
        <w:t xml:space="preserve">models </w:t>
      </w:r>
      <w:r w:rsidRPr="009627FD">
        <w:rPr>
          <w:lang w:val="en-GB"/>
        </w:rPr>
        <w:t xml:space="preserve">examining the incremental validity of the Italian version of the C-19ASS. </w:t>
      </w:r>
      <w:r w:rsidR="007D3BF1" w:rsidRPr="009627FD">
        <w:rPr>
          <w:lang w:val="en-GB"/>
        </w:rPr>
        <w:t xml:space="preserve">Before </w:t>
      </w:r>
      <w:r w:rsidR="00C851B1" w:rsidRPr="009627FD">
        <w:rPr>
          <w:lang w:val="en-GB"/>
        </w:rPr>
        <w:t>analysing</w:t>
      </w:r>
      <w:r w:rsidR="007D3BF1" w:rsidRPr="009627FD">
        <w:rPr>
          <w:lang w:val="en-GB"/>
        </w:rPr>
        <w:t xml:space="preserve"> data, assumptions were tested. </w:t>
      </w:r>
      <w:r w:rsidR="00A40822" w:rsidRPr="009627FD">
        <w:rPr>
          <w:lang w:val="en-GB"/>
        </w:rPr>
        <w:t>M</w:t>
      </w:r>
      <w:r w:rsidRPr="009627FD">
        <w:rPr>
          <w:lang w:val="en-GB"/>
        </w:rPr>
        <w:t>ulticollinearity statistics were within acceptable limits for both models (Model 1: Tolerance Index ranged from .47 to 1</w:t>
      </w:r>
      <w:r w:rsidR="00A40822" w:rsidRPr="009627FD">
        <w:rPr>
          <w:lang w:val="en-GB"/>
        </w:rPr>
        <w:t>,</w:t>
      </w:r>
      <w:r w:rsidRPr="009627FD">
        <w:rPr>
          <w:lang w:val="en-GB"/>
        </w:rPr>
        <w:t xml:space="preserve"> Variance Inflation Factor [VIF] ranged from 1 to 2.11</w:t>
      </w:r>
      <w:r w:rsidR="00A40822" w:rsidRPr="009627FD">
        <w:rPr>
          <w:lang w:val="en-GB"/>
        </w:rPr>
        <w:t xml:space="preserve">; </w:t>
      </w:r>
      <w:r w:rsidRPr="009627FD">
        <w:rPr>
          <w:lang w:val="en-GB"/>
        </w:rPr>
        <w:t>Model 2: Tolerance Index ranged from .47 to 1</w:t>
      </w:r>
      <w:r w:rsidR="00A40822" w:rsidRPr="009627FD">
        <w:rPr>
          <w:lang w:val="en-GB"/>
        </w:rPr>
        <w:t>,</w:t>
      </w:r>
      <w:r w:rsidRPr="009627FD">
        <w:rPr>
          <w:lang w:val="en-GB"/>
        </w:rPr>
        <w:t xml:space="preserve"> Variance Inflation Factor [VIF] ranged from 1 to 2.12)  (Barbaranelli &amp; D’Olimpio, 2006; Bowerman &amp; O’Connell, 1990; Field, 2013; </w:t>
      </w:r>
      <w:r w:rsidR="006F73C4" w:rsidRPr="009627FD">
        <w:rPr>
          <w:shd w:val="clear" w:color="auto" w:fill="FFFFFF"/>
          <w:lang w:val="en-GB"/>
        </w:rPr>
        <w:t xml:space="preserve">Hair </w:t>
      </w:r>
      <w:r w:rsidRPr="009627FD">
        <w:rPr>
          <w:shd w:val="clear" w:color="auto" w:fill="FFFFFF"/>
          <w:lang w:val="en-GB"/>
        </w:rPr>
        <w:t>et al., 1998</w:t>
      </w:r>
      <w:r w:rsidRPr="009627FD">
        <w:rPr>
          <w:lang w:val="en-GB"/>
        </w:rPr>
        <w:t xml:space="preserve">). For both models histograms and normality plots suggested that regression-standardized residuals were normally distributed (Barbaranelli &amp; D’Olimpio, 2006; Field, 2013). </w:t>
      </w:r>
      <w:r w:rsidR="00A40822" w:rsidRPr="009627FD">
        <w:rPr>
          <w:lang w:val="en-GB"/>
        </w:rPr>
        <w:t>Furthermore, t</w:t>
      </w:r>
      <w:r w:rsidRPr="009627FD">
        <w:rPr>
          <w:lang w:val="en-GB"/>
        </w:rPr>
        <w:t xml:space="preserve">he Durbin–Watson test </w:t>
      </w:r>
      <w:r w:rsidR="00A40822" w:rsidRPr="009627FD">
        <w:rPr>
          <w:lang w:val="en-GB"/>
        </w:rPr>
        <w:t>(</w:t>
      </w:r>
      <w:r w:rsidRPr="009627FD">
        <w:rPr>
          <w:lang w:val="en-GB"/>
        </w:rPr>
        <w:t>Model 1</w:t>
      </w:r>
      <w:r w:rsidR="00A40822" w:rsidRPr="009627FD">
        <w:rPr>
          <w:lang w:val="en-GB"/>
        </w:rPr>
        <w:t xml:space="preserve">: 2.03; </w:t>
      </w:r>
      <w:r w:rsidRPr="009627FD">
        <w:rPr>
          <w:lang w:val="en-GB"/>
        </w:rPr>
        <w:t>Model 2</w:t>
      </w:r>
      <w:r w:rsidR="00A40822" w:rsidRPr="009627FD">
        <w:rPr>
          <w:lang w:val="en-GB"/>
        </w:rPr>
        <w:t>:  1.97</w:t>
      </w:r>
      <w:r w:rsidRPr="009627FD">
        <w:rPr>
          <w:lang w:val="en-GB"/>
        </w:rPr>
        <w:t xml:space="preserve">), </w:t>
      </w:r>
      <w:r w:rsidR="00A40822" w:rsidRPr="009627FD">
        <w:rPr>
          <w:lang w:val="en-GB"/>
        </w:rPr>
        <w:t xml:space="preserve">showed that there were no significant correlations between standardized residuals and independent variables </w:t>
      </w:r>
      <w:r w:rsidRPr="009627FD">
        <w:rPr>
          <w:lang w:val="en-GB"/>
        </w:rPr>
        <w:t xml:space="preserve">(Barbaranelli &amp; D’Olimpio, 2006; Field, 2013). </w:t>
      </w:r>
    </w:p>
    <w:p w14:paraId="5B5C6ADB" w14:textId="25039B63" w:rsidR="00817C15" w:rsidRPr="009627FD" w:rsidRDefault="00911D5E" w:rsidP="00A6529D">
      <w:pPr>
        <w:spacing w:line="360" w:lineRule="auto"/>
        <w:ind w:firstLine="708"/>
        <w:contextualSpacing/>
        <w:jc w:val="both"/>
        <w:rPr>
          <w:lang w:val="en-US"/>
        </w:rPr>
      </w:pPr>
      <w:r w:rsidRPr="009627FD">
        <w:rPr>
          <w:lang w:val="en-US"/>
        </w:rPr>
        <w:t xml:space="preserve">Table </w:t>
      </w:r>
      <w:r w:rsidR="00D611E4" w:rsidRPr="009627FD">
        <w:rPr>
          <w:lang w:val="en-US"/>
        </w:rPr>
        <w:t>4</w:t>
      </w:r>
      <w:r w:rsidRPr="009627FD">
        <w:rPr>
          <w:lang w:val="en-US"/>
        </w:rPr>
        <w:t xml:space="preserve"> shows the hierarchical linear regression</w:t>
      </w:r>
      <w:r w:rsidR="0034193A" w:rsidRPr="009627FD">
        <w:rPr>
          <w:lang w:val="en-US"/>
        </w:rPr>
        <w:t xml:space="preserve"> examining the</w:t>
      </w:r>
      <w:r w:rsidR="00670C1B" w:rsidRPr="009627FD">
        <w:rPr>
          <w:lang w:val="en-US"/>
        </w:rPr>
        <w:t xml:space="preserve"> </w:t>
      </w:r>
      <w:r w:rsidR="0034193A" w:rsidRPr="009627FD">
        <w:rPr>
          <w:lang w:val="en-US"/>
        </w:rPr>
        <w:t xml:space="preserve">incremental validity of the </w:t>
      </w:r>
      <w:r w:rsidR="00DE0D8E" w:rsidRPr="009627FD">
        <w:rPr>
          <w:lang w:val="en-US"/>
        </w:rPr>
        <w:t xml:space="preserve">Italian version of the </w:t>
      </w:r>
      <w:r w:rsidR="0034193A" w:rsidRPr="009627FD">
        <w:rPr>
          <w:lang w:val="en-US"/>
        </w:rPr>
        <w:t>C-</w:t>
      </w:r>
      <w:r w:rsidR="00DE0D8E" w:rsidRPr="009627FD">
        <w:rPr>
          <w:lang w:val="en-US"/>
        </w:rPr>
        <w:t>19</w:t>
      </w:r>
      <w:r w:rsidR="0034193A" w:rsidRPr="009627FD">
        <w:rPr>
          <w:lang w:val="en-US"/>
        </w:rPr>
        <w:t>ASS in the prediction of CAS. The criterion variable (i</w:t>
      </w:r>
      <w:r w:rsidR="003465F4" w:rsidRPr="009627FD">
        <w:rPr>
          <w:lang w:val="en-US"/>
        </w:rPr>
        <w:t>.</w:t>
      </w:r>
      <w:r w:rsidR="0034193A" w:rsidRPr="009627FD">
        <w:rPr>
          <w:lang w:val="en-US"/>
        </w:rPr>
        <w:t>e</w:t>
      </w:r>
      <w:r w:rsidR="003465F4" w:rsidRPr="009627FD">
        <w:rPr>
          <w:lang w:val="en-US"/>
        </w:rPr>
        <w:t>.</w:t>
      </w:r>
      <w:r w:rsidR="0034193A" w:rsidRPr="009627FD">
        <w:rPr>
          <w:lang w:val="en-US"/>
        </w:rPr>
        <w:t>, dependent variable) in th</w:t>
      </w:r>
      <w:r w:rsidR="003465F4" w:rsidRPr="009627FD">
        <w:rPr>
          <w:lang w:val="en-US"/>
        </w:rPr>
        <w:t>e hierarchical regression model</w:t>
      </w:r>
      <w:r w:rsidR="0034193A" w:rsidRPr="009627FD">
        <w:rPr>
          <w:lang w:val="en-US"/>
        </w:rPr>
        <w:t xml:space="preserve"> was </w:t>
      </w:r>
      <w:r w:rsidR="003465F4" w:rsidRPr="009627FD">
        <w:rPr>
          <w:lang w:val="en-US"/>
        </w:rPr>
        <w:t xml:space="preserve">the </w:t>
      </w:r>
      <w:r w:rsidR="0034193A" w:rsidRPr="009627FD">
        <w:rPr>
          <w:lang w:val="en-US"/>
        </w:rPr>
        <w:t>CAS. The entry order of predictor variables</w:t>
      </w:r>
      <w:r w:rsidR="003465F4" w:rsidRPr="009627FD">
        <w:rPr>
          <w:lang w:val="en-US"/>
        </w:rPr>
        <w:t xml:space="preserve"> (i.e., independent variables)</w:t>
      </w:r>
      <w:r w:rsidR="00132656" w:rsidRPr="009627FD">
        <w:rPr>
          <w:lang w:val="en-US"/>
        </w:rPr>
        <w:t xml:space="preserve"> was the following: age, gender</w:t>
      </w:r>
      <w:r w:rsidR="0034193A" w:rsidRPr="009627FD">
        <w:rPr>
          <w:lang w:val="en-US"/>
        </w:rPr>
        <w:t xml:space="preserve"> </w:t>
      </w:r>
      <w:r w:rsidR="00B328C1" w:rsidRPr="009627FD">
        <w:rPr>
          <w:lang w:val="en-US"/>
        </w:rPr>
        <w:t xml:space="preserve">on step </w:t>
      </w:r>
      <w:r w:rsidR="0034193A" w:rsidRPr="009627FD">
        <w:rPr>
          <w:lang w:val="en-US"/>
        </w:rPr>
        <w:t xml:space="preserve">1; BFI-10 factors found to be correlated with the dependent variable </w:t>
      </w:r>
      <w:r w:rsidR="00B328C1" w:rsidRPr="009627FD">
        <w:rPr>
          <w:lang w:val="en-US"/>
        </w:rPr>
        <w:t xml:space="preserve">on step </w:t>
      </w:r>
      <w:r w:rsidR="0034193A" w:rsidRPr="009627FD">
        <w:rPr>
          <w:lang w:val="en-US"/>
        </w:rPr>
        <w:t xml:space="preserve">2; </w:t>
      </w:r>
      <w:r w:rsidR="00132656" w:rsidRPr="009627FD">
        <w:rPr>
          <w:lang w:val="en-US"/>
        </w:rPr>
        <w:t>perception of being vulnerable to COVID-19 on step 3</w:t>
      </w:r>
      <w:r w:rsidR="00283326" w:rsidRPr="009627FD">
        <w:rPr>
          <w:lang w:val="en-US"/>
        </w:rPr>
        <w:t>;</w:t>
      </w:r>
      <w:r w:rsidR="00132656" w:rsidRPr="009627FD">
        <w:rPr>
          <w:lang w:val="en-US"/>
        </w:rPr>
        <w:t xml:space="preserve"> </w:t>
      </w:r>
      <w:r w:rsidR="0034193A" w:rsidRPr="009627FD">
        <w:rPr>
          <w:lang w:val="en-US"/>
        </w:rPr>
        <w:t xml:space="preserve">FCV-19S </w:t>
      </w:r>
      <w:r w:rsidR="00B328C1" w:rsidRPr="009627FD">
        <w:rPr>
          <w:lang w:val="en-US"/>
        </w:rPr>
        <w:t>on</w:t>
      </w:r>
      <w:r w:rsidR="0034193A" w:rsidRPr="009627FD">
        <w:rPr>
          <w:lang w:val="en-US"/>
        </w:rPr>
        <w:t xml:space="preserve"> </w:t>
      </w:r>
      <w:r w:rsidR="00B328C1" w:rsidRPr="009627FD">
        <w:rPr>
          <w:lang w:val="en-US"/>
        </w:rPr>
        <w:t xml:space="preserve">step </w:t>
      </w:r>
      <w:r w:rsidR="00132656" w:rsidRPr="009627FD">
        <w:rPr>
          <w:lang w:val="en-US"/>
        </w:rPr>
        <w:t>4</w:t>
      </w:r>
      <w:r w:rsidR="0034193A" w:rsidRPr="009627FD">
        <w:rPr>
          <w:lang w:val="en-US"/>
        </w:rPr>
        <w:t xml:space="preserve">; </w:t>
      </w:r>
      <w:r w:rsidR="00B328C1" w:rsidRPr="009627FD">
        <w:rPr>
          <w:lang w:val="en-US"/>
        </w:rPr>
        <w:t xml:space="preserve">and </w:t>
      </w:r>
      <w:r w:rsidR="0034193A" w:rsidRPr="009627FD">
        <w:rPr>
          <w:lang w:val="en-US"/>
        </w:rPr>
        <w:t>C</w:t>
      </w:r>
      <w:r w:rsidR="00EC61FD" w:rsidRPr="009627FD">
        <w:rPr>
          <w:lang w:val="en-US"/>
        </w:rPr>
        <w:t>-19</w:t>
      </w:r>
      <w:r w:rsidR="0034193A" w:rsidRPr="009627FD">
        <w:rPr>
          <w:lang w:val="en-US"/>
        </w:rPr>
        <w:t>ASS</w:t>
      </w:r>
      <w:r w:rsidR="00EC61FD" w:rsidRPr="009627FD">
        <w:rPr>
          <w:lang w:val="en-US"/>
        </w:rPr>
        <w:t>-P</w:t>
      </w:r>
      <w:r w:rsidR="0034193A" w:rsidRPr="009627FD">
        <w:rPr>
          <w:lang w:val="en-US"/>
        </w:rPr>
        <w:t>erseveration and C</w:t>
      </w:r>
      <w:r w:rsidR="00EC61FD" w:rsidRPr="009627FD">
        <w:rPr>
          <w:lang w:val="en-US"/>
        </w:rPr>
        <w:t>-19</w:t>
      </w:r>
      <w:r w:rsidR="0034193A" w:rsidRPr="009627FD">
        <w:rPr>
          <w:lang w:val="en-US"/>
        </w:rPr>
        <w:t>ASS</w:t>
      </w:r>
      <w:r w:rsidR="00EC61FD" w:rsidRPr="009627FD">
        <w:rPr>
          <w:lang w:val="en-US"/>
        </w:rPr>
        <w:t>-A</w:t>
      </w:r>
      <w:r w:rsidR="0034193A" w:rsidRPr="009627FD">
        <w:rPr>
          <w:lang w:val="en-US"/>
        </w:rPr>
        <w:t xml:space="preserve">voidance </w:t>
      </w:r>
      <w:r w:rsidR="00B328C1" w:rsidRPr="009627FD">
        <w:rPr>
          <w:lang w:val="en-US"/>
        </w:rPr>
        <w:t xml:space="preserve">on step </w:t>
      </w:r>
      <w:r w:rsidR="00132656" w:rsidRPr="009627FD">
        <w:rPr>
          <w:lang w:val="en-US"/>
        </w:rPr>
        <w:t>5</w:t>
      </w:r>
      <w:r w:rsidR="0034193A" w:rsidRPr="009627FD">
        <w:rPr>
          <w:lang w:val="en-US"/>
        </w:rPr>
        <w:t xml:space="preserve">. </w:t>
      </w:r>
      <w:r w:rsidR="005C2613" w:rsidRPr="009627FD">
        <w:rPr>
          <w:lang w:val="en-US"/>
        </w:rPr>
        <w:t>Results indicated that C-</w:t>
      </w:r>
      <w:r w:rsidR="0098576B" w:rsidRPr="009627FD">
        <w:rPr>
          <w:lang w:val="en-US"/>
        </w:rPr>
        <w:t>19ASS-P</w:t>
      </w:r>
      <w:r w:rsidR="005C721F" w:rsidRPr="009627FD">
        <w:rPr>
          <w:lang w:val="en-US"/>
        </w:rPr>
        <w:t>erseveration</w:t>
      </w:r>
      <w:r w:rsidR="0098576B" w:rsidRPr="009627FD">
        <w:rPr>
          <w:lang w:val="en-US"/>
        </w:rPr>
        <w:t xml:space="preserve"> contributed an additional </w:t>
      </w:r>
      <w:r w:rsidR="00132656" w:rsidRPr="009627FD">
        <w:rPr>
          <w:lang w:val="en-US"/>
        </w:rPr>
        <w:t>4</w:t>
      </w:r>
      <w:r w:rsidR="0098576B" w:rsidRPr="009627FD">
        <w:rPr>
          <w:lang w:val="en-US"/>
        </w:rPr>
        <w:t xml:space="preserve">% variance to that explained by all other variables. </w:t>
      </w:r>
      <w:r w:rsidR="00BE0D79" w:rsidRPr="009627FD">
        <w:rPr>
          <w:lang w:val="en-US"/>
        </w:rPr>
        <w:t xml:space="preserve">The final equation </w:t>
      </w:r>
      <w:r w:rsidR="00B328C1" w:rsidRPr="009627FD">
        <w:rPr>
          <w:lang w:val="en-US"/>
        </w:rPr>
        <w:t xml:space="preserve">indicated </w:t>
      </w:r>
      <w:r w:rsidR="00BE0D79" w:rsidRPr="009627FD">
        <w:rPr>
          <w:lang w:val="en-US"/>
        </w:rPr>
        <w:t xml:space="preserve">that </w:t>
      </w:r>
      <w:r w:rsidR="00C90E15" w:rsidRPr="009627FD">
        <w:rPr>
          <w:lang w:val="en-US"/>
        </w:rPr>
        <w:t xml:space="preserve">age, </w:t>
      </w:r>
      <w:r w:rsidR="00132656" w:rsidRPr="009627FD">
        <w:rPr>
          <w:lang w:val="en-US"/>
        </w:rPr>
        <w:t xml:space="preserve">BFI-10-Emotional stability, </w:t>
      </w:r>
      <w:r w:rsidR="00B328C1" w:rsidRPr="009627FD">
        <w:rPr>
          <w:lang w:val="en-US"/>
        </w:rPr>
        <w:t>perception of being</w:t>
      </w:r>
      <w:r w:rsidR="00F45792" w:rsidRPr="009627FD">
        <w:rPr>
          <w:lang w:val="en-US"/>
        </w:rPr>
        <w:t xml:space="preserve"> vulnerable to COVID-19</w:t>
      </w:r>
      <w:r w:rsidR="00C90E15" w:rsidRPr="009627FD">
        <w:rPr>
          <w:lang w:val="en-US"/>
        </w:rPr>
        <w:t xml:space="preserve">, </w:t>
      </w:r>
      <w:r w:rsidR="00817C15" w:rsidRPr="009627FD">
        <w:rPr>
          <w:lang w:val="en-US"/>
        </w:rPr>
        <w:t>FCV-19S</w:t>
      </w:r>
      <w:r w:rsidR="00C90E15" w:rsidRPr="009627FD">
        <w:rPr>
          <w:lang w:val="en-US"/>
        </w:rPr>
        <w:t>, and C-19ASS-Perseveration</w:t>
      </w:r>
      <w:r w:rsidR="00874036" w:rsidRPr="009627FD">
        <w:rPr>
          <w:lang w:val="en-US"/>
        </w:rPr>
        <w:t xml:space="preserve"> </w:t>
      </w:r>
      <w:r w:rsidR="00C90E15" w:rsidRPr="009627FD">
        <w:rPr>
          <w:lang w:val="en-US"/>
        </w:rPr>
        <w:t xml:space="preserve">were significant predictors </w:t>
      </w:r>
      <w:r w:rsidR="009C453F" w:rsidRPr="009627FD">
        <w:rPr>
          <w:lang w:val="en-US"/>
        </w:rPr>
        <w:t xml:space="preserve">of </w:t>
      </w:r>
      <w:r w:rsidR="00817C15" w:rsidRPr="009627FD">
        <w:rPr>
          <w:lang w:val="en-US"/>
        </w:rPr>
        <w:t xml:space="preserve">CAS </w:t>
      </w:r>
      <w:r w:rsidR="0098576B" w:rsidRPr="009627FD">
        <w:rPr>
          <w:lang w:val="en-US"/>
        </w:rPr>
        <w:t xml:space="preserve">accounting for a total of 56.3% of the variation in </w:t>
      </w:r>
      <w:r w:rsidR="00817C15" w:rsidRPr="009627FD">
        <w:rPr>
          <w:lang w:val="en-US"/>
        </w:rPr>
        <w:t xml:space="preserve">CAS </w:t>
      </w:r>
      <w:r w:rsidR="003A658B" w:rsidRPr="009627FD">
        <w:rPr>
          <w:lang w:val="en-US"/>
        </w:rPr>
        <w:t>(F=70.11, df=9, p&lt;.001)</w:t>
      </w:r>
      <w:r w:rsidR="009C453F" w:rsidRPr="009627FD">
        <w:rPr>
          <w:lang w:val="en-US"/>
        </w:rPr>
        <w:t xml:space="preserve">. </w:t>
      </w:r>
    </w:p>
    <w:p w14:paraId="53826A51" w14:textId="7B464A27" w:rsidR="000A6FD8" w:rsidRPr="009627FD" w:rsidRDefault="00BE0D79" w:rsidP="00C3345A">
      <w:pPr>
        <w:spacing w:line="360" w:lineRule="auto"/>
        <w:ind w:firstLine="708"/>
        <w:contextualSpacing/>
        <w:jc w:val="both"/>
        <w:rPr>
          <w:lang w:val="en-US"/>
        </w:rPr>
      </w:pPr>
      <w:r w:rsidRPr="009627FD">
        <w:rPr>
          <w:lang w:val="en-US"/>
        </w:rPr>
        <w:t xml:space="preserve">Table 5 </w:t>
      </w:r>
      <w:r w:rsidR="00F818AD" w:rsidRPr="009627FD">
        <w:rPr>
          <w:lang w:val="en-US"/>
        </w:rPr>
        <w:t>shows the hierarchical linear regression examining the</w:t>
      </w:r>
      <w:r w:rsidR="00D63AA7" w:rsidRPr="009627FD">
        <w:rPr>
          <w:lang w:val="en-US"/>
        </w:rPr>
        <w:t xml:space="preserve"> </w:t>
      </w:r>
      <w:r w:rsidR="00F818AD" w:rsidRPr="009627FD">
        <w:rPr>
          <w:lang w:val="en-US"/>
        </w:rPr>
        <w:t>incremental validity of the C-</w:t>
      </w:r>
      <w:r w:rsidR="00661FDA" w:rsidRPr="009627FD">
        <w:rPr>
          <w:lang w:val="en-US"/>
        </w:rPr>
        <w:t>19</w:t>
      </w:r>
      <w:r w:rsidR="00F818AD" w:rsidRPr="009627FD">
        <w:rPr>
          <w:lang w:val="en-US"/>
        </w:rPr>
        <w:t xml:space="preserve">ASS in the prediction of </w:t>
      </w:r>
      <w:r w:rsidR="00E75AE4" w:rsidRPr="009627FD">
        <w:rPr>
          <w:lang w:val="en-US"/>
        </w:rPr>
        <w:t>W</w:t>
      </w:r>
      <w:r w:rsidR="00817C15" w:rsidRPr="009627FD">
        <w:rPr>
          <w:lang w:val="en-US"/>
        </w:rPr>
        <w:t>SAS</w:t>
      </w:r>
      <w:r w:rsidR="00F818AD" w:rsidRPr="009627FD">
        <w:rPr>
          <w:lang w:val="en-US"/>
        </w:rPr>
        <w:t>.</w:t>
      </w:r>
      <w:r w:rsidR="00D67579" w:rsidRPr="009627FD">
        <w:rPr>
          <w:lang w:val="en-US"/>
        </w:rPr>
        <w:t xml:space="preserve"> </w:t>
      </w:r>
      <w:r w:rsidR="00F818AD" w:rsidRPr="009627FD">
        <w:rPr>
          <w:lang w:val="en-US"/>
        </w:rPr>
        <w:t>The criterion variable (i.e., dependent variable) in the hierarchical regression model was the WSAS. The entry order of predictor variables (i.e., independent variables)</w:t>
      </w:r>
      <w:r w:rsidR="00132656" w:rsidRPr="009627FD">
        <w:rPr>
          <w:lang w:val="en-US"/>
        </w:rPr>
        <w:t xml:space="preserve"> was the following: age, gender</w:t>
      </w:r>
      <w:r w:rsidR="00F818AD" w:rsidRPr="009627FD">
        <w:rPr>
          <w:lang w:val="en-US"/>
        </w:rPr>
        <w:t xml:space="preserve"> </w:t>
      </w:r>
      <w:r w:rsidR="00132656" w:rsidRPr="009627FD">
        <w:rPr>
          <w:lang w:val="en-US"/>
        </w:rPr>
        <w:t xml:space="preserve">on step </w:t>
      </w:r>
      <w:r w:rsidR="00F818AD" w:rsidRPr="009627FD">
        <w:rPr>
          <w:lang w:val="en-US"/>
        </w:rPr>
        <w:t xml:space="preserve">1; BFI-10 factors found to be correlated with the dependent variable </w:t>
      </w:r>
      <w:r w:rsidR="00B328C1" w:rsidRPr="009627FD">
        <w:rPr>
          <w:lang w:val="en-US"/>
        </w:rPr>
        <w:t xml:space="preserve">on step </w:t>
      </w:r>
      <w:r w:rsidR="00F818AD" w:rsidRPr="009627FD">
        <w:rPr>
          <w:lang w:val="en-US"/>
        </w:rPr>
        <w:t xml:space="preserve">2; </w:t>
      </w:r>
      <w:r w:rsidR="00132656" w:rsidRPr="009627FD">
        <w:rPr>
          <w:lang w:val="en-US"/>
        </w:rPr>
        <w:t xml:space="preserve">perception of being vulnerable to COVID-19 on step 3; </w:t>
      </w:r>
      <w:r w:rsidR="00F818AD" w:rsidRPr="009627FD">
        <w:rPr>
          <w:lang w:val="en-US"/>
        </w:rPr>
        <w:t xml:space="preserve">FCV-19S </w:t>
      </w:r>
      <w:r w:rsidR="00B328C1" w:rsidRPr="009627FD">
        <w:rPr>
          <w:lang w:val="en-US"/>
        </w:rPr>
        <w:t>on</w:t>
      </w:r>
      <w:r w:rsidR="00F818AD" w:rsidRPr="009627FD">
        <w:rPr>
          <w:lang w:val="en-US"/>
        </w:rPr>
        <w:t xml:space="preserve"> </w:t>
      </w:r>
      <w:r w:rsidR="00B328C1" w:rsidRPr="009627FD">
        <w:rPr>
          <w:lang w:val="en-US"/>
        </w:rPr>
        <w:t xml:space="preserve">step </w:t>
      </w:r>
      <w:r w:rsidR="00132656" w:rsidRPr="009627FD">
        <w:rPr>
          <w:lang w:val="en-US"/>
        </w:rPr>
        <w:t>4</w:t>
      </w:r>
      <w:r w:rsidR="00F818AD" w:rsidRPr="009627FD">
        <w:rPr>
          <w:lang w:val="en-US"/>
        </w:rPr>
        <w:t xml:space="preserve">; </w:t>
      </w:r>
      <w:r w:rsidR="00EE46AF" w:rsidRPr="009627FD">
        <w:rPr>
          <w:lang w:val="en-US"/>
        </w:rPr>
        <w:t xml:space="preserve">and </w:t>
      </w:r>
      <w:r w:rsidR="00F818AD" w:rsidRPr="009627FD">
        <w:rPr>
          <w:lang w:val="en-US"/>
        </w:rPr>
        <w:t>C</w:t>
      </w:r>
      <w:r w:rsidR="00661FDA" w:rsidRPr="009627FD">
        <w:rPr>
          <w:lang w:val="en-US"/>
        </w:rPr>
        <w:t>-19</w:t>
      </w:r>
      <w:r w:rsidR="00F818AD" w:rsidRPr="009627FD">
        <w:rPr>
          <w:lang w:val="en-US"/>
        </w:rPr>
        <w:t>ASS</w:t>
      </w:r>
      <w:r w:rsidR="00661FDA" w:rsidRPr="009627FD">
        <w:rPr>
          <w:lang w:val="en-US"/>
        </w:rPr>
        <w:t>-P</w:t>
      </w:r>
      <w:r w:rsidR="00F818AD" w:rsidRPr="009627FD">
        <w:rPr>
          <w:lang w:val="en-US"/>
        </w:rPr>
        <w:t>erseveration and C</w:t>
      </w:r>
      <w:r w:rsidR="00661FDA" w:rsidRPr="009627FD">
        <w:rPr>
          <w:lang w:val="en-US"/>
        </w:rPr>
        <w:t>-19</w:t>
      </w:r>
      <w:r w:rsidR="00F818AD" w:rsidRPr="009627FD">
        <w:rPr>
          <w:lang w:val="en-US"/>
        </w:rPr>
        <w:t>ASS</w:t>
      </w:r>
      <w:r w:rsidR="00661FDA" w:rsidRPr="009627FD">
        <w:rPr>
          <w:lang w:val="en-US"/>
        </w:rPr>
        <w:t>-A</w:t>
      </w:r>
      <w:r w:rsidR="00F818AD" w:rsidRPr="009627FD">
        <w:rPr>
          <w:lang w:val="en-US"/>
        </w:rPr>
        <w:t xml:space="preserve">voidance </w:t>
      </w:r>
      <w:r w:rsidR="00EE46AF" w:rsidRPr="009627FD">
        <w:rPr>
          <w:lang w:val="en-US"/>
        </w:rPr>
        <w:t xml:space="preserve">on </w:t>
      </w:r>
      <w:r w:rsidR="00F818AD" w:rsidRPr="009627FD">
        <w:rPr>
          <w:lang w:val="en-US"/>
        </w:rPr>
        <w:t xml:space="preserve">step 5. </w:t>
      </w:r>
      <w:r w:rsidR="000F16E6" w:rsidRPr="009627FD">
        <w:rPr>
          <w:lang w:val="en-US"/>
        </w:rPr>
        <w:t xml:space="preserve">Results indicated that </w:t>
      </w:r>
      <w:r w:rsidR="00F818AD" w:rsidRPr="009627FD">
        <w:rPr>
          <w:lang w:val="en-US"/>
        </w:rPr>
        <w:t>C-19ASS</w:t>
      </w:r>
      <w:r w:rsidR="000F16E6" w:rsidRPr="009627FD">
        <w:rPr>
          <w:lang w:val="en-US"/>
        </w:rPr>
        <w:t xml:space="preserve">-Persevation and C-19ASS avoidance did not </w:t>
      </w:r>
      <w:r w:rsidR="00F818AD" w:rsidRPr="009627FD">
        <w:rPr>
          <w:lang w:val="en-US"/>
        </w:rPr>
        <w:t xml:space="preserve">add a significant </w:t>
      </w:r>
      <w:r w:rsidR="00EE46AF" w:rsidRPr="009627FD">
        <w:rPr>
          <w:lang w:val="en-US"/>
        </w:rPr>
        <w:t xml:space="preserve">variance </w:t>
      </w:r>
      <w:r w:rsidR="00F818AD" w:rsidRPr="009627FD">
        <w:rPr>
          <w:lang w:val="en-US"/>
        </w:rPr>
        <w:t xml:space="preserve">in the prediction of WSAS </w:t>
      </w:r>
      <w:r w:rsidR="00657C83" w:rsidRPr="009627FD">
        <w:rPr>
          <w:lang w:val="en-US"/>
        </w:rPr>
        <w:t>to that explained by all other variables</w:t>
      </w:r>
      <w:r w:rsidR="000F16E6" w:rsidRPr="009627FD">
        <w:rPr>
          <w:lang w:val="en-US"/>
        </w:rPr>
        <w:t>.</w:t>
      </w:r>
      <w:r w:rsidR="00657C83" w:rsidRPr="009627FD">
        <w:rPr>
          <w:lang w:val="en-US"/>
        </w:rPr>
        <w:t xml:space="preserve"> </w:t>
      </w:r>
      <w:r w:rsidR="000F16E6" w:rsidRPr="009627FD">
        <w:rPr>
          <w:lang w:val="en-US"/>
        </w:rPr>
        <w:t>The final equation indicated that BFI-10</w:t>
      </w:r>
      <w:r w:rsidR="00283326" w:rsidRPr="009627FD">
        <w:rPr>
          <w:lang w:val="en-US"/>
        </w:rPr>
        <w:t>-</w:t>
      </w:r>
      <w:r w:rsidR="000F16E6" w:rsidRPr="009627FD">
        <w:rPr>
          <w:lang w:val="en-US"/>
        </w:rPr>
        <w:t>Conscientiousness, BFI-10</w:t>
      </w:r>
      <w:r w:rsidR="00283326" w:rsidRPr="009627FD">
        <w:rPr>
          <w:lang w:val="en-US"/>
        </w:rPr>
        <w:t>-</w:t>
      </w:r>
      <w:r w:rsidR="000F16E6" w:rsidRPr="009627FD">
        <w:rPr>
          <w:lang w:val="en-US"/>
        </w:rPr>
        <w:t>Emotional stability, BFI-10</w:t>
      </w:r>
      <w:r w:rsidR="00283326" w:rsidRPr="009627FD">
        <w:rPr>
          <w:lang w:val="en-US"/>
        </w:rPr>
        <w:t>-</w:t>
      </w:r>
      <w:r w:rsidR="000F16E6" w:rsidRPr="009627FD">
        <w:rPr>
          <w:lang w:val="en-US"/>
        </w:rPr>
        <w:t xml:space="preserve">Extraversion, FCV-19 and C-19ASS-Perseveration were predictors of WSAS for a total of 27% of the variation in WSAS scores. </w:t>
      </w:r>
      <w:r w:rsidR="00760521" w:rsidRPr="009627FD">
        <w:rPr>
          <w:lang w:val="en-US"/>
        </w:rPr>
        <w:t>(F=1</w:t>
      </w:r>
      <w:r w:rsidR="000F16E6" w:rsidRPr="009627FD">
        <w:rPr>
          <w:lang w:val="en-US"/>
        </w:rPr>
        <w:t>9</w:t>
      </w:r>
      <w:r w:rsidR="00760521" w:rsidRPr="009627FD">
        <w:rPr>
          <w:lang w:val="en-US"/>
        </w:rPr>
        <w:t>.</w:t>
      </w:r>
      <w:r w:rsidR="000F16E6" w:rsidRPr="009627FD">
        <w:rPr>
          <w:lang w:val="en-US"/>
        </w:rPr>
        <w:t>0</w:t>
      </w:r>
      <w:r w:rsidR="00760521" w:rsidRPr="009627FD">
        <w:rPr>
          <w:lang w:val="en-US"/>
        </w:rPr>
        <w:t>2, df=1</w:t>
      </w:r>
      <w:r w:rsidR="000F16E6" w:rsidRPr="009627FD">
        <w:rPr>
          <w:lang w:val="en-US"/>
        </w:rPr>
        <w:t>0</w:t>
      </w:r>
      <w:r w:rsidR="00760521" w:rsidRPr="009627FD">
        <w:rPr>
          <w:lang w:val="en-US"/>
        </w:rPr>
        <w:t>, p&lt;.001)</w:t>
      </w:r>
      <w:r w:rsidR="00D67579" w:rsidRPr="009627FD">
        <w:rPr>
          <w:lang w:val="en-US"/>
        </w:rPr>
        <w:t>.</w:t>
      </w:r>
    </w:p>
    <w:p w14:paraId="4D1A39DB" w14:textId="448DB7EC" w:rsidR="002B3172" w:rsidRPr="009627FD" w:rsidRDefault="005820AC" w:rsidP="002B3172">
      <w:pPr>
        <w:spacing w:line="360" w:lineRule="auto"/>
        <w:contextualSpacing/>
        <w:jc w:val="both"/>
        <w:rPr>
          <w:b/>
          <w:lang w:val="en-US"/>
        </w:rPr>
      </w:pPr>
      <w:r w:rsidRPr="009627FD">
        <w:rPr>
          <w:b/>
          <w:lang w:val="en-US"/>
        </w:rPr>
        <w:t>5</w:t>
      </w:r>
      <w:r w:rsidR="002B3172" w:rsidRPr="009627FD">
        <w:rPr>
          <w:b/>
          <w:lang w:val="en-US"/>
        </w:rPr>
        <w:t>.</w:t>
      </w:r>
      <w:r w:rsidR="003E0F73" w:rsidRPr="009627FD">
        <w:rPr>
          <w:b/>
          <w:lang w:val="en-US"/>
        </w:rPr>
        <w:t>4</w:t>
      </w:r>
      <w:r w:rsidR="002B3172" w:rsidRPr="009627FD">
        <w:rPr>
          <w:b/>
          <w:lang w:val="en-US"/>
        </w:rPr>
        <w:t>. Differences on C</w:t>
      </w:r>
      <w:r w:rsidR="00844356" w:rsidRPr="009627FD">
        <w:rPr>
          <w:b/>
          <w:lang w:val="en-US"/>
        </w:rPr>
        <w:t>-19</w:t>
      </w:r>
      <w:r w:rsidR="002B3172" w:rsidRPr="009627FD">
        <w:rPr>
          <w:b/>
          <w:lang w:val="en-US"/>
        </w:rPr>
        <w:t xml:space="preserve">ASS on the basis </w:t>
      </w:r>
      <w:r w:rsidR="00EF0093" w:rsidRPr="009627FD">
        <w:rPr>
          <w:b/>
          <w:lang w:val="en-US"/>
        </w:rPr>
        <w:t>sex</w:t>
      </w:r>
      <w:r w:rsidR="002B3172" w:rsidRPr="009627FD">
        <w:rPr>
          <w:b/>
          <w:lang w:val="en-US"/>
        </w:rPr>
        <w:t>, C</w:t>
      </w:r>
      <w:r w:rsidR="00EF0093" w:rsidRPr="009627FD">
        <w:rPr>
          <w:b/>
          <w:lang w:val="en-US"/>
        </w:rPr>
        <w:t xml:space="preserve">OVID-19 </w:t>
      </w:r>
      <w:r w:rsidR="002B3172" w:rsidRPr="009627FD">
        <w:rPr>
          <w:b/>
          <w:lang w:val="en-US"/>
        </w:rPr>
        <w:t>related variables</w:t>
      </w:r>
      <w:r w:rsidR="00844356" w:rsidRPr="009627FD">
        <w:rPr>
          <w:b/>
          <w:lang w:val="en-US"/>
        </w:rPr>
        <w:t>,</w:t>
      </w:r>
      <w:r w:rsidR="002B3172" w:rsidRPr="009627FD">
        <w:rPr>
          <w:b/>
          <w:lang w:val="en-US"/>
        </w:rPr>
        <w:t xml:space="preserve"> and </w:t>
      </w:r>
      <w:r w:rsidR="00EA3D49" w:rsidRPr="009627FD">
        <w:rPr>
          <w:b/>
          <w:lang w:val="en-US"/>
        </w:rPr>
        <w:t xml:space="preserve">working status </w:t>
      </w:r>
    </w:p>
    <w:p w14:paraId="359CEAE5" w14:textId="77777777" w:rsidR="000F1DC1" w:rsidRPr="009627FD" w:rsidRDefault="000F1DC1" w:rsidP="000F1DC1">
      <w:pPr>
        <w:spacing w:line="360" w:lineRule="auto"/>
        <w:ind w:firstLine="708"/>
        <w:contextualSpacing/>
        <w:jc w:val="both"/>
        <w:rPr>
          <w:bCs/>
          <w:lang w:val="en-US"/>
        </w:rPr>
      </w:pPr>
      <w:r w:rsidRPr="009627FD">
        <w:rPr>
          <w:bCs/>
          <w:lang w:val="en-US"/>
        </w:rPr>
        <w:t>Significant differences were found for gender on C-19ASS-Perseveration (males, mean</w:t>
      </w:r>
      <w:r w:rsidRPr="009627FD">
        <w:rPr>
          <w:rFonts w:eastAsia="MS Gothic"/>
          <w:lang w:val="en-US"/>
        </w:rPr>
        <w:t>±</w:t>
      </w:r>
      <w:r w:rsidRPr="009627FD">
        <w:rPr>
          <w:bCs/>
          <w:lang w:val="en-US"/>
        </w:rPr>
        <w:t>SD = 8.75</w:t>
      </w:r>
      <w:r w:rsidRPr="009627FD">
        <w:rPr>
          <w:rFonts w:eastAsia="MS Gothic"/>
          <w:lang w:val="en-US"/>
        </w:rPr>
        <w:t>±</w:t>
      </w:r>
      <w:r w:rsidRPr="009627FD">
        <w:rPr>
          <w:bCs/>
          <w:lang w:val="en-US"/>
        </w:rPr>
        <w:t xml:space="preserve">5.53 </w:t>
      </w:r>
      <w:r w:rsidRPr="009627FD">
        <w:rPr>
          <w:bCs/>
          <w:i/>
          <w:lang w:val="en-US"/>
        </w:rPr>
        <w:t>vs</w:t>
      </w:r>
      <w:r w:rsidRPr="009627FD">
        <w:rPr>
          <w:bCs/>
          <w:lang w:val="en-US"/>
        </w:rPr>
        <w:t xml:space="preserve"> females, mean</w:t>
      </w:r>
      <w:r w:rsidRPr="009627FD">
        <w:rPr>
          <w:rFonts w:eastAsia="MS Gothic"/>
          <w:lang w:val="en-US"/>
        </w:rPr>
        <w:t>±</w:t>
      </w:r>
      <w:r w:rsidRPr="009627FD">
        <w:rPr>
          <w:bCs/>
          <w:lang w:val="en-US"/>
        </w:rPr>
        <w:t>SD = 10.12</w:t>
      </w:r>
      <w:r w:rsidRPr="009627FD">
        <w:rPr>
          <w:rFonts w:eastAsia="MS Gothic"/>
          <w:lang w:val="en-US"/>
        </w:rPr>
        <w:t>±</w:t>
      </w:r>
      <w:r w:rsidRPr="009627FD">
        <w:rPr>
          <w:bCs/>
          <w:lang w:val="en-US"/>
        </w:rPr>
        <w:t>5.64; F</w:t>
      </w:r>
      <w:r w:rsidRPr="009627FD">
        <w:rPr>
          <w:bCs/>
          <w:vertAlign w:val="subscript"/>
          <w:lang w:val="en-US"/>
        </w:rPr>
        <w:t>(df)</w:t>
      </w:r>
      <w:r w:rsidRPr="009627FD">
        <w:rPr>
          <w:bCs/>
          <w:lang w:val="en-US"/>
        </w:rPr>
        <w:t>=5.31</w:t>
      </w:r>
      <w:r w:rsidRPr="009627FD">
        <w:rPr>
          <w:bCs/>
          <w:vertAlign w:val="subscript"/>
          <w:lang w:val="en-US"/>
        </w:rPr>
        <w:t>(1)</w:t>
      </w:r>
      <w:r w:rsidRPr="009627FD">
        <w:rPr>
          <w:bCs/>
          <w:lang w:val="en-US"/>
        </w:rPr>
        <w:t>, p=.022, Welch</w:t>
      </w:r>
      <w:r w:rsidRPr="009627FD">
        <w:rPr>
          <w:bCs/>
          <w:vertAlign w:val="subscript"/>
          <w:lang w:val="en-US"/>
        </w:rPr>
        <w:t>(df)</w:t>
      </w:r>
      <w:r w:rsidRPr="009627FD">
        <w:rPr>
          <w:bCs/>
          <w:lang w:val="en-US"/>
        </w:rPr>
        <w:t>=5.43</w:t>
      </w:r>
      <w:r w:rsidRPr="009627FD">
        <w:rPr>
          <w:bCs/>
          <w:vertAlign w:val="subscript"/>
          <w:lang w:val="en-US"/>
        </w:rPr>
        <w:t>(206.733)</w:t>
      </w:r>
      <w:r w:rsidRPr="009627FD">
        <w:rPr>
          <w:bCs/>
          <w:lang w:val="en-US"/>
        </w:rPr>
        <w:t>, p=.021), while no statistically significant differences were observed between males and females on C-19ASS-Avoidance (mean</w:t>
      </w:r>
      <w:r w:rsidRPr="009627FD">
        <w:rPr>
          <w:rFonts w:eastAsia="MS Gothic"/>
          <w:lang w:val="en-US"/>
        </w:rPr>
        <w:t>±</w:t>
      </w:r>
      <w:r w:rsidRPr="009627FD">
        <w:rPr>
          <w:bCs/>
          <w:lang w:val="en-US"/>
        </w:rPr>
        <w:t>SD = 5.54</w:t>
      </w:r>
      <w:r w:rsidRPr="009627FD">
        <w:rPr>
          <w:rFonts w:eastAsia="MS Gothic"/>
          <w:lang w:val="en-US"/>
        </w:rPr>
        <w:t>±</w:t>
      </w:r>
      <w:r w:rsidRPr="009627FD">
        <w:rPr>
          <w:bCs/>
          <w:lang w:val="en-US"/>
        </w:rPr>
        <w:t xml:space="preserve">3.88 </w:t>
      </w:r>
      <w:r w:rsidRPr="009627FD">
        <w:rPr>
          <w:bCs/>
          <w:i/>
          <w:lang w:val="en-US"/>
        </w:rPr>
        <w:t>vs</w:t>
      </w:r>
      <w:r w:rsidRPr="009627FD">
        <w:rPr>
          <w:bCs/>
          <w:lang w:val="en-US"/>
        </w:rPr>
        <w:t xml:space="preserve"> 6.29</w:t>
      </w:r>
      <w:r w:rsidRPr="009627FD">
        <w:rPr>
          <w:rFonts w:eastAsia="MS Gothic"/>
          <w:lang w:val="en-US"/>
        </w:rPr>
        <w:t>±</w:t>
      </w:r>
      <w:r w:rsidRPr="009627FD">
        <w:rPr>
          <w:bCs/>
          <w:lang w:val="en-US"/>
        </w:rPr>
        <w:t>3.79; F</w:t>
      </w:r>
      <w:r w:rsidRPr="009627FD">
        <w:rPr>
          <w:bCs/>
          <w:vertAlign w:val="subscript"/>
          <w:lang w:val="en-US"/>
        </w:rPr>
        <w:t>(df)</w:t>
      </w:r>
      <w:r w:rsidRPr="009627FD">
        <w:rPr>
          <w:bCs/>
          <w:lang w:val="en-US"/>
        </w:rPr>
        <w:t>= 3.48</w:t>
      </w:r>
      <w:r w:rsidRPr="009627FD">
        <w:rPr>
          <w:bCs/>
          <w:vertAlign w:val="subscript"/>
          <w:lang w:val="en-US"/>
        </w:rPr>
        <w:t>(1)</w:t>
      </w:r>
      <w:r w:rsidRPr="009627FD">
        <w:rPr>
          <w:bCs/>
          <w:lang w:val="en-US"/>
        </w:rPr>
        <w:t>, p=.062, Welch</w:t>
      </w:r>
      <w:r w:rsidRPr="009627FD">
        <w:rPr>
          <w:bCs/>
          <w:vertAlign w:val="subscript"/>
          <w:lang w:val="en-US"/>
        </w:rPr>
        <w:t>(df)</w:t>
      </w:r>
      <w:r w:rsidRPr="009627FD">
        <w:rPr>
          <w:bCs/>
          <w:lang w:val="en-US"/>
        </w:rPr>
        <w:t>=3.40</w:t>
      </w:r>
      <w:r w:rsidRPr="009627FD">
        <w:rPr>
          <w:bCs/>
          <w:vertAlign w:val="subscript"/>
          <w:lang w:val="en-US"/>
        </w:rPr>
        <w:t>(198.96)</w:t>
      </w:r>
      <w:r w:rsidRPr="009627FD">
        <w:rPr>
          <w:bCs/>
          <w:lang w:val="en-US"/>
        </w:rPr>
        <w:t xml:space="preserve">, p=.067). </w:t>
      </w:r>
    </w:p>
    <w:p w14:paraId="5FEC3618" w14:textId="77777777" w:rsidR="000F1DC1" w:rsidRPr="009627FD" w:rsidRDefault="000F1DC1" w:rsidP="000F1DC1">
      <w:pPr>
        <w:spacing w:line="360" w:lineRule="auto"/>
        <w:ind w:firstLine="708"/>
        <w:contextualSpacing/>
        <w:jc w:val="both"/>
        <w:rPr>
          <w:bCs/>
          <w:lang w:val="en-US"/>
        </w:rPr>
      </w:pPr>
      <w:r w:rsidRPr="009627FD">
        <w:rPr>
          <w:bCs/>
          <w:lang w:val="en-US"/>
        </w:rPr>
        <w:lastRenderedPageBreak/>
        <w:t>When participants tested for COVID-19 were compared with those not tested for COVID-19, no statically significant differences were found on C-19ASS-Perseveration (mean</w:t>
      </w:r>
      <w:r w:rsidRPr="009627FD">
        <w:rPr>
          <w:rFonts w:eastAsia="MS Gothic"/>
          <w:lang w:val="en-US"/>
        </w:rPr>
        <w:t>±</w:t>
      </w:r>
      <w:r w:rsidRPr="009627FD">
        <w:rPr>
          <w:bCs/>
          <w:lang w:val="en-US"/>
        </w:rPr>
        <w:t>SD= 9.96</w:t>
      </w:r>
      <w:r w:rsidRPr="009627FD">
        <w:rPr>
          <w:rFonts w:eastAsia="MS Gothic"/>
          <w:lang w:val="en-US"/>
        </w:rPr>
        <w:t>±</w:t>
      </w:r>
      <w:r w:rsidRPr="009627FD">
        <w:rPr>
          <w:bCs/>
          <w:lang w:val="en-US"/>
        </w:rPr>
        <w:t xml:space="preserve">5.52 </w:t>
      </w:r>
      <w:r w:rsidRPr="009627FD">
        <w:rPr>
          <w:bCs/>
          <w:i/>
          <w:lang w:val="en-US"/>
        </w:rPr>
        <w:t>vs</w:t>
      </w:r>
      <w:r w:rsidRPr="009627FD">
        <w:rPr>
          <w:bCs/>
          <w:lang w:val="en-US"/>
        </w:rPr>
        <w:t xml:space="preserve"> 9.33</w:t>
      </w:r>
      <w:r w:rsidRPr="009627FD">
        <w:rPr>
          <w:rFonts w:eastAsia="MS Gothic"/>
          <w:lang w:val="en-US"/>
        </w:rPr>
        <w:t>±</w:t>
      </w:r>
      <w:r w:rsidRPr="009627FD">
        <w:rPr>
          <w:bCs/>
          <w:lang w:val="en-US"/>
        </w:rPr>
        <w:t>5.90, F</w:t>
      </w:r>
      <w:r w:rsidRPr="009627FD">
        <w:rPr>
          <w:bCs/>
          <w:vertAlign w:val="subscript"/>
          <w:lang w:val="en-US"/>
        </w:rPr>
        <w:t>(df)</w:t>
      </w:r>
      <w:r w:rsidRPr="009627FD">
        <w:rPr>
          <w:bCs/>
          <w:lang w:val="en-US"/>
        </w:rPr>
        <w:t>=1.24</w:t>
      </w:r>
      <w:r w:rsidRPr="009627FD">
        <w:rPr>
          <w:bCs/>
          <w:vertAlign w:val="subscript"/>
          <w:lang w:val="en-US"/>
        </w:rPr>
        <w:t>(1)</w:t>
      </w:r>
      <w:r w:rsidRPr="009627FD">
        <w:rPr>
          <w:bCs/>
          <w:lang w:val="en-US"/>
        </w:rPr>
        <w:t>, p=.266, Welch</w:t>
      </w:r>
      <w:r w:rsidRPr="009627FD">
        <w:rPr>
          <w:bCs/>
          <w:vertAlign w:val="subscript"/>
          <w:lang w:val="en-US"/>
        </w:rPr>
        <w:t>(df)</w:t>
      </w:r>
      <w:r w:rsidRPr="009627FD">
        <w:rPr>
          <w:bCs/>
          <w:lang w:val="en-US"/>
        </w:rPr>
        <w:t>=1.17</w:t>
      </w:r>
      <w:r w:rsidRPr="009627FD">
        <w:rPr>
          <w:bCs/>
          <w:vertAlign w:val="subscript"/>
          <w:lang w:val="en-US"/>
        </w:rPr>
        <w:t>(243.18)</w:t>
      </w:r>
      <w:r w:rsidRPr="009627FD">
        <w:rPr>
          <w:bCs/>
          <w:lang w:val="en-US"/>
        </w:rPr>
        <w:t>,p=.28) and on C19-ASS-Avoidance (mean</w:t>
      </w:r>
      <w:r w:rsidRPr="009627FD">
        <w:rPr>
          <w:rFonts w:eastAsia="MS Gothic"/>
          <w:lang w:val="en-US"/>
        </w:rPr>
        <w:t>±</w:t>
      </w:r>
      <w:r w:rsidRPr="009627FD">
        <w:rPr>
          <w:bCs/>
          <w:lang w:val="en-US"/>
        </w:rPr>
        <w:t>SD= 6.08</w:t>
      </w:r>
      <w:r w:rsidRPr="009627FD">
        <w:rPr>
          <w:rFonts w:eastAsia="MS Gothic"/>
          <w:lang w:val="en-US"/>
        </w:rPr>
        <w:t>±</w:t>
      </w:r>
      <w:r w:rsidRPr="009627FD">
        <w:rPr>
          <w:bCs/>
          <w:lang w:val="en-US"/>
        </w:rPr>
        <w:t xml:space="preserve">3.61 </w:t>
      </w:r>
      <w:r w:rsidRPr="009627FD">
        <w:rPr>
          <w:bCs/>
          <w:i/>
          <w:lang w:val="en-US"/>
        </w:rPr>
        <w:t xml:space="preserve">vs </w:t>
      </w:r>
      <w:r w:rsidRPr="009627FD">
        <w:rPr>
          <w:bCs/>
          <w:lang w:val="en-US"/>
        </w:rPr>
        <w:t>6.16</w:t>
      </w:r>
      <w:r w:rsidRPr="009627FD">
        <w:rPr>
          <w:rFonts w:eastAsia="MS Gothic"/>
          <w:lang w:val="en-US"/>
        </w:rPr>
        <w:t>±</w:t>
      </w:r>
      <w:r w:rsidRPr="009627FD">
        <w:rPr>
          <w:bCs/>
          <w:lang w:val="en-US"/>
        </w:rPr>
        <w:t>4.31, F</w:t>
      </w:r>
      <w:r w:rsidRPr="009627FD">
        <w:rPr>
          <w:bCs/>
          <w:vertAlign w:val="subscript"/>
          <w:lang w:val="en-US"/>
        </w:rPr>
        <w:t>(df)</w:t>
      </w:r>
      <w:r w:rsidRPr="009627FD">
        <w:rPr>
          <w:bCs/>
          <w:lang w:val="en-US"/>
        </w:rPr>
        <w:t>=.03</w:t>
      </w:r>
      <w:r w:rsidRPr="009627FD">
        <w:rPr>
          <w:bCs/>
          <w:vertAlign w:val="subscript"/>
          <w:lang w:val="en-US"/>
        </w:rPr>
        <w:t>(1)</w:t>
      </w:r>
      <w:r w:rsidRPr="009627FD">
        <w:rPr>
          <w:bCs/>
          <w:lang w:val="en-US"/>
        </w:rPr>
        <w:t>, p=.849, Welch</w:t>
      </w:r>
      <w:r w:rsidRPr="009627FD">
        <w:rPr>
          <w:bCs/>
          <w:vertAlign w:val="subscript"/>
          <w:lang w:val="en-US"/>
        </w:rPr>
        <w:t>(df)</w:t>
      </w:r>
      <w:r w:rsidRPr="009627FD">
        <w:rPr>
          <w:bCs/>
          <w:lang w:val="en-US"/>
        </w:rPr>
        <w:t>=.03</w:t>
      </w:r>
      <w:r w:rsidRPr="009627FD">
        <w:rPr>
          <w:bCs/>
          <w:vertAlign w:val="subscript"/>
          <w:lang w:val="en-US"/>
        </w:rPr>
        <w:t>(222.57)</w:t>
      </w:r>
      <w:r w:rsidRPr="009627FD">
        <w:rPr>
          <w:bCs/>
          <w:lang w:val="en-US"/>
        </w:rPr>
        <w:t>, p=.86).</w:t>
      </w:r>
    </w:p>
    <w:p w14:paraId="03E42DEF" w14:textId="77777777" w:rsidR="000F1DC1" w:rsidRPr="009627FD" w:rsidRDefault="000F1DC1" w:rsidP="000F1DC1">
      <w:pPr>
        <w:spacing w:line="360" w:lineRule="auto"/>
        <w:ind w:firstLine="708"/>
        <w:contextualSpacing/>
        <w:jc w:val="both"/>
        <w:rPr>
          <w:bCs/>
          <w:lang w:val="en-US"/>
        </w:rPr>
      </w:pPr>
      <w:r w:rsidRPr="009627FD">
        <w:rPr>
          <w:bCs/>
          <w:lang w:val="en-US"/>
        </w:rPr>
        <w:t>No significant differences were observed between participants who had been diagnosed with COVID-19 and those who had not been diagnosed with COVID-19 on C-19ASS-Perseveration (mean</w:t>
      </w:r>
      <w:r w:rsidRPr="009627FD">
        <w:rPr>
          <w:rFonts w:eastAsia="MS Gothic"/>
          <w:lang w:val="en-US"/>
        </w:rPr>
        <w:t>±</w:t>
      </w:r>
      <w:r w:rsidRPr="009627FD">
        <w:rPr>
          <w:bCs/>
          <w:lang w:val="en-US"/>
        </w:rPr>
        <w:t>SD=11.03</w:t>
      </w:r>
      <w:r w:rsidRPr="009627FD">
        <w:rPr>
          <w:rFonts w:eastAsia="MS Gothic"/>
          <w:lang w:val="en-US"/>
        </w:rPr>
        <w:t>±</w:t>
      </w:r>
      <w:r w:rsidRPr="009627FD">
        <w:rPr>
          <w:bCs/>
          <w:lang w:val="en-US"/>
        </w:rPr>
        <w:t xml:space="preserve">5.47 </w:t>
      </w:r>
      <w:r w:rsidRPr="009627FD">
        <w:rPr>
          <w:bCs/>
          <w:i/>
          <w:lang w:val="en-US"/>
        </w:rPr>
        <w:t>vs</w:t>
      </w:r>
      <w:r w:rsidRPr="009627FD">
        <w:rPr>
          <w:bCs/>
          <w:lang w:val="en-US"/>
        </w:rPr>
        <w:t xml:space="preserve"> 9.60</w:t>
      </w:r>
      <w:r w:rsidRPr="009627FD">
        <w:rPr>
          <w:rFonts w:eastAsia="MS Gothic"/>
          <w:lang w:val="en-US"/>
        </w:rPr>
        <w:t>±</w:t>
      </w:r>
      <w:r w:rsidRPr="009627FD">
        <w:rPr>
          <w:bCs/>
          <w:lang w:val="en-US"/>
        </w:rPr>
        <w:t>5.64, F</w:t>
      </w:r>
      <w:r w:rsidRPr="009627FD">
        <w:rPr>
          <w:bCs/>
          <w:vertAlign w:val="subscript"/>
          <w:lang w:val="en-US"/>
        </w:rPr>
        <w:t>(df)</w:t>
      </w:r>
      <w:r w:rsidRPr="009627FD">
        <w:rPr>
          <w:bCs/>
          <w:lang w:val="en-US"/>
        </w:rPr>
        <w:t>=3.57</w:t>
      </w:r>
      <w:r w:rsidRPr="009627FD">
        <w:rPr>
          <w:bCs/>
          <w:vertAlign w:val="subscript"/>
          <w:lang w:val="en-US"/>
        </w:rPr>
        <w:t>(1)</w:t>
      </w:r>
      <w:r w:rsidRPr="009627FD">
        <w:rPr>
          <w:bCs/>
          <w:lang w:val="en-US"/>
        </w:rPr>
        <w:t>, p=.059, Welch</w:t>
      </w:r>
      <w:r w:rsidRPr="009627FD">
        <w:rPr>
          <w:bCs/>
          <w:vertAlign w:val="subscript"/>
          <w:lang w:val="en-US"/>
        </w:rPr>
        <w:t>(df)</w:t>
      </w:r>
      <w:r w:rsidRPr="009627FD">
        <w:rPr>
          <w:bCs/>
          <w:lang w:val="en-US"/>
        </w:rPr>
        <w:t>,3.74</w:t>
      </w:r>
      <w:r w:rsidRPr="009627FD">
        <w:rPr>
          <w:bCs/>
          <w:vertAlign w:val="subscript"/>
          <w:lang w:val="en-US"/>
        </w:rPr>
        <w:t>(83.01)</w:t>
      </w:r>
      <w:r w:rsidRPr="009627FD">
        <w:rPr>
          <w:bCs/>
          <w:lang w:val="en-US"/>
        </w:rPr>
        <w:t>, p=.056) and on C-19ASS-Avoidance (mean</w:t>
      </w:r>
      <w:r w:rsidRPr="009627FD">
        <w:rPr>
          <w:rFonts w:eastAsia="MS Gothic"/>
          <w:lang w:val="en-US"/>
        </w:rPr>
        <w:t>±</w:t>
      </w:r>
      <w:r w:rsidRPr="009627FD">
        <w:rPr>
          <w:bCs/>
          <w:lang w:val="en-US"/>
        </w:rPr>
        <w:t>SD= 6.32</w:t>
      </w:r>
      <w:r w:rsidRPr="009627FD">
        <w:rPr>
          <w:rFonts w:eastAsia="MS Gothic"/>
          <w:lang w:val="en-US"/>
        </w:rPr>
        <w:t>±</w:t>
      </w:r>
      <w:r w:rsidRPr="009627FD">
        <w:rPr>
          <w:bCs/>
          <w:lang w:val="en-US"/>
        </w:rPr>
        <w:t xml:space="preserve">3.55 </w:t>
      </w:r>
      <w:r w:rsidRPr="009627FD">
        <w:rPr>
          <w:bCs/>
          <w:i/>
          <w:lang w:val="en-US"/>
        </w:rPr>
        <w:t xml:space="preserve">vs </w:t>
      </w:r>
      <w:r w:rsidRPr="009627FD">
        <w:rPr>
          <w:bCs/>
          <w:lang w:val="en-US"/>
        </w:rPr>
        <w:t>6.07</w:t>
      </w:r>
      <w:r w:rsidRPr="009627FD">
        <w:rPr>
          <w:rFonts w:eastAsia="MS Gothic"/>
          <w:lang w:val="en-US"/>
        </w:rPr>
        <w:t>±</w:t>
      </w:r>
      <w:r w:rsidRPr="009627FD">
        <w:rPr>
          <w:bCs/>
          <w:lang w:val="en-US"/>
        </w:rPr>
        <w:t>3.86, F</w:t>
      </w:r>
      <w:r w:rsidRPr="009627FD">
        <w:rPr>
          <w:bCs/>
          <w:vertAlign w:val="subscript"/>
          <w:lang w:val="en-US"/>
        </w:rPr>
        <w:t>(df)</w:t>
      </w:r>
      <w:r w:rsidRPr="009627FD">
        <w:rPr>
          <w:bCs/>
          <w:lang w:val="en-US"/>
        </w:rPr>
        <w:t>=.22</w:t>
      </w:r>
      <w:r w:rsidRPr="009627FD">
        <w:rPr>
          <w:bCs/>
          <w:vertAlign w:val="subscript"/>
          <w:lang w:val="en-US"/>
        </w:rPr>
        <w:t>(1)</w:t>
      </w:r>
      <w:r w:rsidRPr="009627FD">
        <w:rPr>
          <w:bCs/>
          <w:lang w:val="en-US"/>
        </w:rPr>
        <w:t>, p=.637, Welch</w:t>
      </w:r>
      <w:r w:rsidRPr="009627FD">
        <w:rPr>
          <w:bCs/>
          <w:vertAlign w:val="subscript"/>
          <w:lang w:val="en-US"/>
        </w:rPr>
        <w:t>(df)</w:t>
      </w:r>
      <w:r w:rsidRPr="009627FD">
        <w:rPr>
          <w:bCs/>
          <w:lang w:val="en-US"/>
        </w:rPr>
        <w:t>=.25</w:t>
      </w:r>
      <w:r w:rsidRPr="009627FD">
        <w:rPr>
          <w:bCs/>
          <w:vertAlign w:val="subscript"/>
          <w:lang w:val="en-US"/>
        </w:rPr>
        <w:t>(85.54)</w:t>
      </w:r>
      <w:r w:rsidRPr="009627FD">
        <w:rPr>
          <w:bCs/>
          <w:lang w:val="en-US"/>
        </w:rPr>
        <w:t>, p=.617).</w:t>
      </w:r>
    </w:p>
    <w:p w14:paraId="63C2DCEC" w14:textId="77777777" w:rsidR="000F1DC1" w:rsidRPr="009627FD" w:rsidRDefault="000F1DC1" w:rsidP="000F1DC1">
      <w:pPr>
        <w:spacing w:line="360" w:lineRule="auto"/>
        <w:ind w:firstLine="708"/>
        <w:contextualSpacing/>
        <w:jc w:val="both"/>
        <w:rPr>
          <w:bCs/>
          <w:lang w:val="en-US"/>
        </w:rPr>
      </w:pPr>
      <w:r w:rsidRPr="009627FD">
        <w:rPr>
          <w:bCs/>
          <w:lang w:val="en-US"/>
        </w:rPr>
        <w:t>When participants who know people that had been diagnosed with COVID-19 were compared with those that did not know people who have been diagnosed with COVID-19, no statistically significant differences were observed on C-19ASS-Perseveration (mean</w:t>
      </w:r>
      <w:r w:rsidRPr="009627FD">
        <w:rPr>
          <w:rFonts w:eastAsia="MS Gothic"/>
          <w:lang w:val="en-US"/>
        </w:rPr>
        <w:t>±</w:t>
      </w:r>
      <w:r w:rsidRPr="009627FD">
        <w:rPr>
          <w:bCs/>
          <w:lang w:val="en-US"/>
        </w:rPr>
        <w:t>SD= 9.77</w:t>
      </w:r>
      <w:r w:rsidRPr="009627FD">
        <w:rPr>
          <w:rFonts w:eastAsia="MS Gothic"/>
          <w:lang w:val="en-US"/>
        </w:rPr>
        <w:t>±</w:t>
      </w:r>
      <w:r w:rsidRPr="009627FD">
        <w:rPr>
          <w:bCs/>
          <w:lang w:val="en-US"/>
        </w:rPr>
        <w:t xml:space="preserve">5.66 </w:t>
      </w:r>
      <w:r w:rsidRPr="009627FD">
        <w:rPr>
          <w:bCs/>
          <w:i/>
          <w:lang w:val="en-US"/>
        </w:rPr>
        <w:t>vs</w:t>
      </w:r>
      <w:r w:rsidRPr="009627FD">
        <w:rPr>
          <w:bCs/>
          <w:lang w:val="en-US"/>
        </w:rPr>
        <w:t xml:space="preserve"> 9.93</w:t>
      </w:r>
      <w:r w:rsidRPr="009627FD">
        <w:rPr>
          <w:rFonts w:eastAsia="MS Gothic"/>
          <w:lang w:val="en-US"/>
        </w:rPr>
        <w:t>±</w:t>
      </w:r>
      <w:r w:rsidRPr="009627FD">
        <w:rPr>
          <w:bCs/>
          <w:lang w:val="en-US"/>
        </w:rPr>
        <w:t>5.32, F</w:t>
      </w:r>
      <w:r w:rsidRPr="009627FD">
        <w:rPr>
          <w:bCs/>
          <w:vertAlign w:val="subscript"/>
          <w:lang w:val="en-US"/>
        </w:rPr>
        <w:t>(df)</w:t>
      </w:r>
      <w:r w:rsidRPr="009627FD">
        <w:rPr>
          <w:bCs/>
          <w:lang w:val="en-US"/>
        </w:rPr>
        <w:t>=.02</w:t>
      </w:r>
      <w:r w:rsidRPr="009627FD">
        <w:rPr>
          <w:bCs/>
          <w:vertAlign w:val="subscript"/>
          <w:lang w:val="en-US"/>
        </w:rPr>
        <w:t>(1)</w:t>
      </w:r>
      <w:r w:rsidRPr="009627FD">
        <w:rPr>
          <w:bCs/>
          <w:lang w:val="en-US"/>
        </w:rPr>
        <w:t>, p=.880, Welch</w:t>
      </w:r>
      <w:r w:rsidRPr="009627FD">
        <w:rPr>
          <w:bCs/>
          <w:vertAlign w:val="subscript"/>
          <w:lang w:val="en-US"/>
        </w:rPr>
        <w:t>(df)</w:t>
      </w:r>
      <w:r w:rsidRPr="009627FD">
        <w:rPr>
          <w:bCs/>
          <w:lang w:val="en-US"/>
        </w:rPr>
        <w:t>=.02</w:t>
      </w:r>
      <w:r w:rsidRPr="009627FD">
        <w:rPr>
          <w:bCs/>
          <w:vertAlign w:val="subscript"/>
          <w:lang w:val="en-US"/>
        </w:rPr>
        <w:t>(33.50)</w:t>
      </w:r>
      <w:r w:rsidRPr="009627FD">
        <w:rPr>
          <w:bCs/>
          <w:lang w:val="en-US"/>
        </w:rPr>
        <w:t>,</w:t>
      </w:r>
      <w:r w:rsidRPr="009627FD">
        <w:rPr>
          <w:bCs/>
          <w:vertAlign w:val="subscript"/>
          <w:lang w:val="en-US"/>
        </w:rPr>
        <w:t xml:space="preserve"> </w:t>
      </w:r>
      <w:r w:rsidRPr="009627FD">
        <w:rPr>
          <w:bCs/>
          <w:lang w:val="en-US"/>
        </w:rPr>
        <w:t>p=.874) and on C-19ASS-Avoidance (mean</w:t>
      </w:r>
      <w:r w:rsidRPr="009627FD">
        <w:rPr>
          <w:rFonts w:eastAsia="MS Gothic"/>
          <w:lang w:val="en-US"/>
        </w:rPr>
        <w:t>±</w:t>
      </w:r>
      <w:r w:rsidRPr="009627FD">
        <w:rPr>
          <w:bCs/>
          <w:lang w:val="en-US"/>
        </w:rPr>
        <w:t>SD= 6.06</w:t>
      </w:r>
      <w:r w:rsidRPr="009627FD">
        <w:rPr>
          <w:rFonts w:eastAsia="MS Gothic"/>
          <w:lang w:val="en-US"/>
        </w:rPr>
        <w:t>±</w:t>
      </w:r>
      <w:r w:rsidRPr="009627FD">
        <w:rPr>
          <w:bCs/>
          <w:lang w:val="en-US"/>
        </w:rPr>
        <w:t xml:space="preserve">3.82 </w:t>
      </w:r>
      <w:r w:rsidRPr="009627FD">
        <w:rPr>
          <w:bCs/>
          <w:i/>
          <w:lang w:val="en-US"/>
        </w:rPr>
        <w:t>vs</w:t>
      </w:r>
      <w:r w:rsidRPr="009627FD">
        <w:rPr>
          <w:bCs/>
          <w:lang w:val="en-US"/>
        </w:rPr>
        <w:t xml:space="preserve"> 6.83</w:t>
      </w:r>
      <w:r w:rsidRPr="009627FD">
        <w:rPr>
          <w:rFonts w:eastAsia="MS Gothic"/>
          <w:lang w:val="en-US"/>
        </w:rPr>
        <w:t>±</w:t>
      </w:r>
      <w:r w:rsidRPr="009627FD">
        <w:rPr>
          <w:bCs/>
          <w:lang w:val="en-US"/>
        </w:rPr>
        <w:t>3.79, F</w:t>
      </w:r>
      <w:r w:rsidRPr="009627FD">
        <w:rPr>
          <w:bCs/>
          <w:vertAlign w:val="subscript"/>
          <w:lang w:val="en-US"/>
        </w:rPr>
        <w:t>(df)</w:t>
      </w:r>
      <w:r w:rsidRPr="009627FD">
        <w:rPr>
          <w:bCs/>
          <w:lang w:val="en-US"/>
        </w:rPr>
        <w:t>=1.16</w:t>
      </w:r>
      <w:r w:rsidRPr="009627FD">
        <w:rPr>
          <w:bCs/>
          <w:vertAlign w:val="subscript"/>
          <w:lang w:val="en-US"/>
        </w:rPr>
        <w:t>(1)</w:t>
      </w:r>
      <w:r w:rsidRPr="009627FD">
        <w:rPr>
          <w:bCs/>
          <w:lang w:val="en-US"/>
        </w:rPr>
        <w:t>, p=.282, Welch</w:t>
      </w:r>
      <w:r w:rsidRPr="009627FD">
        <w:rPr>
          <w:bCs/>
          <w:vertAlign w:val="subscript"/>
          <w:lang w:val="en-US"/>
        </w:rPr>
        <w:t>(df)</w:t>
      </w:r>
      <w:r w:rsidRPr="009627FD">
        <w:rPr>
          <w:bCs/>
          <w:lang w:val="en-US"/>
        </w:rPr>
        <w:t>=1.18</w:t>
      </w:r>
      <w:r w:rsidRPr="009627FD">
        <w:rPr>
          <w:bCs/>
          <w:vertAlign w:val="subscript"/>
          <w:lang w:val="en-US"/>
        </w:rPr>
        <w:t>(33.02)</w:t>
      </w:r>
      <w:r w:rsidRPr="009627FD">
        <w:rPr>
          <w:bCs/>
          <w:lang w:val="en-US"/>
        </w:rPr>
        <w:t>, p=.285).</w:t>
      </w:r>
    </w:p>
    <w:p w14:paraId="45A2454B" w14:textId="7EFC1DC7" w:rsidR="000F1DC1" w:rsidRPr="009627FD" w:rsidRDefault="000F1DC1" w:rsidP="000F1DC1">
      <w:pPr>
        <w:spacing w:line="360" w:lineRule="auto"/>
        <w:ind w:firstLine="708"/>
        <w:contextualSpacing/>
        <w:jc w:val="both"/>
        <w:rPr>
          <w:bCs/>
          <w:lang w:val="en-US"/>
        </w:rPr>
      </w:pPr>
      <w:r w:rsidRPr="009627FD">
        <w:rPr>
          <w:bCs/>
          <w:lang w:val="en-US"/>
        </w:rPr>
        <w:t xml:space="preserve">No </w:t>
      </w:r>
      <w:r w:rsidR="00A95A8B" w:rsidRPr="009627FD">
        <w:rPr>
          <w:bCs/>
          <w:lang w:val="en-US"/>
        </w:rPr>
        <w:t xml:space="preserve">statistically </w:t>
      </w:r>
      <w:r w:rsidRPr="009627FD">
        <w:rPr>
          <w:bCs/>
          <w:lang w:val="en-US"/>
        </w:rPr>
        <w:t xml:space="preserve">significant differences were observed between participants who had experienced loss as a consequence of COVID-19 and those who had not on C-19ASS-Perseveration (mean±SD=10.19±5.93 </w:t>
      </w:r>
      <w:r w:rsidRPr="009627FD">
        <w:rPr>
          <w:bCs/>
          <w:i/>
          <w:lang w:val="en-US"/>
        </w:rPr>
        <w:t>vs</w:t>
      </w:r>
      <w:r w:rsidRPr="009627FD">
        <w:rPr>
          <w:bCs/>
          <w:lang w:val="en-US"/>
        </w:rPr>
        <w:t xml:space="preserve"> 9.70±5.57, F</w:t>
      </w:r>
      <w:r w:rsidRPr="009627FD">
        <w:rPr>
          <w:bCs/>
          <w:vertAlign w:val="subscript"/>
          <w:lang w:val="en-US"/>
        </w:rPr>
        <w:t>(df)</w:t>
      </w:r>
      <w:r w:rsidRPr="009627FD">
        <w:rPr>
          <w:bCs/>
          <w:lang w:val="en-US"/>
        </w:rPr>
        <w:t>=.53</w:t>
      </w:r>
      <w:r w:rsidRPr="009627FD">
        <w:rPr>
          <w:bCs/>
          <w:vertAlign w:val="subscript"/>
          <w:lang w:val="en-US"/>
        </w:rPr>
        <w:t>(1)</w:t>
      </w:r>
      <w:r w:rsidRPr="009627FD">
        <w:rPr>
          <w:bCs/>
          <w:lang w:val="en-US"/>
        </w:rPr>
        <w:t>, p=.466, Welch</w:t>
      </w:r>
      <w:r w:rsidRPr="009627FD">
        <w:rPr>
          <w:bCs/>
          <w:vertAlign w:val="subscript"/>
          <w:lang w:val="en-US"/>
        </w:rPr>
        <w:t>(df)</w:t>
      </w:r>
      <w:r w:rsidRPr="009627FD">
        <w:rPr>
          <w:bCs/>
          <w:lang w:val="en-US"/>
        </w:rPr>
        <w:t>=.49</w:t>
      </w:r>
      <w:r w:rsidRPr="009627FD">
        <w:rPr>
          <w:bCs/>
          <w:vertAlign w:val="subscript"/>
          <w:lang w:val="en-US"/>
        </w:rPr>
        <w:t>(117.77)</w:t>
      </w:r>
      <w:r w:rsidRPr="009627FD">
        <w:rPr>
          <w:bCs/>
          <w:lang w:val="en-US"/>
        </w:rPr>
        <w:t xml:space="preserve">, p=.485) and on C-19ASS-Avoidance (mean±SD= 6.39±3.93 </w:t>
      </w:r>
      <w:r w:rsidRPr="009627FD">
        <w:rPr>
          <w:bCs/>
          <w:i/>
          <w:lang w:val="en-US"/>
        </w:rPr>
        <w:t>vs</w:t>
      </w:r>
      <w:r w:rsidRPr="009627FD">
        <w:rPr>
          <w:bCs/>
          <w:lang w:val="en-US"/>
        </w:rPr>
        <w:t xml:space="preserve"> 6.04± 3.80, F</w:t>
      </w:r>
      <w:r w:rsidRPr="009627FD">
        <w:rPr>
          <w:bCs/>
          <w:vertAlign w:val="subscript"/>
          <w:lang w:val="en-US"/>
        </w:rPr>
        <w:t>(df)</w:t>
      </w:r>
      <w:r w:rsidRPr="009627FD">
        <w:rPr>
          <w:bCs/>
          <w:lang w:val="en-US"/>
        </w:rPr>
        <w:t>=.564</w:t>
      </w:r>
      <w:r w:rsidRPr="009627FD">
        <w:rPr>
          <w:bCs/>
          <w:vertAlign w:val="subscript"/>
          <w:lang w:val="en-US"/>
        </w:rPr>
        <w:t>(1)</w:t>
      </w:r>
      <w:r w:rsidRPr="009627FD">
        <w:rPr>
          <w:bCs/>
          <w:lang w:val="en-US"/>
        </w:rPr>
        <w:t>, p=.453, Welch</w:t>
      </w:r>
      <w:r w:rsidRPr="009627FD">
        <w:rPr>
          <w:bCs/>
          <w:vertAlign w:val="subscript"/>
          <w:lang w:val="en-US"/>
        </w:rPr>
        <w:t>(df)</w:t>
      </w:r>
      <w:r w:rsidRPr="009627FD">
        <w:rPr>
          <w:bCs/>
          <w:lang w:val="en-US"/>
        </w:rPr>
        <w:t>,=.53</w:t>
      </w:r>
      <w:r w:rsidRPr="009627FD">
        <w:rPr>
          <w:bCs/>
          <w:vertAlign w:val="subscript"/>
          <w:lang w:val="en-US"/>
        </w:rPr>
        <w:t>(119.73)</w:t>
      </w:r>
      <w:r w:rsidRPr="009627FD">
        <w:rPr>
          <w:bCs/>
          <w:lang w:val="en-US"/>
        </w:rPr>
        <w:t>, p=.464).</w:t>
      </w:r>
    </w:p>
    <w:p w14:paraId="7D4915E0" w14:textId="77777777" w:rsidR="000F1DC1" w:rsidRPr="009627FD" w:rsidRDefault="000F1DC1" w:rsidP="000F1DC1">
      <w:pPr>
        <w:spacing w:line="360" w:lineRule="auto"/>
        <w:ind w:firstLine="708"/>
        <w:contextualSpacing/>
        <w:jc w:val="both"/>
        <w:rPr>
          <w:bCs/>
          <w:lang w:val="en-US"/>
        </w:rPr>
      </w:pPr>
      <w:r w:rsidRPr="009627FD">
        <w:rPr>
          <w:bCs/>
          <w:lang w:val="en-US"/>
        </w:rPr>
        <w:t>No statistically significant differences were observed between participants who had been vaccinated from those had not been on C-19ASS-Perseveration (mean</w:t>
      </w:r>
      <w:r w:rsidRPr="009627FD">
        <w:rPr>
          <w:rFonts w:eastAsia="MS Gothic"/>
          <w:lang w:val="en-US"/>
        </w:rPr>
        <w:t>±</w:t>
      </w:r>
      <w:r w:rsidRPr="009627FD">
        <w:rPr>
          <w:bCs/>
          <w:lang w:val="en-US"/>
        </w:rPr>
        <w:t>SD=9.83</w:t>
      </w:r>
      <w:r w:rsidRPr="009627FD">
        <w:rPr>
          <w:rFonts w:eastAsia="MS Gothic"/>
          <w:lang w:val="en-US"/>
        </w:rPr>
        <w:t>±</w:t>
      </w:r>
      <w:r w:rsidRPr="009627FD">
        <w:rPr>
          <w:bCs/>
          <w:lang w:val="en-US"/>
        </w:rPr>
        <w:t xml:space="preserve">5.48 </w:t>
      </w:r>
      <w:r w:rsidRPr="009627FD">
        <w:rPr>
          <w:bCs/>
          <w:i/>
          <w:lang w:val="en-US"/>
        </w:rPr>
        <w:t xml:space="preserve">vs </w:t>
      </w:r>
      <w:r w:rsidRPr="009627FD">
        <w:rPr>
          <w:bCs/>
          <w:lang w:val="en-US"/>
        </w:rPr>
        <w:t>9.62</w:t>
      </w:r>
      <w:r w:rsidRPr="009627FD">
        <w:rPr>
          <w:rFonts w:eastAsia="MS Gothic"/>
          <w:lang w:val="en-US"/>
        </w:rPr>
        <w:t>±</w:t>
      </w:r>
      <w:r w:rsidRPr="009627FD">
        <w:rPr>
          <w:bCs/>
          <w:lang w:val="en-US"/>
        </w:rPr>
        <w:t>6.20, F</w:t>
      </w:r>
      <w:r w:rsidRPr="009627FD">
        <w:rPr>
          <w:bCs/>
          <w:vertAlign w:val="subscript"/>
          <w:lang w:val="en-US"/>
        </w:rPr>
        <w:t>(df)</w:t>
      </w:r>
      <w:r w:rsidRPr="009627FD">
        <w:rPr>
          <w:bCs/>
          <w:lang w:val="en-US"/>
        </w:rPr>
        <w:t>=.11</w:t>
      </w:r>
      <w:r w:rsidRPr="009627FD">
        <w:rPr>
          <w:bCs/>
          <w:vertAlign w:val="subscript"/>
          <w:lang w:val="en-US"/>
        </w:rPr>
        <w:t>(1)</w:t>
      </w:r>
      <w:r w:rsidRPr="009627FD">
        <w:rPr>
          <w:bCs/>
          <w:lang w:val="en-US"/>
        </w:rPr>
        <w:t>, p=.739, Welch</w:t>
      </w:r>
      <w:r w:rsidRPr="009627FD">
        <w:rPr>
          <w:bCs/>
          <w:vertAlign w:val="subscript"/>
          <w:lang w:val="en-US"/>
        </w:rPr>
        <w:t>(df)</w:t>
      </w:r>
      <w:r w:rsidRPr="009627FD">
        <w:rPr>
          <w:bCs/>
          <w:lang w:val="en-US"/>
        </w:rPr>
        <w:t>=.09</w:t>
      </w:r>
      <w:r w:rsidRPr="009627FD">
        <w:rPr>
          <w:bCs/>
          <w:vertAlign w:val="subscript"/>
          <w:lang w:val="en-US"/>
        </w:rPr>
        <w:t>(145.92)</w:t>
      </w:r>
      <w:r w:rsidRPr="009627FD">
        <w:rPr>
          <w:bCs/>
          <w:lang w:val="en-US"/>
        </w:rPr>
        <w:t>, p=.757) and on C-19ASS-Avoidance (mean</w:t>
      </w:r>
      <w:r w:rsidRPr="009627FD">
        <w:rPr>
          <w:rFonts w:eastAsia="MS Gothic"/>
          <w:lang w:val="en-US"/>
        </w:rPr>
        <w:t>±</w:t>
      </w:r>
      <w:r w:rsidRPr="009627FD">
        <w:rPr>
          <w:bCs/>
          <w:lang w:val="en-US"/>
        </w:rPr>
        <w:t>SD= 6.15</w:t>
      </w:r>
      <w:r w:rsidRPr="009627FD">
        <w:rPr>
          <w:rFonts w:eastAsia="MS Gothic"/>
          <w:lang w:val="en-US"/>
        </w:rPr>
        <w:t>±</w:t>
      </w:r>
      <w:r w:rsidRPr="009627FD">
        <w:rPr>
          <w:bCs/>
          <w:lang w:val="en-US"/>
        </w:rPr>
        <w:t xml:space="preserve">3.78 </w:t>
      </w:r>
      <w:r w:rsidRPr="009627FD">
        <w:rPr>
          <w:bCs/>
          <w:i/>
          <w:lang w:val="en-US"/>
        </w:rPr>
        <w:t xml:space="preserve">vs </w:t>
      </w:r>
      <w:r w:rsidRPr="009627FD">
        <w:rPr>
          <w:bCs/>
          <w:lang w:val="en-US"/>
        </w:rPr>
        <w:t>5.95</w:t>
      </w:r>
      <w:r w:rsidRPr="009627FD">
        <w:rPr>
          <w:rFonts w:eastAsia="MS Gothic"/>
          <w:lang w:val="en-US"/>
        </w:rPr>
        <w:t>±</w:t>
      </w:r>
      <w:r w:rsidRPr="009627FD">
        <w:rPr>
          <w:bCs/>
          <w:lang w:val="en-US"/>
        </w:rPr>
        <w:t>3.98, F</w:t>
      </w:r>
      <w:r w:rsidRPr="009627FD">
        <w:rPr>
          <w:bCs/>
          <w:vertAlign w:val="subscript"/>
          <w:lang w:val="en-US"/>
        </w:rPr>
        <w:t>(df)</w:t>
      </w:r>
      <w:r w:rsidRPr="009627FD">
        <w:rPr>
          <w:bCs/>
          <w:lang w:val="en-US"/>
        </w:rPr>
        <w:t>=.21</w:t>
      </w:r>
      <w:r w:rsidRPr="009627FD">
        <w:rPr>
          <w:bCs/>
          <w:vertAlign w:val="subscript"/>
          <w:lang w:val="en-US"/>
        </w:rPr>
        <w:t>(1)</w:t>
      </w:r>
      <w:r w:rsidRPr="009627FD">
        <w:rPr>
          <w:bCs/>
          <w:lang w:val="en-US"/>
        </w:rPr>
        <w:t>, p=.647, Welch</w:t>
      </w:r>
      <w:r w:rsidRPr="009627FD">
        <w:rPr>
          <w:bCs/>
          <w:vertAlign w:val="subscript"/>
          <w:lang w:val="en-US"/>
        </w:rPr>
        <w:t>(df)</w:t>
      </w:r>
      <w:r w:rsidRPr="009627FD">
        <w:rPr>
          <w:bCs/>
          <w:lang w:val="en-US"/>
        </w:rPr>
        <w:t>,=.19</w:t>
      </w:r>
      <w:r w:rsidRPr="009627FD">
        <w:rPr>
          <w:bCs/>
          <w:vertAlign w:val="subscript"/>
          <w:lang w:val="en-US"/>
        </w:rPr>
        <w:t>(153.33)</w:t>
      </w:r>
      <w:r w:rsidRPr="009627FD">
        <w:rPr>
          <w:bCs/>
          <w:lang w:val="en-US"/>
        </w:rPr>
        <w:t xml:space="preserve">, p=.656). </w:t>
      </w:r>
    </w:p>
    <w:p w14:paraId="77D92516" w14:textId="77777777" w:rsidR="000F1DC1" w:rsidRPr="009627FD" w:rsidRDefault="000F1DC1" w:rsidP="000F1DC1">
      <w:pPr>
        <w:spacing w:line="360" w:lineRule="auto"/>
        <w:ind w:firstLine="708"/>
        <w:contextualSpacing/>
        <w:jc w:val="both"/>
        <w:rPr>
          <w:bCs/>
          <w:lang w:val="en-US"/>
        </w:rPr>
      </w:pPr>
      <w:r w:rsidRPr="009627FD">
        <w:rPr>
          <w:bCs/>
          <w:lang w:val="en-US"/>
        </w:rPr>
        <w:t xml:space="preserve">Participants who </w:t>
      </w:r>
      <w:r w:rsidRPr="009627FD">
        <w:rPr>
          <w:lang w:val="en-US"/>
        </w:rPr>
        <w:t>perceived themselves to be vulnerable to COVID-19,</w:t>
      </w:r>
      <w:r w:rsidRPr="009627FD">
        <w:rPr>
          <w:bCs/>
          <w:lang w:val="en-US"/>
        </w:rPr>
        <w:t xml:space="preserve"> compared with those who did not </w:t>
      </w:r>
      <w:r w:rsidRPr="009627FD">
        <w:rPr>
          <w:lang w:val="en-US"/>
        </w:rPr>
        <w:t>perceive themselves to be vulnerable to COVID-19,</w:t>
      </w:r>
      <w:r w:rsidRPr="009627FD">
        <w:rPr>
          <w:bCs/>
          <w:lang w:val="en-US"/>
        </w:rPr>
        <w:t xml:space="preserve"> reported higher scores on C-19ASS-Perseveration (mean</w:t>
      </w:r>
      <w:r w:rsidRPr="009627FD">
        <w:rPr>
          <w:rFonts w:eastAsia="MS Gothic"/>
          <w:lang w:val="en-US"/>
        </w:rPr>
        <w:t>±</w:t>
      </w:r>
      <w:r w:rsidRPr="009627FD">
        <w:rPr>
          <w:bCs/>
          <w:lang w:val="en-US"/>
        </w:rPr>
        <w:t>SD=11.67</w:t>
      </w:r>
      <w:r w:rsidRPr="009627FD">
        <w:rPr>
          <w:rFonts w:eastAsia="MS Gothic"/>
          <w:lang w:val="en-US"/>
        </w:rPr>
        <w:t>±</w:t>
      </w:r>
      <w:r w:rsidRPr="009627FD">
        <w:rPr>
          <w:bCs/>
          <w:lang w:val="en-US"/>
        </w:rPr>
        <w:t xml:space="preserve">5.87 </w:t>
      </w:r>
      <w:r w:rsidRPr="009627FD">
        <w:rPr>
          <w:bCs/>
          <w:i/>
          <w:lang w:val="en-US"/>
        </w:rPr>
        <w:t>vs</w:t>
      </w:r>
      <w:r w:rsidRPr="009627FD">
        <w:rPr>
          <w:bCs/>
          <w:lang w:val="en-US"/>
        </w:rPr>
        <w:t>, 8.00</w:t>
      </w:r>
      <w:r w:rsidRPr="009627FD">
        <w:rPr>
          <w:rFonts w:eastAsia="MS Gothic"/>
          <w:lang w:val="en-US"/>
        </w:rPr>
        <w:t>±</w:t>
      </w:r>
      <w:r w:rsidRPr="009627FD">
        <w:rPr>
          <w:bCs/>
          <w:lang w:val="en-US"/>
        </w:rPr>
        <w:t>4.78, F</w:t>
      </w:r>
      <w:r w:rsidRPr="009627FD">
        <w:rPr>
          <w:bCs/>
          <w:vertAlign w:val="subscript"/>
          <w:lang w:val="en-US"/>
        </w:rPr>
        <w:t>(df)</w:t>
      </w:r>
      <w:r w:rsidRPr="009627FD">
        <w:rPr>
          <w:bCs/>
          <w:lang w:val="en-US"/>
        </w:rPr>
        <w:t>=57.27</w:t>
      </w:r>
      <w:r w:rsidRPr="009627FD">
        <w:rPr>
          <w:bCs/>
          <w:vertAlign w:val="subscript"/>
          <w:lang w:val="en-US"/>
        </w:rPr>
        <w:t>(1)</w:t>
      </w:r>
      <w:r w:rsidRPr="009627FD">
        <w:rPr>
          <w:bCs/>
          <w:lang w:val="en-US"/>
        </w:rPr>
        <w:t>, p&lt;.001, Welch</w:t>
      </w:r>
      <w:r w:rsidRPr="009627FD">
        <w:rPr>
          <w:bCs/>
          <w:vertAlign w:val="subscript"/>
          <w:lang w:val="en-US"/>
        </w:rPr>
        <w:t>(df)</w:t>
      </w:r>
      <w:r w:rsidRPr="009627FD">
        <w:rPr>
          <w:bCs/>
          <w:lang w:val="en-US"/>
        </w:rPr>
        <w:t>=5.61</w:t>
      </w:r>
      <w:r w:rsidRPr="009627FD">
        <w:rPr>
          <w:bCs/>
          <w:vertAlign w:val="subscript"/>
          <w:lang w:val="en-US"/>
        </w:rPr>
        <w:t>(451.78)</w:t>
      </w:r>
      <w:r w:rsidRPr="009627FD">
        <w:rPr>
          <w:bCs/>
          <w:lang w:val="en-US"/>
        </w:rPr>
        <w:t>, p&lt;.001) and on C-19ASS Avoidance (mean</w:t>
      </w:r>
      <w:r w:rsidRPr="009627FD">
        <w:rPr>
          <w:rFonts w:eastAsia="MS Gothic"/>
          <w:lang w:val="en-US"/>
        </w:rPr>
        <w:t>±</w:t>
      </w:r>
      <w:r w:rsidRPr="009627FD">
        <w:rPr>
          <w:bCs/>
          <w:lang w:val="en-US"/>
        </w:rPr>
        <w:t>SD=7.22</w:t>
      </w:r>
      <w:r w:rsidRPr="009627FD">
        <w:rPr>
          <w:rFonts w:eastAsia="MS Gothic"/>
          <w:lang w:val="en-US"/>
        </w:rPr>
        <w:t>±</w:t>
      </w:r>
      <w:r w:rsidRPr="009627FD">
        <w:rPr>
          <w:bCs/>
          <w:lang w:val="en-US"/>
        </w:rPr>
        <w:t xml:space="preserve">3.81 </w:t>
      </w:r>
      <w:r w:rsidRPr="009627FD">
        <w:rPr>
          <w:bCs/>
          <w:i/>
          <w:lang w:val="en-US"/>
        </w:rPr>
        <w:t xml:space="preserve">vs </w:t>
      </w:r>
      <w:r w:rsidRPr="009627FD">
        <w:rPr>
          <w:bCs/>
          <w:lang w:val="en-US"/>
        </w:rPr>
        <w:t>5.06</w:t>
      </w:r>
      <w:r w:rsidRPr="009627FD">
        <w:rPr>
          <w:rFonts w:eastAsia="MS Gothic"/>
          <w:lang w:val="en-US"/>
        </w:rPr>
        <w:t>±</w:t>
      </w:r>
      <w:r w:rsidRPr="009627FD">
        <w:rPr>
          <w:bCs/>
          <w:lang w:val="en-US"/>
        </w:rPr>
        <w:t>3.53, F</w:t>
      </w:r>
      <w:r w:rsidRPr="009627FD">
        <w:rPr>
          <w:bCs/>
          <w:vertAlign w:val="subscript"/>
          <w:lang w:val="en-US"/>
        </w:rPr>
        <w:t>(df)</w:t>
      </w:r>
      <w:r w:rsidRPr="009627FD">
        <w:rPr>
          <w:bCs/>
          <w:lang w:val="en-US"/>
        </w:rPr>
        <w:t>=41.89</w:t>
      </w:r>
      <w:r w:rsidRPr="009627FD">
        <w:rPr>
          <w:bCs/>
          <w:vertAlign w:val="subscript"/>
          <w:lang w:val="en-US"/>
        </w:rPr>
        <w:t>(1)</w:t>
      </w:r>
      <w:r w:rsidRPr="009627FD">
        <w:rPr>
          <w:bCs/>
          <w:lang w:val="en-US"/>
        </w:rPr>
        <w:t>, p&lt;.001, Welch</w:t>
      </w:r>
      <w:r w:rsidRPr="009627FD">
        <w:rPr>
          <w:bCs/>
          <w:vertAlign w:val="subscript"/>
          <w:lang w:val="en-US"/>
        </w:rPr>
        <w:t>(df)</w:t>
      </w:r>
      <w:r w:rsidRPr="009627FD">
        <w:rPr>
          <w:bCs/>
          <w:lang w:val="en-US"/>
        </w:rPr>
        <w:t>,41.70</w:t>
      </w:r>
      <w:r w:rsidRPr="009627FD">
        <w:rPr>
          <w:bCs/>
          <w:vertAlign w:val="subscript"/>
          <w:lang w:val="en-US"/>
        </w:rPr>
        <w:t>(473.31)</w:t>
      </w:r>
      <w:r w:rsidRPr="009627FD">
        <w:rPr>
          <w:bCs/>
          <w:lang w:val="en-US"/>
        </w:rPr>
        <w:t>,</w:t>
      </w:r>
      <w:r w:rsidRPr="009627FD">
        <w:rPr>
          <w:bCs/>
          <w:vertAlign w:val="subscript"/>
          <w:lang w:val="en-US"/>
        </w:rPr>
        <w:t xml:space="preserve"> </w:t>
      </w:r>
      <w:r w:rsidRPr="009627FD">
        <w:rPr>
          <w:bCs/>
          <w:lang w:val="en-US"/>
        </w:rPr>
        <w:t>p&lt;.001).</w:t>
      </w:r>
    </w:p>
    <w:p w14:paraId="6070C0CA" w14:textId="647EF0E8" w:rsidR="000F1DC1" w:rsidRDefault="000F1DC1" w:rsidP="000F1DC1">
      <w:pPr>
        <w:spacing w:line="360" w:lineRule="auto"/>
        <w:ind w:firstLine="708"/>
        <w:contextualSpacing/>
        <w:jc w:val="both"/>
        <w:rPr>
          <w:bCs/>
          <w:lang w:val="en-US"/>
        </w:rPr>
      </w:pPr>
      <w:r w:rsidRPr="009627FD">
        <w:rPr>
          <w:bCs/>
          <w:lang w:val="en-US"/>
        </w:rPr>
        <w:t xml:space="preserve">When health care workers were compared to the general population, no statistically significant differences were found on C-19ASS-Perseveration (mean±SD= 9.02±5.22 </w:t>
      </w:r>
      <w:r w:rsidRPr="009627FD">
        <w:rPr>
          <w:bCs/>
          <w:i/>
          <w:lang w:val="en-US"/>
        </w:rPr>
        <w:t>vs</w:t>
      </w:r>
      <w:r w:rsidRPr="009627FD">
        <w:rPr>
          <w:bCs/>
          <w:lang w:val="en-US"/>
        </w:rPr>
        <w:t xml:space="preserve"> 10.02± 5.75, F</w:t>
      </w:r>
      <w:r w:rsidRPr="009627FD">
        <w:rPr>
          <w:bCs/>
          <w:vertAlign w:val="subscript"/>
          <w:lang w:val="en-US"/>
        </w:rPr>
        <w:t>(df)</w:t>
      </w:r>
      <w:r w:rsidRPr="009627FD">
        <w:rPr>
          <w:bCs/>
          <w:lang w:val="en-US"/>
        </w:rPr>
        <w:t>=2.72</w:t>
      </w:r>
      <w:r w:rsidRPr="009627FD">
        <w:rPr>
          <w:bCs/>
          <w:vertAlign w:val="subscript"/>
          <w:lang w:val="en-US"/>
        </w:rPr>
        <w:t>(1)</w:t>
      </w:r>
      <w:r w:rsidRPr="009627FD">
        <w:rPr>
          <w:bCs/>
          <w:lang w:val="en-US"/>
        </w:rPr>
        <w:t>, p=.099, Welch</w:t>
      </w:r>
      <w:r w:rsidRPr="009627FD">
        <w:rPr>
          <w:bCs/>
          <w:vertAlign w:val="subscript"/>
          <w:lang w:val="en-US"/>
        </w:rPr>
        <w:t>(df)</w:t>
      </w:r>
      <w:r w:rsidRPr="009627FD">
        <w:rPr>
          <w:bCs/>
          <w:lang w:val="en-US"/>
        </w:rPr>
        <w:t>=3.02</w:t>
      </w:r>
      <w:r w:rsidRPr="009627FD">
        <w:rPr>
          <w:bCs/>
          <w:vertAlign w:val="subscript"/>
          <w:lang w:val="en-US"/>
        </w:rPr>
        <w:t>(201.74)</w:t>
      </w:r>
      <w:r w:rsidRPr="009627FD">
        <w:rPr>
          <w:bCs/>
          <w:lang w:val="en-US"/>
        </w:rPr>
        <w:t xml:space="preserve">, p=.084), while statistically significant differences were observed on C-19ASS-Avoidance (mean±SD= = 4.95±3.54 </w:t>
      </w:r>
      <w:r w:rsidRPr="009627FD">
        <w:rPr>
          <w:bCs/>
          <w:i/>
          <w:lang w:val="en-US"/>
        </w:rPr>
        <w:t>vs</w:t>
      </w:r>
      <w:r w:rsidRPr="009627FD">
        <w:rPr>
          <w:bCs/>
          <w:lang w:val="en-US"/>
        </w:rPr>
        <w:t xml:space="preserve"> 6.46±3.89, F</w:t>
      </w:r>
      <w:r w:rsidRPr="009627FD">
        <w:rPr>
          <w:bCs/>
          <w:vertAlign w:val="subscript"/>
          <w:lang w:val="en-US"/>
        </w:rPr>
        <w:t>(df)</w:t>
      </w:r>
      <w:r w:rsidRPr="009627FD">
        <w:rPr>
          <w:bCs/>
          <w:lang w:val="en-US"/>
        </w:rPr>
        <w:t>=13.90</w:t>
      </w:r>
      <w:r w:rsidRPr="009627FD">
        <w:rPr>
          <w:bCs/>
          <w:vertAlign w:val="subscript"/>
          <w:lang w:val="en-US"/>
        </w:rPr>
        <w:t>(1)</w:t>
      </w:r>
      <w:r w:rsidRPr="009627FD">
        <w:rPr>
          <w:bCs/>
          <w:lang w:val="en-US"/>
        </w:rPr>
        <w:t>, p&lt;.001, Welch</w:t>
      </w:r>
      <w:r w:rsidRPr="009627FD">
        <w:rPr>
          <w:bCs/>
          <w:vertAlign w:val="subscript"/>
          <w:lang w:val="en-US"/>
        </w:rPr>
        <w:t>(df)</w:t>
      </w:r>
      <w:r w:rsidRPr="009627FD">
        <w:rPr>
          <w:bCs/>
          <w:lang w:val="en-US"/>
        </w:rPr>
        <w:t>=16.27</w:t>
      </w:r>
      <w:r w:rsidRPr="009627FD">
        <w:rPr>
          <w:bCs/>
          <w:vertAlign w:val="subscript"/>
          <w:lang w:val="en-US"/>
        </w:rPr>
        <w:t>(211.89)</w:t>
      </w:r>
      <w:r w:rsidRPr="009627FD">
        <w:rPr>
          <w:bCs/>
          <w:lang w:val="en-US"/>
        </w:rPr>
        <w:t>, p&lt;.001).</w:t>
      </w:r>
    </w:p>
    <w:p w14:paraId="74ECE0B3" w14:textId="3E752CDC" w:rsidR="009627FD" w:rsidRDefault="009627FD" w:rsidP="000F1DC1">
      <w:pPr>
        <w:spacing w:line="360" w:lineRule="auto"/>
        <w:ind w:firstLine="708"/>
        <w:contextualSpacing/>
        <w:jc w:val="both"/>
        <w:rPr>
          <w:bCs/>
          <w:lang w:val="en-US"/>
        </w:rPr>
      </w:pPr>
    </w:p>
    <w:p w14:paraId="3046DB40" w14:textId="77777777" w:rsidR="009627FD" w:rsidRPr="009627FD" w:rsidRDefault="009627FD" w:rsidP="000F1DC1">
      <w:pPr>
        <w:spacing w:line="360" w:lineRule="auto"/>
        <w:ind w:firstLine="708"/>
        <w:contextualSpacing/>
        <w:jc w:val="both"/>
        <w:rPr>
          <w:bCs/>
          <w:lang w:val="en-US"/>
        </w:rPr>
      </w:pPr>
    </w:p>
    <w:p w14:paraId="2542230A" w14:textId="2A63C936" w:rsidR="002B3172" w:rsidRPr="009627FD" w:rsidRDefault="005820AC" w:rsidP="002B3172">
      <w:pPr>
        <w:spacing w:line="360" w:lineRule="auto"/>
        <w:contextualSpacing/>
        <w:jc w:val="both"/>
        <w:rPr>
          <w:b/>
          <w:lang w:val="en-US"/>
        </w:rPr>
      </w:pPr>
      <w:r w:rsidRPr="009627FD">
        <w:rPr>
          <w:b/>
          <w:bCs/>
          <w:lang w:val="en-US"/>
        </w:rPr>
        <w:lastRenderedPageBreak/>
        <w:t>5</w:t>
      </w:r>
      <w:r w:rsidR="002B3172" w:rsidRPr="009627FD">
        <w:rPr>
          <w:b/>
          <w:bCs/>
          <w:lang w:val="en-US"/>
        </w:rPr>
        <w:t>.</w:t>
      </w:r>
      <w:r w:rsidR="003E0F73" w:rsidRPr="009627FD">
        <w:rPr>
          <w:b/>
          <w:bCs/>
          <w:lang w:val="en-US"/>
        </w:rPr>
        <w:t>5</w:t>
      </w:r>
      <w:r w:rsidR="002B3172" w:rsidRPr="009627FD">
        <w:rPr>
          <w:b/>
          <w:bCs/>
          <w:lang w:val="en-US"/>
        </w:rPr>
        <w:t xml:space="preserve">. Mediating role of </w:t>
      </w:r>
      <w:r w:rsidR="00C65488" w:rsidRPr="009627FD">
        <w:rPr>
          <w:b/>
          <w:bCs/>
          <w:lang w:val="en-US"/>
        </w:rPr>
        <w:t xml:space="preserve">the </w:t>
      </w:r>
      <w:r w:rsidR="002B3172" w:rsidRPr="009627FD">
        <w:rPr>
          <w:b/>
          <w:bCs/>
          <w:lang w:val="en-US"/>
        </w:rPr>
        <w:t>Italian C</w:t>
      </w:r>
      <w:r w:rsidR="00EF610B" w:rsidRPr="009627FD">
        <w:rPr>
          <w:b/>
          <w:bCs/>
          <w:lang w:val="en-US"/>
        </w:rPr>
        <w:t>-19</w:t>
      </w:r>
      <w:r w:rsidR="002B3172" w:rsidRPr="009627FD">
        <w:rPr>
          <w:b/>
          <w:bCs/>
          <w:lang w:val="en-US"/>
        </w:rPr>
        <w:t xml:space="preserve">ASS </w:t>
      </w:r>
      <w:r w:rsidR="002B3172" w:rsidRPr="009627FD">
        <w:rPr>
          <w:b/>
          <w:lang w:val="en-US"/>
        </w:rPr>
        <w:t xml:space="preserve">between Big Five personality traits and </w:t>
      </w:r>
      <w:r w:rsidR="00101CD1" w:rsidRPr="009627FD">
        <w:rPr>
          <w:b/>
          <w:lang w:val="en-US"/>
        </w:rPr>
        <w:t xml:space="preserve">psychological </w:t>
      </w:r>
      <w:r w:rsidR="005D760B" w:rsidRPr="009627FD">
        <w:rPr>
          <w:b/>
          <w:lang w:val="en-US"/>
        </w:rPr>
        <w:t xml:space="preserve">outcomes </w:t>
      </w:r>
      <w:r w:rsidR="002B3172" w:rsidRPr="009627FD">
        <w:rPr>
          <w:b/>
          <w:lang w:val="en-US"/>
        </w:rPr>
        <w:t>in the Italian population</w:t>
      </w:r>
    </w:p>
    <w:p w14:paraId="70F315A8" w14:textId="6CB4B469" w:rsidR="007532E2" w:rsidRPr="009627FD" w:rsidRDefault="007532E2" w:rsidP="000B7C8C">
      <w:pPr>
        <w:spacing w:line="360" w:lineRule="auto"/>
        <w:jc w:val="both"/>
        <w:rPr>
          <w:bCs/>
          <w:lang w:val="en-US"/>
        </w:rPr>
      </w:pPr>
      <w:r w:rsidRPr="009627FD">
        <w:rPr>
          <w:bCs/>
          <w:lang w:val="en-US"/>
        </w:rPr>
        <w:t xml:space="preserve">The endogenous variables included in the path analysis (i.e., </w:t>
      </w:r>
      <w:r w:rsidRPr="009627FD">
        <w:rPr>
          <w:lang w:val="en-US"/>
        </w:rPr>
        <w:t>C-19ASS-Perseveration, C-19ASS-Avoidance, PHQ-9, GAD-7, HAQ</w:t>
      </w:r>
      <w:r w:rsidRPr="009627FD">
        <w:rPr>
          <w:bCs/>
          <w:lang w:val="en-US"/>
        </w:rPr>
        <w:t xml:space="preserve">) did not follow a multivariate normal distribution (Mardia’s skewness and Mardia’s kurtosis both showed </w:t>
      </w:r>
      <w:r w:rsidRPr="009627FD">
        <w:rPr>
          <w:bCs/>
          <w:i/>
          <w:lang w:val="en-US"/>
        </w:rPr>
        <w:t>p</w:t>
      </w:r>
      <w:r w:rsidRPr="009627FD">
        <w:rPr>
          <w:bCs/>
          <w:lang w:val="en-US"/>
        </w:rPr>
        <w:t xml:space="preserve"> &lt; .001), sustaining the use of </w:t>
      </w:r>
      <w:r w:rsidR="003E0F73" w:rsidRPr="009627FD">
        <w:rPr>
          <w:bCs/>
          <w:lang w:val="en-US"/>
        </w:rPr>
        <w:t xml:space="preserve">a </w:t>
      </w:r>
      <w:r w:rsidRPr="009627FD">
        <w:rPr>
          <w:bCs/>
          <w:lang w:val="en-US"/>
        </w:rPr>
        <w:t>bootstrap approach.</w:t>
      </w:r>
    </w:p>
    <w:p w14:paraId="18AD659B" w14:textId="65C276DE" w:rsidR="000B7C8C" w:rsidRPr="009627FD" w:rsidRDefault="007532E2" w:rsidP="0043040E">
      <w:pPr>
        <w:spacing w:line="360" w:lineRule="auto"/>
        <w:contextualSpacing/>
        <w:jc w:val="both"/>
        <w:rPr>
          <w:rStyle w:val="Hyperlink"/>
          <w:color w:val="auto"/>
          <w:u w:val="none"/>
          <w:lang w:val="en-US"/>
        </w:rPr>
      </w:pPr>
      <w:r w:rsidRPr="009627FD">
        <w:rPr>
          <w:lang w:val="en-US"/>
        </w:rPr>
        <w:t xml:space="preserve">Overall, </w:t>
      </w:r>
      <w:r w:rsidRPr="009627FD">
        <w:rPr>
          <w:color w:val="000000" w:themeColor="text1"/>
          <w:lang w:val="en-GB"/>
        </w:rPr>
        <w:t>b</w:t>
      </w:r>
      <w:r w:rsidRPr="009627FD">
        <w:rPr>
          <w:lang w:val="en-GB"/>
        </w:rPr>
        <w:t>ivariate correlations between the main variables of the study range from -.007 to .806, indicating that the maximum common variance is .65, which is considered a medium coefficient and suggest that variables are distinct from each other. The strongest association (</w:t>
      </w:r>
      <w:r w:rsidRPr="009627FD">
        <w:rPr>
          <w:i/>
          <w:lang w:val="en-GB"/>
        </w:rPr>
        <w:t>r</w:t>
      </w:r>
      <w:r w:rsidRPr="009627FD">
        <w:rPr>
          <w:lang w:val="en-GB"/>
        </w:rPr>
        <w:t xml:space="preserve"> = .806) is observed between PHQ-9 and GAD-7 but it is below </w:t>
      </w:r>
      <w:r w:rsidRPr="009627FD">
        <w:rPr>
          <w:i/>
          <w:lang w:val="en-GB"/>
        </w:rPr>
        <w:t>r</w:t>
      </w:r>
      <w:r w:rsidRPr="009627FD">
        <w:rPr>
          <w:lang w:val="en-GB"/>
        </w:rPr>
        <w:t xml:space="preserve"> = .85. </w:t>
      </w:r>
      <w:r w:rsidR="00B3381E" w:rsidRPr="009627FD">
        <w:rPr>
          <w:rStyle w:val="Hyperlink"/>
          <w:color w:val="auto"/>
          <w:u w:val="none"/>
          <w:lang w:val="en-US"/>
        </w:rPr>
        <w:t>Correlation analyses showed that: (1) both the C-19ASS-Perseveration and the C-19ASS-Avoidance were positively correlated HAQ</w:t>
      </w:r>
      <w:r w:rsidR="007C13E3" w:rsidRPr="009627FD">
        <w:rPr>
          <w:rStyle w:val="Hyperlink"/>
          <w:color w:val="auto"/>
          <w:u w:val="none"/>
          <w:lang w:val="en-US"/>
        </w:rPr>
        <w:t xml:space="preserve"> (C-19ASS-Perseveration: r = .521, p&lt;.01;  C-19ASS-Avoidance r = .311, p&lt;.01)</w:t>
      </w:r>
      <w:r w:rsidR="00B3381E" w:rsidRPr="009627FD">
        <w:rPr>
          <w:rStyle w:val="Hyperlink"/>
          <w:color w:val="auto"/>
          <w:u w:val="none"/>
          <w:lang w:val="en-US"/>
        </w:rPr>
        <w:t>, PHQ-9</w:t>
      </w:r>
      <w:r w:rsidR="007C13E3" w:rsidRPr="009627FD">
        <w:rPr>
          <w:rStyle w:val="Hyperlink"/>
          <w:color w:val="auto"/>
          <w:u w:val="none"/>
          <w:lang w:val="en-US"/>
        </w:rPr>
        <w:t xml:space="preserve"> (C-19ASS-Perseveration: r = .297, p&lt;.01;  C-19ASS-Avoidance r = .163, p&lt;.01)</w:t>
      </w:r>
      <w:r w:rsidR="00B3381E" w:rsidRPr="009627FD">
        <w:rPr>
          <w:rStyle w:val="Hyperlink"/>
          <w:color w:val="auto"/>
          <w:u w:val="none"/>
          <w:lang w:val="en-US"/>
        </w:rPr>
        <w:t>, GAD-7</w:t>
      </w:r>
      <w:r w:rsidR="007C13E3" w:rsidRPr="009627FD">
        <w:rPr>
          <w:rStyle w:val="Hyperlink"/>
          <w:color w:val="auto"/>
          <w:u w:val="none"/>
          <w:lang w:val="en-US"/>
        </w:rPr>
        <w:t xml:space="preserve"> (C-19ASS-Perseveration: r = .334, p&lt;.01;  C-19ASS-Avoidance r = .184, p&lt;.01)</w:t>
      </w:r>
      <w:r w:rsidR="00B3381E" w:rsidRPr="009627FD">
        <w:rPr>
          <w:rStyle w:val="Hyperlink"/>
          <w:color w:val="auto"/>
          <w:u w:val="none"/>
          <w:lang w:val="en-US"/>
        </w:rPr>
        <w:t xml:space="preserve">; (2) C-19ASS-Perseveration was negatively correlated with BFI-10-Conscientiousness </w:t>
      </w:r>
      <w:r w:rsidR="007C13E3" w:rsidRPr="009627FD">
        <w:rPr>
          <w:rStyle w:val="Hyperlink"/>
          <w:color w:val="auto"/>
          <w:u w:val="none"/>
          <w:lang w:val="en-US"/>
        </w:rPr>
        <w:t>(r = -.1</w:t>
      </w:r>
      <w:r w:rsidR="00E74C3D" w:rsidRPr="009627FD">
        <w:rPr>
          <w:rStyle w:val="Hyperlink"/>
          <w:color w:val="auto"/>
          <w:u w:val="none"/>
          <w:lang w:val="en-US"/>
        </w:rPr>
        <w:t>13</w:t>
      </w:r>
      <w:r w:rsidR="007C13E3" w:rsidRPr="009627FD">
        <w:rPr>
          <w:rStyle w:val="Hyperlink"/>
          <w:color w:val="auto"/>
          <w:u w:val="none"/>
          <w:lang w:val="en-US"/>
        </w:rPr>
        <w:t xml:space="preserve">, p&lt;.05) </w:t>
      </w:r>
      <w:r w:rsidR="00B3381E" w:rsidRPr="009627FD">
        <w:rPr>
          <w:rStyle w:val="Hyperlink"/>
          <w:color w:val="auto"/>
          <w:u w:val="none"/>
          <w:lang w:val="en-US"/>
        </w:rPr>
        <w:t>and BFI-10-Emotional stability</w:t>
      </w:r>
      <w:r w:rsidR="007C13E3" w:rsidRPr="009627FD">
        <w:rPr>
          <w:rStyle w:val="Hyperlink"/>
          <w:color w:val="auto"/>
          <w:u w:val="none"/>
          <w:lang w:val="en-US"/>
        </w:rPr>
        <w:t xml:space="preserve"> (r</w:t>
      </w:r>
      <w:r w:rsidR="00E74C3D" w:rsidRPr="009627FD">
        <w:rPr>
          <w:rStyle w:val="Hyperlink"/>
          <w:color w:val="auto"/>
          <w:u w:val="none"/>
          <w:lang w:val="en-US"/>
        </w:rPr>
        <w:t xml:space="preserve"> </w:t>
      </w:r>
      <w:r w:rsidR="007C13E3" w:rsidRPr="009627FD">
        <w:rPr>
          <w:rStyle w:val="Hyperlink"/>
          <w:color w:val="auto"/>
          <w:u w:val="none"/>
          <w:lang w:val="en-US"/>
        </w:rPr>
        <w:t>= -.</w:t>
      </w:r>
      <w:r w:rsidR="00E74C3D" w:rsidRPr="009627FD">
        <w:rPr>
          <w:rStyle w:val="Hyperlink"/>
          <w:color w:val="auto"/>
          <w:u w:val="none"/>
          <w:lang w:val="en-US"/>
        </w:rPr>
        <w:t>278</w:t>
      </w:r>
      <w:r w:rsidR="007C13E3" w:rsidRPr="009627FD">
        <w:rPr>
          <w:rStyle w:val="Hyperlink"/>
          <w:color w:val="auto"/>
          <w:u w:val="none"/>
          <w:lang w:val="en-US"/>
        </w:rPr>
        <w:t>, p&lt;.001)</w:t>
      </w:r>
      <w:r w:rsidR="00B3381E" w:rsidRPr="009627FD">
        <w:rPr>
          <w:rStyle w:val="Hyperlink"/>
          <w:color w:val="auto"/>
          <w:u w:val="none"/>
          <w:lang w:val="en-US"/>
        </w:rPr>
        <w:t>; (3)</w:t>
      </w:r>
      <w:r w:rsidR="00C3345A" w:rsidRPr="009627FD">
        <w:rPr>
          <w:rStyle w:val="Hyperlink"/>
          <w:color w:val="auto"/>
          <w:u w:val="none"/>
          <w:lang w:val="en-US"/>
        </w:rPr>
        <w:t xml:space="preserve"> </w:t>
      </w:r>
      <w:r w:rsidR="00B3381E" w:rsidRPr="009627FD">
        <w:rPr>
          <w:rStyle w:val="Hyperlink"/>
          <w:color w:val="auto"/>
          <w:u w:val="none"/>
          <w:lang w:val="en-US"/>
        </w:rPr>
        <w:t>C-19ASS-Avoidance was negatively correlated with BFI-10-Emotional stability</w:t>
      </w:r>
      <w:r w:rsidR="00E74C3D" w:rsidRPr="009627FD">
        <w:rPr>
          <w:rStyle w:val="Hyperlink"/>
          <w:color w:val="auto"/>
          <w:u w:val="none"/>
          <w:lang w:val="en-US"/>
        </w:rPr>
        <w:t xml:space="preserve"> (r = -.201, p&lt;.001)</w:t>
      </w:r>
      <w:r w:rsidR="00B3381E" w:rsidRPr="009627FD">
        <w:rPr>
          <w:rStyle w:val="Hyperlink"/>
          <w:color w:val="auto"/>
          <w:u w:val="none"/>
          <w:lang w:val="en-US"/>
        </w:rPr>
        <w:t xml:space="preserve">; </w:t>
      </w:r>
      <w:r w:rsidR="005D760B" w:rsidRPr="009627FD">
        <w:rPr>
          <w:rStyle w:val="Hyperlink"/>
          <w:color w:val="auto"/>
          <w:u w:val="none"/>
          <w:lang w:val="en-US"/>
        </w:rPr>
        <w:t xml:space="preserve">and </w:t>
      </w:r>
      <w:r w:rsidR="00B3381E" w:rsidRPr="009627FD">
        <w:rPr>
          <w:rStyle w:val="Hyperlink"/>
          <w:color w:val="auto"/>
          <w:u w:val="none"/>
          <w:lang w:val="en-US"/>
        </w:rPr>
        <w:t xml:space="preserve">(4) all BFI-10 </w:t>
      </w:r>
      <w:r w:rsidR="00880C98" w:rsidRPr="009627FD">
        <w:rPr>
          <w:rStyle w:val="Hyperlink"/>
          <w:color w:val="auto"/>
          <w:u w:val="none"/>
          <w:lang w:val="en-US"/>
        </w:rPr>
        <w:t>factors</w:t>
      </w:r>
      <w:r w:rsidR="00B3381E" w:rsidRPr="009627FD">
        <w:rPr>
          <w:rStyle w:val="Hyperlink"/>
          <w:color w:val="auto"/>
          <w:u w:val="none"/>
          <w:lang w:val="en-US"/>
        </w:rPr>
        <w:t xml:space="preserve"> were negatively correlated with HAQ, PHQ-9 GAD-7</w:t>
      </w:r>
      <w:r w:rsidR="00E74C3D" w:rsidRPr="009627FD">
        <w:rPr>
          <w:rStyle w:val="Hyperlink"/>
          <w:color w:val="auto"/>
          <w:u w:val="none"/>
          <w:lang w:val="en-US"/>
        </w:rPr>
        <w:t xml:space="preserve"> (r value ranged from -.559 to -.171, p&lt;.001)</w:t>
      </w:r>
      <w:r w:rsidR="00B3381E" w:rsidRPr="009627FD">
        <w:rPr>
          <w:rStyle w:val="Hyperlink"/>
          <w:color w:val="auto"/>
          <w:u w:val="none"/>
          <w:lang w:val="en-US"/>
        </w:rPr>
        <w:t>, expected for BFI-10 Openness (Table 3).</w:t>
      </w:r>
      <w:r w:rsidRPr="009627FD">
        <w:rPr>
          <w:rStyle w:val="Hyperlink"/>
          <w:color w:val="auto"/>
          <w:u w:val="none"/>
          <w:lang w:val="en-US"/>
        </w:rPr>
        <w:t xml:space="preserve"> </w:t>
      </w:r>
    </w:p>
    <w:p w14:paraId="58113770" w14:textId="1CEF5B60" w:rsidR="009D5E79" w:rsidRPr="009627FD" w:rsidRDefault="00890DD6" w:rsidP="00890DD6">
      <w:pPr>
        <w:spacing w:line="360" w:lineRule="auto"/>
        <w:jc w:val="both"/>
        <w:rPr>
          <w:bCs/>
          <w:lang w:val="en-US"/>
        </w:rPr>
      </w:pPr>
      <w:r w:rsidRPr="009627FD">
        <w:rPr>
          <w:rStyle w:val="Hyperlink"/>
          <w:color w:val="auto"/>
          <w:u w:val="none"/>
          <w:lang w:val="en-US"/>
        </w:rPr>
        <w:t xml:space="preserve">  </w:t>
      </w:r>
      <w:r w:rsidRPr="009627FD">
        <w:rPr>
          <w:rStyle w:val="Hyperlink"/>
          <w:color w:val="auto"/>
          <w:u w:val="none"/>
          <w:lang w:val="en-US"/>
        </w:rPr>
        <w:tab/>
      </w:r>
      <w:r w:rsidR="008158F9" w:rsidRPr="009627FD">
        <w:rPr>
          <w:rStyle w:val="Hyperlink"/>
          <w:color w:val="auto"/>
          <w:u w:val="none"/>
          <w:lang w:val="en-US"/>
        </w:rPr>
        <w:t>A first version of the model was tested including all the variables of interest. However,</w:t>
      </w:r>
      <w:r w:rsidR="000B7C8C" w:rsidRPr="009627FD">
        <w:rPr>
          <w:rStyle w:val="Hyperlink"/>
          <w:color w:val="auto"/>
          <w:u w:val="none"/>
          <w:lang w:val="en-US"/>
        </w:rPr>
        <w:t xml:space="preserve"> </w:t>
      </w:r>
      <w:r w:rsidR="008158F9" w:rsidRPr="009627FD">
        <w:rPr>
          <w:rStyle w:val="Hyperlink"/>
          <w:color w:val="auto"/>
          <w:u w:val="none"/>
          <w:lang w:val="en-US"/>
        </w:rPr>
        <w:t xml:space="preserve">several path coefficients were not significant at the </w:t>
      </w:r>
      <w:r w:rsidR="008158F9" w:rsidRPr="009627FD">
        <w:rPr>
          <w:rStyle w:val="Hyperlink"/>
          <w:i/>
          <w:iCs/>
          <w:color w:val="auto"/>
          <w:u w:val="none"/>
          <w:lang w:val="en-US"/>
        </w:rPr>
        <w:t>p</w:t>
      </w:r>
      <w:r w:rsidR="008158F9" w:rsidRPr="009627FD">
        <w:rPr>
          <w:rStyle w:val="Hyperlink"/>
          <w:color w:val="auto"/>
          <w:u w:val="none"/>
          <w:lang w:val="en-US"/>
        </w:rPr>
        <w:t xml:space="preserve"> &lt;.05 level and were removed step by step</w:t>
      </w:r>
      <w:r w:rsidR="005A6AEF" w:rsidRPr="009627FD">
        <w:rPr>
          <w:rStyle w:val="Hyperlink"/>
          <w:color w:val="auto"/>
          <w:u w:val="none"/>
          <w:lang w:val="en-US"/>
        </w:rPr>
        <w:t>.</w:t>
      </w:r>
      <w:r w:rsidR="008158F9" w:rsidRPr="009627FD">
        <w:rPr>
          <w:rStyle w:val="Hyperlink"/>
          <w:color w:val="auto"/>
          <w:u w:val="none"/>
          <w:lang w:val="en-US"/>
        </w:rPr>
        <w:t xml:space="preserve"> </w:t>
      </w:r>
      <w:r w:rsidR="008158F9" w:rsidRPr="009627FD">
        <w:rPr>
          <w:bCs/>
          <w:lang w:val="en-US"/>
        </w:rPr>
        <w:t xml:space="preserve">Therefore, </w:t>
      </w:r>
      <w:r w:rsidR="008158F9" w:rsidRPr="009627FD">
        <w:rPr>
          <w:rStyle w:val="Hyperlink"/>
          <w:color w:val="auto"/>
          <w:u w:val="none"/>
          <w:lang w:val="en-US"/>
        </w:rPr>
        <w:t xml:space="preserve">the final model </w:t>
      </w:r>
      <w:r w:rsidR="00074C26" w:rsidRPr="009627FD">
        <w:rPr>
          <w:rStyle w:val="Hyperlink"/>
          <w:color w:val="auto"/>
          <w:u w:val="none"/>
          <w:lang w:val="en-US"/>
        </w:rPr>
        <w:t xml:space="preserve">is depicted in Figure 2 and </w:t>
      </w:r>
      <w:r w:rsidR="008158F9" w:rsidRPr="009627FD">
        <w:rPr>
          <w:rStyle w:val="Hyperlink"/>
          <w:color w:val="auto"/>
          <w:u w:val="none"/>
          <w:lang w:val="en-US"/>
        </w:rPr>
        <w:t>includ</w:t>
      </w:r>
      <w:r w:rsidR="00074C26" w:rsidRPr="009627FD">
        <w:rPr>
          <w:rStyle w:val="Hyperlink"/>
          <w:color w:val="auto"/>
          <w:u w:val="none"/>
          <w:lang w:val="en-US"/>
        </w:rPr>
        <w:t>ed all the significant paths</w:t>
      </w:r>
      <w:r w:rsidR="008158F9" w:rsidRPr="009627FD">
        <w:rPr>
          <w:rStyle w:val="Hyperlink"/>
          <w:color w:val="auto"/>
          <w:u w:val="none"/>
          <w:lang w:val="en-US"/>
        </w:rPr>
        <w:t xml:space="preserve">. In this model, </w:t>
      </w:r>
      <w:r w:rsidR="00074C26" w:rsidRPr="009627FD">
        <w:rPr>
          <w:rStyle w:val="Hyperlink"/>
          <w:color w:val="auto"/>
          <w:u w:val="none"/>
          <w:lang w:val="en-US"/>
        </w:rPr>
        <w:t>only one personality trait</w:t>
      </w:r>
      <w:r w:rsidR="008158F9" w:rsidRPr="009627FD">
        <w:rPr>
          <w:rStyle w:val="Hyperlink"/>
          <w:color w:val="auto"/>
          <w:u w:val="none"/>
          <w:lang w:val="en-US"/>
        </w:rPr>
        <w:t xml:space="preserve"> (i.e.</w:t>
      </w:r>
      <w:r w:rsidR="00A2293F" w:rsidRPr="009627FD">
        <w:rPr>
          <w:rStyle w:val="Hyperlink"/>
          <w:color w:val="auto"/>
          <w:u w:val="none"/>
          <w:lang w:val="en-US"/>
        </w:rPr>
        <w:t>,</w:t>
      </w:r>
      <w:r w:rsidR="008158F9" w:rsidRPr="009627FD">
        <w:rPr>
          <w:rStyle w:val="Hyperlink"/>
          <w:color w:val="auto"/>
          <w:u w:val="none"/>
          <w:lang w:val="en-US"/>
        </w:rPr>
        <w:t xml:space="preserve"> </w:t>
      </w:r>
      <w:r w:rsidR="009D5E79" w:rsidRPr="009627FD">
        <w:rPr>
          <w:lang w:val="en-US"/>
        </w:rPr>
        <w:t>BFI-</w:t>
      </w:r>
      <w:r w:rsidR="000B7C8C" w:rsidRPr="009627FD">
        <w:rPr>
          <w:lang w:val="en-US"/>
        </w:rPr>
        <w:t>10-</w:t>
      </w:r>
      <w:r w:rsidR="009D5E79" w:rsidRPr="009627FD">
        <w:rPr>
          <w:bCs/>
          <w:lang w:val="en-US"/>
        </w:rPr>
        <w:t>E</w:t>
      </w:r>
      <w:r w:rsidR="00074C26" w:rsidRPr="009627FD">
        <w:rPr>
          <w:bCs/>
          <w:lang w:val="en-US"/>
        </w:rPr>
        <w:t xml:space="preserve">motional </w:t>
      </w:r>
      <w:r w:rsidR="009D5E79" w:rsidRPr="009627FD">
        <w:rPr>
          <w:bCs/>
          <w:lang w:val="en-US"/>
        </w:rPr>
        <w:t>S</w:t>
      </w:r>
      <w:r w:rsidR="00074C26" w:rsidRPr="009627FD">
        <w:rPr>
          <w:bCs/>
          <w:lang w:val="en-US"/>
        </w:rPr>
        <w:t>tability) was</w:t>
      </w:r>
      <w:r w:rsidR="008158F9" w:rsidRPr="009627FD">
        <w:rPr>
          <w:bCs/>
          <w:lang w:val="en-US"/>
        </w:rPr>
        <w:t xml:space="preserve"> negatively associated with </w:t>
      </w:r>
      <w:r w:rsidR="00191899" w:rsidRPr="009627FD">
        <w:rPr>
          <w:bCs/>
          <w:lang w:val="en-US"/>
        </w:rPr>
        <w:t>the two factors of the C</w:t>
      </w:r>
      <w:r w:rsidR="00A2293F" w:rsidRPr="009627FD">
        <w:rPr>
          <w:bCs/>
          <w:lang w:val="en-US"/>
        </w:rPr>
        <w:t>-19</w:t>
      </w:r>
      <w:r w:rsidR="00191899" w:rsidRPr="009627FD">
        <w:rPr>
          <w:bCs/>
          <w:lang w:val="en-US"/>
        </w:rPr>
        <w:t>ASS</w:t>
      </w:r>
      <w:r w:rsidR="00A2293F" w:rsidRPr="009627FD">
        <w:rPr>
          <w:bCs/>
          <w:lang w:val="en-US"/>
        </w:rPr>
        <w:t xml:space="preserve"> (</w:t>
      </w:r>
      <w:r w:rsidR="00D3014B" w:rsidRPr="009627FD">
        <w:rPr>
          <w:bCs/>
          <w:lang w:val="en-US"/>
        </w:rPr>
        <w:t xml:space="preserve">i.e., </w:t>
      </w:r>
      <w:r w:rsidR="00A2293F" w:rsidRPr="009627FD">
        <w:rPr>
          <w:bCs/>
          <w:lang w:val="en-US"/>
        </w:rPr>
        <w:t>C-19ASS-Persev</w:t>
      </w:r>
      <w:r w:rsidR="005A670A" w:rsidRPr="009627FD">
        <w:rPr>
          <w:bCs/>
          <w:lang w:val="en-US"/>
        </w:rPr>
        <w:t>era</w:t>
      </w:r>
      <w:r w:rsidR="00A2293F" w:rsidRPr="009627FD">
        <w:rPr>
          <w:bCs/>
          <w:lang w:val="en-US"/>
        </w:rPr>
        <w:t>tion</w:t>
      </w:r>
      <w:r w:rsidR="00CC2AA4" w:rsidRPr="009627FD">
        <w:rPr>
          <w:bCs/>
          <w:lang w:val="en-US"/>
        </w:rPr>
        <w:t xml:space="preserve"> and</w:t>
      </w:r>
      <w:r w:rsidR="00A2293F" w:rsidRPr="009627FD">
        <w:rPr>
          <w:bCs/>
          <w:lang w:val="en-US"/>
        </w:rPr>
        <w:t xml:space="preserve"> C-19ASS-Avoidance)</w:t>
      </w:r>
      <w:r w:rsidR="008158F9" w:rsidRPr="009627FD">
        <w:rPr>
          <w:bCs/>
          <w:lang w:val="en-US"/>
        </w:rPr>
        <w:t xml:space="preserve">. </w:t>
      </w:r>
      <w:r w:rsidR="009D5E79" w:rsidRPr="009627FD">
        <w:rPr>
          <w:lang w:val="en-US"/>
        </w:rPr>
        <w:t>BFI-</w:t>
      </w:r>
      <w:r w:rsidR="000B7C8C" w:rsidRPr="009627FD">
        <w:rPr>
          <w:lang w:val="en-US"/>
        </w:rPr>
        <w:t>10-</w:t>
      </w:r>
      <w:r w:rsidR="009D5E79" w:rsidRPr="009627FD">
        <w:rPr>
          <w:bCs/>
          <w:lang w:val="en-US"/>
        </w:rPr>
        <w:t xml:space="preserve">Emotional </w:t>
      </w:r>
      <w:r w:rsidR="000B7C8C" w:rsidRPr="009627FD">
        <w:rPr>
          <w:bCs/>
          <w:lang w:val="en-US"/>
        </w:rPr>
        <w:t>stability</w:t>
      </w:r>
      <w:r w:rsidR="000B7C8C" w:rsidRPr="009627FD">
        <w:rPr>
          <w:lang w:val="en-US"/>
        </w:rPr>
        <w:t xml:space="preserve"> </w:t>
      </w:r>
      <w:r w:rsidR="009D5E79" w:rsidRPr="009627FD">
        <w:rPr>
          <w:lang w:val="en-US"/>
        </w:rPr>
        <w:t>was also directly and negatively associated with the three outcomes, whereas BFI-10</w:t>
      </w:r>
      <w:r w:rsidR="000B7C8C" w:rsidRPr="009627FD">
        <w:rPr>
          <w:lang w:val="en-US"/>
        </w:rPr>
        <w:t>-</w:t>
      </w:r>
      <w:r w:rsidR="009D5E79" w:rsidRPr="009627FD">
        <w:rPr>
          <w:lang w:val="en-US"/>
        </w:rPr>
        <w:t xml:space="preserve"> Conscientiousness</w:t>
      </w:r>
      <w:r w:rsidR="009D5E79" w:rsidRPr="009627FD">
        <w:rPr>
          <w:bCs/>
          <w:lang w:val="en-US"/>
        </w:rPr>
        <w:t xml:space="preserve"> was directly and nega</w:t>
      </w:r>
      <w:r w:rsidR="00191899" w:rsidRPr="009627FD">
        <w:rPr>
          <w:bCs/>
          <w:lang w:val="en-US"/>
        </w:rPr>
        <w:t xml:space="preserve">tively associated with </w:t>
      </w:r>
      <w:r w:rsidR="009D5E79" w:rsidRPr="009627FD">
        <w:rPr>
          <w:bCs/>
          <w:lang w:val="en-US"/>
        </w:rPr>
        <w:t>two outcomes (</w:t>
      </w:r>
      <w:r w:rsidR="00980534" w:rsidRPr="009627FD">
        <w:rPr>
          <w:bCs/>
          <w:lang w:val="en-US"/>
        </w:rPr>
        <w:t xml:space="preserve">i.e., </w:t>
      </w:r>
      <w:r w:rsidR="009D5E79" w:rsidRPr="009627FD">
        <w:rPr>
          <w:bCs/>
          <w:lang w:val="en-US"/>
        </w:rPr>
        <w:t>PHQ-9 and GAD-7), and</w:t>
      </w:r>
      <w:r w:rsidR="00191899" w:rsidRPr="009627FD">
        <w:rPr>
          <w:bCs/>
          <w:lang w:val="en-US"/>
        </w:rPr>
        <w:t xml:space="preserve"> </w:t>
      </w:r>
      <w:r w:rsidR="009D5E79" w:rsidRPr="009627FD">
        <w:rPr>
          <w:lang w:val="en-US"/>
        </w:rPr>
        <w:t>BFI-</w:t>
      </w:r>
      <w:r w:rsidR="000B7C8C" w:rsidRPr="009627FD">
        <w:rPr>
          <w:lang w:val="en-US"/>
        </w:rPr>
        <w:t>10-</w:t>
      </w:r>
      <w:r w:rsidR="009D5E79" w:rsidRPr="009627FD">
        <w:rPr>
          <w:lang w:val="en-US"/>
        </w:rPr>
        <w:t>Extraversion</w:t>
      </w:r>
      <w:r w:rsidR="00191899" w:rsidRPr="009627FD">
        <w:rPr>
          <w:bCs/>
          <w:lang w:val="en-US"/>
        </w:rPr>
        <w:t xml:space="preserve"> was negatively and directly associated with </w:t>
      </w:r>
      <w:r w:rsidR="009D5E79" w:rsidRPr="009627FD">
        <w:rPr>
          <w:iCs/>
          <w:lang w:val="en-US"/>
        </w:rPr>
        <w:t>PHQ-9</w:t>
      </w:r>
      <w:r w:rsidR="00191899" w:rsidRPr="009627FD">
        <w:rPr>
          <w:bCs/>
          <w:lang w:val="en-US"/>
        </w:rPr>
        <w:t xml:space="preserve">, though </w:t>
      </w:r>
      <w:r w:rsidR="009D5E79" w:rsidRPr="009627FD">
        <w:rPr>
          <w:bCs/>
          <w:lang w:val="en-US"/>
        </w:rPr>
        <w:t xml:space="preserve">very </w:t>
      </w:r>
      <w:r w:rsidR="00191899" w:rsidRPr="009627FD">
        <w:rPr>
          <w:bCs/>
          <w:lang w:val="en-US"/>
        </w:rPr>
        <w:t xml:space="preserve">weakly. </w:t>
      </w:r>
    </w:p>
    <w:p w14:paraId="5BE88113" w14:textId="701FC6FA" w:rsidR="008158F9" w:rsidRPr="009627FD" w:rsidRDefault="008158F9" w:rsidP="00890DD6">
      <w:pPr>
        <w:spacing w:line="360" w:lineRule="auto"/>
        <w:ind w:firstLine="708"/>
        <w:jc w:val="both"/>
        <w:rPr>
          <w:bCs/>
          <w:lang w:val="en-US"/>
        </w:rPr>
      </w:pPr>
      <w:r w:rsidRPr="009627FD">
        <w:rPr>
          <w:bCs/>
          <w:lang w:val="en-US"/>
        </w:rPr>
        <w:t>With regards to the COVID-19 anxiety syndrome,</w:t>
      </w:r>
      <w:r w:rsidR="00191899" w:rsidRPr="009627FD">
        <w:rPr>
          <w:bCs/>
          <w:lang w:val="en-US"/>
        </w:rPr>
        <w:t xml:space="preserve"> only C19-ASS Perseveration was associated with the three outcomes (</w:t>
      </w:r>
      <w:r w:rsidR="00CC2AA4" w:rsidRPr="009627FD">
        <w:rPr>
          <w:bCs/>
          <w:lang w:val="en-US"/>
        </w:rPr>
        <w:t xml:space="preserve">i.e., </w:t>
      </w:r>
      <w:r w:rsidR="00191899" w:rsidRPr="009627FD">
        <w:rPr>
          <w:bCs/>
          <w:lang w:val="en-US"/>
        </w:rPr>
        <w:t>PHQ-9, GAD-7, and HAQ)</w:t>
      </w:r>
      <w:r w:rsidRPr="009627FD">
        <w:rPr>
          <w:bCs/>
          <w:lang w:val="en-US"/>
        </w:rPr>
        <w:t>.</w:t>
      </w:r>
      <w:r w:rsidR="00DF6481" w:rsidRPr="009627FD">
        <w:rPr>
          <w:bCs/>
          <w:lang w:val="en-US"/>
        </w:rPr>
        <w:t xml:space="preserve"> </w:t>
      </w:r>
      <w:r w:rsidRPr="009627FD">
        <w:rPr>
          <w:bCs/>
          <w:lang w:val="en-US"/>
        </w:rPr>
        <w:t xml:space="preserve">Regarding the control variables, </w:t>
      </w:r>
      <w:r w:rsidR="00DF6481" w:rsidRPr="009627FD">
        <w:rPr>
          <w:lang w:val="en-US"/>
        </w:rPr>
        <w:t xml:space="preserve">perception of vulnerability to </w:t>
      </w:r>
      <w:r w:rsidR="00A2436E" w:rsidRPr="009627FD">
        <w:rPr>
          <w:lang w:val="en-US"/>
        </w:rPr>
        <w:t xml:space="preserve">COVID-19 </w:t>
      </w:r>
      <w:r w:rsidRPr="009627FD">
        <w:rPr>
          <w:bCs/>
          <w:lang w:val="en-US"/>
        </w:rPr>
        <w:t xml:space="preserve">was </w:t>
      </w:r>
      <w:r w:rsidR="007C33E4" w:rsidRPr="009627FD">
        <w:rPr>
          <w:bCs/>
          <w:lang w:val="en-US"/>
        </w:rPr>
        <w:t xml:space="preserve">positively </w:t>
      </w:r>
      <w:r w:rsidR="003E355D" w:rsidRPr="009627FD">
        <w:rPr>
          <w:bCs/>
          <w:lang w:val="en-US"/>
        </w:rPr>
        <w:t xml:space="preserve">associated </w:t>
      </w:r>
      <w:r w:rsidRPr="009627FD">
        <w:rPr>
          <w:bCs/>
          <w:lang w:val="en-US"/>
        </w:rPr>
        <w:t xml:space="preserve">to </w:t>
      </w:r>
      <w:r w:rsidR="007C33E4" w:rsidRPr="009627FD">
        <w:rPr>
          <w:bCs/>
          <w:lang w:val="en-US"/>
        </w:rPr>
        <w:t>both</w:t>
      </w:r>
      <w:r w:rsidRPr="009627FD">
        <w:rPr>
          <w:bCs/>
          <w:lang w:val="en-US"/>
        </w:rPr>
        <w:t xml:space="preserve"> the </w:t>
      </w:r>
      <w:r w:rsidR="007C33E4" w:rsidRPr="009627FD">
        <w:rPr>
          <w:bCs/>
          <w:lang w:val="en-US"/>
        </w:rPr>
        <w:t>two</w:t>
      </w:r>
      <w:r w:rsidRPr="009627FD">
        <w:rPr>
          <w:bCs/>
          <w:lang w:val="en-US"/>
        </w:rPr>
        <w:t xml:space="preserve"> mediators, whereas </w:t>
      </w:r>
      <w:r w:rsidR="007C33E4" w:rsidRPr="009627FD">
        <w:rPr>
          <w:bCs/>
          <w:lang w:val="en-US"/>
        </w:rPr>
        <w:t>health workers</w:t>
      </w:r>
      <w:r w:rsidR="002907AE" w:rsidRPr="009627FD">
        <w:rPr>
          <w:bCs/>
          <w:lang w:val="en-US"/>
        </w:rPr>
        <w:t xml:space="preserve"> (no </w:t>
      </w:r>
      <w:r w:rsidR="002907AE" w:rsidRPr="009627FD">
        <w:rPr>
          <w:bCs/>
          <w:i/>
          <w:lang w:val="en-US"/>
        </w:rPr>
        <w:t>vs</w:t>
      </w:r>
      <w:r w:rsidR="002907AE" w:rsidRPr="009627FD">
        <w:rPr>
          <w:bCs/>
          <w:lang w:val="en-US"/>
        </w:rPr>
        <w:t xml:space="preserve"> yes) </w:t>
      </w:r>
      <w:r w:rsidRPr="009627FD">
        <w:rPr>
          <w:bCs/>
          <w:lang w:val="en-US"/>
        </w:rPr>
        <w:t>was</w:t>
      </w:r>
      <w:r w:rsidR="002907AE" w:rsidRPr="009627FD">
        <w:rPr>
          <w:bCs/>
          <w:lang w:val="en-US"/>
        </w:rPr>
        <w:t xml:space="preserve"> negatively</w:t>
      </w:r>
      <w:r w:rsidRPr="009627FD">
        <w:rPr>
          <w:bCs/>
          <w:lang w:val="en-US"/>
        </w:rPr>
        <w:t xml:space="preserve"> </w:t>
      </w:r>
      <w:r w:rsidR="003E355D" w:rsidRPr="009627FD">
        <w:rPr>
          <w:bCs/>
          <w:lang w:val="en-US"/>
        </w:rPr>
        <w:t xml:space="preserve">associated </w:t>
      </w:r>
      <w:r w:rsidRPr="009627FD">
        <w:rPr>
          <w:bCs/>
          <w:lang w:val="en-US"/>
        </w:rPr>
        <w:t>to</w:t>
      </w:r>
      <w:r w:rsidR="002907AE" w:rsidRPr="009627FD">
        <w:rPr>
          <w:bCs/>
          <w:lang w:val="en-US"/>
        </w:rPr>
        <w:t xml:space="preserve"> C</w:t>
      </w:r>
      <w:r w:rsidR="004124DE" w:rsidRPr="009627FD">
        <w:rPr>
          <w:bCs/>
          <w:lang w:val="en-US"/>
        </w:rPr>
        <w:t>-19ASS-</w:t>
      </w:r>
      <w:r w:rsidR="002907AE" w:rsidRPr="009627FD">
        <w:rPr>
          <w:bCs/>
          <w:lang w:val="en-US"/>
        </w:rPr>
        <w:t>Avoidance, and to all the three outcomes. Gender (</w:t>
      </w:r>
      <w:r w:rsidR="004124DE" w:rsidRPr="009627FD">
        <w:rPr>
          <w:bCs/>
          <w:lang w:val="en-US"/>
        </w:rPr>
        <w:t>male</w:t>
      </w:r>
      <w:r w:rsidR="00CC2AA4" w:rsidRPr="009627FD">
        <w:rPr>
          <w:bCs/>
          <w:lang w:val="en-US"/>
        </w:rPr>
        <w:t>s</w:t>
      </w:r>
      <w:r w:rsidR="002907AE" w:rsidRPr="009627FD">
        <w:rPr>
          <w:bCs/>
          <w:lang w:val="en-US"/>
        </w:rPr>
        <w:t xml:space="preserve"> </w:t>
      </w:r>
      <w:r w:rsidR="002907AE" w:rsidRPr="009627FD">
        <w:rPr>
          <w:bCs/>
          <w:i/>
          <w:lang w:val="en-US"/>
        </w:rPr>
        <w:t>vs</w:t>
      </w:r>
      <w:r w:rsidR="002907AE" w:rsidRPr="009627FD">
        <w:rPr>
          <w:bCs/>
          <w:lang w:val="en-US"/>
        </w:rPr>
        <w:t xml:space="preserve"> </w:t>
      </w:r>
      <w:r w:rsidR="004124DE" w:rsidRPr="009627FD">
        <w:rPr>
          <w:bCs/>
          <w:lang w:val="en-US"/>
        </w:rPr>
        <w:t>female</w:t>
      </w:r>
      <w:r w:rsidR="00CC2AA4" w:rsidRPr="009627FD">
        <w:rPr>
          <w:bCs/>
          <w:lang w:val="en-US"/>
        </w:rPr>
        <w:t>s</w:t>
      </w:r>
      <w:r w:rsidR="002907AE" w:rsidRPr="009627FD">
        <w:rPr>
          <w:bCs/>
          <w:lang w:val="en-US"/>
        </w:rPr>
        <w:t xml:space="preserve">) was weakly </w:t>
      </w:r>
      <w:r w:rsidR="003E355D" w:rsidRPr="009627FD">
        <w:rPr>
          <w:bCs/>
          <w:lang w:val="en-US"/>
        </w:rPr>
        <w:t xml:space="preserve">associated </w:t>
      </w:r>
      <w:r w:rsidR="002907AE" w:rsidRPr="009627FD">
        <w:rPr>
          <w:bCs/>
          <w:lang w:val="en-US"/>
        </w:rPr>
        <w:t>to the three out</w:t>
      </w:r>
      <w:r w:rsidR="00135834" w:rsidRPr="009627FD">
        <w:rPr>
          <w:bCs/>
          <w:lang w:val="en-US"/>
        </w:rPr>
        <w:t>co</w:t>
      </w:r>
      <w:r w:rsidR="002907AE" w:rsidRPr="009627FD">
        <w:rPr>
          <w:bCs/>
          <w:lang w:val="en-US"/>
        </w:rPr>
        <w:t>mes, whereas age was only weakly and positively associated with GAD-7.</w:t>
      </w:r>
    </w:p>
    <w:p w14:paraId="01ACAB9E" w14:textId="3611DB25" w:rsidR="008158F9" w:rsidRPr="009627FD" w:rsidRDefault="008158F9" w:rsidP="00890DD6">
      <w:pPr>
        <w:spacing w:line="360" w:lineRule="auto"/>
        <w:ind w:firstLine="720"/>
        <w:jc w:val="both"/>
        <w:rPr>
          <w:bCs/>
          <w:lang w:val="en-US"/>
        </w:rPr>
      </w:pPr>
      <w:r w:rsidRPr="009627FD">
        <w:rPr>
          <w:lang w:val="en-US"/>
        </w:rPr>
        <w:t xml:space="preserve">Along with the direct paths, the mediating role of </w:t>
      </w:r>
      <w:r w:rsidR="002907AE" w:rsidRPr="009627FD">
        <w:rPr>
          <w:bCs/>
          <w:lang w:val="en-US"/>
        </w:rPr>
        <w:t>C</w:t>
      </w:r>
      <w:r w:rsidR="004124DE" w:rsidRPr="009627FD">
        <w:rPr>
          <w:bCs/>
          <w:lang w:val="en-US"/>
        </w:rPr>
        <w:t>-19</w:t>
      </w:r>
      <w:r w:rsidR="002907AE" w:rsidRPr="009627FD">
        <w:rPr>
          <w:bCs/>
          <w:lang w:val="en-US"/>
        </w:rPr>
        <w:t xml:space="preserve">ASS </w:t>
      </w:r>
      <w:r w:rsidR="004124DE" w:rsidRPr="009627FD">
        <w:rPr>
          <w:bCs/>
          <w:lang w:val="en-US"/>
        </w:rPr>
        <w:t>-</w:t>
      </w:r>
      <w:r w:rsidR="002907AE" w:rsidRPr="009627FD">
        <w:rPr>
          <w:bCs/>
          <w:lang w:val="en-US"/>
        </w:rPr>
        <w:t xml:space="preserve">Perseveration </w:t>
      </w:r>
      <w:r w:rsidRPr="009627FD">
        <w:rPr>
          <w:bCs/>
          <w:lang w:val="en-US"/>
        </w:rPr>
        <w:t xml:space="preserve">between </w:t>
      </w:r>
      <w:r w:rsidR="002907AE" w:rsidRPr="009627FD">
        <w:rPr>
          <w:lang w:val="en-US"/>
        </w:rPr>
        <w:t>BFI-</w:t>
      </w:r>
      <w:r w:rsidR="003E355D" w:rsidRPr="009627FD">
        <w:rPr>
          <w:lang w:val="en-US"/>
        </w:rPr>
        <w:t>10-</w:t>
      </w:r>
      <w:r w:rsidR="002907AE" w:rsidRPr="009627FD">
        <w:rPr>
          <w:bCs/>
          <w:lang w:val="en-US"/>
        </w:rPr>
        <w:t xml:space="preserve">Emotional </w:t>
      </w:r>
      <w:r w:rsidR="003E355D" w:rsidRPr="009627FD">
        <w:rPr>
          <w:bCs/>
          <w:lang w:val="en-US"/>
        </w:rPr>
        <w:t>stability</w:t>
      </w:r>
      <w:r w:rsidR="003E355D" w:rsidRPr="009627FD">
        <w:rPr>
          <w:lang w:val="en-US"/>
        </w:rPr>
        <w:t xml:space="preserve"> </w:t>
      </w:r>
      <w:r w:rsidRPr="009627FD">
        <w:rPr>
          <w:lang w:val="en-US"/>
        </w:rPr>
        <w:t xml:space="preserve">and </w:t>
      </w:r>
      <w:r w:rsidR="002907AE" w:rsidRPr="009627FD">
        <w:rPr>
          <w:iCs/>
          <w:lang w:val="en-US"/>
        </w:rPr>
        <w:t>the three outcomes</w:t>
      </w:r>
      <w:r w:rsidR="008F0399" w:rsidRPr="009627FD">
        <w:rPr>
          <w:bCs/>
          <w:lang w:val="en-US"/>
        </w:rPr>
        <w:t xml:space="preserve"> were found significant (</w:t>
      </w:r>
      <w:r w:rsidR="008F0399" w:rsidRPr="009627FD">
        <w:rPr>
          <w:lang w:val="en-US"/>
        </w:rPr>
        <w:t>that is their 95% confidence intervals did not include zero)</w:t>
      </w:r>
      <w:r w:rsidRPr="009627FD">
        <w:rPr>
          <w:bCs/>
          <w:lang w:val="en-US"/>
        </w:rPr>
        <w:t>:</w:t>
      </w:r>
      <w:r w:rsidRPr="009627FD">
        <w:rPr>
          <w:lang w:val="en-US"/>
        </w:rPr>
        <w:t xml:space="preserve"> </w:t>
      </w:r>
      <w:r w:rsidR="002907AE" w:rsidRPr="009627FD">
        <w:rPr>
          <w:bCs/>
          <w:lang w:val="en-US"/>
        </w:rPr>
        <w:t>PHQ-9</w:t>
      </w:r>
      <w:r w:rsidR="004124DE" w:rsidRPr="009627FD">
        <w:rPr>
          <w:bCs/>
          <w:lang w:val="en-US"/>
        </w:rPr>
        <w:t xml:space="preserve"> </w:t>
      </w:r>
      <w:r w:rsidR="008F0399" w:rsidRPr="009627FD">
        <w:rPr>
          <w:bCs/>
          <w:lang w:val="en-US"/>
        </w:rPr>
        <w:t>(</w:t>
      </w:r>
      <w:r w:rsidR="008F0399" w:rsidRPr="009627FD">
        <w:rPr>
          <w:bCs/>
          <w:i/>
        </w:rPr>
        <w:t>β</w:t>
      </w:r>
      <w:r w:rsidR="008F0399" w:rsidRPr="009627FD">
        <w:rPr>
          <w:bCs/>
          <w:lang w:val="en-US"/>
        </w:rPr>
        <w:t xml:space="preserve"> = </w:t>
      </w:r>
      <w:r w:rsidR="008F0399" w:rsidRPr="009627FD">
        <w:rPr>
          <w:lang w:val="en-US"/>
        </w:rPr>
        <w:t>-.048</w:t>
      </w:r>
      <w:r w:rsidR="008F0399" w:rsidRPr="009627FD">
        <w:rPr>
          <w:bCs/>
          <w:lang w:val="en-US"/>
        </w:rPr>
        <w:t xml:space="preserve">, </w:t>
      </w:r>
      <w:r w:rsidR="008F0399" w:rsidRPr="009627FD">
        <w:rPr>
          <w:bCs/>
          <w:i/>
          <w:lang w:val="en-US"/>
        </w:rPr>
        <w:t>b</w:t>
      </w:r>
      <w:r w:rsidR="008F0399" w:rsidRPr="009627FD">
        <w:rPr>
          <w:bCs/>
          <w:lang w:val="en-US"/>
        </w:rPr>
        <w:t xml:space="preserve"> = -.115 [</w:t>
      </w:r>
      <w:r w:rsidR="00B72659" w:rsidRPr="009627FD">
        <w:rPr>
          <w:bCs/>
          <w:lang w:val="en-US"/>
        </w:rPr>
        <w:t>-</w:t>
      </w:r>
      <w:r w:rsidR="008F0399" w:rsidRPr="009627FD">
        <w:rPr>
          <w:bCs/>
          <w:lang w:val="en-US"/>
        </w:rPr>
        <w:t>.</w:t>
      </w:r>
      <w:r w:rsidR="00B72659" w:rsidRPr="009627FD">
        <w:rPr>
          <w:bCs/>
          <w:lang w:val="en-US"/>
        </w:rPr>
        <w:t xml:space="preserve">192 - </w:t>
      </w:r>
      <w:r w:rsidR="008F0399" w:rsidRPr="009627FD">
        <w:rPr>
          <w:bCs/>
          <w:lang w:val="en-US"/>
        </w:rPr>
        <w:t>-.</w:t>
      </w:r>
      <w:r w:rsidR="00B72659" w:rsidRPr="009627FD">
        <w:rPr>
          <w:bCs/>
          <w:lang w:val="en-US"/>
        </w:rPr>
        <w:t>053</w:t>
      </w:r>
      <w:r w:rsidR="008F0399" w:rsidRPr="009627FD">
        <w:rPr>
          <w:bCs/>
          <w:lang w:val="en-US"/>
        </w:rPr>
        <w:t xml:space="preserve">], z = </w:t>
      </w:r>
      <w:r w:rsidR="00B72659" w:rsidRPr="009627FD">
        <w:rPr>
          <w:bCs/>
          <w:lang w:val="en-US"/>
        </w:rPr>
        <w:t>-3.195)</w:t>
      </w:r>
      <w:r w:rsidRPr="009627FD">
        <w:rPr>
          <w:lang w:val="en-US"/>
        </w:rPr>
        <w:t xml:space="preserve">, </w:t>
      </w:r>
      <w:r w:rsidR="002907AE" w:rsidRPr="009627FD">
        <w:rPr>
          <w:bCs/>
          <w:lang w:val="en-US"/>
        </w:rPr>
        <w:t>GAD-7</w:t>
      </w:r>
      <w:r w:rsidRPr="009627FD">
        <w:rPr>
          <w:lang w:val="en-US"/>
        </w:rPr>
        <w:t xml:space="preserve"> (</w:t>
      </w:r>
      <w:r w:rsidRPr="009627FD">
        <w:rPr>
          <w:i/>
          <w:lang w:val="en-US"/>
        </w:rPr>
        <w:t>β</w:t>
      </w:r>
      <w:r w:rsidRPr="009627FD">
        <w:rPr>
          <w:lang w:val="en-US"/>
        </w:rPr>
        <w:t xml:space="preserve"> = -.</w:t>
      </w:r>
      <w:r w:rsidR="002907AE" w:rsidRPr="009627FD">
        <w:rPr>
          <w:lang w:val="en-US"/>
        </w:rPr>
        <w:t>055</w:t>
      </w:r>
      <w:r w:rsidRPr="009627FD">
        <w:rPr>
          <w:lang w:val="en-US"/>
        </w:rPr>
        <w:t xml:space="preserve">, </w:t>
      </w:r>
      <w:r w:rsidR="00B72659" w:rsidRPr="009627FD">
        <w:rPr>
          <w:bCs/>
          <w:i/>
          <w:lang w:val="en-US"/>
        </w:rPr>
        <w:t>b</w:t>
      </w:r>
      <w:r w:rsidR="00B72659" w:rsidRPr="009627FD">
        <w:rPr>
          <w:bCs/>
          <w:lang w:val="en-US"/>
        </w:rPr>
        <w:t xml:space="preserve"> = -.125 [-.194 - -.066], </w:t>
      </w:r>
      <w:r w:rsidRPr="009627FD">
        <w:rPr>
          <w:lang w:val="en-US"/>
        </w:rPr>
        <w:t>z = -</w:t>
      </w:r>
      <w:r w:rsidR="002907AE" w:rsidRPr="009627FD">
        <w:rPr>
          <w:lang w:val="en-US"/>
        </w:rPr>
        <w:t>3</w:t>
      </w:r>
      <w:r w:rsidRPr="009627FD">
        <w:rPr>
          <w:lang w:val="en-US"/>
        </w:rPr>
        <w:t>.</w:t>
      </w:r>
      <w:r w:rsidR="00B72659" w:rsidRPr="009627FD">
        <w:rPr>
          <w:lang w:val="en-US"/>
        </w:rPr>
        <w:t>666</w:t>
      </w:r>
      <w:r w:rsidRPr="009627FD">
        <w:rPr>
          <w:lang w:val="en-US"/>
        </w:rPr>
        <w:t xml:space="preserve">), </w:t>
      </w:r>
      <w:r w:rsidR="002907AE" w:rsidRPr="009627FD">
        <w:rPr>
          <w:lang w:val="en-US"/>
        </w:rPr>
        <w:t xml:space="preserve">and </w:t>
      </w:r>
      <w:r w:rsidR="002907AE" w:rsidRPr="009627FD">
        <w:rPr>
          <w:bCs/>
          <w:lang w:val="en-US"/>
        </w:rPr>
        <w:t>HAQ</w:t>
      </w:r>
      <w:r w:rsidRPr="009627FD">
        <w:rPr>
          <w:lang w:val="en-US"/>
        </w:rPr>
        <w:t xml:space="preserve"> (</w:t>
      </w:r>
      <w:r w:rsidRPr="009627FD">
        <w:rPr>
          <w:i/>
          <w:lang w:val="en-US"/>
        </w:rPr>
        <w:t>β</w:t>
      </w:r>
      <w:r w:rsidRPr="009627FD">
        <w:rPr>
          <w:lang w:val="en-US"/>
        </w:rPr>
        <w:t xml:space="preserve"> = -</w:t>
      </w:r>
      <w:r w:rsidR="002907AE" w:rsidRPr="009627FD">
        <w:rPr>
          <w:lang w:val="en-US"/>
        </w:rPr>
        <w:t>.109</w:t>
      </w:r>
      <w:r w:rsidRPr="009627FD">
        <w:rPr>
          <w:lang w:val="en-US"/>
        </w:rPr>
        <w:t xml:space="preserve">, </w:t>
      </w:r>
      <w:r w:rsidR="00B72659" w:rsidRPr="009627FD">
        <w:rPr>
          <w:bCs/>
          <w:i/>
          <w:lang w:val="en-US"/>
        </w:rPr>
        <w:t>b</w:t>
      </w:r>
      <w:r w:rsidR="00B72659" w:rsidRPr="009627FD">
        <w:rPr>
          <w:bCs/>
          <w:lang w:val="en-US"/>
        </w:rPr>
        <w:t xml:space="preserve"> = -.612 [-.854 - -.379], </w:t>
      </w:r>
      <w:r w:rsidRPr="009627FD">
        <w:rPr>
          <w:lang w:val="en-US"/>
        </w:rPr>
        <w:t>z = -</w:t>
      </w:r>
      <w:r w:rsidR="002907AE" w:rsidRPr="009627FD">
        <w:rPr>
          <w:lang w:val="en-US"/>
        </w:rPr>
        <w:t>5</w:t>
      </w:r>
      <w:r w:rsidRPr="009627FD">
        <w:rPr>
          <w:lang w:val="en-US"/>
        </w:rPr>
        <w:t>.</w:t>
      </w:r>
      <w:r w:rsidR="002907AE" w:rsidRPr="009627FD">
        <w:rPr>
          <w:lang w:val="en-US"/>
        </w:rPr>
        <w:t>18</w:t>
      </w:r>
      <w:r w:rsidR="00B72659" w:rsidRPr="009627FD">
        <w:rPr>
          <w:lang w:val="en-US"/>
        </w:rPr>
        <w:t>5</w:t>
      </w:r>
      <w:r w:rsidRPr="009627FD">
        <w:rPr>
          <w:lang w:val="en-US"/>
        </w:rPr>
        <w:t xml:space="preserve">). </w:t>
      </w:r>
    </w:p>
    <w:p w14:paraId="58408D96" w14:textId="2E0C3C2C" w:rsidR="008158F9" w:rsidRPr="009627FD" w:rsidRDefault="00DF6481" w:rsidP="00890DD6">
      <w:pPr>
        <w:spacing w:line="360" w:lineRule="auto"/>
        <w:ind w:firstLine="720"/>
        <w:jc w:val="both"/>
        <w:rPr>
          <w:lang w:val="en-US"/>
        </w:rPr>
      </w:pPr>
      <w:r w:rsidRPr="009627FD">
        <w:rPr>
          <w:lang w:val="en-US"/>
        </w:rPr>
        <w:lastRenderedPageBreak/>
        <w:t xml:space="preserve">With regards to the </w:t>
      </w:r>
      <w:r w:rsidR="008158F9" w:rsidRPr="009627FD">
        <w:rPr>
          <w:lang w:val="en-US"/>
        </w:rPr>
        <w:t xml:space="preserve">model fit, the model accounted for </w:t>
      </w:r>
      <w:r w:rsidR="002907AE" w:rsidRPr="009627FD">
        <w:rPr>
          <w:lang w:val="en-US"/>
        </w:rPr>
        <w:t>17</w:t>
      </w:r>
      <w:r w:rsidR="008158F9" w:rsidRPr="009627FD">
        <w:rPr>
          <w:lang w:val="en-US"/>
        </w:rPr>
        <w:t xml:space="preserve">% of the variance of </w:t>
      </w:r>
      <w:r w:rsidR="002907AE" w:rsidRPr="009627FD">
        <w:rPr>
          <w:bCs/>
          <w:lang w:val="en-US"/>
        </w:rPr>
        <w:t>C</w:t>
      </w:r>
      <w:r w:rsidR="00C767C3" w:rsidRPr="009627FD">
        <w:rPr>
          <w:bCs/>
          <w:lang w:val="en-US"/>
        </w:rPr>
        <w:t>-19</w:t>
      </w:r>
      <w:r w:rsidR="002907AE" w:rsidRPr="009627FD">
        <w:rPr>
          <w:bCs/>
          <w:lang w:val="en-US"/>
        </w:rPr>
        <w:t>ASS</w:t>
      </w:r>
      <w:r w:rsidR="00C767C3" w:rsidRPr="009627FD">
        <w:rPr>
          <w:bCs/>
          <w:lang w:val="en-US"/>
        </w:rPr>
        <w:t xml:space="preserve"> –</w:t>
      </w:r>
      <w:r w:rsidR="002907AE" w:rsidRPr="009627FD">
        <w:rPr>
          <w:bCs/>
          <w:lang w:val="en-US"/>
        </w:rPr>
        <w:t>Perseveration</w:t>
      </w:r>
      <w:r w:rsidR="008158F9" w:rsidRPr="009627FD">
        <w:rPr>
          <w:iCs/>
          <w:lang w:val="en-US"/>
        </w:rPr>
        <w:t xml:space="preserve"> and</w:t>
      </w:r>
      <w:r w:rsidR="002907AE" w:rsidRPr="009627FD">
        <w:rPr>
          <w:iCs/>
          <w:lang w:val="en-US"/>
        </w:rPr>
        <w:t xml:space="preserve"> 14% </w:t>
      </w:r>
      <w:r w:rsidR="00C767C3" w:rsidRPr="009627FD">
        <w:rPr>
          <w:iCs/>
          <w:lang w:val="en-US"/>
        </w:rPr>
        <w:t xml:space="preserve">of </w:t>
      </w:r>
      <w:r w:rsidR="002907AE" w:rsidRPr="009627FD">
        <w:rPr>
          <w:bCs/>
          <w:lang w:val="en-US"/>
        </w:rPr>
        <w:t>C</w:t>
      </w:r>
      <w:r w:rsidR="00C767C3" w:rsidRPr="009627FD">
        <w:rPr>
          <w:bCs/>
          <w:lang w:val="en-US"/>
        </w:rPr>
        <w:t>-19</w:t>
      </w:r>
      <w:r w:rsidR="002907AE" w:rsidRPr="009627FD">
        <w:rPr>
          <w:bCs/>
          <w:lang w:val="en-US"/>
        </w:rPr>
        <w:t>ASS</w:t>
      </w:r>
      <w:r w:rsidR="00C767C3" w:rsidRPr="009627FD">
        <w:rPr>
          <w:bCs/>
          <w:lang w:val="en-US"/>
        </w:rPr>
        <w:t>-</w:t>
      </w:r>
      <w:r w:rsidR="002907AE" w:rsidRPr="009627FD">
        <w:rPr>
          <w:bCs/>
          <w:lang w:val="en-US"/>
        </w:rPr>
        <w:t>Avoidance</w:t>
      </w:r>
      <w:r w:rsidR="008158F9" w:rsidRPr="009627FD">
        <w:rPr>
          <w:lang w:val="en-US"/>
        </w:rPr>
        <w:t xml:space="preserve">, </w:t>
      </w:r>
      <w:r w:rsidR="002907AE" w:rsidRPr="009627FD">
        <w:rPr>
          <w:lang w:val="en-US"/>
        </w:rPr>
        <w:t>36</w:t>
      </w:r>
      <w:r w:rsidR="008158F9" w:rsidRPr="009627FD">
        <w:rPr>
          <w:lang w:val="en-US"/>
        </w:rPr>
        <w:t xml:space="preserve">% for </w:t>
      </w:r>
      <w:r w:rsidR="002907AE" w:rsidRPr="009627FD">
        <w:rPr>
          <w:bCs/>
          <w:lang w:val="en-US"/>
        </w:rPr>
        <w:t>PHQ-9</w:t>
      </w:r>
      <w:r w:rsidR="008158F9" w:rsidRPr="009627FD">
        <w:rPr>
          <w:lang w:val="en-US"/>
        </w:rPr>
        <w:t>, 4</w:t>
      </w:r>
      <w:r w:rsidR="002907AE" w:rsidRPr="009627FD">
        <w:rPr>
          <w:lang w:val="en-US"/>
        </w:rPr>
        <w:t>0</w:t>
      </w:r>
      <w:r w:rsidR="008158F9" w:rsidRPr="009627FD">
        <w:rPr>
          <w:lang w:val="en-US"/>
        </w:rPr>
        <w:t xml:space="preserve">% for </w:t>
      </w:r>
      <w:r w:rsidR="002907AE" w:rsidRPr="009627FD">
        <w:rPr>
          <w:bCs/>
          <w:lang w:val="en-US"/>
        </w:rPr>
        <w:t>GAD-7</w:t>
      </w:r>
      <w:r w:rsidR="008158F9" w:rsidRPr="009627FD">
        <w:rPr>
          <w:lang w:val="en-US"/>
        </w:rPr>
        <w:t xml:space="preserve">, and </w:t>
      </w:r>
      <w:r w:rsidR="002907AE" w:rsidRPr="009627FD">
        <w:rPr>
          <w:lang w:val="en-US"/>
        </w:rPr>
        <w:t>44</w:t>
      </w:r>
      <w:r w:rsidR="008158F9" w:rsidRPr="009627FD">
        <w:rPr>
          <w:lang w:val="en-US"/>
        </w:rPr>
        <w:t xml:space="preserve">% for </w:t>
      </w:r>
      <w:r w:rsidR="002907AE" w:rsidRPr="009627FD">
        <w:rPr>
          <w:bCs/>
          <w:lang w:val="en-US"/>
        </w:rPr>
        <w:t>HAQ</w:t>
      </w:r>
      <w:r w:rsidR="008158F9" w:rsidRPr="009627FD">
        <w:rPr>
          <w:lang w:val="en-US"/>
        </w:rPr>
        <w:t>. Finally, the total amount variance explained by the model (TCD = .</w:t>
      </w:r>
      <w:r w:rsidR="002907AE" w:rsidRPr="009627FD">
        <w:rPr>
          <w:lang w:val="en-US"/>
        </w:rPr>
        <w:t>59</w:t>
      </w:r>
      <w:r w:rsidR="008158F9" w:rsidRPr="009627FD">
        <w:rPr>
          <w:lang w:val="en-US"/>
        </w:rPr>
        <w:t>) indicated a very good fit to the observed data. In terms of effect size, TCD = .</w:t>
      </w:r>
      <w:r w:rsidR="002907AE" w:rsidRPr="009627FD">
        <w:rPr>
          <w:lang w:val="en-US"/>
        </w:rPr>
        <w:t>59</w:t>
      </w:r>
      <w:r w:rsidR="008158F9" w:rsidRPr="009627FD">
        <w:rPr>
          <w:lang w:val="en-US"/>
        </w:rPr>
        <w:t xml:space="preserve"> corresponds to a correlation of </w:t>
      </w:r>
      <w:r w:rsidR="008158F9" w:rsidRPr="009627FD">
        <w:rPr>
          <w:i/>
          <w:lang w:val="en-US"/>
        </w:rPr>
        <w:t xml:space="preserve">r </w:t>
      </w:r>
      <w:r w:rsidR="008158F9" w:rsidRPr="009627FD">
        <w:rPr>
          <w:lang w:val="en-US"/>
        </w:rPr>
        <w:t>= .</w:t>
      </w:r>
      <w:r w:rsidR="002907AE" w:rsidRPr="009627FD">
        <w:rPr>
          <w:lang w:val="en-US"/>
        </w:rPr>
        <w:t>77</w:t>
      </w:r>
      <w:r w:rsidR="008158F9" w:rsidRPr="009627FD">
        <w:rPr>
          <w:lang w:val="en-US"/>
        </w:rPr>
        <w:t xml:space="preserve"> (which is large effect size according to the Cohen’s [Cohen, 1988]</w:t>
      </w:r>
      <w:r w:rsidR="008158F9" w:rsidRPr="009627FD">
        <w:rPr>
          <w:vertAlign w:val="superscript"/>
          <w:lang w:val="en-US"/>
        </w:rPr>
        <w:t xml:space="preserve"> </w:t>
      </w:r>
      <w:r w:rsidR="008158F9" w:rsidRPr="009627FD">
        <w:rPr>
          <w:lang w:val="en-US"/>
        </w:rPr>
        <w:t>traditional criteria).</w:t>
      </w:r>
    </w:p>
    <w:p w14:paraId="16E4D0D1" w14:textId="3214AA58" w:rsidR="009E58F9" w:rsidRPr="009627FD" w:rsidRDefault="005820AC" w:rsidP="009E58F9">
      <w:pPr>
        <w:spacing w:line="360" w:lineRule="auto"/>
        <w:contextualSpacing/>
        <w:jc w:val="both"/>
        <w:rPr>
          <w:b/>
          <w:bCs/>
          <w:lang w:val="en-US"/>
        </w:rPr>
      </w:pPr>
      <w:r w:rsidRPr="009627FD">
        <w:rPr>
          <w:b/>
          <w:bCs/>
          <w:lang w:val="en-US"/>
        </w:rPr>
        <w:t>6</w:t>
      </w:r>
      <w:r w:rsidR="009E58F9" w:rsidRPr="009627FD">
        <w:rPr>
          <w:b/>
          <w:bCs/>
          <w:lang w:val="en-US"/>
        </w:rPr>
        <w:t>. Discussion</w:t>
      </w:r>
    </w:p>
    <w:p w14:paraId="632B90D4" w14:textId="0E2C53F7" w:rsidR="009E58F9" w:rsidRPr="009627FD" w:rsidRDefault="009E58F9" w:rsidP="00890DD6">
      <w:pPr>
        <w:spacing w:line="360" w:lineRule="auto"/>
        <w:ind w:firstLine="708"/>
        <w:jc w:val="both"/>
        <w:rPr>
          <w:rFonts w:eastAsiaTheme="minorEastAsia"/>
          <w:lang w:val="en-US"/>
        </w:rPr>
      </w:pPr>
      <w:r w:rsidRPr="009627FD">
        <w:rPr>
          <w:rFonts w:eastAsiaTheme="minorEastAsia"/>
          <w:lang w:val="en-US"/>
        </w:rPr>
        <w:t xml:space="preserve">The current study aimed to </w:t>
      </w:r>
      <w:r w:rsidR="0074785F" w:rsidRPr="009627FD">
        <w:rPr>
          <w:rFonts w:eastAsiaTheme="minorEastAsia"/>
          <w:lang w:val="en-US"/>
        </w:rPr>
        <w:t xml:space="preserve">provide a preliminary </w:t>
      </w:r>
      <w:r w:rsidRPr="009627FD">
        <w:rPr>
          <w:rFonts w:eastAsiaTheme="minorEastAsia"/>
          <w:lang w:val="en-US"/>
        </w:rPr>
        <w:t>valid</w:t>
      </w:r>
      <w:r w:rsidR="0074785F" w:rsidRPr="009627FD">
        <w:rPr>
          <w:rFonts w:eastAsiaTheme="minorEastAsia"/>
          <w:lang w:val="en-US"/>
        </w:rPr>
        <w:t xml:space="preserve">ation of </w:t>
      </w:r>
      <w:r w:rsidRPr="009627FD">
        <w:rPr>
          <w:rFonts w:eastAsiaTheme="minorEastAsia"/>
          <w:lang w:val="en-US"/>
        </w:rPr>
        <w:t>the Italian version of the C-19ASS and investigated the association between the C</w:t>
      </w:r>
      <w:r w:rsidR="00B838E8" w:rsidRPr="009627FD">
        <w:rPr>
          <w:rFonts w:eastAsiaTheme="minorEastAsia"/>
          <w:lang w:val="en-US"/>
        </w:rPr>
        <w:t>OVID</w:t>
      </w:r>
      <w:r w:rsidRPr="009627FD">
        <w:rPr>
          <w:rFonts w:eastAsiaTheme="minorEastAsia"/>
          <w:lang w:val="en-US"/>
        </w:rPr>
        <w:t xml:space="preserve">-19 anxiety syndrome and psychological </w:t>
      </w:r>
      <w:r w:rsidR="00746E2E" w:rsidRPr="009627FD">
        <w:rPr>
          <w:rFonts w:eastAsiaTheme="minorEastAsia"/>
          <w:lang w:val="en-US"/>
        </w:rPr>
        <w:t xml:space="preserve">outcomes </w:t>
      </w:r>
      <w:r w:rsidRPr="009627FD">
        <w:rPr>
          <w:rFonts w:eastAsiaTheme="minorEastAsia"/>
          <w:lang w:val="en-US"/>
        </w:rPr>
        <w:t xml:space="preserve">in </w:t>
      </w:r>
      <w:r w:rsidR="00746E2E" w:rsidRPr="009627FD">
        <w:rPr>
          <w:rFonts w:eastAsiaTheme="minorEastAsia"/>
          <w:lang w:val="en-US"/>
        </w:rPr>
        <w:t xml:space="preserve">an </w:t>
      </w:r>
      <w:r w:rsidRPr="009627FD">
        <w:rPr>
          <w:rFonts w:eastAsiaTheme="minorEastAsia"/>
          <w:lang w:val="en-US"/>
        </w:rPr>
        <w:t xml:space="preserve">Italian population.  </w:t>
      </w:r>
    </w:p>
    <w:p w14:paraId="196009FB" w14:textId="5DD7CD14" w:rsidR="009E58F9" w:rsidRPr="009627FD" w:rsidRDefault="005820AC" w:rsidP="009E58F9">
      <w:pPr>
        <w:spacing w:line="360" w:lineRule="auto"/>
        <w:jc w:val="both"/>
        <w:rPr>
          <w:rFonts w:eastAsiaTheme="minorEastAsia"/>
          <w:b/>
          <w:lang w:val="en-US"/>
        </w:rPr>
      </w:pPr>
      <w:r w:rsidRPr="009627FD">
        <w:rPr>
          <w:rFonts w:eastAsiaTheme="minorEastAsia"/>
          <w:b/>
          <w:lang w:val="en-US"/>
        </w:rPr>
        <w:t>6</w:t>
      </w:r>
      <w:r w:rsidR="009E58F9" w:rsidRPr="009627FD">
        <w:rPr>
          <w:rFonts w:eastAsiaTheme="minorEastAsia"/>
          <w:b/>
          <w:lang w:val="en-US"/>
        </w:rPr>
        <w:t>.1</w:t>
      </w:r>
      <w:r w:rsidRPr="009627FD">
        <w:rPr>
          <w:rFonts w:eastAsiaTheme="minorEastAsia"/>
          <w:b/>
          <w:lang w:val="en-US"/>
        </w:rPr>
        <w:t>.</w:t>
      </w:r>
      <w:r w:rsidR="009E58F9" w:rsidRPr="009627FD">
        <w:rPr>
          <w:rFonts w:eastAsiaTheme="minorEastAsia"/>
          <w:b/>
          <w:lang w:val="en-US"/>
        </w:rPr>
        <w:t xml:space="preserve"> Validation of the Italian version of C-19ASS</w:t>
      </w:r>
    </w:p>
    <w:p w14:paraId="146BAA6B" w14:textId="733E67DF" w:rsidR="009E58F9" w:rsidRPr="009627FD" w:rsidRDefault="009E58F9" w:rsidP="009E58F9">
      <w:pPr>
        <w:spacing w:line="360" w:lineRule="auto"/>
        <w:ind w:firstLine="567"/>
        <w:jc w:val="both"/>
        <w:rPr>
          <w:rFonts w:eastAsiaTheme="minorEastAsia"/>
          <w:lang w:val="en-US"/>
        </w:rPr>
      </w:pPr>
      <w:r w:rsidRPr="009627FD">
        <w:rPr>
          <w:rFonts w:eastAsiaTheme="minorEastAsia"/>
          <w:lang w:val="en-US"/>
        </w:rPr>
        <w:t>The EFA revealed that the Italian version of the C-19ASS is composed by 9 items divided in two factors corresponding to the two sub</w:t>
      </w:r>
      <w:r w:rsidR="00552358" w:rsidRPr="009627FD">
        <w:rPr>
          <w:rFonts w:eastAsiaTheme="minorEastAsia"/>
          <w:lang w:val="en-US"/>
        </w:rPr>
        <w:t>-</w:t>
      </w:r>
      <w:r w:rsidRPr="009627FD">
        <w:rPr>
          <w:rFonts w:eastAsiaTheme="minorEastAsia"/>
          <w:lang w:val="en-US"/>
        </w:rPr>
        <w:t xml:space="preserve">scales of perseveration (6 items) and avoidance (3 items). The CFA confirmed the two factors solution where the two-factors solution model outperformed the one-factor solution model. </w:t>
      </w:r>
      <w:r w:rsidR="00976E64" w:rsidRPr="009627FD">
        <w:rPr>
          <w:rFonts w:eastAsiaTheme="minorEastAsia"/>
          <w:lang w:val="en-US"/>
        </w:rPr>
        <w:t xml:space="preserve">Moreover, the factor structure of the scale was invariant across males and females, allowing to use the C-19ASS in both gender groups. </w:t>
      </w:r>
      <w:r w:rsidRPr="009627FD">
        <w:rPr>
          <w:rFonts w:eastAsiaTheme="minorEastAsia"/>
          <w:lang w:val="en-US"/>
        </w:rPr>
        <w:t>The final version of the Italian C-19ASS showed a good fit for the data and satisfactory levels of reliability. These results are consistent with the original version of the C-19ASS (</w:t>
      </w:r>
      <w:r w:rsidRPr="009627FD">
        <w:rPr>
          <w:lang w:val="en-US"/>
        </w:rPr>
        <w:t>Nikčević</w:t>
      </w:r>
      <w:r w:rsidRPr="009627FD">
        <w:rPr>
          <w:rFonts w:eastAsiaTheme="minorEastAsia"/>
          <w:lang w:val="en-US"/>
        </w:rPr>
        <w:t xml:space="preserve"> &amp; Spada, 2020) and with </w:t>
      </w:r>
      <w:r w:rsidR="00746E2E" w:rsidRPr="009627FD">
        <w:rPr>
          <w:rFonts w:eastAsiaTheme="minorEastAsia"/>
          <w:lang w:val="en-US"/>
        </w:rPr>
        <w:t xml:space="preserve">a </w:t>
      </w:r>
      <w:r w:rsidRPr="009627FD">
        <w:rPr>
          <w:rFonts w:eastAsiaTheme="minorEastAsia"/>
          <w:lang w:val="en-US"/>
        </w:rPr>
        <w:t xml:space="preserve">previous C-19ASS validation study in </w:t>
      </w:r>
      <w:r w:rsidR="00746E2E" w:rsidRPr="009627FD">
        <w:rPr>
          <w:rFonts w:eastAsiaTheme="minorEastAsia"/>
          <w:lang w:val="en-US"/>
        </w:rPr>
        <w:t xml:space="preserve">a </w:t>
      </w:r>
      <w:r w:rsidRPr="009627FD">
        <w:rPr>
          <w:rFonts w:eastAsiaTheme="minorEastAsia"/>
          <w:lang w:val="en-US"/>
        </w:rPr>
        <w:t xml:space="preserve">general community sample of Iranians (Akbari et al., 2021). </w:t>
      </w:r>
    </w:p>
    <w:p w14:paraId="0175823F" w14:textId="69D5CDFB" w:rsidR="009E58F9" w:rsidRPr="009627FD" w:rsidRDefault="009E58F9" w:rsidP="009E58F9">
      <w:pPr>
        <w:spacing w:line="360" w:lineRule="auto"/>
        <w:ind w:firstLine="567"/>
        <w:jc w:val="both"/>
        <w:rPr>
          <w:rFonts w:eastAsiaTheme="minorEastAsia"/>
          <w:lang w:val="en-US"/>
        </w:rPr>
      </w:pPr>
      <w:r w:rsidRPr="009627FD">
        <w:rPr>
          <w:lang w:val="en-US"/>
        </w:rPr>
        <w:t xml:space="preserve">Concerning convergent validity, </w:t>
      </w:r>
      <w:r w:rsidRPr="009627FD">
        <w:rPr>
          <w:rFonts w:eastAsiaTheme="minorEastAsia"/>
          <w:lang w:val="en-US"/>
        </w:rPr>
        <w:t xml:space="preserve">correlation analyses revealed that both factors of the C-19ASS are positively correlated with measures of the COVID-19 fear (i.e., FVC-19, </w:t>
      </w:r>
      <w:r w:rsidRPr="009627FD">
        <w:rPr>
          <w:lang w:val="en-US"/>
        </w:rPr>
        <w:t>Ahorsu et al. 2020</w:t>
      </w:r>
      <w:r w:rsidRPr="009627FD">
        <w:rPr>
          <w:rFonts w:eastAsiaTheme="minorEastAsia"/>
          <w:lang w:val="en-US"/>
        </w:rPr>
        <w:t>) and COVID-19 anxiety (i.e., CAS; Lee</w:t>
      </w:r>
      <w:r w:rsidR="00BC5739" w:rsidRPr="009627FD">
        <w:rPr>
          <w:rFonts w:eastAsiaTheme="minorEastAsia"/>
          <w:lang w:val="en-US"/>
        </w:rPr>
        <w:t>b</w:t>
      </w:r>
      <w:r w:rsidRPr="009627FD">
        <w:rPr>
          <w:rFonts w:eastAsiaTheme="minorEastAsia"/>
          <w:lang w:val="en-US"/>
        </w:rPr>
        <w:t xml:space="preserve">, 2020), as been found elsewhere (Akbari et al., 2021; </w:t>
      </w:r>
      <w:r w:rsidR="00EC45FE" w:rsidRPr="009627FD">
        <w:rPr>
          <w:lang w:val="en-US"/>
        </w:rPr>
        <w:t xml:space="preserve">Nikčević </w:t>
      </w:r>
      <w:r w:rsidRPr="009627FD">
        <w:rPr>
          <w:rFonts w:eastAsiaTheme="minorEastAsia"/>
          <w:lang w:val="en-US"/>
        </w:rPr>
        <w:t>&amp; Spada, 2020). However, it should be noted that a high correlation does not indicate similar clinical validity: rating scales may have a common content that ensures a positive association, but they may display differential validity (Carrozzino et al., 2021). In addition, correlation coefficients are often of statistical but not of clinical significance (Carrozzino et al., 2021). Therefore</w:t>
      </w:r>
      <w:r w:rsidR="00746E2E" w:rsidRPr="009627FD">
        <w:rPr>
          <w:rFonts w:eastAsiaTheme="minorEastAsia"/>
          <w:lang w:val="en-US"/>
        </w:rPr>
        <w:t>,</w:t>
      </w:r>
      <w:r w:rsidRPr="009627FD">
        <w:rPr>
          <w:rFonts w:eastAsiaTheme="minorEastAsia"/>
          <w:lang w:val="en-US"/>
        </w:rPr>
        <w:t xml:space="preserve"> caution should be paid when interpreting these results. </w:t>
      </w:r>
    </w:p>
    <w:p w14:paraId="2110F812" w14:textId="58D48F98" w:rsidR="009E58F9" w:rsidRPr="009627FD" w:rsidRDefault="009E58F9" w:rsidP="007B166E">
      <w:pPr>
        <w:spacing w:line="360" w:lineRule="auto"/>
        <w:ind w:firstLine="567"/>
        <w:jc w:val="both"/>
        <w:rPr>
          <w:lang w:val="en-US"/>
        </w:rPr>
      </w:pPr>
      <w:r w:rsidRPr="009627FD">
        <w:rPr>
          <w:lang w:val="en-US"/>
        </w:rPr>
        <w:t xml:space="preserve">Concerning the incremental validity, hierarchical linear regression analyses showed that </w:t>
      </w:r>
      <w:r w:rsidR="000E1B98" w:rsidRPr="009627FD">
        <w:rPr>
          <w:lang w:val="en-US"/>
        </w:rPr>
        <w:t>C-19ASS P</w:t>
      </w:r>
      <w:r w:rsidRPr="009627FD">
        <w:rPr>
          <w:lang w:val="en-US"/>
        </w:rPr>
        <w:t>erseveration add</w:t>
      </w:r>
      <w:r w:rsidR="00746E2E" w:rsidRPr="009627FD">
        <w:rPr>
          <w:lang w:val="en-US"/>
        </w:rPr>
        <w:t>ed</w:t>
      </w:r>
      <w:r w:rsidRPr="009627FD">
        <w:rPr>
          <w:lang w:val="en-US"/>
        </w:rPr>
        <w:t xml:space="preserve"> significant additional variance in the prediction of </w:t>
      </w:r>
      <w:r w:rsidRPr="009627FD">
        <w:rPr>
          <w:rFonts w:eastAsiaTheme="minorEastAsia"/>
          <w:lang w:val="en-US"/>
        </w:rPr>
        <w:t>COVID-19 anxiety (i.e., CAS, Lee</w:t>
      </w:r>
      <w:r w:rsidR="009E7A89" w:rsidRPr="009627FD">
        <w:rPr>
          <w:rFonts w:eastAsiaTheme="minorEastAsia"/>
          <w:lang w:val="en-US"/>
        </w:rPr>
        <w:t>b</w:t>
      </w:r>
      <w:r w:rsidRPr="009627FD">
        <w:rPr>
          <w:rFonts w:eastAsiaTheme="minorEastAsia"/>
          <w:lang w:val="en-US"/>
        </w:rPr>
        <w:t xml:space="preserve">, 2020) </w:t>
      </w:r>
      <w:r w:rsidRPr="009627FD">
        <w:rPr>
          <w:lang w:val="en-US"/>
        </w:rPr>
        <w:t xml:space="preserve">over and above </w:t>
      </w:r>
      <w:r w:rsidR="004B3183" w:rsidRPr="009627FD">
        <w:rPr>
          <w:lang w:val="en-US"/>
        </w:rPr>
        <w:t xml:space="preserve">age, </w:t>
      </w:r>
      <w:r w:rsidR="00746E2E" w:rsidRPr="009627FD">
        <w:rPr>
          <w:lang w:val="en-US"/>
        </w:rPr>
        <w:t xml:space="preserve">the </w:t>
      </w:r>
      <w:r w:rsidR="000E1B98" w:rsidRPr="009627FD">
        <w:rPr>
          <w:lang w:val="en-US"/>
        </w:rPr>
        <w:t>B</w:t>
      </w:r>
      <w:r w:rsidRPr="009627FD">
        <w:rPr>
          <w:lang w:val="en-US"/>
        </w:rPr>
        <w:t xml:space="preserve">ig </w:t>
      </w:r>
      <w:r w:rsidR="000E1B98" w:rsidRPr="009627FD">
        <w:rPr>
          <w:lang w:val="en-US"/>
        </w:rPr>
        <w:t>F</w:t>
      </w:r>
      <w:r w:rsidRPr="009627FD">
        <w:rPr>
          <w:lang w:val="en-US"/>
        </w:rPr>
        <w:t xml:space="preserve">ive personality traits, perception of </w:t>
      </w:r>
      <w:r w:rsidR="004B3183" w:rsidRPr="009627FD">
        <w:rPr>
          <w:lang w:val="en-US"/>
        </w:rPr>
        <w:t xml:space="preserve">being </w:t>
      </w:r>
      <w:r w:rsidRPr="009627FD">
        <w:rPr>
          <w:lang w:val="en-US"/>
        </w:rPr>
        <w:t>vulnerab</w:t>
      </w:r>
      <w:r w:rsidR="004B3183" w:rsidRPr="009627FD">
        <w:rPr>
          <w:lang w:val="en-US"/>
        </w:rPr>
        <w:t xml:space="preserve">le </w:t>
      </w:r>
      <w:r w:rsidRPr="009627FD">
        <w:rPr>
          <w:lang w:val="en-US"/>
        </w:rPr>
        <w:t xml:space="preserve">to COVID-19, </w:t>
      </w:r>
      <w:r w:rsidR="000E1B98" w:rsidRPr="009627FD">
        <w:rPr>
          <w:lang w:val="en-US"/>
        </w:rPr>
        <w:t xml:space="preserve">and </w:t>
      </w:r>
      <w:r w:rsidR="004B3183" w:rsidRPr="009627FD">
        <w:rPr>
          <w:lang w:val="en-US"/>
        </w:rPr>
        <w:t xml:space="preserve">COVID-19 </w:t>
      </w:r>
      <w:r w:rsidRPr="009627FD">
        <w:rPr>
          <w:lang w:val="en-US"/>
        </w:rPr>
        <w:t>fea</w:t>
      </w:r>
      <w:r w:rsidR="000E1B98" w:rsidRPr="009627FD">
        <w:rPr>
          <w:lang w:val="en-US"/>
        </w:rPr>
        <w:t>r</w:t>
      </w:r>
      <w:r w:rsidRPr="009627FD">
        <w:rPr>
          <w:lang w:val="en-US"/>
        </w:rPr>
        <w:t xml:space="preserve">, </w:t>
      </w:r>
      <w:r w:rsidRPr="009627FD">
        <w:rPr>
          <w:rFonts w:eastAsiaTheme="minorEastAsia"/>
          <w:lang w:val="en-US"/>
        </w:rPr>
        <w:t xml:space="preserve">as been found elsewhere </w:t>
      </w:r>
      <w:r w:rsidRPr="009627FD">
        <w:rPr>
          <w:lang w:val="en-US"/>
        </w:rPr>
        <w:t>(</w:t>
      </w:r>
      <w:r w:rsidRPr="009627FD">
        <w:rPr>
          <w:rFonts w:eastAsiaTheme="minorEastAsia"/>
          <w:lang w:val="en-US"/>
        </w:rPr>
        <w:t xml:space="preserve">Akbari et al., 2021; </w:t>
      </w:r>
      <w:r w:rsidRPr="009627FD">
        <w:rPr>
          <w:lang w:val="en-US"/>
        </w:rPr>
        <w:t xml:space="preserve">Nikčević </w:t>
      </w:r>
      <w:r w:rsidRPr="009627FD">
        <w:rPr>
          <w:rFonts w:eastAsiaTheme="minorEastAsia"/>
          <w:lang w:val="en-US"/>
        </w:rPr>
        <w:t>&amp; Spada, 2020).</w:t>
      </w:r>
      <w:r w:rsidRPr="009627FD">
        <w:rPr>
          <w:lang w:val="en-US"/>
        </w:rPr>
        <w:t xml:space="preserve"> With regard</w:t>
      </w:r>
      <w:r w:rsidR="00746E2E" w:rsidRPr="009627FD">
        <w:rPr>
          <w:lang w:val="en-US"/>
        </w:rPr>
        <w:t>s</w:t>
      </w:r>
      <w:r w:rsidRPr="009627FD">
        <w:rPr>
          <w:lang w:val="en-US"/>
        </w:rPr>
        <w:t xml:space="preserve"> to the incremental validity of the C-19ASS in the prediction of functional impairment (i.e</w:t>
      </w:r>
      <w:r w:rsidR="00DA4923" w:rsidRPr="009627FD">
        <w:rPr>
          <w:lang w:val="en-US"/>
        </w:rPr>
        <w:t>.</w:t>
      </w:r>
      <w:r w:rsidR="00746E2E" w:rsidRPr="009627FD">
        <w:rPr>
          <w:lang w:val="en-US"/>
        </w:rPr>
        <w:t>,</w:t>
      </w:r>
      <w:r w:rsidRPr="009627FD">
        <w:rPr>
          <w:lang w:val="en-US"/>
        </w:rPr>
        <w:t xml:space="preserve"> WSAS; </w:t>
      </w:r>
      <w:r w:rsidR="004B3183" w:rsidRPr="009627FD">
        <w:rPr>
          <w:lang w:val="en-US"/>
        </w:rPr>
        <w:t>Mundt et al., 2002</w:t>
      </w:r>
      <w:r w:rsidRPr="009627FD">
        <w:rPr>
          <w:lang w:val="en-US"/>
        </w:rPr>
        <w:t xml:space="preserve">) although </w:t>
      </w:r>
      <w:r w:rsidR="000E1B98" w:rsidRPr="009627FD">
        <w:rPr>
          <w:rFonts w:eastAsiaTheme="minorEastAsia"/>
          <w:lang w:val="en-US"/>
        </w:rPr>
        <w:t>C-19ASS Perseveration</w:t>
      </w:r>
      <w:r w:rsidRPr="009627FD">
        <w:rPr>
          <w:rFonts w:eastAsiaTheme="minorEastAsia"/>
          <w:lang w:val="en-US"/>
        </w:rPr>
        <w:t xml:space="preserve"> was found to predict the WSAS</w:t>
      </w:r>
      <w:r w:rsidR="000E1B98" w:rsidRPr="009627FD">
        <w:rPr>
          <w:rFonts w:eastAsiaTheme="minorEastAsia"/>
          <w:lang w:val="en-US"/>
        </w:rPr>
        <w:t>,</w:t>
      </w:r>
      <w:r w:rsidRPr="009627FD">
        <w:rPr>
          <w:rFonts w:eastAsiaTheme="minorEastAsia"/>
          <w:lang w:val="en-US"/>
        </w:rPr>
        <w:t xml:space="preserve"> </w:t>
      </w:r>
      <w:r w:rsidRPr="009627FD">
        <w:rPr>
          <w:lang w:val="en-US"/>
        </w:rPr>
        <w:t xml:space="preserve">consistently </w:t>
      </w:r>
      <w:r w:rsidR="00746E2E" w:rsidRPr="009627FD">
        <w:rPr>
          <w:lang w:val="en-US"/>
        </w:rPr>
        <w:t xml:space="preserve">with </w:t>
      </w:r>
      <w:r w:rsidRPr="009627FD">
        <w:rPr>
          <w:lang w:val="en-US"/>
        </w:rPr>
        <w:t>previous studies (</w:t>
      </w:r>
      <w:r w:rsidRPr="009627FD">
        <w:rPr>
          <w:rFonts w:eastAsiaTheme="minorEastAsia"/>
          <w:lang w:val="en-US"/>
        </w:rPr>
        <w:t xml:space="preserve">Akbari et al., 2021; </w:t>
      </w:r>
      <w:r w:rsidRPr="009627FD">
        <w:rPr>
          <w:lang w:val="en-US"/>
        </w:rPr>
        <w:t xml:space="preserve">Nikčević </w:t>
      </w:r>
      <w:r w:rsidRPr="009627FD">
        <w:rPr>
          <w:rFonts w:eastAsiaTheme="minorEastAsia"/>
          <w:lang w:val="en-US"/>
        </w:rPr>
        <w:t xml:space="preserve">&amp; Spada, 2020), </w:t>
      </w:r>
      <w:r w:rsidRPr="009627FD">
        <w:rPr>
          <w:lang w:val="en-US"/>
        </w:rPr>
        <w:t xml:space="preserve">it </w:t>
      </w:r>
      <w:r w:rsidRPr="009627FD">
        <w:rPr>
          <w:rFonts w:eastAsiaTheme="minorEastAsia"/>
          <w:lang w:val="en-US"/>
        </w:rPr>
        <w:t xml:space="preserve">did </w:t>
      </w:r>
      <w:r w:rsidRPr="009627FD">
        <w:rPr>
          <w:lang w:val="en-US"/>
        </w:rPr>
        <w:t>not add a significant variance in the prediction of WSAS to that explained by all other variables.</w:t>
      </w:r>
      <w:r w:rsidRPr="009627FD">
        <w:rPr>
          <w:rFonts w:eastAsiaTheme="minorEastAsia"/>
          <w:lang w:val="en-US"/>
        </w:rPr>
        <w:t xml:space="preserve"> </w:t>
      </w:r>
      <w:r w:rsidRPr="009627FD">
        <w:rPr>
          <w:lang w:val="en-US"/>
        </w:rPr>
        <w:t xml:space="preserve">The Italian version of the C-19ASS showed good fit for the data and </w:t>
      </w:r>
      <w:r w:rsidRPr="009627FD">
        <w:rPr>
          <w:rFonts w:eastAsiaTheme="minorEastAsia"/>
          <w:lang w:val="en-US"/>
        </w:rPr>
        <w:t xml:space="preserve">satisfactory levels of </w:t>
      </w:r>
      <w:r w:rsidRPr="009627FD">
        <w:rPr>
          <w:rFonts w:eastAsiaTheme="minorEastAsia"/>
          <w:lang w:val="en-US"/>
        </w:rPr>
        <w:lastRenderedPageBreak/>
        <w:t>reliability and concurrent validity, although fu</w:t>
      </w:r>
      <w:r w:rsidR="001D55F5" w:rsidRPr="009627FD">
        <w:rPr>
          <w:rFonts w:eastAsiaTheme="minorEastAsia"/>
          <w:lang w:val="en-US"/>
        </w:rPr>
        <w:t>r</w:t>
      </w:r>
      <w:r w:rsidRPr="009627FD">
        <w:rPr>
          <w:rFonts w:eastAsiaTheme="minorEastAsia"/>
          <w:lang w:val="en-US"/>
        </w:rPr>
        <w:t>t</w:t>
      </w:r>
      <w:r w:rsidR="001D55F5" w:rsidRPr="009627FD">
        <w:rPr>
          <w:rFonts w:eastAsiaTheme="minorEastAsia"/>
          <w:lang w:val="en-US"/>
        </w:rPr>
        <w:t>her</w:t>
      </w:r>
      <w:r w:rsidRPr="009627FD">
        <w:rPr>
          <w:rFonts w:eastAsiaTheme="minorEastAsia"/>
          <w:lang w:val="en-US"/>
        </w:rPr>
        <w:t xml:space="preserve"> studies are required to explore in depth the incremental validity. </w:t>
      </w:r>
    </w:p>
    <w:p w14:paraId="23099163" w14:textId="4A9048F7" w:rsidR="009E58F9" w:rsidRPr="009627FD" w:rsidRDefault="005820AC" w:rsidP="009E58F9">
      <w:pPr>
        <w:spacing w:line="360" w:lineRule="auto"/>
        <w:jc w:val="both"/>
        <w:rPr>
          <w:b/>
          <w:lang w:val="en-US"/>
        </w:rPr>
      </w:pPr>
      <w:r w:rsidRPr="009627FD">
        <w:rPr>
          <w:b/>
          <w:lang w:val="en-US"/>
        </w:rPr>
        <w:t>6</w:t>
      </w:r>
      <w:r w:rsidR="00236D4F" w:rsidRPr="009627FD">
        <w:rPr>
          <w:b/>
          <w:lang w:val="en-US"/>
        </w:rPr>
        <w:t>.2</w:t>
      </w:r>
      <w:r w:rsidRPr="009627FD">
        <w:rPr>
          <w:b/>
          <w:lang w:val="en-US"/>
        </w:rPr>
        <w:t>.</w:t>
      </w:r>
      <w:r w:rsidR="00236D4F" w:rsidRPr="009627FD">
        <w:rPr>
          <w:b/>
          <w:lang w:val="en-US"/>
        </w:rPr>
        <w:t xml:space="preserve"> COVID</w:t>
      </w:r>
      <w:r w:rsidR="009E58F9" w:rsidRPr="009627FD">
        <w:rPr>
          <w:b/>
          <w:lang w:val="en-US"/>
        </w:rPr>
        <w:t xml:space="preserve">-19 anxiety syndrome: differences on the basis of sex, COVID-19 related variables, and working status </w:t>
      </w:r>
    </w:p>
    <w:p w14:paraId="411B3FB2" w14:textId="23DCCC92" w:rsidR="009E58F9" w:rsidRPr="009627FD" w:rsidRDefault="009E58F9" w:rsidP="009E58F9">
      <w:pPr>
        <w:spacing w:line="360" w:lineRule="auto"/>
        <w:ind w:firstLine="567"/>
        <w:jc w:val="both"/>
        <w:rPr>
          <w:rFonts w:eastAsiaTheme="minorEastAsia"/>
          <w:lang w:val="en-US"/>
        </w:rPr>
      </w:pPr>
      <w:r w:rsidRPr="009627FD">
        <w:rPr>
          <w:rFonts w:eastAsiaTheme="minorEastAsia"/>
          <w:lang w:val="en-US"/>
        </w:rPr>
        <w:t xml:space="preserve">Exploring gender differences related to C-19ASS our findings suggested that females had higher levels of C-19ASS Perseveration than males, consistently to what </w:t>
      </w:r>
      <w:r w:rsidR="00746E2E" w:rsidRPr="009627FD">
        <w:rPr>
          <w:rFonts w:eastAsiaTheme="minorEastAsia"/>
          <w:lang w:val="en-US"/>
        </w:rPr>
        <w:t xml:space="preserve">has been </w:t>
      </w:r>
      <w:r w:rsidRPr="009627FD">
        <w:rPr>
          <w:rFonts w:eastAsiaTheme="minorEastAsia"/>
          <w:lang w:val="en-US"/>
        </w:rPr>
        <w:t xml:space="preserve">found in </w:t>
      </w:r>
      <w:r w:rsidR="00746E2E" w:rsidRPr="009627FD">
        <w:rPr>
          <w:rFonts w:eastAsiaTheme="minorEastAsia"/>
          <w:lang w:val="en-US"/>
        </w:rPr>
        <w:t xml:space="preserve">an </w:t>
      </w:r>
      <w:r w:rsidR="00D0036D" w:rsidRPr="009627FD">
        <w:rPr>
          <w:rFonts w:eastAsiaTheme="minorEastAsia"/>
          <w:lang w:val="en-US"/>
        </w:rPr>
        <w:t xml:space="preserve">Iranian </w:t>
      </w:r>
      <w:r w:rsidRPr="009627FD">
        <w:rPr>
          <w:rFonts w:eastAsiaTheme="minorEastAsia"/>
          <w:lang w:val="en-US"/>
        </w:rPr>
        <w:t xml:space="preserve">general community sample (Akbari et al., 2021). </w:t>
      </w:r>
      <w:r w:rsidRPr="009627FD">
        <w:rPr>
          <w:bCs/>
          <w:lang w:val="en-US"/>
        </w:rPr>
        <w:t xml:space="preserve">A possible explanation for this result may lie with previous findings </w:t>
      </w:r>
      <w:r w:rsidRPr="009627FD">
        <w:rPr>
          <w:lang w:val="en-US"/>
        </w:rPr>
        <w:t xml:space="preserve">which have suggested </w:t>
      </w:r>
      <w:r w:rsidRPr="009627FD">
        <w:rPr>
          <w:bCs/>
          <w:lang w:val="en-US"/>
        </w:rPr>
        <w:t>that</w:t>
      </w:r>
      <w:r w:rsidRPr="009627FD">
        <w:rPr>
          <w:rFonts w:eastAsiaTheme="minorEastAsia"/>
          <w:lang w:val="en-US"/>
        </w:rPr>
        <w:t xml:space="preserve"> females, compared to males, are more likely to engage in specific form</w:t>
      </w:r>
      <w:r w:rsidR="00746E2E" w:rsidRPr="009627FD">
        <w:rPr>
          <w:rFonts w:eastAsiaTheme="minorEastAsia"/>
          <w:lang w:val="en-US"/>
        </w:rPr>
        <w:t>s</w:t>
      </w:r>
      <w:r w:rsidRPr="009627FD">
        <w:rPr>
          <w:rFonts w:eastAsiaTheme="minorEastAsia"/>
          <w:lang w:val="en-US"/>
        </w:rPr>
        <w:t xml:space="preserve"> of perseverative thinking</w:t>
      </w:r>
      <w:r w:rsidR="00344E37" w:rsidRPr="009627FD">
        <w:rPr>
          <w:rFonts w:eastAsiaTheme="minorEastAsia"/>
          <w:lang w:val="en-US"/>
        </w:rPr>
        <w:t xml:space="preserve"> </w:t>
      </w:r>
      <w:r w:rsidR="00746E2E" w:rsidRPr="009627FD">
        <w:rPr>
          <w:rFonts w:eastAsiaTheme="minorEastAsia"/>
          <w:lang w:val="en-US"/>
        </w:rPr>
        <w:t>such as</w:t>
      </w:r>
      <w:r w:rsidRPr="009627FD">
        <w:rPr>
          <w:rFonts w:eastAsiaTheme="minorEastAsia"/>
          <w:lang w:val="en-US"/>
        </w:rPr>
        <w:t xml:space="preserve"> worry (Dugas, Freeston,</w:t>
      </w:r>
      <w:r w:rsidR="00A925D1" w:rsidRPr="009627FD">
        <w:rPr>
          <w:rFonts w:eastAsiaTheme="minorEastAsia"/>
          <w:lang w:val="en-US"/>
        </w:rPr>
        <w:t xml:space="preserve"> &amp;</w:t>
      </w:r>
      <w:r w:rsidRPr="009627FD">
        <w:rPr>
          <w:rFonts w:eastAsiaTheme="minorEastAsia"/>
          <w:lang w:val="en-US"/>
        </w:rPr>
        <w:t xml:space="preserve"> Ladouceur, 1997; Dugas, Gosselin, &amp; Ladouceur, 2001; McCann, Stewin, &amp; Short, 1991; Robichaud, Dugas, &amp; Conway, </w:t>
      </w:r>
      <w:r w:rsidR="0027619B" w:rsidRPr="009627FD">
        <w:rPr>
          <w:rFonts w:eastAsiaTheme="minorEastAsia"/>
          <w:lang w:val="en-US"/>
        </w:rPr>
        <w:t>2003; Stavosky &amp; Borkovec, 1988</w:t>
      </w:r>
      <w:r w:rsidRPr="009627FD">
        <w:rPr>
          <w:rFonts w:eastAsiaTheme="minorEastAsia"/>
          <w:lang w:val="en-US"/>
        </w:rPr>
        <w:t xml:space="preserve">). </w:t>
      </w:r>
    </w:p>
    <w:p w14:paraId="4D675EC0" w14:textId="00EF41DE" w:rsidR="009E58F9" w:rsidRPr="009627FD" w:rsidRDefault="009E58F9" w:rsidP="005163EE">
      <w:pPr>
        <w:spacing w:line="360" w:lineRule="auto"/>
        <w:ind w:firstLine="567"/>
        <w:contextualSpacing/>
        <w:jc w:val="both"/>
        <w:rPr>
          <w:bCs/>
          <w:lang w:val="en-US"/>
        </w:rPr>
      </w:pPr>
      <w:r w:rsidRPr="009627FD">
        <w:rPr>
          <w:bCs/>
          <w:lang w:val="en-US"/>
        </w:rPr>
        <w:t xml:space="preserve">Consistently with a previous study (Akbari et al., 2021), we found that participants who perceived </w:t>
      </w:r>
      <w:r w:rsidRPr="009627FD">
        <w:rPr>
          <w:lang w:val="en-US"/>
        </w:rPr>
        <w:t xml:space="preserve">themselves to be vulnerable to the COVID-19, compared with those who did not, had higher levels of </w:t>
      </w:r>
      <w:r w:rsidRPr="009627FD">
        <w:rPr>
          <w:bCs/>
          <w:lang w:val="en-US"/>
        </w:rPr>
        <w:t xml:space="preserve">C-19ASS Preservation and C-19ASS Avoidance. </w:t>
      </w:r>
      <w:r w:rsidRPr="009627FD">
        <w:rPr>
          <w:lang w:val="en-US"/>
        </w:rPr>
        <w:t>Being the</w:t>
      </w:r>
      <w:r w:rsidRPr="009627FD">
        <w:rPr>
          <w:bCs/>
          <w:lang w:val="en-US"/>
        </w:rPr>
        <w:t xml:space="preserve"> construct of the COVID-19 anxiety syndrome </w:t>
      </w:r>
      <w:r w:rsidRPr="009627FD">
        <w:rPr>
          <w:lang w:val="en-US"/>
        </w:rPr>
        <w:t xml:space="preserve">conceptually aligned with the </w:t>
      </w:r>
      <w:r w:rsidRPr="009627FD">
        <w:rPr>
          <w:shd w:val="clear" w:color="auto" w:fill="FFFFFF"/>
          <w:lang w:val="en-US"/>
        </w:rPr>
        <w:t xml:space="preserve">Self-Regulatory Executive Function model </w:t>
      </w:r>
      <w:r w:rsidRPr="009627FD">
        <w:rPr>
          <w:bCs/>
          <w:lang w:val="en-US"/>
        </w:rPr>
        <w:t xml:space="preserve">(S-REF) (Wells &amp; Matthews 1994; 1996), within this theoretical frame, it may be </w:t>
      </w:r>
      <w:r w:rsidR="00746E2E" w:rsidRPr="009627FD">
        <w:rPr>
          <w:bCs/>
          <w:lang w:val="en-US"/>
        </w:rPr>
        <w:t xml:space="preserve">purported </w:t>
      </w:r>
      <w:r w:rsidRPr="009627FD">
        <w:rPr>
          <w:bCs/>
          <w:lang w:val="en-US"/>
        </w:rPr>
        <w:t xml:space="preserve">that </w:t>
      </w:r>
      <w:r w:rsidR="00746E2E" w:rsidRPr="009627FD">
        <w:rPr>
          <w:bCs/>
          <w:lang w:val="en-US"/>
        </w:rPr>
        <w:t>those who</w:t>
      </w:r>
      <w:r w:rsidRPr="009627FD">
        <w:rPr>
          <w:bCs/>
          <w:lang w:val="en-US"/>
        </w:rPr>
        <w:t xml:space="preserve"> perceive </w:t>
      </w:r>
      <w:r w:rsidRPr="009627FD">
        <w:rPr>
          <w:lang w:val="en-US"/>
        </w:rPr>
        <w:t xml:space="preserve">themselves to be vulnerable to the COVID-19 </w:t>
      </w:r>
      <w:r w:rsidR="00746E2E" w:rsidRPr="009627FD">
        <w:rPr>
          <w:lang w:val="en-US"/>
        </w:rPr>
        <w:t>may also hold beliefs about the need to control thinking (</w:t>
      </w:r>
      <w:r w:rsidRPr="009627FD">
        <w:rPr>
          <w:lang w:val="en-US"/>
        </w:rPr>
        <w:t>metacognitive beliefs</w:t>
      </w:r>
      <w:r w:rsidR="00746E2E" w:rsidRPr="009627FD">
        <w:rPr>
          <w:lang w:val="en-US"/>
        </w:rPr>
        <w:t>)</w:t>
      </w:r>
      <w:r w:rsidRPr="009627FD">
        <w:rPr>
          <w:lang w:val="en-US"/>
        </w:rPr>
        <w:t xml:space="preserve"> in response to COVID-19 fear (Akbari et al., 2021; </w:t>
      </w:r>
      <w:r w:rsidRPr="009627FD">
        <w:rPr>
          <w:shd w:val="clear" w:color="auto" w:fill="FFFFFF"/>
          <w:lang w:val="en-US"/>
        </w:rPr>
        <w:t>Aydın et al., 2021</w:t>
      </w:r>
      <w:r w:rsidRPr="009627FD">
        <w:rPr>
          <w:lang w:val="en-US"/>
        </w:rPr>
        <w:t>)</w:t>
      </w:r>
      <w:r w:rsidR="00EE071B" w:rsidRPr="009627FD">
        <w:rPr>
          <w:lang w:val="en-US"/>
        </w:rPr>
        <w:t>,</w:t>
      </w:r>
      <w:r w:rsidRPr="009627FD">
        <w:rPr>
          <w:lang w:val="en-US"/>
        </w:rPr>
        <w:t xml:space="preserve"> that in turn</w:t>
      </w:r>
      <w:r w:rsidR="00EE071B" w:rsidRPr="009627FD">
        <w:rPr>
          <w:lang w:val="en-US"/>
        </w:rPr>
        <w:t>,</w:t>
      </w:r>
      <w:r w:rsidRPr="009627FD">
        <w:rPr>
          <w:lang w:val="en-US"/>
        </w:rPr>
        <w:t xml:space="preserve"> might increase</w:t>
      </w:r>
      <w:r w:rsidR="00C7472F" w:rsidRPr="009627FD">
        <w:rPr>
          <w:lang w:val="en-US"/>
        </w:rPr>
        <w:t xml:space="preserve"> </w:t>
      </w:r>
      <w:r w:rsidRPr="009627FD">
        <w:rPr>
          <w:lang w:val="en-US"/>
        </w:rPr>
        <w:t xml:space="preserve">the </w:t>
      </w:r>
      <w:r w:rsidRPr="009627FD">
        <w:rPr>
          <w:bCs/>
          <w:lang w:val="en-US"/>
        </w:rPr>
        <w:t xml:space="preserve">likelihood of using dysfunctional coping strategies (Akbari et al., 2021; Wells &amp; Matthews 1996) such as C-19ASS Preservation and C-19ASS avoidance. However, the lack of studies exploring this </w:t>
      </w:r>
      <w:r w:rsidR="00746E2E" w:rsidRPr="009627FD">
        <w:rPr>
          <w:bCs/>
          <w:lang w:val="en-US"/>
        </w:rPr>
        <w:t xml:space="preserve">hypothesis </w:t>
      </w:r>
      <w:r w:rsidRPr="009627FD">
        <w:rPr>
          <w:bCs/>
          <w:lang w:val="en-US"/>
        </w:rPr>
        <w:t xml:space="preserve">prevents us to draw firm conclusions about the relationship between the perception of vulnerability to COVID-19 and the COVID-19 anxiety syndrome. </w:t>
      </w:r>
    </w:p>
    <w:p w14:paraId="11AACE0F" w14:textId="4D1BBFA1" w:rsidR="009E58F9" w:rsidRPr="009627FD" w:rsidRDefault="009E58F9" w:rsidP="00746E2E">
      <w:pPr>
        <w:widowControl w:val="0"/>
        <w:autoSpaceDE w:val="0"/>
        <w:autoSpaceDN w:val="0"/>
        <w:adjustRightInd w:val="0"/>
        <w:spacing w:line="360" w:lineRule="auto"/>
        <w:ind w:firstLine="567"/>
        <w:contextualSpacing/>
        <w:jc w:val="both"/>
        <w:rPr>
          <w:lang w:val="en-US"/>
        </w:rPr>
      </w:pPr>
      <w:r w:rsidRPr="009627FD">
        <w:rPr>
          <w:lang w:val="en-US"/>
        </w:rPr>
        <w:t xml:space="preserve">Moreover, our findings suggested that </w:t>
      </w:r>
      <w:r w:rsidR="009C6967" w:rsidRPr="009627FD">
        <w:rPr>
          <w:lang w:val="en-US"/>
        </w:rPr>
        <w:t>those</w:t>
      </w:r>
      <w:r w:rsidRPr="009627FD">
        <w:rPr>
          <w:bCs/>
          <w:lang w:val="en-US"/>
        </w:rPr>
        <w:t xml:space="preserve"> diagnosed with COVID-19 and those who had not been diagnosed with COVID-19 did not differ </w:t>
      </w:r>
      <w:r w:rsidR="009C6967" w:rsidRPr="009627FD">
        <w:rPr>
          <w:bCs/>
          <w:lang w:val="en-US"/>
        </w:rPr>
        <w:t xml:space="preserve">in terms of </w:t>
      </w:r>
      <w:r w:rsidRPr="009627FD">
        <w:rPr>
          <w:bCs/>
          <w:lang w:val="en-US"/>
        </w:rPr>
        <w:t xml:space="preserve">the COVID-19 anxiety syndrome. This finding </w:t>
      </w:r>
      <w:r w:rsidR="009C6967" w:rsidRPr="009627FD">
        <w:rPr>
          <w:bCs/>
          <w:lang w:val="en-US"/>
        </w:rPr>
        <w:t xml:space="preserve">is in contrast to that of </w:t>
      </w:r>
      <w:r w:rsidRPr="009627FD">
        <w:rPr>
          <w:bCs/>
          <w:lang w:val="en-US"/>
        </w:rPr>
        <w:t xml:space="preserve">Håkanssona and Claesdotte (2022) who found higher levels of fear of COVID-19 in </w:t>
      </w:r>
      <w:r w:rsidR="009C6967" w:rsidRPr="009627FD">
        <w:rPr>
          <w:bCs/>
          <w:lang w:val="en-US"/>
        </w:rPr>
        <w:t xml:space="preserve">those </w:t>
      </w:r>
      <w:r w:rsidRPr="009627FD">
        <w:rPr>
          <w:bCs/>
          <w:lang w:val="en-US"/>
        </w:rPr>
        <w:t xml:space="preserve">not diagnosed with COVID-19 than </w:t>
      </w:r>
      <w:r w:rsidR="00067C88" w:rsidRPr="009627FD">
        <w:rPr>
          <w:bCs/>
          <w:lang w:val="en-US"/>
        </w:rPr>
        <w:t xml:space="preserve">in </w:t>
      </w:r>
      <w:r w:rsidRPr="009627FD">
        <w:rPr>
          <w:bCs/>
          <w:lang w:val="en-US"/>
        </w:rPr>
        <w:t>those who had</w:t>
      </w:r>
      <w:r w:rsidR="009C6967" w:rsidRPr="009627FD">
        <w:rPr>
          <w:bCs/>
          <w:lang w:val="en-US"/>
        </w:rPr>
        <w:t xml:space="preserve"> had</w:t>
      </w:r>
      <w:r w:rsidRPr="009627FD">
        <w:rPr>
          <w:bCs/>
          <w:lang w:val="en-US"/>
        </w:rPr>
        <w:t xml:space="preserve"> </w:t>
      </w:r>
      <w:r w:rsidR="009C6967" w:rsidRPr="009627FD">
        <w:rPr>
          <w:bCs/>
          <w:lang w:val="en-US"/>
        </w:rPr>
        <w:t xml:space="preserve">a </w:t>
      </w:r>
      <w:r w:rsidRPr="009627FD">
        <w:rPr>
          <w:bCs/>
          <w:lang w:val="en-US"/>
        </w:rPr>
        <w:t xml:space="preserve">COVID-19 diagnosis. However, this discrepancy between our results and what was observed by Håkanssona and Claesdotte (2022) might </w:t>
      </w:r>
      <w:r w:rsidR="009C6967" w:rsidRPr="009627FD">
        <w:rPr>
          <w:bCs/>
          <w:lang w:val="en-US"/>
        </w:rPr>
        <w:t>be based on a conceptual difference between the</w:t>
      </w:r>
      <w:r w:rsidRPr="009627FD">
        <w:rPr>
          <w:bCs/>
          <w:lang w:val="en-US"/>
        </w:rPr>
        <w:t xml:space="preserve"> </w:t>
      </w:r>
      <w:r w:rsidRPr="009627FD">
        <w:rPr>
          <w:lang w:val="en-US"/>
        </w:rPr>
        <w:t xml:space="preserve">COVID-19 anxiety syndrome </w:t>
      </w:r>
      <w:r w:rsidR="009C6967" w:rsidRPr="009627FD">
        <w:rPr>
          <w:lang w:val="en-US"/>
        </w:rPr>
        <w:t>and</w:t>
      </w:r>
      <w:r w:rsidRPr="009627FD">
        <w:rPr>
          <w:lang w:val="en-US"/>
        </w:rPr>
        <w:t xml:space="preserve"> COVID-19 fear (Nikčević </w:t>
      </w:r>
      <w:r w:rsidRPr="009627FD">
        <w:rPr>
          <w:rFonts w:eastAsiaTheme="minorEastAsia"/>
          <w:lang w:val="en-US"/>
        </w:rPr>
        <w:t>&amp; Spada, 2020)</w:t>
      </w:r>
      <w:r w:rsidRPr="009627FD">
        <w:rPr>
          <w:lang w:val="en-US"/>
        </w:rPr>
        <w:t xml:space="preserve">.    </w:t>
      </w:r>
      <w:r w:rsidRPr="009627FD">
        <w:rPr>
          <w:bCs/>
          <w:lang w:val="en-US"/>
        </w:rPr>
        <w:t xml:space="preserve">  </w:t>
      </w:r>
    </w:p>
    <w:p w14:paraId="60AFD4E9" w14:textId="3C9365DF" w:rsidR="009E58F9" w:rsidRPr="009627FD" w:rsidRDefault="009E58F9" w:rsidP="009E58F9">
      <w:pPr>
        <w:widowControl w:val="0"/>
        <w:autoSpaceDE w:val="0"/>
        <w:autoSpaceDN w:val="0"/>
        <w:adjustRightInd w:val="0"/>
        <w:spacing w:line="360" w:lineRule="auto"/>
        <w:ind w:firstLine="567"/>
        <w:contextualSpacing/>
        <w:jc w:val="both"/>
        <w:rPr>
          <w:rFonts w:eastAsiaTheme="minorEastAsia"/>
          <w:lang w:val="en-US"/>
        </w:rPr>
      </w:pPr>
      <w:r w:rsidRPr="009627FD">
        <w:rPr>
          <w:bCs/>
          <w:lang w:val="en-US"/>
        </w:rPr>
        <w:t>Furthermore, we did not find any significant differences on the C-19ASS between participants who had experienced a loss as a consequence of COVID-19 and those who had not experienced a loss as a consequence of COVID-19, as well as, between participants who had been vaccinated for COVID-19 and those who had not been vaccinated for COVID-19. This could be explained by the fact that neither the close death due to COVID-19 nor the vaccination status may make COVID-19 related stimuli remarkably salient (Albery et al. 2021a)</w:t>
      </w:r>
      <w:r w:rsidRPr="009627FD">
        <w:rPr>
          <w:rFonts w:eastAsiaTheme="minorEastAsia"/>
          <w:lang w:val="en-US"/>
        </w:rPr>
        <w:t xml:space="preserve">. </w:t>
      </w:r>
      <w:r w:rsidRPr="009627FD">
        <w:rPr>
          <w:bCs/>
          <w:lang w:val="en-US"/>
        </w:rPr>
        <w:t xml:space="preserve">Albery </w:t>
      </w:r>
      <w:r w:rsidR="009C6967" w:rsidRPr="009627FD">
        <w:rPr>
          <w:bCs/>
          <w:lang w:val="en-US"/>
        </w:rPr>
        <w:t>and colleagues</w:t>
      </w:r>
      <w:r w:rsidRPr="009627FD">
        <w:rPr>
          <w:bCs/>
          <w:lang w:val="en-US"/>
        </w:rPr>
        <w:t xml:space="preserve"> (2021) observed that </w:t>
      </w:r>
      <w:r w:rsidRPr="009627FD">
        <w:rPr>
          <w:bCs/>
          <w:lang w:val="en-US"/>
        </w:rPr>
        <w:lastRenderedPageBreak/>
        <w:t xml:space="preserve">both close death due to COVID-19 and vaccination status were not associated with an increased attentional bias to COVID-19-related stimuli, suggesting that these variables may be not important in describing the way of elaboration of relevant COVID-19-related stimuli by the attentional system. </w:t>
      </w:r>
    </w:p>
    <w:p w14:paraId="5487E914" w14:textId="51C84A8C" w:rsidR="009E58F9" w:rsidRPr="009627FD" w:rsidRDefault="009E58F9" w:rsidP="005163EE">
      <w:pPr>
        <w:widowControl w:val="0"/>
        <w:autoSpaceDE w:val="0"/>
        <w:autoSpaceDN w:val="0"/>
        <w:adjustRightInd w:val="0"/>
        <w:spacing w:line="360" w:lineRule="auto"/>
        <w:ind w:firstLine="567"/>
        <w:contextualSpacing/>
        <w:jc w:val="both"/>
        <w:rPr>
          <w:bCs/>
          <w:lang w:val="en-US"/>
        </w:rPr>
      </w:pPr>
      <w:r w:rsidRPr="009627FD">
        <w:rPr>
          <w:bCs/>
          <w:lang w:val="en-US"/>
        </w:rPr>
        <w:t>Finally, exploring differences on C-19ASS on the basis of work status, we found that health care workers had lower levels of C-19ASS Avoidance than the general population. This could be explained by the fact that during COVID-19 pandemic health care workers, due to their role in tackling the COVID-19 pandemic (</w:t>
      </w:r>
      <w:r w:rsidR="00A00564" w:rsidRPr="009627FD">
        <w:rPr>
          <w:bCs/>
          <w:lang w:val="en-US"/>
        </w:rPr>
        <w:t>Bush et al., 2021</w:t>
      </w:r>
      <w:r w:rsidR="005849F4" w:rsidRPr="009627FD">
        <w:rPr>
          <w:bCs/>
          <w:lang w:val="en-US"/>
        </w:rPr>
        <w:t>; Theorell, 2020)</w:t>
      </w:r>
      <w:r w:rsidR="009C6967" w:rsidRPr="009627FD">
        <w:rPr>
          <w:bCs/>
          <w:lang w:val="en-US"/>
        </w:rPr>
        <w:t>,</w:t>
      </w:r>
      <w:r w:rsidR="004320F6" w:rsidRPr="009627FD">
        <w:rPr>
          <w:bCs/>
          <w:lang w:val="en-US"/>
        </w:rPr>
        <w:t xml:space="preserve"> have</w:t>
      </w:r>
      <w:r w:rsidR="005849F4" w:rsidRPr="009627FD">
        <w:rPr>
          <w:bCs/>
          <w:lang w:val="en-US"/>
        </w:rPr>
        <w:t xml:space="preserve"> </w:t>
      </w:r>
      <w:r w:rsidRPr="009627FD">
        <w:rPr>
          <w:bCs/>
          <w:lang w:val="en-US"/>
        </w:rPr>
        <w:t xml:space="preserve">preserved </w:t>
      </w:r>
      <w:r w:rsidR="004320F6" w:rsidRPr="009627FD">
        <w:rPr>
          <w:bCs/>
          <w:lang w:val="en-US"/>
        </w:rPr>
        <w:t>their</w:t>
      </w:r>
      <w:r w:rsidRPr="009627FD">
        <w:rPr>
          <w:bCs/>
          <w:lang w:val="en-US"/>
        </w:rPr>
        <w:t xml:space="preserve"> </w:t>
      </w:r>
      <w:r w:rsidRPr="009627FD">
        <w:rPr>
          <w:rFonts w:eastAsiaTheme="minorEastAsia"/>
          <w:lang w:val="en-US"/>
        </w:rPr>
        <w:t>full/normal functioning</w:t>
      </w:r>
      <w:r w:rsidRPr="009627FD">
        <w:rPr>
          <w:bCs/>
          <w:lang w:val="en-US"/>
        </w:rPr>
        <w:t xml:space="preserve"> (e.g., spending more time outside home, going to work, using public transport, social relationship, being exposed to subjects infected by COVID-19) (Bielicki et al., 2020; Mansueto et al., 2021; Peng et al., 2020; Zhang et al., 2020). By contrast, in </w:t>
      </w:r>
      <w:r w:rsidR="009C6967" w:rsidRPr="009627FD">
        <w:rPr>
          <w:bCs/>
          <w:lang w:val="en-US"/>
        </w:rPr>
        <w:t xml:space="preserve">the </w:t>
      </w:r>
      <w:r w:rsidRPr="009627FD">
        <w:rPr>
          <w:bCs/>
          <w:lang w:val="en-US"/>
        </w:rPr>
        <w:t xml:space="preserve">general population the restrictions released to limit the spread of </w:t>
      </w:r>
      <w:r w:rsidR="009C6967" w:rsidRPr="009627FD">
        <w:rPr>
          <w:bCs/>
          <w:lang w:val="en-US"/>
        </w:rPr>
        <w:t>COVID-19</w:t>
      </w:r>
      <w:r w:rsidRPr="009627FD">
        <w:rPr>
          <w:bCs/>
          <w:lang w:val="en-US"/>
        </w:rPr>
        <w:t xml:space="preserve"> (e.g., the closure of school, shifting to on-line learning, working from home) (Barouki et al., 2021; Mansueto et</w:t>
      </w:r>
      <w:r w:rsidR="00004827" w:rsidRPr="009627FD">
        <w:rPr>
          <w:bCs/>
          <w:lang w:val="en-US"/>
        </w:rPr>
        <w:t xml:space="preserve"> al., 2021; Viner et al., 2020)</w:t>
      </w:r>
      <w:r w:rsidRPr="009627FD">
        <w:rPr>
          <w:bCs/>
          <w:lang w:val="en-US"/>
        </w:rPr>
        <w:t xml:space="preserve"> may have increased the use of dysfunctional coping strategies as C-19ASS Avoidance. </w:t>
      </w:r>
      <w:r w:rsidR="005163EE" w:rsidRPr="009627FD">
        <w:rPr>
          <w:bCs/>
          <w:lang w:val="en-US"/>
        </w:rPr>
        <w:t>W</w:t>
      </w:r>
      <w:r w:rsidR="009C6967" w:rsidRPr="009627FD">
        <w:rPr>
          <w:bCs/>
          <w:lang w:val="en-US"/>
        </w:rPr>
        <w:t>ith regards to</w:t>
      </w:r>
      <w:r w:rsidRPr="009627FD">
        <w:rPr>
          <w:bCs/>
          <w:lang w:val="en-US"/>
        </w:rPr>
        <w:t xml:space="preserve"> C-19ASS Perseveration, no significant</w:t>
      </w:r>
      <w:r w:rsidR="009C6967" w:rsidRPr="009627FD">
        <w:rPr>
          <w:bCs/>
          <w:lang w:val="en-US"/>
        </w:rPr>
        <w:t xml:space="preserve"> </w:t>
      </w:r>
      <w:r w:rsidRPr="009627FD">
        <w:rPr>
          <w:bCs/>
          <w:lang w:val="en-US"/>
        </w:rPr>
        <w:t xml:space="preserve">differences were observed between health care workers and </w:t>
      </w:r>
      <w:r w:rsidR="009C6967" w:rsidRPr="009627FD">
        <w:rPr>
          <w:bCs/>
          <w:lang w:val="en-US"/>
        </w:rPr>
        <w:t xml:space="preserve">the </w:t>
      </w:r>
      <w:r w:rsidRPr="009627FD">
        <w:rPr>
          <w:bCs/>
          <w:lang w:val="en-US"/>
        </w:rPr>
        <w:t>general population. This finding is consistent to previous studies showing an increased level of worry during</w:t>
      </w:r>
      <w:r w:rsidRPr="009627FD">
        <w:rPr>
          <w:rFonts w:eastAsiaTheme="minorEastAsia"/>
          <w:lang w:val="en-US"/>
        </w:rPr>
        <w:t xml:space="preserve"> </w:t>
      </w:r>
      <w:r w:rsidR="009C6967" w:rsidRPr="009627FD">
        <w:rPr>
          <w:rFonts w:eastAsiaTheme="minorEastAsia"/>
          <w:lang w:val="en-US"/>
        </w:rPr>
        <w:t xml:space="preserve">the </w:t>
      </w:r>
      <w:r w:rsidRPr="009627FD">
        <w:rPr>
          <w:rFonts w:eastAsiaTheme="minorEastAsia"/>
          <w:lang w:val="en-US"/>
        </w:rPr>
        <w:t>COVID-19 pandemic</w:t>
      </w:r>
      <w:r w:rsidRPr="009627FD">
        <w:rPr>
          <w:bCs/>
          <w:lang w:val="en-US"/>
        </w:rPr>
        <w:t xml:space="preserve"> in </w:t>
      </w:r>
      <w:r w:rsidR="009C6967" w:rsidRPr="009627FD">
        <w:rPr>
          <w:bCs/>
          <w:lang w:val="en-US"/>
        </w:rPr>
        <w:t xml:space="preserve">both </w:t>
      </w:r>
      <w:r w:rsidRPr="009627FD">
        <w:rPr>
          <w:rFonts w:eastAsiaTheme="minorEastAsia"/>
          <w:lang w:val="en-US"/>
        </w:rPr>
        <w:t xml:space="preserve">healthcare workers and </w:t>
      </w:r>
      <w:r w:rsidR="009C6967" w:rsidRPr="009627FD">
        <w:rPr>
          <w:rFonts w:eastAsiaTheme="minorEastAsia"/>
          <w:lang w:val="en-US"/>
        </w:rPr>
        <w:t xml:space="preserve">the </w:t>
      </w:r>
      <w:r w:rsidRPr="009627FD">
        <w:rPr>
          <w:rFonts w:eastAsiaTheme="minorEastAsia"/>
          <w:lang w:val="en-US"/>
        </w:rPr>
        <w:t xml:space="preserve">general population </w:t>
      </w:r>
      <w:r w:rsidRPr="009627FD">
        <w:rPr>
          <w:bCs/>
          <w:lang w:val="en-US"/>
        </w:rPr>
        <w:t>(Bush et al., 2021; Cosci &amp; Guidi, 2021; Mansueto et al., 2021; Wahlund et al., 2021).</w:t>
      </w:r>
    </w:p>
    <w:p w14:paraId="7D057675" w14:textId="10DADC2D" w:rsidR="009E58F9" w:rsidRPr="009627FD" w:rsidRDefault="005820AC" w:rsidP="009E58F9">
      <w:pPr>
        <w:spacing w:line="360" w:lineRule="auto"/>
        <w:contextualSpacing/>
        <w:rPr>
          <w:b/>
          <w:lang w:val="en-US"/>
        </w:rPr>
      </w:pPr>
      <w:r w:rsidRPr="009627FD">
        <w:rPr>
          <w:b/>
          <w:bCs/>
          <w:lang w:val="en-US"/>
        </w:rPr>
        <w:t>6</w:t>
      </w:r>
      <w:r w:rsidR="009E58F9" w:rsidRPr="009627FD">
        <w:rPr>
          <w:b/>
          <w:bCs/>
          <w:lang w:val="en-US"/>
        </w:rPr>
        <w:t>.3</w:t>
      </w:r>
      <w:r w:rsidRPr="009627FD">
        <w:rPr>
          <w:b/>
          <w:bCs/>
          <w:lang w:val="en-US"/>
        </w:rPr>
        <w:t>.</w:t>
      </w:r>
      <w:r w:rsidR="009E58F9" w:rsidRPr="009627FD">
        <w:rPr>
          <w:b/>
          <w:bCs/>
          <w:lang w:val="en-US"/>
        </w:rPr>
        <w:t xml:space="preserve"> The mediating role of COVID-19 anxiety syndrome in the association </w:t>
      </w:r>
      <w:r w:rsidR="009E58F9" w:rsidRPr="009627FD">
        <w:rPr>
          <w:b/>
          <w:lang w:val="en-US"/>
        </w:rPr>
        <w:t>between Big Five personality traits and psychological symptoms</w:t>
      </w:r>
    </w:p>
    <w:p w14:paraId="559E70AC" w14:textId="7028AA99" w:rsidR="009E58F9" w:rsidRPr="009627FD" w:rsidRDefault="009E58F9" w:rsidP="005163EE">
      <w:pPr>
        <w:spacing w:line="360" w:lineRule="auto"/>
        <w:ind w:firstLine="567"/>
        <w:contextualSpacing/>
        <w:jc w:val="both"/>
        <w:rPr>
          <w:lang w:val="en-US"/>
        </w:rPr>
      </w:pPr>
      <w:r w:rsidRPr="009627FD">
        <w:rPr>
          <w:lang w:val="en-US"/>
        </w:rPr>
        <w:t xml:space="preserve">We tested a model where we hypothesized that </w:t>
      </w:r>
      <w:r w:rsidR="009C6967" w:rsidRPr="009627FD">
        <w:rPr>
          <w:lang w:val="en-US"/>
        </w:rPr>
        <w:t xml:space="preserve">the </w:t>
      </w:r>
      <w:r w:rsidRPr="009627FD">
        <w:rPr>
          <w:lang w:val="en-US"/>
        </w:rPr>
        <w:t xml:space="preserve">COVID-19 anxiety syndrome would mediate the relationship between Big Five personality traits and psychological </w:t>
      </w:r>
      <w:r w:rsidR="00BD65AC" w:rsidRPr="009627FD">
        <w:rPr>
          <w:lang w:val="en-US"/>
        </w:rPr>
        <w:t xml:space="preserve">outcomes </w:t>
      </w:r>
      <w:r w:rsidRPr="009627FD">
        <w:rPr>
          <w:lang w:val="en-US"/>
        </w:rPr>
        <w:t>(i.e., depression, generalized anxiety, and health anxiety) (see Figure 1). The path analyses of our hypothesized model and the amount of variance explained revealed that it fits the data well, suggesting that the proposed model may be of value. Specifically, in the model we observed that: (</w:t>
      </w:r>
      <w:r w:rsidR="00BD65AC" w:rsidRPr="009627FD">
        <w:rPr>
          <w:lang w:val="en-US"/>
        </w:rPr>
        <w:t>1</w:t>
      </w:r>
      <w:r w:rsidRPr="009627FD">
        <w:rPr>
          <w:lang w:val="en-US"/>
        </w:rPr>
        <w:t xml:space="preserve">) </w:t>
      </w:r>
      <w:r w:rsidR="00BD65AC" w:rsidRPr="009627FD">
        <w:rPr>
          <w:lang w:val="en-US"/>
        </w:rPr>
        <w:t xml:space="preserve">the </w:t>
      </w:r>
      <w:r w:rsidRPr="009627FD">
        <w:rPr>
          <w:lang w:val="en-US"/>
        </w:rPr>
        <w:t>Big Five personality traits</w:t>
      </w:r>
      <w:r w:rsidRPr="009627FD">
        <w:rPr>
          <w:bCs/>
          <w:lang w:val="en-US"/>
        </w:rPr>
        <w:t xml:space="preserve"> (i.e., conscientiousness, emotional stability, extraversion) appear to be negatively associated with psychological symptoms; (</w:t>
      </w:r>
      <w:r w:rsidR="00BD65AC" w:rsidRPr="009627FD">
        <w:rPr>
          <w:bCs/>
          <w:lang w:val="en-US"/>
        </w:rPr>
        <w:t>2</w:t>
      </w:r>
      <w:r w:rsidRPr="009627FD">
        <w:rPr>
          <w:bCs/>
          <w:lang w:val="en-US"/>
        </w:rPr>
        <w:t xml:space="preserve">) emotional stability </w:t>
      </w:r>
      <w:r w:rsidR="00BD65AC" w:rsidRPr="009627FD">
        <w:rPr>
          <w:bCs/>
          <w:lang w:val="en-US"/>
        </w:rPr>
        <w:t xml:space="preserve">is </w:t>
      </w:r>
      <w:r w:rsidRPr="009627FD">
        <w:rPr>
          <w:bCs/>
          <w:lang w:val="en-US"/>
        </w:rPr>
        <w:t xml:space="preserve">negatively associated with C-19ASS Perseveration and C-19ASS Avoidance; </w:t>
      </w:r>
      <w:r w:rsidR="00BD65AC" w:rsidRPr="009627FD">
        <w:rPr>
          <w:bCs/>
          <w:lang w:val="en-US"/>
        </w:rPr>
        <w:t xml:space="preserve">and </w:t>
      </w:r>
      <w:r w:rsidRPr="009627FD">
        <w:rPr>
          <w:bCs/>
          <w:lang w:val="en-US"/>
        </w:rPr>
        <w:t>(</w:t>
      </w:r>
      <w:r w:rsidR="00BD65AC" w:rsidRPr="009627FD">
        <w:rPr>
          <w:bCs/>
          <w:lang w:val="en-US"/>
        </w:rPr>
        <w:t>3</w:t>
      </w:r>
      <w:r w:rsidRPr="009627FD">
        <w:rPr>
          <w:bCs/>
          <w:lang w:val="en-US"/>
        </w:rPr>
        <w:t>) C-19ASS Perseveration may play a mediating role in the relationship between</w:t>
      </w:r>
      <w:r w:rsidRPr="009627FD">
        <w:rPr>
          <w:lang w:val="en-US"/>
        </w:rPr>
        <w:t xml:space="preserve"> </w:t>
      </w:r>
      <w:r w:rsidRPr="009627FD">
        <w:rPr>
          <w:bCs/>
          <w:lang w:val="en-US"/>
        </w:rPr>
        <w:t xml:space="preserve">emotional stability and </w:t>
      </w:r>
      <w:r w:rsidRPr="009627FD">
        <w:rPr>
          <w:lang w:val="en-US"/>
        </w:rPr>
        <w:t xml:space="preserve">psychological symptoms, while, C-19ASS Avoidance </w:t>
      </w:r>
      <w:r w:rsidR="00BD65AC" w:rsidRPr="009627FD">
        <w:rPr>
          <w:lang w:val="en-US"/>
        </w:rPr>
        <w:t xml:space="preserve">does </w:t>
      </w:r>
      <w:r w:rsidRPr="009627FD">
        <w:rPr>
          <w:lang w:val="en-US"/>
        </w:rPr>
        <w:t>not.</w:t>
      </w:r>
    </w:p>
    <w:p w14:paraId="75A6D571" w14:textId="0020E55E" w:rsidR="009E58F9" w:rsidRPr="009627FD" w:rsidRDefault="009E58F9" w:rsidP="005163EE">
      <w:pPr>
        <w:spacing w:line="360" w:lineRule="auto"/>
        <w:ind w:firstLine="567"/>
        <w:contextualSpacing/>
        <w:jc w:val="both"/>
        <w:rPr>
          <w:lang w:val="en-US"/>
        </w:rPr>
      </w:pPr>
      <w:r w:rsidRPr="009627FD">
        <w:rPr>
          <w:lang w:val="en-US"/>
        </w:rPr>
        <w:t>The association between Big Five personality traits (i.e., conscientiousness, extraversion emotional stability) and psychological symptoms is well established. Our findings confirm previous observations of conscientiousness being a protective factor for both depression and generalized anxiety (</w:t>
      </w:r>
      <w:r w:rsidRPr="009627FD">
        <w:rPr>
          <w:shd w:val="clear" w:color="auto" w:fill="FFFFFF"/>
          <w:lang w:val="en-US"/>
        </w:rPr>
        <w:t>Koorevaar et al., 2017</w:t>
      </w:r>
      <w:r w:rsidRPr="009627FD">
        <w:rPr>
          <w:lang w:val="en-US"/>
        </w:rPr>
        <w:t>), and extraversion being a protective factor for depression (Akbari et al., 2021;</w:t>
      </w:r>
      <w:r w:rsidRPr="009627FD">
        <w:rPr>
          <w:shd w:val="clear" w:color="auto" w:fill="FFFFFF"/>
          <w:lang w:val="en-US"/>
        </w:rPr>
        <w:t xml:space="preserve"> Lyon</w:t>
      </w:r>
      <w:r w:rsidR="00812ABD" w:rsidRPr="009627FD">
        <w:rPr>
          <w:shd w:val="clear" w:color="auto" w:fill="FFFFFF"/>
          <w:lang w:val="en-US"/>
        </w:rPr>
        <w:t xml:space="preserve">, </w:t>
      </w:r>
      <w:r w:rsidR="00812ABD" w:rsidRPr="009627FD">
        <w:rPr>
          <w:rFonts w:eastAsiaTheme="minorEastAsia"/>
          <w:lang w:val="en-US"/>
        </w:rPr>
        <w:t xml:space="preserve">Elliott, Ware, Juhasz, &amp; Brown, </w:t>
      </w:r>
      <w:r w:rsidRPr="009627FD">
        <w:rPr>
          <w:shd w:val="clear" w:color="auto" w:fill="FFFFFF"/>
          <w:lang w:val="en-US"/>
        </w:rPr>
        <w:t>2021; Koorevaar et al., 2017</w:t>
      </w:r>
      <w:r w:rsidRPr="009627FD">
        <w:rPr>
          <w:lang w:val="en-US"/>
        </w:rPr>
        <w:t>), and emotional stability being a protective factor for depression, generalized anxiety and health anxiety (Akbari et al., 2021; Jylhä &amp; Isometsä, 2006</w:t>
      </w:r>
      <w:r w:rsidR="0089482C" w:rsidRPr="009627FD">
        <w:rPr>
          <w:lang w:val="en-US"/>
        </w:rPr>
        <w:t>;</w:t>
      </w:r>
      <w:r w:rsidRPr="009627FD">
        <w:rPr>
          <w:lang w:val="en-US"/>
        </w:rPr>
        <w:t xml:space="preserve"> Nikčević et al., 2021).</w:t>
      </w:r>
      <w:r w:rsidR="00BD65AC" w:rsidRPr="009627FD">
        <w:rPr>
          <w:lang w:val="en-US"/>
        </w:rPr>
        <w:t xml:space="preserve"> </w:t>
      </w:r>
      <w:r w:rsidRPr="009627FD">
        <w:rPr>
          <w:lang w:val="en-US"/>
        </w:rPr>
        <w:t xml:space="preserve">With regards the association between Big </w:t>
      </w:r>
      <w:r w:rsidRPr="009627FD">
        <w:rPr>
          <w:lang w:val="en-US"/>
        </w:rPr>
        <w:lastRenderedPageBreak/>
        <w:t xml:space="preserve">Five personality traits and C-19ASS, </w:t>
      </w:r>
      <w:r w:rsidRPr="009627FD">
        <w:rPr>
          <w:rFonts w:eastAsiaTheme="minorEastAsia"/>
          <w:lang w:val="en-US"/>
        </w:rPr>
        <w:t xml:space="preserve">as been observed elsewhere </w:t>
      </w:r>
      <w:r w:rsidRPr="009627FD">
        <w:rPr>
          <w:lang w:val="en-US"/>
        </w:rPr>
        <w:t>(Akbari et al., 2021; Nikčević et al., 2021), lower emotional stability may be a vulnerability factor for C-19ASS Perseveration and C-19ASS Avoidance.</w:t>
      </w:r>
    </w:p>
    <w:p w14:paraId="1C57501B" w14:textId="70826330" w:rsidR="009E58F9" w:rsidRPr="009627FD" w:rsidRDefault="009E58F9" w:rsidP="005163EE">
      <w:pPr>
        <w:spacing w:line="360" w:lineRule="auto"/>
        <w:ind w:firstLine="567"/>
        <w:contextualSpacing/>
        <w:jc w:val="both"/>
        <w:rPr>
          <w:lang w:val="en-US"/>
        </w:rPr>
      </w:pPr>
      <w:r w:rsidRPr="009627FD">
        <w:rPr>
          <w:lang w:val="en-US"/>
        </w:rPr>
        <w:t xml:space="preserve">With regards the association between C-19ASS and psychological </w:t>
      </w:r>
      <w:r w:rsidR="00BD65AC" w:rsidRPr="009627FD">
        <w:rPr>
          <w:lang w:val="en-US"/>
        </w:rPr>
        <w:t xml:space="preserve">outcomes </w:t>
      </w:r>
      <w:r w:rsidRPr="009627FD">
        <w:rPr>
          <w:lang w:val="en-US"/>
        </w:rPr>
        <w:t>our findings confirm the vulnerability role of C-19ASS Perseveration for depression, generalized anxiety and health anxiety (</w:t>
      </w:r>
      <w:r w:rsidR="009308F5" w:rsidRPr="009627FD">
        <w:rPr>
          <w:lang w:val="en-US"/>
        </w:rPr>
        <w:t xml:space="preserve">Albery et al., 2021; </w:t>
      </w:r>
      <w:r w:rsidRPr="009627FD">
        <w:rPr>
          <w:lang w:val="en-US"/>
        </w:rPr>
        <w:t xml:space="preserve">Akbari et al., 2021; Nikčević et al., 2021; Nikčević &amp; Spada, 2020), on the </w:t>
      </w:r>
      <w:r w:rsidR="0050439A" w:rsidRPr="009627FD">
        <w:rPr>
          <w:lang w:val="en-US"/>
        </w:rPr>
        <w:t xml:space="preserve">other </w:t>
      </w:r>
      <w:r w:rsidRPr="009627FD">
        <w:rPr>
          <w:lang w:val="en-US"/>
        </w:rPr>
        <w:t xml:space="preserve">hand, </w:t>
      </w:r>
      <w:r w:rsidR="006E3309" w:rsidRPr="009627FD">
        <w:rPr>
          <w:lang w:val="en-US"/>
        </w:rPr>
        <w:t xml:space="preserve">no </w:t>
      </w:r>
      <w:r w:rsidRPr="009627FD">
        <w:rPr>
          <w:lang w:val="en-US"/>
        </w:rPr>
        <w:t xml:space="preserve">significant associations were found between C-19ASS Avoidance and psychological </w:t>
      </w:r>
      <w:r w:rsidR="006E3309" w:rsidRPr="009627FD">
        <w:rPr>
          <w:lang w:val="en-US"/>
        </w:rPr>
        <w:t>outcomes</w:t>
      </w:r>
      <w:r w:rsidRPr="009627FD">
        <w:rPr>
          <w:lang w:val="en-US"/>
        </w:rPr>
        <w:t xml:space="preserve">. It </w:t>
      </w:r>
      <w:r w:rsidR="006E3309" w:rsidRPr="009627FD">
        <w:rPr>
          <w:lang w:val="en-US"/>
        </w:rPr>
        <w:t>possible to suppose</w:t>
      </w:r>
      <w:r w:rsidRPr="009627FD">
        <w:rPr>
          <w:lang w:val="en-US"/>
        </w:rPr>
        <w:t xml:space="preserve"> that C-19ASS Perseveration may be more harmful than C-19ASS Avoidance</w:t>
      </w:r>
      <w:r w:rsidR="006E3309" w:rsidRPr="009627FD">
        <w:rPr>
          <w:lang w:val="en-US"/>
        </w:rPr>
        <w:t xml:space="preserve"> or that the latter was not being ‘tested’ as lockdowns and measures to contain the virus allowed for generally avoidant behaviour (i.e., recommendations not to travel, to clean one’s hands, to wear masks)</w:t>
      </w:r>
      <w:r w:rsidRPr="009627FD">
        <w:rPr>
          <w:lang w:val="en-US"/>
        </w:rPr>
        <w:t xml:space="preserve">. However, the present study is the first to explore the mediating role of the two components of C-19ASS in the association between Big Five personality traits and psychological </w:t>
      </w:r>
      <w:r w:rsidR="006E3309" w:rsidRPr="009627FD">
        <w:rPr>
          <w:lang w:val="en-US"/>
        </w:rPr>
        <w:t>outcomes</w:t>
      </w:r>
      <w:r w:rsidRPr="009627FD">
        <w:rPr>
          <w:lang w:val="en-US"/>
        </w:rPr>
        <w:t xml:space="preserve">. Thus, </w:t>
      </w:r>
      <w:r w:rsidRPr="009627FD">
        <w:rPr>
          <w:bCs/>
          <w:lang w:val="en-US"/>
        </w:rPr>
        <w:t xml:space="preserve">the lack of studies investigating this issue prevents us to draw firm conclusions about the potential differences between </w:t>
      </w:r>
      <w:r w:rsidRPr="009627FD">
        <w:rPr>
          <w:lang w:val="en-US"/>
        </w:rPr>
        <w:t>C-19ASS Perseveration and C-19ASS Avoidance.</w:t>
      </w:r>
    </w:p>
    <w:p w14:paraId="5CA8DF9E" w14:textId="7B35DD64" w:rsidR="009E58F9" w:rsidRPr="009627FD" w:rsidRDefault="005820AC" w:rsidP="005163EE">
      <w:pPr>
        <w:spacing w:line="360" w:lineRule="auto"/>
        <w:contextualSpacing/>
        <w:jc w:val="both"/>
        <w:rPr>
          <w:b/>
          <w:lang w:val="en-US"/>
        </w:rPr>
      </w:pPr>
      <w:r w:rsidRPr="009627FD">
        <w:rPr>
          <w:b/>
          <w:lang w:val="en-US"/>
        </w:rPr>
        <w:t>6</w:t>
      </w:r>
      <w:r w:rsidR="009E58F9" w:rsidRPr="009627FD">
        <w:rPr>
          <w:b/>
          <w:lang w:val="en-US"/>
        </w:rPr>
        <w:t>.4</w:t>
      </w:r>
      <w:r w:rsidRPr="009627FD">
        <w:rPr>
          <w:b/>
          <w:lang w:val="en-US"/>
        </w:rPr>
        <w:t>.</w:t>
      </w:r>
      <w:r w:rsidR="009E58F9" w:rsidRPr="009627FD">
        <w:rPr>
          <w:b/>
          <w:lang w:val="en-US"/>
        </w:rPr>
        <w:t xml:space="preserve"> Clinical implications</w:t>
      </w:r>
    </w:p>
    <w:p w14:paraId="559798FF" w14:textId="67544441" w:rsidR="009E58F9" w:rsidRPr="009627FD" w:rsidRDefault="009E58F9" w:rsidP="005163EE">
      <w:pPr>
        <w:spacing w:line="360" w:lineRule="auto"/>
        <w:contextualSpacing/>
        <w:jc w:val="both"/>
        <w:rPr>
          <w:lang w:val="en-US"/>
        </w:rPr>
      </w:pPr>
      <w:r w:rsidRPr="009627FD">
        <w:rPr>
          <w:b/>
          <w:lang w:val="en-US"/>
        </w:rPr>
        <w:tab/>
      </w:r>
      <w:r w:rsidRPr="009627FD">
        <w:rPr>
          <w:lang w:val="en-US"/>
        </w:rPr>
        <w:t xml:space="preserve">The Italian version of the C-19ASS may be a useful tool for clinicians to identify COVID-19 </w:t>
      </w:r>
      <w:r w:rsidRPr="009627FD">
        <w:rPr>
          <w:rFonts w:eastAsiaTheme="minorEastAsia"/>
          <w:lang w:val="en-US"/>
        </w:rPr>
        <w:t xml:space="preserve">dysfunctional </w:t>
      </w:r>
      <w:r w:rsidRPr="009627FD">
        <w:rPr>
          <w:lang w:val="en-US"/>
        </w:rPr>
        <w:t xml:space="preserve">coping strategies (i.e., perseveration and avoidance) that may </w:t>
      </w:r>
      <w:r w:rsidRPr="009627FD">
        <w:rPr>
          <w:rFonts w:eastAsiaTheme="minorEastAsia"/>
          <w:lang w:val="en-US"/>
        </w:rPr>
        <w:t xml:space="preserve">aggravate health outcomes. </w:t>
      </w:r>
      <w:r w:rsidRPr="009627FD">
        <w:rPr>
          <w:lang w:val="en-US"/>
        </w:rPr>
        <w:t xml:space="preserve">Rehabilitative efforts could focus on reducing such </w:t>
      </w:r>
      <w:r w:rsidRPr="009627FD">
        <w:rPr>
          <w:rFonts w:eastAsiaTheme="minorEastAsia"/>
          <w:lang w:val="en-US"/>
        </w:rPr>
        <w:t xml:space="preserve">dysfunctional </w:t>
      </w:r>
      <w:r w:rsidRPr="009627FD">
        <w:rPr>
          <w:lang w:val="en-US"/>
        </w:rPr>
        <w:t xml:space="preserve">coping strategies and in promoting alternative styles of thinking and behaviours that would attenuate the </w:t>
      </w:r>
      <w:r w:rsidRPr="009627FD">
        <w:rPr>
          <w:rFonts w:eastAsiaTheme="minorEastAsia"/>
          <w:lang w:val="en-US"/>
        </w:rPr>
        <w:t>COVID-19 anxiety syndrome</w:t>
      </w:r>
      <w:r w:rsidRPr="009627FD">
        <w:rPr>
          <w:lang w:val="en-US"/>
        </w:rPr>
        <w:t xml:space="preserve"> and enhance psychological re-adjustment (Nikčević &amp; Spada, 2020). Treatments</w:t>
      </w:r>
      <w:r w:rsidRPr="009627FD">
        <w:rPr>
          <w:rFonts w:eastAsiaTheme="minorEastAsia"/>
          <w:lang w:val="en-US"/>
        </w:rPr>
        <w:t xml:space="preserve"> aimed at interrupting perseverative thinking (e.g., metacognitive therapy; Wells, 2000), reducing checking, safety behaviours, and avoidance (e.g., graded exposure and response prevention; Barlow</w:t>
      </w:r>
      <w:r w:rsidR="00177454" w:rsidRPr="009627FD">
        <w:rPr>
          <w:rFonts w:eastAsiaTheme="minorEastAsia"/>
          <w:lang w:val="en-US"/>
        </w:rPr>
        <w:t>, Sauer-Zavala, Carl, Bullis, &amp; Ellard</w:t>
      </w:r>
      <w:r w:rsidRPr="009627FD">
        <w:rPr>
          <w:rFonts w:eastAsiaTheme="minorEastAsia"/>
          <w:lang w:val="en-US"/>
        </w:rPr>
        <w:t xml:space="preserve">, 2014) and training and recalibrating attention (e.g., attention training technique; Wells, 2000) may all help to weaken the COVID-19 anxiety syndrome, as well as, to reduce the longer term occurrence of psychological symptoms typically linked to pandemic events, such as depression, generalized anxiety, and health anxiety. </w:t>
      </w:r>
    </w:p>
    <w:p w14:paraId="33D55E5B" w14:textId="1A229EFB" w:rsidR="009E58F9" w:rsidRPr="009627FD" w:rsidRDefault="005820AC" w:rsidP="005163EE">
      <w:pPr>
        <w:spacing w:line="360" w:lineRule="auto"/>
        <w:contextualSpacing/>
        <w:jc w:val="both"/>
        <w:rPr>
          <w:b/>
          <w:lang w:val="en-US"/>
        </w:rPr>
      </w:pPr>
      <w:r w:rsidRPr="009627FD">
        <w:rPr>
          <w:b/>
          <w:lang w:val="en-US"/>
        </w:rPr>
        <w:t>6</w:t>
      </w:r>
      <w:r w:rsidR="009E58F9" w:rsidRPr="009627FD">
        <w:rPr>
          <w:b/>
          <w:lang w:val="en-US"/>
        </w:rPr>
        <w:t>.</w:t>
      </w:r>
      <w:r w:rsidRPr="009627FD">
        <w:rPr>
          <w:b/>
          <w:lang w:val="en-US"/>
        </w:rPr>
        <w:t>5.</w:t>
      </w:r>
      <w:r w:rsidR="009E58F9" w:rsidRPr="009627FD">
        <w:rPr>
          <w:b/>
          <w:lang w:val="en-US"/>
        </w:rPr>
        <w:t xml:space="preserve"> Limitations</w:t>
      </w:r>
    </w:p>
    <w:p w14:paraId="5EE4AAEE" w14:textId="77777777" w:rsidR="00EA2795" w:rsidRPr="009627FD" w:rsidRDefault="009E58F9" w:rsidP="00B76547">
      <w:pPr>
        <w:spacing w:line="360" w:lineRule="auto"/>
        <w:ind w:firstLine="708"/>
        <w:contextualSpacing/>
        <w:jc w:val="both"/>
        <w:rPr>
          <w:lang w:val="en-US"/>
        </w:rPr>
      </w:pPr>
      <w:r w:rsidRPr="009627FD">
        <w:rPr>
          <w:lang w:val="en-US"/>
        </w:rPr>
        <w:t xml:space="preserve">Results of this study must be considered with regards to its limitations. Firstly, the participants in this study may not have been representative of the general population </w:t>
      </w:r>
      <w:r w:rsidR="006E3309" w:rsidRPr="009627FD">
        <w:rPr>
          <w:lang w:val="en-US"/>
        </w:rPr>
        <w:t>as the sample was self-selected</w:t>
      </w:r>
      <w:r w:rsidRPr="009627FD">
        <w:rPr>
          <w:lang w:val="en-US"/>
        </w:rPr>
        <w:t xml:space="preserve">. Secondly, a cross-sectional design was adopted, and this precludes drawing conclusions as to whether or not Big Five personality traits and </w:t>
      </w:r>
      <w:r w:rsidR="006E3309" w:rsidRPr="009627FD">
        <w:rPr>
          <w:lang w:val="en-US"/>
        </w:rPr>
        <w:t>the COVID</w:t>
      </w:r>
      <w:r w:rsidRPr="009627FD">
        <w:rPr>
          <w:lang w:val="en-US"/>
        </w:rPr>
        <w:t xml:space="preserve">-19 anxiety syndrome play a causal role in predicting psychological symptoms. Thirdly, social desirability, self-report biases, context effects, and poor recall may have contributed to errors in self-report measurements. </w:t>
      </w:r>
    </w:p>
    <w:p w14:paraId="1B919C3B" w14:textId="66BB1469" w:rsidR="009E58F9" w:rsidRPr="009627FD" w:rsidRDefault="00EA2795" w:rsidP="004D1505">
      <w:pPr>
        <w:spacing w:line="360" w:lineRule="auto"/>
        <w:contextualSpacing/>
        <w:jc w:val="both"/>
        <w:rPr>
          <w:lang w:val="en-US"/>
        </w:rPr>
      </w:pPr>
      <w:r w:rsidRPr="009627FD">
        <w:rPr>
          <w:color w:val="000000" w:themeColor="text1"/>
          <w:lang w:val="en-GB"/>
        </w:rPr>
        <w:t>Fourthly, a high proportion of females</w:t>
      </w:r>
      <w:r w:rsidR="004D1505" w:rsidRPr="009627FD">
        <w:rPr>
          <w:color w:val="000000" w:themeColor="text1"/>
          <w:lang w:val="en-GB"/>
        </w:rPr>
        <w:t>.</w:t>
      </w:r>
      <w:r w:rsidR="004D1505" w:rsidRPr="009627FD">
        <w:rPr>
          <w:lang w:val="en-US"/>
        </w:rPr>
        <w:t xml:space="preserve"> </w:t>
      </w:r>
      <w:r w:rsidR="009E58F9" w:rsidRPr="009627FD">
        <w:rPr>
          <w:lang w:val="en-US"/>
        </w:rPr>
        <w:t xml:space="preserve">The employment of a longitudinal study designs and ensuring a more diverse sample of participants are warranted. </w:t>
      </w:r>
    </w:p>
    <w:p w14:paraId="3C234EBD" w14:textId="229930E3" w:rsidR="009E58F9" w:rsidRPr="009627FD" w:rsidRDefault="005820AC" w:rsidP="002D38A9">
      <w:pPr>
        <w:spacing w:line="360" w:lineRule="auto"/>
        <w:contextualSpacing/>
        <w:jc w:val="both"/>
        <w:rPr>
          <w:b/>
          <w:lang w:val="en-US"/>
        </w:rPr>
      </w:pPr>
      <w:r w:rsidRPr="009627FD">
        <w:rPr>
          <w:b/>
          <w:lang w:val="en-US"/>
        </w:rPr>
        <w:lastRenderedPageBreak/>
        <w:t>7</w:t>
      </w:r>
      <w:r w:rsidR="009E58F9" w:rsidRPr="009627FD">
        <w:rPr>
          <w:b/>
          <w:lang w:val="en-US"/>
        </w:rPr>
        <w:t>. Conclusion</w:t>
      </w:r>
    </w:p>
    <w:p w14:paraId="31907131" w14:textId="3591BB2B" w:rsidR="009E58F9" w:rsidRPr="009627FD" w:rsidRDefault="009E58F9" w:rsidP="002D38A9">
      <w:pPr>
        <w:spacing w:line="360" w:lineRule="auto"/>
        <w:ind w:firstLine="708"/>
        <w:contextualSpacing/>
        <w:jc w:val="both"/>
        <w:rPr>
          <w:lang w:val="en-US"/>
        </w:rPr>
      </w:pPr>
      <w:r w:rsidRPr="009627FD">
        <w:rPr>
          <w:bCs/>
          <w:lang w:val="en-US"/>
        </w:rPr>
        <w:t xml:space="preserve">The Italian version of the C-19ASS is </w:t>
      </w:r>
      <w:r w:rsidR="00CC1318" w:rsidRPr="009627FD">
        <w:rPr>
          <w:bCs/>
          <w:lang w:val="en-US"/>
        </w:rPr>
        <w:t xml:space="preserve">a </w:t>
      </w:r>
      <w:r w:rsidRPr="009627FD">
        <w:rPr>
          <w:bCs/>
          <w:lang w:val="en-US"/>
        </w:rPr>
        <w:t xml:space="preserve">measure that could prove useful in better understanding </w:t>
      </w:r>
      <w:r w:rsidR="001E4C65" w:rsidRPr="009627FD">
        <w:rPr>
          <w:bCs/>
          <w:lang w:val="en-US"/>
        </w:rPr>
        <w:t>the</w:t>
      </w:r>
      <w:r w:rsidRPr="009627FD">
        <w:rPr>
          <w:bCs/>
          <w:lang w:val="en-US"/>
        </w:rPr>
        <w:t xml:space="preserve"> developing COVID-19 anxiety syndrome and its impact on psychological symptoms. The COVID-19 anxiety syndrome </w:t>
      </w:r>
      <w:r w:rsidRPr="009627FD">
        <w:rPr>
          <w:lang w:val="en-US"/>
        </w:rPr>
        <w:t xml:space="preserve">could be a suitable therapeutic target to reduce </w:t>
      </w:r>
      <w:r w:rsidRPr="009627FD">
        <w:rPr>
          <w:rFonts w:eastAsiaTheme="minorEastAsia"/>
          <w:lang w:val="en-US"/>
        </w:rPr>
        <w:t xml:space="preserve">psychological symptoms related to the COVID-19 pandemic. </w:t>
      </w:r>
    </w:p>
    <w:p w14:paraId="0D53380D" w14:textId="77777777" w:rsidR="009E58F9" w:rsidRPr="009627FD" w:rsidRDefault="009E58F9" w:rsidP="002D38A9">
      <w:pPr>
        <w:widowControl w:val="0"/>
        <w:autoSpaceDE w:val="0"/>
        <w:autoSpaceDN w:val="0"/>
        <w:adjustRightInd w:val="0"/>
        <w:spacing w:after="240" w:line="260" w:lineRule="atLeast"/>
        <w:jc w:val="both"/>
        <w:rPr>
          <w:b/>
          <w:bCs/>
          <w:i/>
          <w:lang w:val="en-US"/>
        </w:rPr>
      </w:pPr>
    </w:p>
    <w:p w14:paraId="4C99F6A1" w14:textId="77777777" w:rsidR="009E58F9" w:rsidRPr="009627FD" w:rsidRDefault="009E58F9" w:rsidP="009E58F9">
      <w:pPr>
        <w:widowControl w:val="0"/>
        <w:autoSpaceDE w:val="0"/>
        <w:autoSpaceDN w:val="0"/>
        <w:adjustRightInd w:val="0"/>
        <w:spacing w:after="240" w:line="260" w:lineRule="atLeast"/>
        <w:rPr>
          <w:b/>
          <w:bCs/>
          <w:i/>
          <w:lang w:val="en-US"/>
        </w:rPr>
      </w:pPr>
    </w:p>
    <w:p w14:paraId="49976943" w14:textId="77777777" w:rsidR="009E58F9" w:rsidRPr="009627FD" w:rsidRDefault="009E58F9" w:rsidP="009E58F9">
      <w:pPr>
        <w:widowControl w:val="0"/>
        <w:autoSpaceDE w:val="0"/>
        <w:autoSpaceDN w:val="0"/>
        <w:adjustRightInd w:val="0"/>
        <w:spacing w:after="240" w:line="260" w:lineRule="atLeast"/>
        <w:rPr>
          <w:rFonts w:ascii="Times Roman" w:eastAsiaTheme="minorEastAsia" w:hAnsi="Times Roman" w:cs="Times Roman"/>
          <w:sz w:val="16"/>
          <w:szCs w:val="16"/>
          <w:lang w:val="en-US"/>
        </w:rPr>
      </w:pPr>
    </w:p>
    <w:p w14:paraId="50AE02F6" w14:textId="77777777" w:rsidR="009E58F9" w:rsidRPr="009627FD" w:rsidRDefault="009E58F9" w:rsidP="009E58F9">
      <w:pPr>
        <w:widowControl w:val="0"/>
        <w:autoSpaceDE w:val="0"/>
        <w:autoSpaceDN w:val="0"/>
        <w:adjustRightInd w:val="0"/>
        <w:spacing w:line="360" w:lineRule="auto"/>
        <w:ind w:firstLine="567"/>
        <w:contextualSpacing/>
        <w:jc w:val="both"/>
        <w:rPr>
          <w:bCs/>
          <w:lang w:val="en-US"/>
        </w:rPr>
      </w:pPr>
    </w:p>
    <w:p w14:paraId="3EB4661E" w14:textId="77777777" w:rsidR="009E58F9" w:rsidRPr="009627FD" w:rsidRDefault="009E58F9" w:rsidP="009E58F9">
      <w:pPr>
        <w:widowControl w:val="0"/>
        <w:autoSpaceDE w:val="0"/>
        <w:autoSpaceDN w:val="0"/>
        <w:adjustRightInd w:val="0"/>
        <w:spacing w:after="240" w:line="260" w:lineRule="atLeast"/>
        <w:rPr>
          <w:rFonts w:eastAsiaTheme="minorEastAsia"/>
          <w:lang w:val="en-US"/>
        </w:rPr>
      </w:pPr>
    </w:p>
    <w:p w14:paraId="29BE6311" w14:textId="77777777" w:rsidR="009E58F9" w:rsidRPr="009627FD" w:rsidRDefault="009E58F9" w:rsidP="009E58F9">
      <w:pPr>
        <w:widowControl w:val="0"/>
        <w:autoSpaceDE w:val="0"/>
        <w:autoSpaceDN w:val="0"/>
        <w:adjustRightInd w:val="0"/>
        <w:spacing w:after="240" w:line="260" w:lineRule="atLeast"/>
        <w:rPr>
          <w:rFonts w:eastAsiaTheme="minorEastAsia"/>
          <w:lang w:val="en-US"/>
        </w:rPr>
      </w:pPr>
    </w:p>
    <w:p w14:paraId="07EB58AC" w14:textId="77777777" w:rsidR="009E58F9" w:rsidRPr="009627FD" w:rsidRDefault="009E58F9" w:rsidP="009E58F9">
      <w:pPr>
        <w:spacing w:line="360" w:lineRule="auto"/>
        <w:jc w:val="both"/>
        <w:rPr>
          <w:lang w:val="en-US"/>
        </w:rPr>
      </w:pPr>
    </w:p>
    <w:p w14:paraId="6AB57BA0" w14:textId="77777777" w:rsidR="009E58F9" w:rsidRPr="009627FD" w:rsidRDefault="009E58F9" w:rsidP="009E58F9">
      <w:pPr>
        <w:rPr>
          <w:lang w:val="en-US"/>
        </w:rPr>
      </w:pPr>
    </w:p>
    <w:p w14:paraId="71E79727" w14:textId="599A7E1C" w:rsidR="00EA3D49" w:rsidRPr="009627FD" w:rsidRDefault="00EA3D49">
      <w:pPr>
        <w:rPr>
          <w:b/>
          <w:lang w:val="en-US"/>
        </w:rPr>
      </w:pPr>
      <w:r w:rsidRPr="009627FD">
        <w:rPr>
          <w:b/>
          <w:lang w:val="en-US"/>
        </w:rPr>
        <w:br w:type="page"/>
      </w:r>
    </w:p>
    <w:p w14:paraId="035F1705" w14:textId="77777777" w:rsidR="00A54959" w:rsidRPr="009627FD" w:rsidRDefault="00A54959" w:rsidP="00A54959">
      <w:pPr>
        <w:spacing w:line="360" w:lineRule="auto"/>
        <w:jc w:val="center"/>
        <w:rPr>
          <w:b/>
          <w:lang w:val="en-US"/>
        </w:rPr>
      </w:pPr>
      <w:r w:rsidRPr="009627FD">
        <w:rPr>
          <w:b/>
          <w:lang w:val="en-US"/>
        </w:rPr>
        <w:lastRenderedPageBreak/>
        <w:t>References</w:t>
      </w:r>
    </w:p>
    <w:p w14:paraId="7202D196"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Albery, I.P., Spada, M.M., &amp; Nikčević, A.V. (2021). The COVID-19 anxiety syndrome and </w:t>
      </w:r>
    </w:p>
    <w:p w14:paraId="712F5F3A" w14:textId="77777777" w:rsidR="00A54959" w:rsidRPr="009627FD" w:rsidRDefault="00A54959" w:rsidP="00A54959">
      <w:pPr>
        <w:widowControl w:val="0"/>
        <w:autoSpaceDE w:val="0"/>
        <w:autoSpaceDN w:val="0"/>
        <w:adjustRightInd w:val="0"/>
        <w:spacing w:line="360" w:lineRule="auto"/>
        <w:ind w:firstLine="708"/>
        <w:rPr>
          <w:rFonts w:eastAsiaTheme="minorEastAsia"/>
          <w:lang w:val="en-US"/>
        </w:rPr>
      </w:pPr>
      <w:r w:rsidRPr="009627FD">
        <w:rPr>
          <w:rFonts w:eastAsiaTheme="minorEastAsia"/>
          <w:lang w:val="en-US"/>
        </w:rPr>
        <w:t xml:space="preserve">selective attentional bias towards COVID-19-related stimuli in UK residents during the </w:t>
      </w:r>
    </w:p>
    <w:p w14:paraId="4165181A" w14:textId="77777777" w:rsidR="00A54959" w:rsidRPr="009627FD" w:rsidRDefault="00A54959" w:rsidP="00A54959">
      <w:pPr>
        <w:widowControl w:val="0"/>
        <w:autoSpaceDE w:val="0"/>
        <w:autoSpaceDN w:val="0"/>
        <w:adjustRightInd w:val="0"/>
        <w:spacing w:line="360" w:lineRule="auto"/>
        <w:ind w:firstLine="708"/>
        <w:rPr>
          <w:rFonts w:eastAsiaTheme="minorEastAsia"/>
          <w:lang w:val="en-US"/>
        </w:rPr>
      </w:pPr>
      <w:r w:rsidRPr="009627FD">
        <w:rPr>
          <w:rFonts w:eastAsiaTheme="minorEastAsia"/>
          <w:lang w:val="en-US"/>
        </w:rPr>
        <w:t xml:space="preserve">2020-2021 pandemic. </w:t>
      </w:r>
      <w:r w:rsidRPr="009627FD">
        <w:rPr>
          <w:rFonts w:eastAsiaTheme="minorEastAsia"/>
          <w:i/>
          <w:iCs/>
          <w:lang w:val="en-US"/>
        </w:rPr>
        <w:t>Clinical Psycholy &amp; Psychothery, 28</w:t>
      </w:r>
      <w:r w:rsidRPr="009627FD">
        <w:rPr>
          <w:rFonts w:eastAsiaTheme="minorEastAsia"/>
          <w:lang w:val="en-US"/>
        </w:rPr>
        <w:t xml:space="preserve">(6), 1367-1378. </w:t>
      </w:r>
    </w:p>
    <w:p w14:paraId="17605BFD" w14:textId="77777777" w:rsidR="002474A6" w:rsidRPr="009627FD" w:rsidRDefault="005D691B" w:rsidP="002474A6">
      <w:pPr>
        <w:widowControl w:val="0"/>
        <w:autoSpaceDE w:val="0"/>
        <w:autoSpaceDN w:val="0"/>
        <w:adjustRightInd w:val="0"/>
        <w:spacing w:line="360" w:lineRule="auto"/>
        <w:ind w:firstLine="708"/>
        <w:rPr>
          <w:rFonts w:eastAsiaTheme="minorEastAsia"/>
          <w:lang w:val="en-US"/>
        </w:rPr>
      </w:pPr>
      <w:hyperlink r:id="rId10" w:history="1">
        <w:r w:rsidR="002474A6" w:rsidRPr="009627FD">
          <w:rPr>
            <w:rStyle w:val="Hyperlink"/>
            <w:rFonts w:eastAsiaTheme="minorEastAsia"/>
            <w:u w:val="none"/>
            <w:lang w:val="en-US"/>
          </w:rPr>
          <w:t>https://doi.org/10.1002/cpp.2639</w:t>
        </w:r>
      </w:hyperlink>
    </w:p>
    <w:p w14:paraId="3ECC234F" w14:textId="66B5ABA2" w:rsidR="00A54959" w:rsidRPr="009627FD" w:rsidRDefault="00A54959" w:rsidP="00A54959">
      <w:pPr>
        <w:widowControl w:val="0"/>
        <w:autoSpaceDE w:val="0"/>
        <w:autoSpaceDN w:val="0"/>
        <w:adjustRightInd w:val="0"/>
        <w:spacing w:line="360" w:lineRule="auto"/>
        <w:rPr>
          <w:shd w:val="clear" w:color="auto" w:fill="FFFFFF"/>
        </w:rPr>
      </w:pPr>
      <w:r w:rsidRPr="009627FD">
        <w:rPr>
          <w:shd w:val="clear" w:color="auto" w:fill="FFFFFF"/>
        </w:rPr>
        <w:t xml:space="preserve">Alzueta, E., Perrin, P., Baker, F. C., Caffarra, S., Ramos-Usuga, D., Yuksel, D., &amp; Arango </w:t>
      </w:r>
    </w:p>
    <w:p w14:paraId="3873545B" w14:textId="77777777" w:rsidR="00A54959" w:rsidRPr="009627FD" w:rsidRDefault="00A54959" w:rsidP="00A54959">
      <w:pPr>
        <w:widowControl w:val="0"/>
        <w:autoSpaceDE w:val="0"/>
        <w:autoSpaceDN w:val="0"/>
        <w:adjustRightInd w:val="0"/>
        <w:spacing w:line="360" w:lineRule="auto"/>
        <w:ind w:firstLine="708"/>
        <w:rPr>
          <w:shd w:val="clear" w:color="auto" w:fill="FFFFFF"/>
          <w:lang w:val="en-US"/>
        </w:rPr>
      </w:pPr>
      <w:r w:rsidRPr="009627FD">
        <w:rPr>
          <w:shd w:val="clear" w:color="auto" w:fill="FFFFFF"/>
          <w:lang w:val="en-US"/>
        </w:rPr>
        <w:t xml:space="preserve">Lasprilla, J. C. (2021). How the COVID-19 pandemic has changed our lives: A study of </w:t>
      </w:r>
    </w:p>
    <w:p w14:paraId="3B780BEA" w14:textId="77777777" w:rsidR="00A54959" w:rsidRPr="009627FD" w:rsidRDefault="00A54959" w:rsidP="00A54959">
      <w:pPr>
        <w:widowControl w:val="0"/>
        <w:autoSpaceDE w:val="0"/>
        <w:autoSpaceDN w:val="0"/>
        <w:adjustRightInd w:val="0"/>
        <w:spacing w:line="360" w:lineRule="auto"/>
        <w:ind w:firstLine="708"/>
        <w:rPr>
          <w:shd w:val="clear" w:color="auto" w:fill="FFFFFF"/>
          <w:lang w:val="en-US"/>
        </w:rPr>
      </w:pPr>
      <w:r w:rsidRPr="009627FD">
        <w:rPr>
          <w:shd w:val="clear" w:color="auto" w:fill="FFFFFF"/>
          <w:lang w:val="en-US"/>
        </w:rPr>
        <w:t>psychological correlates across 59 countries</w:t>
      </w:r>
      <w:r w:rsidRPr="009627FD">
        <w:rPr>
          <w:i/>
          <w:iCs/>
          <w:shd w:val="clear" w:color="auto" w:fill="FFFFFF"/>
          <w:lang w:val="en-US"/>
        </w:rPr>
        <w:t>. Journal of clinical psychology, 77</w:t>
      </w:r>
      <w:r w:rsidRPr="009627FD">
        <w:rPr>
          <w:shd w:val="clear" w:color="auto" w:fill="FFFFFF"/>
          <w:lang w:val="en-US"/>
        </w:rPr>
        <w:t xml:space="preserve">(3), 556-570. </w:t>
      </w:r>
    </w:p>
    <w:p w14:paraId="076DD638" w14:textId="77777777" w:rsidR="00A54959" w:rsidRPr="009627FD" w:rsidRDefault="005D691B" w:rsidP="00A54959">
      <w:pPr>
        <w:widowControl w:val="0"/>
        <w:autoSpaceDE w:val="0"/>
        <w:autoSpaceDN w:val="0"/>
        <w:adjustRightInd w:val="0"/>
        <w:spacing w:line="360" w:lineRule="auto"/>
        <w:ind w:firstLine="708"/>
        <w:rPr>
          <w:rStyle w:val="Hyperlink"/>
          <w:rFonts w:eastAsiaTheme="minorEastAsia"/>
          <w:u w:val="none"/>
        </w:rPr>
      </w:pPr>
      <w:hyperlink r:id="rId11" w:history="1">
        <w:r w:rsidR="00A54959" w:rsidRPr="009627FD">
          <w:rPr>
            <w:rStyle w:val="Hyperlink"/>
            <w:rFonts w:eastAsiaTheme="minorEastAsia"/>
            <w:u w:val="none"/>
          </w:rPr>
          <w:t>https://doi.org/10.1002/jclp.23082</w:t>
        </w:r>
      </w:hyperlink>
    </w:p>
    <w:p w14:paraId="1BBFDD64" w14:textId="77777777" w:rsidR="00A54959" w:rsidRPr="009627FD" w:rsidRDefault="00A54959" w:rsidP="00A54959">
      <w:pPr>
        <w:spacing w:line="360" w:lineRule="auto"/>
        <w:rPr>
          <w:shd w:val="clear" w:color="auto" w:fill="FFFFFF"/>
          <w:lang w:val="en-US"/>
        </w:rPr>
      </w:pPr>
      <w:r w:rsidRPr="009627FD">
        <w:rPr>
          <w:shd w:val="clear" w:color="auto" w:fill="FFFFFF"/>
        </w:rPr>
        <w:t xml:space="preserve">Akbari, M., Spada, M. M., Nikčević, A. V., &amp; Zamani, E. (2021a). </w:t>
      </w:r>
      <w:r w:rsidRPr="009627FD">
        <w:rPr>
          <w:shd w:val="clear" w:color="auto" w:fill="FFFFFF"/>
          <w:lang w:val="en-US"/>
        </w:rPr>
        <w:t xml:space="preserve">The relationship between fear of </w:t>
      </w:r>
    </w:p>
    <w:p w14:paraId="2A9CFDE7" w14:textId="77777777" w:rsidR="00A54959" w:rsidRPr="009627FD" w:rsidRDefault="00A54959" w:rsidP="00A54959">
      <w:pPr>
        <w:spacing w:line="360" w:lineRule="auto"/>
        <w:ind w:left="708"/>
        <w:rPr>
          <w:shd w:val="clear" w:color="auto" w:fill="FFFFFF"/>
          <w:lang w:val="en-US"/>
        </w:rPr>
      </w:pPr>
      <w:r w:rsidRPr="009627FD">
        <w:rPr>
          <w:shd w:val="clear" w:color="auto" w:fill="FFFFFF"/>
          <w:lang w:val="en-US"/>
        </w:rPr>
        <w:t>COVID-19 and health anxiety among families with COVID-19 infected: The mediating role of metacognitions, intolerance of uncertainty, and emotion regulation. </w:t>
      </w:r>
      <w:r w:rsidRPr="009627FD">
        <w:rPr>
          <w:i/>
          <w:shd w:val="clear" w:color="auto" w:fill="FFFFFF"/>
          <w:lang w:val="en-US"/>
        </w:rPr>
        <w:t>Clinical Psychology &amp; Psychotherapy, 28</w:t>
      </w:r>
      <w:r w:rsidRPr="009627FD">
        <w:rPr>
          <w:iCs/>
          <w:shd w:val="clear" w:color="auto" w:fill="FFFFFF"/>
          <w:lang w:val="en-US"/>
        </w:rPr>
        <w:t>(6), 1354-1366</w:t>
      </w:r>
      <w:r w:rsidRPr="009627FD">
        <w:rPr>
          <w:shd w:val="clear" w:color="auto" w:fill="FFFFFF"/>
          <w:lang w:val="en-US"/>
        </w:rPr>
        <w:t xml:space="preserve">. </w:t>
      </w:r>
      <w:hyperlink r:id="rId12" w:history="1">
        <w:r w:rsidRPr="009627FD">
          <w:rPr>
            <w:rStyle w:val="Hyperlink"/>
            <w:rFonts w:eastAsiaTheme="minorEastAsia"/>
            <w:u w:val="none"/>
            <w:lang w:val="en-US"/>
          </w:rPr>
          <w:t>https://doi.org/10.1002/cpp.2628</w:t>
        </w:r>
      </w:hyperlink>
    </w:p>
    <w:p w14:paraId="63C53FB6"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Akbari, M., Seydavi, M., Zamani, E., Nikčević, A.V., &amp; Spada, M.M. (2021b). The Persian </w:t>
      </w:r>
    </w:p>
    <w:p w14:paraId="212A1D2F" w14:textId="3FAC975E" w:rsidR="00A54959" w:rsidRPr="009627FD" w:rsidRDefault="00A54959" w:rsidP="00A54959">
      <w:pPr>
        <w:spacing w:line="360" w:lineRule="auto"/>
        <w:ind w:left="708"/>
        <w:rPr>
          <w:shd w:val="clear" w:color="auto" w:fill="FFFFFF"/>
          <w:lang w:val="en-US"/>
        </w:rPr>
      </w:pPr>
      <w:r w:rsidRPr="009627FD">
        <w:rPr>
          <w:shd w:val="clear" w:color="auto" w:fill="FFFFFF"/>
          <w:lang w:val="en-US"/>
        </w:rPr>
        <w:t xml:space="preserve">COVID-19 Anxiety Syndrome Scale (C-19ASS): Psychometric properties in a general community sample of Iranians. </w:t>
      </w:r>
      <w:r w:rsidRPr="009627FD">
        <w:rPr>
          <w:i/>
          <w:iCs/>
          <w:shd w:val="clear" w:color="auto" w:fill="FFFFFF"/>
          <w:lang w:val="en-US"/>
        </w:rPr>
        <w:t>Clinical Psycholy &amp; Psychothery</w:t>
      </w:r>
      <w:r w:rsidRPr="009627FD">
        <w:rPr>
          <w:shd w:val="clear" w:color="auto" w:fill="FFFFFF"/>
          <w:lang w:val="en-US"/>
        </w:rPr>
        <w:t xml:space="preserve">. </w:t>
      </w:r>
      <w:hyperlink r:id="rId13" w:history="1">
        <w:r w:rsidRPr="009627FD">
          <w:rPr>
            <w:rStyle w:val="Hyperlink"/>
            <w:rFonts w:eastAsiaTheme="minorEastAsia"/>
            <w:u w:val="none"/>
            <w:lang w:val="en-US"/>
          </w:rPr>
          <w:t>https://doi.org/10:10.1002/cpp.2686</w:t>
        </w:r>
      </w:hyperlink>
      <w:r w:rsidRPr="009627FD">
        <w:rPr>
          <w:shd w:val="clear" w:color="auto" w:fill="FFFFFF"/>
          <w:lang w:val="en-US"/>
        </w:rPr>
        <w:t xml:space="preserve"> </w:t>
      </w:r>
    </w:p>
    <w:p w14:paraId="67AE5569" w14:textId="77777777" w:rsidR="00A54959" w:rsidRPr="009627FD" w:rsidRDefault="00A54959" w:rsidP="00A54959">
      <w:pPr>
        <w:spacing w:line="360" w:lineRule="auto"/>
        <w:rPr>
          <w:lang w:val="en-US"/>
        </w:rPr>
      </w:pPr>
      <w:r w:rsidRPr="009627FD">
        <w:rPr>
          <w:lang w:val="en-US"/>
        </w:rPr>
        <w:t xml:space="preserve">Ahorsu, D.K., Lin, C.Y., Imani, V., Saffari, M., Griffiths, M.D., &amp; Pakpour, A.H. (2020) The Fear </w:t>
      </w:r>
    </w:p>
    <w:p w14:paraId="260F85F9" w14:textId="77777777" w:rsidR="00A54959" w:rsidRPr="009627FD" w:rsidRDefault="00A54959" w:rsidP="00A54959">
      <w:pPr>
        <w:spacing w:line="360" w:lineRule="auto"/>
        <w:ind w:left="708"/>
        <w:rPr>
          <w:lang w:val="en-US"/>
        </w:rPr>
      </w:pPr>
      <w:r w:rsidRPr="009627FD">
        <w:rPr>
          <w:lang w:val="en-US"/>
        </w:rPr>
        <w:t xml:space="preserve">of COVID-19 Scale: Development and Initial Validation. </w:t>
      </w:r>
      <w:r w:rsidRPr="009627FD">
        <w:rPr>
          <w:i/>
          <w:iCs/>
          <w:lang w:val="en-US"/>
        </w:rPr>
        <w:t>Intenational Journal of Mental Health and Addiction, 27</w:t>
      </w:r>
      <w:r w:rsidRPr="009627FD">
        <w:rPr>
          <w:lang w:val="en-US"/>
        </w:rPr>
        <w:t xml:space="preserve">,1-9. </w:t>
      </w:r>
      <w:hyperlink r:id="rId14" w:history="1">
        <w:r w:rsidRPr="009627FD">
          <w:rPr>
            <w:rStyle w:val="Hyperlink"/>
            <w:rFonts w:eastAsiaTheme="minorEastAsia"/>
            <w:u w:val="none"/>
            <w:lang w:val="en-US"/>
          </w:rPr>
          <w:t>https://doi.org/10.1007/s11469-020-00270-8</w:t>
        </w:r>
      </w:hyperlink>
    </w:p>
    <w:p w14:paraId="3C93595B"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Amsalem, D., Lazarov, A., Markowitz, J. C., Dixon, L.B., &amp; Neria, Y. (2021). Psychiatric </w:t>
      </w:r>
    </w:p>
    <w:p w14:paraId="7BD7BEDD"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symptoms and moral injury among US healthcare workers in the COVID-19 era. </w:t>
      </w:r>
      <w:r w:rsidRPr="009627FD">
        <w:rPr>
          <w:rFonts w:eastAsiaTheme="minorEastAsia"/>
          <w:i/>
          <w:iCs/>
          <w:lang w:val="en-US"/>
        </w:rPr>
        <w:t>BMC Psychiatry, 21</w:t>
      </w:r>
      <w:r w:rsidRPr="009627FD">
        <w:rPr>
          <w:rFonts w:eastAsiaTheme="minorEastAsia"/>
          <w:lang w:val="en-US"/>
        </w:rPr>
        <w:t>(1), 546.</w:t>
      </w:r>
      <w:r w:rsidRPr="009627FD">
        <w:rPr>
          <w:lang w:val="en-US"/>
        </w:rPr>
        <w:t xml:space="preserve"> </w:t>
      </w:r>
      <w:hyperlink r:id="rId15" w:history="1">
        <w:r w:rsidRPr="009627FD">
          <w:rPr>
            <w:rStyle w:val="Hyperlink"/>
            <w:rFonts w:eastAsiaTheme="minorEastAsia"/>
            <w:u w:val="none"/>
            <w:lang w:val="en-US"/>
          </w:rPr>
          <w:t>https://doi.org/10.1186/s12888-021-03565-9</w:t>
        </w:r>
      </w:hyperlink>
    </w:p>
    <w:p w14:paraId="1EC21714" w14:textId="77777777" w:rsidR="00A54959" w:rsidRPr="009627FD" w:rsidRDefault="00A54959" w:rsidP="00A54959">
      <w:pPr>
        <w:spacing w:line="360" w:lineRule="auto"/>
        <w:rPr>
          <w:lang w:val="en-US"/>
        </w:rPr>
      </w:pPr>
      <w:r w:rsidRPr="009627FD">
        <w:rPr>
          <w:lang w:val="en-US"/>
        </w:rPr>
        <w:t xml:space="preserve">Arslan, G., Yıldırım, M., Tanhan, A., Buluş, M., &amp; Allen, K. A. (2021). Coronavirus stress, </w:t>
      </w:r>
    </w:p>
    <w:p w14:paraId="16FC183C" w14:textId="5B37D3AE" w:rsidR="00A54959" w:rsidRPr="009627FD" w:rsidRDefault="00A54959" w:rsidP="00A54959">
      <w:pPr>
        <w:spacing w:line="360" w:lineRule="auto"/>
        <w:ind w:left="708"/>
        <w:rPr>
          <w:lang w:val="en-US"/>
        </w:rPr>
      </w:pPr>
      <w:r w:rsidRPr="009627FD">
        <w:rPr>
          <w:lang w:val="en-US"/>
        </w:rPr>
        <w:t>optimism-pessimism, psychological inflexibility, and psychological health: Psychometric properties of the Coronavirus Stress Measure. </w:t>
      </w:r>
      <w:r w:rsidRPr="009627FD">
        <w:rPr>
          <w:i/>
          <w:iCs/>
          <w:lang w:val="en-US"/>
        </w:rPr>
        <w:t>International Journal of Mental Health and Addiction</w:t>
      </w:r>
      <w:r w:rsidRPr="009627FD">
        <w:rPr>
          <w:lang w:val="en-US"/>
        </w:rPr>
        <w:t>, </w:t>
      </w:r>
      <w:r w:rsidRPr="009627FD">
        <w:rPr>
          <w:i/>
          <w:iCs/>
          <w:lang w:val="en-US"/>
        </w:rPr>
        <w:t>19</w:t>
      </w:r>
      <w:r w:rsidRPr="009627FD">
        <w:rPr>
          <w:lang w:val="en-US"/>
        </w:rPr>
        <w:t xml:space="preserve">(6), 2423-2439. </w:t>
      </w:r>
      <w:hyperlink r:id="rId16" w:history="1">
        <w:r w:rsidRPr="009627FD">
          <w:rPr>
            <w:rStyle w:val="Hyperlink"/>
            <w:rFonts w:eastAsiaTheme="minorEastAsia"/>
            <w:u w:val="none"/>
            <w:lang w:val="en-US"/>
          </w:rPr>
          <w:t>https://doi.org/10.1007/s11469-020-00337-6</w:t>
        </w:r>
      </w:hyperlink>
    </w:p>
    <w:p w14:paraId="603A7197" w14:textId="77777777" w:rsidR="00A54959" w:rsidRPr="009627FD" w:rsidRDefault="00A54959" w:rsidP="00A54959">
      <w:pPr>
        <w:spacing w:line="360" w:lineRule="auto"/>
        <w:rPr>
          <w:lang w:val="en-US"/>
        </w:rPr>
      </w:pPr>
      <w:r w:rsidRPr="009627FD">
        <w:rPr>
          <w:lang w:val="en-US"/>
        </w:rPr>
        <w:t xml:space="preserve">Aydın, O., Balıkçı, K., Arslan, Y., Ünal-Aydın, P., Müezzin, E., &amp; Spada, M. M. (2021). The </w:t>
      </w:r>
    </w:p>
    <w:p w14:paraId="0EA64C29" w14:textId="77777777" w:rsidR="00A54959" w:rsidRPr="009627FD" w:rsidRDefault="00A54959" w:rsidP="00A54959">
      <w:pPr>
        <w:spacing w:line="360" w:lineRule="auto"/>
        <w:ind w:left="708"/>
        <w:rPr>
          <w:i/>
          <w:iCs/>
          <w:lang w:val="en-US"/>
        </w:rPr>
      </w:pPr>
      <w:r w:rsidRPr="009627FD">
        <w:rPr>
          <w:lang w:val="en-US"/>
        </w:rPr>
        <w:t xml:space="preserve">Combined Contribution of Fear and Perceived Danger of COVID-19 and Metacognitions to Anxiety Levels during the COVID-19 Pandemic. </w:t>
      </w:r>
      <w:r w:rsidRPr="009627FD">
        <w:rPr>
          <w:i/>
          <w:iCs/>
          <w:lang w:val="en-US"/>
        </w:rPr>
        <w:t>Journal of Rational-Emotive &amp; Cognitive-</w:t>
      </w:r>
    </w:p>
    <w:p w14:paraId="6A9C70F5" w14:textId="07C08E95" w:rsidR="00A54959" w:rsidRPr="009627FD" w:rsidRDefault="00A54959" w:rsidP="00A54959">
      <w:pPr>
        <w:spacing w:line="360" w:lineRule="auto"/>
        <w:ind w:left="708"/>
        <w:rPr>
          <w:lang w:val="en-US"/>
        </w:rPr>
      </w:pPr>
      <w:r w:rsidRPr="009627FD">
        <w:rPr>
          <w:i/>
          <w:iCs/>
          <w:lang w:val="en-US"/>
        </w:rPr>
        <w:t>Behavior Therapy, 6</w:t>
      </w:r>
      <w:r w:rsidRPr="009627FD">
        <w:rPr>
          <w:lang w:val="en-US"/>
        </w:rPr>
        <w:t xml:space="preserve">, 1-15. </w:t>
      </w:r>
      <w:r w:rsidRPr="009627FD">
        <w:rPr>
          <w:rStyle w:val="Hyperlink"/>
          <w:rFonts w:eastAsiaTheme="minorEastAsia"/>
          <w:u w:val="none"/>
          <w:lang w:val="en-US"/>
        </w:rPr>
        <w:t>https://doi.org/10.1007/s10942-021-00429-9</w:t>
      </w:r>
    </w:p>
    <w:p w14:paraId="3D2BCCB3" w14:textId="77777777" w:rsidR="00A54959" w:rsidRPr="009627FD" w:rsidRDefault="00A54959" w:rsidP="00A54959">
      <w:pPr>
        <w:widowControl w:val="0"/>
        <w:autoSpaceDE w:val="0"/>
        <w:autoSpaceDN w:val="0"/>
        <w:adjustRightInd w:val="0"/>
        <w:spacing w:line="360" w:lineRule="auto"/>
        <w:rPr>
          <w:noProof/>
          <w:lang w:val="en-US"/>
        </w:rPr>
      </w:pPr>
      <w:r w:rsidRPr="009627FD">
        <w:rPr>
          <w:noProof/>
          <w:lang w:val="en-US"/>
        </w:rPr>
        <w:t xml:space="preserve">Barlow, D. H., Sauer-Zavala, S., Carl, J. R., Bullis, J. R., &amp; Ellard, K. K. (2014). The nature, </w:t>
      </w:r>
    </w:p>
    <w:p w14:paraId="5458C079" w14:textId="77777777" w:rsidR="00A54959" w:rsidRPr="009627FD" w:rsidRDefault="00A54959" w:rsidP="00A54959">
      <w:pPr>
        <w:widowControl w:val="0"/>
        <w:autoSpaceDE w:val="0"/>
        <w:autoSpaceDN w:val="0"/>
        <w:adjustRightInd w:val="0"/>
        <w:spacing w:line="360" w:lineRule="auto"/>
        <w:ind w:left="708"/>
        <w:rPr>
          <w:rStyle w:val="Hyperlink"/>
          <w:rFonts w:eastAsiaTheme="minorEastAsia"/>
          <w:u w:val="none"/>
          <w:lang w:val="en-US"/>
        </w:rPr>
      </w:pPr>
      <w:r w:rsidRPr="009627FD">
        <w:rPr>
          <w:noProof/>
          <w:lang w:val="en-US"/>
        </w:rPr>
        <w:t xml:space="preserve">diagnosis, and treatment of neuroticism: Back to the future. </w:t>
      </w:r>
      <w:r w:rsidRPr="009627FD">
        <w:rPr>
          <w:i/>
          <w:iCs/>
          <w:noProof/>
          <w:lang w:val="en-US"/>
        </w:rPr>
        <w:t>Clinical Psychology Science, 2</w:t>
      </w:r>
      <w:r w:rsidRPr="009627FD">
        <w:rPr>
          <w:noProof/>
          <w:lang w:val="en-US"/>
        </w:rPr>
        <w:t xml:space="preserve">, 344–365. </w:t>
      </w:r>
      <w:hyperlink r:id="rId17" w:history="1">
        <w:r w:rsidRPr="009627FD">
          <w:rPr>
            <w:rStyle w:val="Hyperlink"/>
            <w:rFonts w:eastAsiaTheme="minorEastAsia"/>
            <w:u w:val="none"/>
            <w:lang w:val="en-US"/>
          </w:rPr>
          <w:t>https://doi.org/10. 1177/2167702613505532</w:t>
        </w:r>
      </w:hyperlink>
    </w:p>
    <w:p w14:paraId="4BE5BDA1" w14:textId="14AB0D8E" w:rsidR="00983545" w:rsidRPr="009627FD" w:rsidRDefault="00983545" w:rsidP="00983545">
      <w:pPr>
        <w:widowControl w:val="0"/>
        <w:autoSpaceDE w:val="0"/>
        <w:autoSpaceDN w:val="0"/>
        <w:adjustRightInd w:val="0"/>
        <w:spacing w:line="360" w:lineRule="auto"/>
        <w:rPr>
          <w:noProof/>
          <w:lang w:val="en-US"/>
        </w:rPr>
      </w:pPr>
      <w:r w:rsidRPr="009627FD">
        <w:rPr>
          <w:noProof/>
          <w:lang w:val="en-US"/>
        </w:rPr>
        <w:t xml:space="preserve">Barbaranelli, C., &amp; D'Olimpio, F. (2006). </w:t>
      </w:r>
      <w:r w:rsidRPr="009627FD">
        <w:rPr>
          <w:i/>
          <w:noProof/>
          <w:lang w:val="en-US"/>
        </w:rPr>
        <w:t>Analisi dei dati con SPSS (Vol. 2)</w:t>
      </w:r>
      <w:r w:rsidR="000B2DD4" w:rsidRPr="009627FD">
        <w:rPr>
          <w:i/>
          <w:noProof/>
          <w:lang w:val="en-US"/>
        </w:rPr>
        <w:t xml:space="preserve"> </w:t>
      </w:r>
      <w:r w:rsidR="005A0204" w:rsidRPr="009627FD">
        <w:rPr>
          <w:noProof/>
          <w:lang w:val="en-US"/>
        </w:rPr>
        <w:t>(</w:t>
      </w:r>
      <w:r w:rsidR="000B2DD4" w:rsidRPr="009627FD">
        <w:rPr>
          <w:noProof/>
          <w:lang w:val="en-US"/>
        </w:rPr>
        <w:t>1st ed.</w:t>
      </w:r>
      <w:r w:rsidR="005A0204" w:rsidRPr="009627FD">
        <w:rPr>
          <w:noProof/>
          <w:lang w:val="en-US"/>
        </w:rPr>
        <w:t>)</w:t>
      </w:r>
      <w:r w:rsidRPr="009627FD">
        <w:rPr>
          <w:i/>
          <w:noProof/>
          <w:lang w:val="en-US"/>
        </w:rPr>
        <w:t xml:space="preserve">. </w:t>
      </w:r>
      <w:r w:rsidRPr="009627FD">
        <w:rPr>
          <w:noProof/>
          <w:lang w:val="en-US"/>
        </w:rPr>
        <w:t>Led</w:t>
      </w:r>
      <w:r w:rsidR="005A0204" w:rsidRPr="009627FD">
        <w:rPr>
          <w:noProof/>
          <w:lang w:val="en-US"/>
        </w:rPr>
        <w:t>,</w:t>
      </w:r>
      <w:r w:rsidR="000B2DD4" w:rsidRPr="009627FD">
        <w:rPr>
          <w:noProof/>
          <w:lang w:val="en-US"/>
        </w:rPr>
        <w:t xml:space="preserve"> Milano</w:t>
      </w:r>
      <w:r w:rsidRPr="009627FD">
        <w:rPr>
          <w:noProof/>
          <w:lang w:val="en-US"/>
        </w:rPr>
        <w:t>.</w:t>
      </w:r>
    </w:p>
    <w:p w14:paraId="4F4B47AB" w14:textId="77777777" w:rsidR="00743ED1" w:rsidRDefault="00743ED1" w:rsidP="00A54959">
      <w:pPr>
        <w:widowControl w:val="0"/>
        <w:autoSpaceDE w:val="0"/>
        <w:autoSpaceDN w:val="0"/>
        <w:adjustRightInd w:val="0"/>
        <w:spacing w:line="360" w:lineRule="auto"/>
        <w:rPr>
          <w:lang w:val="en-US"/>
        </w:rPr>
      </w:pPr>
    </w:p>
    <w:p w14:paraId="5E6D814D" w14:textId="0CC3D190" w:rsidR="00A54959" w:rsidRPr="009627FD" w:rsidRDefault="00A54959" w:rsidP="00A54959">
      <w:pPr>
        <w:widowControl w:val="0"/>
        <w:autoSpaceDE w:val="0"/>
        <w:autoSpaceDN w:val="0"/>
        <w:adjustRightInd w:val="0"/>
        <w:spacing w:line="360" w:lineRule="auto"/>
        <w:rPr>
          <w:i/>
          <w:iCs/>
          <w:lang w:val="en-US"/>
        </w:rPr>
      </w:pPr>
      <w:r w:rsidRPr="009627FD">
        <w:rPr>
          <w:lang w:val="en-US"/>
        </w:rPr>
        <w:lastRenderedPageBreak/>
        <w:t xml:space="preserve">Bartlett, M.S. (1937) Properties of sufficiency and statistical tests. </w:t>
      </w:r>
      <w:r w:rsidRPr="009627FD">
        <w:rPr>
          <w:i/>
          <w:iCs/>
          <w:lang w:val="en-US"/>
        </w:rPr>
        <w:t xml:space="preserve">Proceedings of the Royal </w:t>
      </w:r>
    </w:p>
    <w:p w14:paraId="2A06447C" w14:textId="77777777" w:rsidR="00A54959" w:rsidRPr="009627FD" w:rsidRDefault="00A54959" w:rsidP="00A54959">
      <w:pPr>
        <w:widowControl w:val="0"/>
        <w:autoSpaceDE w:val="0"/>
        <w:autoSpaceDN w:val="0"/>
        <w:adjustRightInd w:val="0"/>
        <w:spacing w:line="360" w:lineRule="auto"/>
        <w:ind w:firstLine="708"/>
        <w:rPr>
          <w:lang w:val="en-US"/>
        </w:rPr>
      </w:pPr>
      <w:r w:rsidRPr="009627FD">
        <w:rPr>
          <w:i/>
          <w:iCs/>
          <w:lang w:val="en-US"/>
        </w:rPr>
        <w:t>Statistical Society, Series A.</w:t>
      </w:r>
      <w:r w:rsidRPr="009627FD">
        <w:rPr>
          <w:lang w:val="en-US"/>
        </w:rPr>
        <w:t xml:space="preserve"> 160,268–282. </w:t>
      </w:r>
      <w:hyperlink r:id="rId18" w:history="1">
        <w:r w:rsidRPr="009627FD">
          <w:rPr>
            <w:rStyle w:val="Hyperlink"/>
            <w:rFonts w:eastAsiaTheme="minorEastAsia"/>
            <w:u w:val="none"/>
            <w:lang w:val="en-US"/>
          </w:rPr>
          <w:t>https://doi.org/10.1098/rspa.1937.0109</w:t>
        </w:r>
      </w:hyperlink>
    </w:p>
    <w:p w14:paraId="4D7E16E6" w14:textId="77777777" w:rsidR="00A54959" w:rsidRPr="009627FD" w:rsidRDefault="00A54959" w:rsidP="00A54959">
      <w:pPr>
        <w:widowControl w:val="0"/>
        <w:autoSpaceDE w:val="0"/>
        <w:autoSpaceDN w:val="0"/>
        <w:adjustRightInd w:val="0"/>
        <w:spacing w:line="360" w:lineRule="auto"/>
        <w:rPr>
          <w:shd w:val="clear" w:color="auto" w:fill="FFFFFF"/>
          <w:lang w:val="en-US"/>
        </w:rPr>
      </w:pPr>
      <w:r w:rsidRPr="009627FD">
        <w:rPr>
          <w:shd w:val="clear" w:color="auto" w:fill="FFFFFF"/>
        </w:rPr>
        <w:t xml:space="preserve">Bassi, F., Arbia, G., &amp; Falorsi, P. D. (2021). </w:t>
      </w:r>
      <w:r w:rsidRPr="009627FD">
        <w:rPr>
          <w:shd w:val="clear" w:color="auto" w:fill="FFFFFF"/>
          <w:lang w:val="en-US"/>
        </w:rPr>
        <w:t xml:space="preserve">Observed and estimated prevalence of Covid-19 in </w:t>
      </w:r>
    </w:p>
    <w:p w14:paraId="794144D3" w14:textId="77777777" w:rsidR="00A54959" w:rsidRPr="009627FD" w:rsidRDefault="00A54959" w:rsidP="00A54959">
      <w:pPr>
        <w:widowControl w:val="0"/>
        <w:autoSpaceDE w:val="0"/>
        <w:autoSpaceDN w:val="0"/>
        <w:adjustRightInd w:val="0"/>
        <w:spacing w:line="360" w:lineRule="auto"/>
        <w:ind w:left="708"/>
        <w:rPr>
          <w:shd w:val="clear" w:color="auto" w:fill="FFFFFF"/>
          <w:lang w:val="en-US"/>
        </w:rPr>
      </w:pPr>
      <w:r w:rsidRPr="009627FD">
        <w:rPr>
          <w:shd w:val="clear" w:color="auto" w:fill="FFFFFF"/>
          <w:lang w:val="en-US"/>
        </w:rPr>
        <w:t>Italy: How to estimate the total cases from medical swabs data. </w:t>
      </w:r>
      <w:r w:rsidRPr="009627FD">
        <w:rPr>
          <w:i/>
          <w:shd w:val="clear" w:color="auto" w:fill="FFFFFF"/>
          <w:lang w:val="en-US"/>
        </w:rPr>
        <w:t>Science of the Total Environment, 764</w:t>
      </w:r>
      <w:r w:rsidRPr="009627FD">
        <w:rPr>
          <w:shd w:val="clear" w:color="auto" w:fill="FFFFFF"/>
          <w:lang w:val="en-US"/>
        </w:rPr>
        <w:t xml:space="preserve">, 142799. </w:t>
      </w:r>
      <w:hyperlink r:id="rId19" w:history="1">
        <w:r w:rsidRPr="009627FD">
          <w:rPr>
            <w:rStyle w:val="Hyperlink"/>
            <w:rFonts w:eastAsiaTheme="minorEastAsia"/>
            <w:u w:val="none"/>
            <w:lang w:val="en-US"/>
          </w:rPr>
          <w:t>https://doi.org/10.1016/j.scitotenv.2020.142799</w:t>
        </w:r>
      </w:hyperlink>
    </w:p>
    <w:p w14:paraId="5FC8B37C" w14:textId="77777777" w:rsidR="00DB52F2" w:rsidRPr="009627FD" w:rsidRDefault="00DB52F2" w:rsidP="00A54959">
      <w:pPr>
        <w:spacing w:line="360" w:lineRule="auto"/>
        <w:rPr>
          <w:lang w:val="en-US"/>
        </w:rPr>
      </w:pPr>
      <w:r w:rsidRPr="009627FD">
        <w:rPr>
          <w:lang w:val="en-US"/>
        </w:rPr>
        <w:t xml:space="preserve">Beaujean, A. A., Freeman, M. J., Youngstrom, E., &amp; Carlson, G. (2012). The structure of cognitive </w:t>
      </w:r>
    </w:p>
    <w:p w14:paraId="60FD19F7" w14:textId="319A81BA" w:rsidR="00DB52F2" w:rsidRPr="009627FD" w:rsidRDefault="00DB52F2" w:rsidP="00DB52F2">
      <w:pPr>
        <w:spacing w:line="360" w:lineRule="auto"/>
        <w:ind w:left="708"/>
        <w:rPr>
          <w:shd w:val="clear" w:color="auto" w:fill="FFFFFF"/>
          <w:lang w:val="en-US"/>
        </w:rPr>
      </w:pPr>
      <w:r w:rsidRPr="009627FD">
        <w:rPr>
          <w:lang w:val="en-US"/>
        </w:rPr>
        <w:t xml:space="preserve">abilities in youths with manic symptoms: A factorial invariance study. </w:t>
      </w:r>
      <w:r w:rsidRPr="009627FD">
        <w:rPr>
          <w:i/>
          <w:lang w:val="en-US"/>
        </w:rPr>
        <w:t>Assessment, 19,</w:t>
      </w:r>
      <w:r w:rsidRPr="009627FD">
        <w:rPr>
          <w:lang w:val="en-US"/>
        </w:rPr>
        <w:t xml:space="preserve"> 462-471. </w:t>
      </w:r>
      <w:r w:rsidRPr="009627FD">
        <w:rPr>
          <w:rStyle w:val="Hyperlink"/>
          <w:rFonts w:eastAsiaTheme="minorEastAsia"/>
          <w:u w:val="none"/>
          <w:lang w:val="en-US"/>
        </w:rPr>
        <w:t>https://doi.org/</w:t>
      </w:r>
      <w:r w:rsidRPr="009627FD">
        <w:rPr>
          <w:rStyle w:val="Hyperlink"/>
          <w:rFonts w:eastAsiaTheme="minorEastAsia"/>
          <w:u w:val="none"/>
        </w:rPr>
        <w:t>10.1177/1073191111399037</w:t>
      </w:r>
    </w:p>
    <w:p w14:paraId="57FA5999"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Bielicki, J. A., Duval, X., Gobat, N., Goossens, H., Koopmans, M., Tacconelli, E., &amp; van der Werf, </w:t>
      </w:r>
    </w:p>
    <w:p w14:paraId="3A4C21AB" w14:textId="77777777" w:rsidR="00A54959" w:rsidRPr="009627FD" w:rsidRDefault="00A54959" w:rsidP="00A54959">
      <w:pPr>
        <w:spacing w:line="360" w:lineRule="auto"/>
        <w:ind w:left="708"/>
        <w:rPr>
          <w:shd w:val="clear" w:color="auto" w:fill="FFFFFF"/>
          <w:lang w:val="en-US"/>
        </w:rPr>
      </w:pPr>
      <w:r w:rsidRPr="009627FD">
        <w:rPr>
          <w:shd w:val="clear" w:color="auto" w:fill="FFFFFF"/>
          <w:lang w:val="en-US"/>
        </w:rPr>
        <w:t>S. (2020). Monitoring approaches for health-care workers during the COVID-19 pandemic. </w:t>
      </w:r>
      <w:r w:rsidRPr="009627FD">
        <w:rPr>
          <w:i/>
          <w:iCs/>
          <w:shd w:val="clear" w:color="auto" w:fill="FFFFFF"/>
          <w:lang w:val="en-US"/>
        </w:rPr>
        <w:t>The Lancet Infectious Diseases</w:t>
      </w:r>
      <w:r w:rsidRPr="009627FD">
        <w:rPr>
          <w:shd w:val="clear" w:color="auto" w:fill="FFFFFF"/>
          <w:lang w:val="en-US"/>
        </w:rPr>
        <w:t>, </w:t>
      </w:r>
      <w:r w:rsidRPr="009627FD">
        <w:rPr>
          <w:i/>
          <w:iCs/>
          <w:shd w:val="clear" w:color="auto" w:fill="FFFFFF"/>
          <w:lang w:val="en-US"/>
        </w:rPr>
        <w:t>20</w:t>
      </w:r>
      <w:r w:rsidRPr="009627FD">
        <w:rPr>
          <w:shd w:val="clear" w:color="auto" w:fill="FFFFFF"/>
          <w:lang w:val="en-US"/>
        </w:rPr>
        <w:t xml:space="preserve">(10), e261-e267. </w:t>
      </w:r>
      <w:hyperlink r:id="rId20" w:history="1">
        <w:r w:rsidRPr="009627FD">
          <w:rPr>
            <w:rStyle w:val="Hyperlink"/>
            <w:rFonts w:eastAsiaTheme="minorEastAsia"/>
            <w:u w:val="none"/>
            <w:lang w:val="en-US"/>
          </w:rPr>
          <w:t>https://doi.org/10.1016/S1473- 3099(20)30458-8</w:t>
        </w:r>
      </w:hyperlink>
    </w:p>
    <w:p w14:paraId="15B463DB" w14:textId="77777777" w:rsidR="00A54959" w:rsidRPr="009627FD" w:rsidRDefault="00A54959" w:rsidP="00A54959">
      <w:pPr>
        <w:widowControl w:val="0"/>
        <w:autoSpaceDE w:val="0"/>
        <w:autoSpaceDN w:val="0"/>
        <w:adjustRightInd w:val="0"/>
        <w:spacing w:line="360" w:lineRule="auto"/>
        <w:rPr>
          <w:iCs/>
          <w:lang w:val="en-US"/>
        </w:rPr>
      </w:pPr>
      <w:r w:rsidRPr="009627FD">
        <w:rPr>
          <w:iCs/>
          <w:lang w:val="en-US"/>
        </w:rPr>
        <w:t xml:space="preserve">Bollen, K. A. (1989). </w:t>
      </w:r>
      <w:r w:rsidRPr="009627FD">
        <w:rPr>
          <w:i/>
          <w:lang w:val="en-US"/>
        </w:rPr>
        <w:t>Structural equations with latent variables</w:t>
      </w:r>
      <w:r w:rsidRPr="009627FD">
        <w:rPr>
          <w:iCs/>
          <w:lang w:val="en-US"/>
        </w:rPr>
        <w:t>. New York: Wiley.</w:t>
      </w:r>
    </w:p>
    <w:p w14:paraId="370EC92C" w14:textId="77777777" w:rsidR="005B1143" w:rsidRPr="009627FD" w:rsidRDefault="005B1143" w:rsidP="00A54959">
      <w:pPr>
        <w:widowControl w:val="0"/>
        <w:autoSpaceDE w:val="0"/>
        <w:autoSpaceDN w:val="0"/>
        <w:adjustRightInd w:val="0"/>
        <w:spacing w:line="360" w:lineRule="auto"/>
        <w:rPr>
          <w:lang w:val="en-GB"/>
        </w:rPr>
      </w:pPr>
      <w:r w:rsidRPr="009627FD">
        <w:rPr>
          <w:lang w:val="en-GB"/>
        </w:rPr>
        <w:t xml:space="preserve">Bowerman, B. L., &amp; O’Connell, R. T. (1990). </w:t>
      </w:r>
      <w:r w:rsidRPr="009627FD">
        <w:rPr>
          <w:i/>
          <w:iCs/>
          <w:lang w:val="en-GB"/>
        </w:rPr>
        <w:t xml:space="preserve">Linear statistical models: An applied approach </w:t>
      </w:r>
      <w:r w:rsidRPr="009627FD">
        <w:rPr>
          <w:lang w:val="en-GB"/>
        </w:rPr>
        <w:t xml:space="preserve">(2nd </w:t>
      </w:r>
    </w:p>
    <w:p w14:paraId="28E21AB0" w14:textId="4D487C5E" w:rsidR="005B1143" w:rsidRPr="009627FD" w:rsidRDefault="005B1143" w:rsidP="005B1143">
      <w:pPr>
        <w:widowControl w:val="0"/>
        <w:autoSpaceDE w:val="0"/>
        <w:autoSpaceDN w:val="0"/>
        <w:adjustRightInd w:val="0"/>
        <w:spacing w:line="360" w:lineRule="auto"/>
        <w:ind w:firstLine="708"/>
        <w:rPr>
          <w:iCs/>
          <w:lang w:val="en-US"/>
        </w:rPr>
      </w:pPr>
      <w:r w:rsidRPr="009627FD">
        <w:rPr>
          <w:lang w:val="en-GB"/>
        </w:rPr>
        <w:t>ed.). Belmont, CA: Duxbury.</w:t>
      </w:r>
    </w:p>
    <w:p w14:paraId="665006E2" w14:textId="3E464901" w:rsidR="00E7692C" w:rsidRPr="009627FD" w:rsidRDefault="00E7692C" w:rsidP="00A54959">
      <w:pPr>
        <w:widowControl w:val="0"/>
        <w:autoSpaceDE w:val="0"/>
        <w:autoSpaceDN w:val="0"/>
        <w:adjustRightInd w:val="0"/>
        <w:spacing w:line="360" w:lineRule="auto"/>
        <w:rPr>
          <w:iCs/>
          <w:lang w:val="en-US"/>
        </w:rPr>
      </w:pPr>
      <w:r w:rsidRPr="009627FD">
        <w:rPr>
          <w:iCs/>
          <w:lang w:val="en-US"/>
        </w:rPr>
        <w:t>Brailovskaia, J., Cosci, F., Mansueto, G., &amp; Margraf, J. (2021</w:t>
      </w:r>
      <w:r w:rsidR="00A600D3" w:rsidRPr="009627FD">
        <w:rPr>
          <w:iCs/>
          <w:lang w:val="en-US"/>
        </w:rPr>
        <w:t>a</w:t>
      </w:r>
      <w:r w:rsidRPr="009627FD">
        <w:rPr>
          <w:iCs/>
          <w:lang w:val="en-US"/>
        </w:rPr>
        <w:t xml:space="preserve">). The relationship between social </w:t>
      </w:r>
    </w:p>
    <w:p w14:paraId="79875F7B" w14:textId="00BA9DB4" w:rsidR="00E7692C" w:rsidRPr="009627FD" w:rsidRDefault="00E7692C" w:rsidP="00E7692C">
      <w:pPr>
        <w:widowControl w:val="0"/>
        <w:autoSpaceDE w:val="0"/>
        <w:autoSpaceDN w:val="0"/>
        <w:adjustRightInd w:val="0"/>
        <w:spacing w:line="360" w:lineRule="auto"/>
        <w:ind w:left="708"/>
        <w:rPr>
          <w:iCs/>
          <w:lang w:val="en-US"/>
        </w:rPr>
      </w:pPr>
      <w:r w:rsidRPr="009627FD">
        <w:rPr>
          <w:iCs/>
          <w:lang w:val="en-US"/>
        </w:rPr>
        <w:t xml:space="preserve">media use, stress symptoms and burden caused by Coronavirus (Covid-19) in Germany and Italy: A cross-sectional and longitudinal investigation. </w:t>
      </w:r>
      <w:r w:rsidRPr="009627FD">
        <w:rPr>
          <w:i/>
          <w:iCs/>
          <w:lang w:val="en-US"/>
        </w:rPr>
        <w:t>Journal of Affective Disorders Reports</w:t>
      </w:r>
      <w:r w:rsidRPr="009627FD">
        <w:rPr>
          <w:iCs/>
          <w:lang w:val="en-US"/>
        </w:rPr>
        <w:t>, 3, 100067.</w:t>
      </w:r>
      <w:r w:rsidR="00D9720E" w:rsidRPr="009627FD">
        <w:rPr>
          <w:iCs/>
          <w:lang w:val="en-US"/>
        </w:rPr>
        <w:t xml:space="preserve"> </w:t>
      </w:r>
      <w:r w:rsidR="00D9720E" w:rsidRPr="009627FD">
        <w:rPr>
          <w:rStyle w:val="Hyperlink"/>
          <w:rFonts w:eastAsiaTheme="minorEastAsia"/>
          <w:u w:val="none"/>
          <w:lang w:val="en-US"/>
        </w:rPr>
        <w:t>https://doi.org/10.1016/j.jadr.2020.100067</w:t>
      </w:r>
    </w:p>
    <w:p w14:paraId="5459965E" w14:textId="77777777" w:rsidR="00F41458" w:rsidRPr="009627FD" w:rsidRDefault="00F41458" w:rsidP="00F41458">
      <w:pPr>
        <w:spacing w:line="360" w:lineRule="auto"/>
        <w:rPr>
          <w:shd w:val="clear" w:color="auto" w:fill="FFFFFF"/>
          <w:lang w:val="en-US"/>
        </w:rPr>
      </w:pPr>
      <w:r w:rsidRPr="009627FD">
        <w:rPr>
          <w:shd w:val="clear" w:color="auto" w:fill="FFFFFF"/>
        </w:rPr>
        <w:t xml:space="preserve">Brailovskaia, J., Cosci, F., Mansueto, G., Miragall, M., Herrero, R., Baños, R. M., ... </w:t>
      </w:r>
      <w:r w:rsidRPr="009627FD">
        <w:rPr>
          <w:shd w:val="clear" w:color="auto" w:fill="FFFFFF"/>
          <w:lang w:val="en-US"/>
        </w:rPr>
        <w:t xml:space="preserve">&amp; Margraf, J. </w:t>
      </w:r>
    </w:p>
    <w:p w14:paraId="0BEA78C8" w14:textId="296B74CC" w:rsidR="00F41458" w:rsidRPr="009627FD" w:rsidRDefault="00F41458" w:rsidP="00F41458">
      <w:pPr>
        <w:spacing w:line="360" w:lineRule="auto"/>
        <w:ind w:firstLine="708"/>
        <w:rPr>
          <w:shd w:val="clear" w:color="auto" w:fill="FFFFFF"/>
          <w:lang w:val="en-US"/>
        </w:rPr>
      </w:pPr>
      <w:r w:rsidRPr="009627FD">
        <w:rPr>
          <w:shd w:val="clear" w:color="auto" w:fill="FFFFFF"/>
          <w:lang w:val="en-US"/>
        </w:rPr>
        <w:t>(2021</w:t>
      </w:r>
      <w:r w:rsidR="00A600D3" w:rsidRPr="009627FD">
        <w:rPr>
          <w:shd w:val="clear" w:color="auto" w:fill="FFFFFF"/>
          <w:lang w:val="en-US"/>
        </w:rPr>
        <w:t>b</w:t>
      </w:r>
      <w:r w:rsidRPr="009627FD">
        <w:rPr>
          <w:shd w:val="clear" w:color="auto" w:fill="FFFFFF"/>
          <w:lang w:val="en-US"/>
        </w:rPr>
        <w:t xml:space="preserve">). The association between depression symptoms, psychological burden caused by </w:t>
      </w:r>
    </w:p>
    <w:p w14:paraId="3D2841F6" w14:textId="54F3DA0F" w:rsidR="00F41458" w:rsidRPr="009627FD" w:rsidRDefault="00F41458" w:rsidP="00F41458">
      <w:pPr>
        <w:spacing w:line="360" w:lineRule="auto"/>
        <w:ind w:left="708"/>
        <w:rPr>
          <w:shd w:val="clear" w:color="auto" w:fill="FFFFFF"/>
          <w:lang w:val="en-US"/>
        </w:rPr>
      </w:pPr>
      <w:r w:rsidRPr="009627FD">
        <w:rPr>
          <w:shd w:val="clear" w:color="auto" w:fill="FFFFFF"/>
          <w:lang w:val="en-US"/>
        </w:rPr>
        <w:t xml:space="preserve">Covid-19 and physical activity: An investigation in Germany, Italy, Russia, and Spain. </w:t>
      </w:r>
      <w:r w:rsidRPr="009627FD">
        <w:rPr>
          <w:i/>
          <w:iCs/>
          <w:shd w:val="clear" w:color="auto" w:fill="FFFFFF"/>
          <w:lang w:val="en-US"/>
        </w:rPr>
        <w:t>Psychiatry Research, 295,</w:t>
      </w:r>
      <w:r w:rsidRPr="009627FD">
        <w:rPr>
          <w:shd w:val="clear" w:color="auto" w:fill="FFFFFF"/>
          <w:lang w:val="en-US"/>
        </w:rPr>
        <w:t xml:space="preserve"> 113596. </w:t>
      </w:r>
      <w:hyperlink r:id="rId21" w:history="1">
        <w:r w:rsidR="002474A6" w:rsidRPr="009627FD">
          <w:rPr>
            <w:rStyle w:val="Hyperlink"/>
            <w:rFonts w:eastAsiaTheme="minorEastAsia"/>
            <w:u w:val="none"/>
            <w:lang w:val="en-US"/>
          </w:rPr>
          <w:t>https://doi.org/1</w:t>
        </w:r>
        <w:r w:rsidRPr="009627FD">
          <w:rPr>
            <w:rStyle w:val="Hyperlink"/>
            <w:rFonts w:eastAsiaTheme="minorEastAsia"/>
            <w:u w:val="none"/>
            <w:lang w:val="en-US"/>
          </w:rPr>
          <w:t>10.1016/j.psychres.2020.113596</w:t>
        </w:r>
      </w:hyperlink>
    </w:p>
    <w:p w14:paraId="440FE071" w14:textId="77777777" w:rsidR="00A54959" w:rsidRPr="009627FD" w:rsidRDefault="00A54959" w:rsidP="00A54959">
      <w:pPr>
        <w:widowControl w:val="0"/>
        <w:autoSpaceDE w:val="0"/>
        <w:autoSpaceDN w:val="0"/>
        <w:adjustRightInd w:val="0"/>
        <w:spacing w:line="360" w:lineRule="auto"/>
        <w:rPr>
          <w:iCs/>
          <w:lang w:val="en-US"/>
        </w:rPr>
      </w:pPr>
      <w:r w:rsidRPr="009627FD">
        <w:rPr>
          <w:iCs/>
          <w:lang w:val="en-US"/>
        </w:rPr>
        <w:t xml:space="preserve">Browne, M. W., &amp; Cudeck, R. (1993). Alternative ways of assessing model fit. In K. A. Bollen and </w:t>
      </w:r>
    </w:p>
    <w:p w14:paraId="3022199B" w14:textId="77777777" w:rsidR="00A54959" w:rsidRPr="009627FD" w:rsidRDefault="00A54959" w:rsidP="00A54959">
      <w:pPr>
        <w:widowControl w:val="0"/>
        <w:autoSpaceDE w:val="0"/>
        <w:autoSpaceDN w:val="0"/>
        <w:adjustRightInd w:val="0"/>
        <w:spacing w:line="360" w:lineRule="auto"/>
        <w:ind w:left="708"/>
        <w:rPr>
          <w:iCs/>
          <w:lang w:val="en-US"/>
        </w:rPr>
      </w:pPr>
      <w:r w:rsidRPr="009627FD">
        <w:rPr>
          <w:iCs/>
          <w:lang w:val="en-US"/>
        </w:rPr>
        <w:t xml:space="preserve">J. S. Long (Eds.), </w:t>
      </w:r>
      <w:r w:rsidRPr="009627FD">
        <w:rPr>
          <w:i/>
          <w:lang w:val="en-US"/>
        </w:rPr>
        <w:t>Testing structural equation models</w:t>
      </w:r>
      <w:r w:rsidRPr="009627FD">
        <w:rPr>
          <w:iCs/>
          <w:lang w:val="en-US"/>
        </w:rPr>
        <w:t xml:space="preserve"> (pp. 136-162). Newbury Park, CA: Sage.</w:t>
      </w:r>
    </w:p>
    <w:p w14:paraId="273D1EE2"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Busch, I. M., Moretti, F., Mazzi, M., Wu, A. W., &amp; Rimondini, M. (2021). What we have learned </w:t>
      </w:r>
    </w:p>
    <w:p w14:paraId="6ED69A31" w14:textId="77777777" w:rsidR="00A54959" w:rsidRPr="009627FD" w:rsidRDefault="00A54959" w:rsidP="00A54959">
      <w:pPr>
        <w:spacing w:line="360" w:lineRule="auto"/>
        <w:ind w:left="708"/>
        <w:rPr>
          <w:shd w:val="clear" w:color="auto" w:fill="FFFFFF"/>
          <w:lang w:val="en-US"/>
        </w:rPr>
      </w:pPr>
      <w:r w:rsidRPr="009627FD">
        <w:rPr>
          <w:shd w:val="clear" w:color="auto" w:fill="FFFFFF"/>
          <w:lang w:val="en-US"/>
        </w:rPr>
        <w:t>from two decades of epidemics and pandemics: a systematic review and meta-analysis of the psychological burden of frontline healthcare workers. </w:t>
      </w:r>
      <w:r w:rsidRPr="009627FD">
        <w:rPr>
          <w:i/>
          <w:shd w:val="clear" w:color="auto" w:fill="FFFFFF"/>
          <w:lang w:val="en-US"/>
        </w:rPr>
        <w:t>Psychotherapy and Psychosomatics, 90</w:t>
      </w:r>
      <w:r w:rsidRPr="009627FD">
        <w:rPr>
          <w:shd w:val="clear" w:color="auto" w:fill="FFFFFF"/>
          <w:lang w:val="en-US"/>
        </w:rPr>
        <w:t>(3), 178-190.</w:t>
      </w:r>
      <w:r w:rsidRPr="009627FD">
        <w:rPr>
          <w:lang w:val="en-US"/>
        </w:rPr>
        <w:t xml:space="preserve"> </w:t>
      </w:r>
      <w:hyperlink r:id="rId22" w:history="1">
        <w:r w:rsidRPr="009627FD">
          <w:rPr>
            <w:rStyle w:val="Hyperlink"/>
            <w:rFonts w:eastAsiaTheme="minorEastAsia"/>
            <w:u w:val="none"/>
            <w:lang w:val="en-US"/>
          </w:rPr>
          <w:t>https://doi.org/10.1159/000513733</w:t>
        </w:r>
      </w:hyperlink>
    </w:p>
    <w:p w14:paraId="39E63EB1" w14:textId="77777777" w:rsidR="00A54959" w:rsidRPr="009627FD" w:rsidRDefault="00A54959" w:rsidP="00A54959">
      <w:pPr>
        <w:spacing w:line="360" w:lineRule="auto"/>
        <w:rPr>
          <w:lang w:val="en-US"/>
        </w:rPr>
      </w:pPr>
      <w:r w:rsidRPr="009627FD">
        <w:t xml:space="preserve">Carrozzino, D., Patierno, C., Guidi, J., Montiel, C. B., Cao, J., Charlson, M. E., … </w:t>
      </w:r>
      <w:r w:rsidRPr="009627FD">
        <w:rPr>
          <w:lang w:val="en-US"/>
        </w:rPr>
        <w:t xml:space="preserve">&amp; Fava, G. A. </w:t>
      </w:r>
    </w:p>
    <w:p w14:paraId="50FFCD90" w14:textId="74ED5F09" w:rsidR="00A54959" w:rsidRPr="009627FD" w:rsidRDefault="00A54959" w:rsidP="00A54959">
      <w:pPr>
        <w:spacing w:line="360" w:lineRule="auto"/>
        <w:ind w:left="708"/>
        <w:rPr>
          <w:lang w:val="en-US"/>
        </w:rPr>
      </w:pPr>
      <w:r w:rsidRPr="009627FD">
        <w:rPr>
          <w:lang w:val="en-US"/>
        </w:rPr>
        <w:t xml:space="preserve">(2021). Clinimetric criteria for patient-reported outcome measures. </w:t>
      </w:r>
      <w:r w:rsidRPr="009627FD">
        <w:rPr>
          <w:i/>
          <w:iCs/>
          <w:lang w:val="en-US"/>
        </w:rPr>
        <w:t>Psychotherapy and psychosomatics, 90</w:t>
      </w:r>
      <w:r w:rsidRPr="009627FD">
        <w:rPr>
          <w:lang w:val="en-US"/>
        </w:rPr>
        <w:t>(4), 222-232</w:t>
      </w:r>
      <w:hyperlink r:id="rId23" w:history="1">
        <w:r w:rsidR="002474A6" w:rsidRPr="009627FD">
          <w:rPr>
            <w:rStyle w:val="Hyperlink"/>
            <w:color w:val="auto"/>
            <w:u w:val="none"/>
            <w:lang w:val="en-US"/>
          </w:rPr>
          <w:t xml:space="preserve">. </w:t>
        </w:r>
        <w:r w:rsidRPr="009627FD">
          <w:rPr>
            <w:rStyle w:val="Hyperlink"/>
            <w:rFonts w:eastAsiaTheme="minorEastAsia"/>
            <w:u w:val="none"/>
            <w:lang w:val="en-US"/>
          </w:rPr>
          <w:t>https://doi.org/10.1159/000516599</w:t>
        </w:r>
      </w:hyperlink>
    </w:p>
    <w:p w14:paraId="007DEF2C" w14:textId="77777777" w:rsidR="00A54959" w:rsidRPr="009627FD" w:rsidRDefault="00A54959" w:rsidP="00A54959">
      <w:pPr>
        <w:widowControl w:val="0"/>
        <w:autoSpaceDE w:val="0"/>
        <w:autoSpaceDN w:val="0"/>
        <w:adjustRightInd w:val="0"/>
        <w:spacing w:line="360" w:lineRule="auto"/>
        <w:rPr>
          <w:i/>
          <w:iCs/>
          <w:lang w:val="en-US"/>
        </w:rPr>
      </w:pPr>
      <w:r w:rsidRPr="009627FD">
        <w:rPr>
          <w:lang w:val="en-US"/>
        </w:rPr>
        <w:t xml:space="preserve">Cattell, R.B. (1966). The scree test for the number of factors. </w:t>
      </w:r>
      <w:r w:rsidRPr="009627FD">
        <w:rPr>
          <w:i/>
          <w:iCs/>
          <w:lang w:val="en-US"/>
        </w:rPr>
        <w:t xml:space="preserve">Multivariate Behavioral Research, </w:t>
      </w:r>
    </w:p>
    <w:p w14:paraId="7A4D2700" w14:textId="77777777" w:rsidR="00A54959" w:rsidRPr="009627FD" w:rsidRDefault="00A54959" w:rsidP="00A54959">
      <w:pPr>
        <w:widowControl w:val="0"/>
        <w:autoSpaceDE w:val="0"/>
        <w:autoSpaceDN w:val="0"/>
        <w:adjustRightInd w:val="0"/>
        <w:spacing w:line="360" w:lineRule="auto"/>
        <w:ind w:firstLine="708"/>
        <w:rPr>
          <w:lang w:val="en-US"/>
        </w:rPr>
      </w:pPr>
      <w:r w:rsidRPr="009627FD">
        <w:rPr>
          <w:i/>
          <w:iCs/>
          <w:lang w:val="en-US"/>
        </w:rPr>
        <w:t>1(</w:t>
      </w:r>
      <w:r w:rsidRPr="009627FD">
        <w:rPr>
          <w:lang w:val="en-US"/>
        </w:rPr>
        <w:t xml:space="preserve">2), 245-276. </w:t>
      </w:r>
      <w:hyperlink r:id="rId24" w:history="1">
        <w:r w:rsidRPr="009627FD">
          <w:rPr>
            <w:rStyle w:val="Hyperlink"/>
            <w:rFonts w:eastAsiaTheme="minorEastAsia"/>
            <w:u w:val="none"/>
            <w:lang w:val="en-US"/>
          </w:rPr>
          <w:t>https://doi.org/10.1207/s15327906mbr0102_10</w:t>
        </w:r>
      </w:hyperlink>
    </w:p>
    <w:p w14:paraId="7EC1C5E8" w14:textId="07168F76" w:rsidR="00517F83" w:rsidRPr="009627FD" w:rsidRDefault="00517F83" w:rsidP="00517F83">
      <w:pPr>
        <w:spacing w:line="480" w:lineRule="auto"/>
        <w:ind w:left="709" w:hanging="709"/>
        <w:rPr>
          <w:lang w:val="en-US"/>
        </w:rPr>
      </w:pPr>
      <w:r w:rsidRPr="009627FD">
        <w:rPr>
          <w:lang w:val="en-US"/>
        </w:rPr>
        <w:lastRenderedPageBreak/>
        <w:t xml:space="preserve">Cheung, G. W., &amp; Rensvold, R. B. (2002). Evaluating goodness of-fit indexes for testing measurement invariance. </w:t>
      </w:r>
      <w:r w:rsidRPr="009627FD">
        <w:rPr>
          <w:i/>
          <w:lang w:val="en-US"/>
        </w:rPr>
        <w:t>Structural Equation Modeling: A Multidisciplinary Journal, 9,</w:t>
      </w:r>
      <w:r w:rsidRPr="009627FD">
        <w:rPr>
          <w:lang w:val="en-US"/>
        </w:rPr>
        <w:t xml:space="preserve"> 233-255. </w:t>
      </w:r>
      <w:r w:rsidRPr="009627FD">
        <w:rPr>
          <w:rStyle w:val="Hyperlink"/>
          <w:rFonts w:eastAsiaTheme="minorEastAsia"/>
          <w:u w:val="none"/>
          <w:lang w:val="en-US"/>
        </w:rPr>
        <w:t>https://doi.org/</w:t>
      </w:r>
      <w:r w:rsidRPr="009627FD">
        <w:rPr>
          <w:rStyle w:val="Hyperlink"/>
          <w:rFonts w:eastAsiaTheme="minorEastAsia"/>
          <w:u w:val="none"/>
        </w:rPr>
        <w:t>10.1207/S15328007SEM0902_5</w:t>
      </w:r>
    </w:p>
    <w:p w14:paraId="7CDE17CB" w14:textId="1723E154" w:rsidR="00A54959" w:rsidRPr="009627FD" w:rsidRDefault="00A54959" w:rsidP="00A54959">
      <w:pPr>
        <w:spacing w:line="360" w:lineRule="auto"/>
        <w:rPr>
          <w:lang w:val="en-US"/>
        </w:rPr>
      </w:pPr>
      <w:r w:rsidRPr="009627FD">
        <w:rPr>
          <w:lang w:val="en-US"/>
        </w:rPr>
        <w:t>Cohen, J. (1988</w:t>
      </w:r>
      <w:r w:rsidRPr="009627FD">
        <w:rPr>
          <w:i/>
          <w:iCs/>
          <w:lang w:val="en-US"/>
        </w:rPr>
        <w:t>). Statistical power analysis for behavioral science</w:t>
      </w:r>
      <w:r w:rsidRPr="009627FD">
        <w:rPr>
          <w:vertAlign w:val="superscript"/>
          <w:lang w:val="en-US"/>
        </w:rPr>
        <w:t xml:space="preserve"> (</w:t>
      </w:r>
      <w:r w:rsidR="000B2DD4" w:rsidRPr="009627FD">
        <w:rPr>
          <w:lang w:val="en-US"/>
        </w:rPr>
        <w:t>2nd ed</w:t>
      </w:r>
      <w:r w:rsidRPr="009627FD">
        <w:rPr>
          <w:lang w:val="en-US"/>
        </w:rPr>
        <w:t xml:space="preserve">. Hillsdale, N.J.: </w:t>
      </w:r>
    </w:p>
    <w:p w14:paraId="6F43C898" w14:textId="77777777" w:rsidR="00A54959" w:rsidRPr="009627FD" w:rsidRDefault="00A54959" w:rsidP="00A54959">
      <w:pPr>
        <w:spacing w:line="360" w:lineRule="auto"/>
        <w:ind w:firstLine="708"/>
        <w:rPr>
          <w:lang w:val="en-US"/>
        </w:rPr>
      </w:pPr>
      <w:r w:rsidRPr="009627FD">
        <w:rPr>
          <w:lang w:val="en-US"/>
        </w:rPr>
        <w:t>Erlbaum.</w:t>
      </w:r>
    </w:p>
    <w:p w14:paraId="1673672F"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Cosci, F., &amp; Guidi, J. (2021). The role of illness behavior in the COVID-19 </w:t>
      </w:r>
    </w:p>
    <w:p w14:paraId="644A2235" w14:textId="77777777" w:rsidR="00A54959" w:rsidRPr="009627FD" w:rsidRDefault="00A54959" w:rsidP="00A54959">
      <w:pPr>
        <w:spacing w:line="360" w:lineRule="auto"/>
        <w:ind w:left="708"/>
        <w:rPr>
          <w:rStyle w:val="Hyperlink"/>
          <w:rFonts w:eastAsiaTheme="minorEastAsia"/>
          <w:u w:val="none"/>
          <w:lang w:val="en-US"/>
        </w:rPr>
      </w:pPr>
      <w:r w:rsidRPr="009627FD">
        <w:rPr>
          <w:shd w:val="clear" w:color="auto" w:fill="FFFFFF"/>
          <w:lang w:val="en-US"/>
        </w:rPr>
        <w:t>pandemic. </w:t>
      </w:r>
      <w:r w:rsidRPr="009627FD">
        <w:rPr>
          <w:i/>
          <w:shd w:val="clear" w:color="auto" w:fill="FFFFFF"/>
          <w:lang w:val="en-US"/>
        </w:rPr>
        <w:t>Psychotherapy and Psychosomatics, 90</w:t>
      </w:r>
      <w:r w:rsidRPr="009627FD">
        <w:rPr>
          <w:shd w:val="clear" w:color="auto" w:fill="FFFFFF"/>
          <w:lang w:val="en-US"/>
        </w:rPr>
        <w:t xml:space="preserve">(3), 156-159. </w:t>
      </w:r>
      <w:hyperlink r:id="rId25" w:history="1">
        <w:r w:rsidRPr="009627FD">
          <w:rPr>
            <w:rStyle w:val="Hyperlink"/>
            <w:rFonts w:eastAsiaTheme="minorEastAsia"/>
            <w:u w:val="none"/>
            <w:lang w:val="en-US"/>
          </w:rPr>
          <w:t>https://doi.org/10.1159/000513968</w:t>
        </w:r>
      </w:hyperlink>
    </w:p>
    <w:p w14:paraId="16A1A686" w14:textId="77777777" w:rsidR="00517F83" w:rsidRPr="009627FD" w:rsidRDefault="00983545" w:rsidP="00517F83">
      <w:pPr>
        <w:spacing w:line="360" w:lineRule="auto"/>
        <w:rPr>
          <w:shd w:val="clear" w:color="auto" w:fill="FFFFFF"/>
          <w:lang w:val="en-US"/>
        </w:rPr>
      </w:pPr>
      <w:r w:rsidRPr="009627FD">
        <w:rPr>
          <w:shd w:val="clear" w:color="auto" w:fill="FFFFFF"/>
          <w:lang w:val="en-US"/>
        </w:rPr>
        <w:t xml:space="preserve">Costello, A. B., &amp; Osborne, J. (2005). Best practices in exploratory factor analysis: Four </w:t>
      </w:r>
    </w:p>
    <w:p w14:paraId="6F1D7BC4" w14:textId="527E3360" w:rsidR="00517F83" w:rsidRPr="009627FD" w:rsidRDefault="00983545" w:rsidP="00517F83">
      <w:pPr>
        <w:spacing w:line="360" w:lineRule="auto"/>
        <w:ind w:left="708"/>
        <w:rPr>
          <w:shd w:val="clear" w:color="auto" w:fill="FFFFFF"/>
        </w:rPr>
      </w:pPr>
      <w:r w:rsidRPr="009627FD">
        <w:rPr>
          <w:shd w:val="clear" w:color="auto" w:fill="FFFFFF"/>
          <w:lang w:val="en-US"/>
        </w:rPr>
        <w:t xml:space="preserve">recommendations for getting the most from your analysis. </w:t>
      </w:r>
      <w:r w:rsidRPr="009627FD">
        <w:rPr>
          <w:i/>
          <w:shd w:val="clear" w:color="auto" w:fill="FFFFFF"/>
          <w:lang w:val="en-US"/>
        </w:rPr>
        <w:t>Practical assessment, research, and evaluation</w:t>
      </w:r>
      <w:r w:rsidRPr="009627FD">
        <w:rPr>
          <w:shd w:val="clear" w:color="auto" w:fill="FFFFFF"/>
          <w:lang w:val="en-US"/>
        </w:rPr>
        <w:t xml:space="preserve">, 10(1), </w:t>
      </w:r>
      <w:r w:rsidR="00517F83" w:rsidRPr="009627FD">
        <w:t>1-9</w:t>
      </w:r>
      <w:r w:rsidRPr="009627FD">
        <w:t>.</w:t>
      </w:r>
      <w:r w:rsidR="00517F83" w:rsidRPr="009627FD">
        <w:t xml:space="preserve"> </w:t>
      </w:r>
      <w:r w:rsidR="00517F83" w:rsidRPr="009627FD">
        <w:rPr>
          <w:rStyle w:val="Hyperlink"/>
          <w:rFonts w:eastAsiaTheme="minorEastAsia"/>
          <w:u w:val="none"/>
          <w:lang w:val="en-US"/>
        </w:rPr>
        <w:t>https://doi.org/10.7275/jyj1-4868</w:t>
      </w:r>
    </w:p>
    <w:p w14:paraId="0B0F2492" w14:textId="77777777" w:rsidR="00A54959" w:rsidRPr="009627FD" w:rsidRDefault="00A54959" w:rsidP="00A54959">
      <w:pPr>
        <w:spacing w:line="360" w:lineRule="auto"/>
        <w:rPr>
          <w:lang w:val="en-US"/>
        </w:rPr>
      </w:pPr>
      <w:r w:rsidRPr="009627FD">
        <w:rPr>
          <w:lang w:val="en-US"/>
        </w:rPr>
        <w:t xml:space="preserve">Conway, L. G., III, Woodard, S. R., &amp; Zubrod, A. (2020). Social psychological measurements of </w:t>
      </w:r>
    </w:p>
    <w:p w14:paraId="5EFABC4B" w14:textId="77777777" w:rsidR="00A54959" w:rsidRPr="009627FD" w:rsidRDefault="00A54959" w:rsidP="00A54959">
      <w:pPr>
        <w:spacing w:line="360" w:lineRule="auto"/>
        <w:ind w:left="708"/>
        <w:rPr>
          <w:lang w:val="en-US"/>
        </w:rPr>
      </w:pPr>
      <w:r w:rsidRPr="009627FD">
        <w:rPr>
          <w:lang w:val="en-US"/>
        </w:rPr>
        <w:t xml:space="preserve">COVID-19: Coronavirus perceived threat, government response, impacts, and experiences questionnaires. </w:t>
      </w:r>
      <w:r w:rsidRPr="009627FD">
        <w:rPr>
          <w:iCs/>
          <w:lang w:val="en-US"/>
        </w:rPr>
        <w:t xml:space="preserve">PsyArXiv. </w:t>
      </w:r>
      <w:hyperlink r:id="rId26" w:history="1">
        <w:r w:rsidRPr="009627FD">
          <w:rPr>
            <w:rStyle w:val="Hyperlink"/>
            <w:rFonts w:eastAsiaTheme="minorEastAsia"/>
            <w:u w:val="none"/>
            <w:lang w:val="en-US"/>
          </w:rPr>
          <w:t>https://doi.org/10.31234/osf.io/z2x9aDe</w:t>
        </w:r>
      </w:hyperlink>
      <w:r w:rsidRPr="009627FD">
        <w:rPr>
          <w:lang w:val="en-US"/>
        </w:rPr>
        <w:t xml:space="preserve"> </w:t>
      </w:r>
    </w:p>
    <w:p w14:paraId="54167F7B"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Cronbach, L. J. (1951). Coefficient alpha and the internal structure of tests. </w:t>
      </w:r>
      <w:r w:rsidRPr="009627FD">
        <w:rPr>
          <w:rFonts w:eastAsiaTheme="minorEastAsia"/>
          <w:i/>
          <w:iCs/>
          <w:lang w:val="en-US"/>
        </w:rPr>
        <w:t>Psychometrika, 16</w:t>
      </w:r>
      <w:r w:rsidRPr="009627FD">
        <w:rPr>
          <w:rFonts w:eastAsiaTheme="minorEastAsia"/>
          <w:lang w:val="en-US"/>
        </w:rPr>
        <w:t>, 297-</w:t>
      </w:r>
    </w:p>
    <w:p w14:paraId="7E2583A5" w14:textId="77777777" w:rsidR="00A54959" w:rsidRPr="009627FD" w:rsidRDefault="00A54959" w:rsidP="00A54959">
      <w:pPr>
        <w:widowControl w:val="0"/>
        <w:autoSpaceDE w:val="0"/>
        <w:autoSpaceDN w:val="0"/>
        <w:adjustRightInd w:val="0"/>
        <w:spacing w:line="360" w:lineRule="auto"/>
        <w:ind w:firstLine="708"/>
        <w:rPr>
          <w:rFonts w:eastAsiaTheme="minorEastAsia"/>
          <w:lang w:val="en-US"/>
        </w:rPr>
      </w:pPr>
      <w:r w:rsidRPr="009627FD">
        <w:rPr>
          <w:rFonts w:eastAsiaTheme="minorEastAsia"/>
          <w:lang w:val="en-US"/>
        </w:rPr>
        <w:t xml:space="preserve">334. </w:t>
      </w:r>
    </w:p>
    <w:p w14:paraId="00385BB6"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Davis, M., Gilbar, O., &amp; Padilla-Medina, D. M. (2021). Intimate partner violence victimization and </w:t>
      </w:r>
    </w:p>
    <w:p w14:paraId="0D2317E2" w14:textId="5A940D34"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perpetration among U.S. adults during the earliest stage of the COVID-19 Pandemic. </w:t>
      </w:r>
      <w:r w:rsidRPr="009627FD">
        <w:rPr>
          <w:rFonts w:eastAsiaTheme="minorEastAsia"/>
          <w:i/>
          <w:iCs/>
          <w:lang w:val="en-US"/>
        </w:rPr>
        <w:t>Violence and Victims, 36</w:t>
      </w:r>
      <w:r w:rsidRPr="009627FD">
        <w:rPr>
          <w:rFonts w:eastAsiaTheme="minorEastAsia"/>
          <w:lang w:val="en-US"/>
        </w:rPr>
        <w:t xml:space="preserve">(5), 583-603. </w:t>
      </w:r>
      <w:r w:rsidR="002474A6" w:rsidRPr="009627FD">
        <w:rPr>
          <w:rStyle w:val="Hyperlink"/>
          <w:u w:val="none"/>
          <w:lang w:val="en-US"/>
        </w:rPr>
        <w:t>https://doi.org/</w:t>
      </w:r>
      <w:r w:rsidRPr="009627FD">
        <w:rPr>
          <w:rStyle w:val="Hyperlink"/>
          <w:rFonts w:eastAsiaTheme="minorEastAsia"/>
          <w:u w:val="none"/>
          <w:lang w:val="en-US"/>
        </w:rPr>
        <w:t>10.1891/VV-D-21-00005</w:t>
      </w:r>
    </w:p>
    <w:p w14:paraId="692645AB" w14:textId="77777777" w:rsidR="009146A4" w:rsidRPr="009627FD" w:rsidRDefault="009146A4" w:rsidP="009146A4">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Duffy, B., &amp; Allington, D. (2020). The Trusting, the Dissenting and the Frustrated: how the UK is </w:t>
      </w:r>
    </w:p>
    <w:p w14:paraId="7C4B9F7D" w14:textId="77777777" w:rsidR="009146A4" w:rsidRPr="009627FD" w:rsidRDefault="009146A4" w:rsidP="009146A4">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dividing as lockdown is eased. Kings’ College London Policy Institute. https://www.kcl.ac.uk/policy-institute/assets/how-the-uk-is- dividing-as-the-lockdown-is-eased.pdf</w:t>
      </w:r>
    </w:p>
    <w:p w14:paraId="1657E683"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Dugas, M. J., Freeston, M. H., &amp; Ladouceur, R. (1997). Intolerance of uncertainty and problem </w:t>
      </w:r>
    </w:p>
    <w:p w14:paraId="4532F44A"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orientation in worry. </w:t>
      </w:r>
      <w:r w:rsidRPr="009627FD">
        <w:rPr>
          <w:rFonts w:eastAsiaTheme="minorEastAsia"/>
          <w:i/>
          <w:iCs/>
          <w:lang w:val="en-US"/>
        </w:rPr>
        <w:t>Cognitive Therapy and Research, 21</w:t>
      </w:r>
      <w:r w:rsidRPr="009627FD">
        <w:rPr>
          <w:rFonts w:eastAsiaTheme="minorEastAsia"/>
          <w:lang w:val="en-US"/>
        </w:rPr>
        <w:t xml:space="preserve">(6), 593–606. </w:t>
      </w:r>
      <w:hyperlink r:id="rId27" w:history="1">
        <w:r w:rsidRPr="009627FD">
          <w:rPr>
            <w:rStyle w:val="Hyperlink"/>
            <w:u w:val="none"/>
            <w:lang w:val="en-US"/>
          </w:rPr>
          <w:t>https://doi.org/10.1023/A:1021890322153</w:t>
        </w:r>
      </w:hyperlink>
    </w:p>
    <w:p w14:paraId="4ED29B21"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Dugas, M. J., Gosselin, P., &amp; Ladouceur, R. (2001). Intolerance of uncertainty and worry: </w:t>
      </w:r>
    </w:p>
    <w:p w14:paraId="009613DD"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Investigating specificity in a nonclinical sample. </w:t>
      </w:r>
      <w:r w:rsidRPr="009627FD">
        <w:rPr>
          <w:rFonts w:eastAsiaTheme="minorEastAsia"/>
          <w:i/>
          <w:iCs/>
          <w:lang w:val="en-US"/>
        </w:rPr>
        <w:t>Cognitive Therapy and Research, 25</w:t>
      </w:r>
      <w:r w:rsidRPr="009627FD">
        <w:rPr>
          <w:rFonts w:eastAsiaTheme="minorEastAsia"/>
          <w:lang w:val="en-US"/>
        </w:rPr>
        <w:t xml:space="preserve">(5), </w:t>
      </w:r>
    </w:p>
    <w:p w14:paraId="1884B4B8"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551–558. </w:t>
      </w:r>
      <w:hyperlink r:id="rId28" w:history="1">
        <w:r w:rsidRPr="009627FD">
          <w:rPr>
            <w:rStyle w:val="Hyperlink"/>
            <w:u w:val="none"/>
            <w:lang w:val="en-US"/>
          </w:rPr>
          <w:t>https://doi.org/10.1023/A:1005553414688</w:t>
        </w:r>
      </w:hyperlink>
    </w:p>
    <w:p w14:paraId="3615A97F" w14:textId="77777777" w:rsidR="00A54959" w:rsidRPr="009627FD" w:rsidRDefault="00A54959" w:rsidP="00A54959">
      <w:pPr>
        <w:spacing w:line="360" w:lineRule="auto"/>
        <w:rPr>
          <w:i/>
          <w:shd w:val="clear" w:color="auto" w:fill="FFFFFF"/>
          <w:lang w:val="en-US"/>
        </w:rPr>
      </w:pPr>
      <w:r w:rsidRPr="009627FD">
        <w:rPr>
          <w:shd w:val="clear" w:color="auto" w:fill="FFFFFF"/>
          <w:lang w:val="en-US"/>
        </w:rPr>
        <w:t>Emmelkamp, P. M. (2021). Psychological consequences of COVID-19. </w:t>
      </w:r>
      <w:r w:rsidRPr="009627FD">
        <w:rPr>
          <w:i/>
          <w:shd w:val="clear" w:color="auto" w:fill="FFFFFF"/>
          <w:lang w:val="en-US"/>
        </w:rPr>
        <w:t xml:space="preserve">Clinical Psychology &amp; </w:t>
      </w:r>
    </w:p>
    <w:p w14:paraId="78144A62" w14:textId="77777777" w:rsidR="00A54959" w:rsidRPr="009627FD" w:rsidRDefault="00A54959" w:rsidP="00A54959">
      <w:pPr>
        <w:spacing w:line="360" w:lineRule="auto"/>
        <w:ind w:firstLine="708"/>
        <w:rPr>
          <w:lang w:val="en-US"/>
        </w:rPr>
      </w:pPr>
      <w:r w:rsidRPr="009627FD">
        <w:rPr>
          <w:i/>
          <w:shd w:val="clear" w:color="auto" w:fill="FFFFFF"/>
          <w:lang w:val="en-US"/>
        </w:rPr>
        <w:t>Psychotherapy, 28</w:t>
      </w:r>
      <w:r w:rsidRPr="009627FD">
        <w:rPr>
          <w:shd w:val="clear" w:color="auto" w:fill="FFFFFF"/>
          <w:lang w:val="en-US"/>
        </w:rPr>
        <w:t xml:space="preserve">(6), 1315-1316. </w:t>
      </w:r>
      <w:hyperlink r:id="rId29" w:history="1">
        <w:r w:rsidRPr="009627FD">
          <w:rPr>
            <w:rStyle w:val="Hyperlink"/>
            <w:u w:val="none"/>
            <w:lang w:val="en-US"/>
          </w:rPr>
          <w:t>https://doi.org/10.1002/cpp.2701</w:t>
        </w:r>
      </w:hyperlink>
    </w:p>
    <w:p w14:paraId="124E6450" w14:textId="77777777" w:rsidR="005B1143" w:rsidRPr="009627FD" w:rsidRDefault="005B1143"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Fornell, C., &amp; Larcker, D. F. (1981). Evaluating structural equation models with unobservable </w:t>
      </w:r>
    </w:p>
    <w:p w14:paraId="3EB66318" w14:textId="77777777" w:rsidR="005B1143" w:rsidRPr="009627FD" w:rsidRDefault="005B1143" w:rsidP="005B1143">
      <w:pPr>
        <w:widowControl w:val="0"/>
        <w:autoSpaceDE w:val="0"/>
        <w:autoSpaceDN w:val="0"/>
        <w:adjustRightInd w:val="0"/>
        <w:spacing w:line="360" w:lineRule="auto"/>
        <w:ind w:firstLine="708"/>
        <w:rPr>
          <w:rFonts w:eastAsiaTheme="minorEastAsia"/>
          <w:lang w:val="en-US"/>
        </w:rPr>
      </w:pPr>
      <w:r w:rsidRPr="009627FD">
        <w:rPr>
          <w:rFonts w:eastAsiaTheme="minorEastAsia"/>
          <w:lang w:val="en-US"/>
        </w:rPr>
        <w:t xml:space="preserve">variables and measurement error. </w:t>
      </w:r>
      <w:r w:rsidRPr="009627FD">
        <w:rPr>
          <w:rFonts w:eastAsiaTheme="minorEastAsia"/>
          <w:i/>
          <w:lang w:val="en-US"/>
        </w:rPr>
        <w:t>Journal of Marketing Research</w:t>
      </w:r>
      <w:r w:rsidRPr="009627FD">
        <w:rPr>
          <w:rFonts w:eastAsiaTheme="minorEastAsia"/>
          <w:lang w:val="en-US"/>
        </w:rPr>
        <w:t xml:space="preserve">, 18, 39-50. </w:t>
      </w:r>
    </w:p>
    <w:p w14:paraId="3888687C" w14:textId="7604764B" w:rsidR="005B1143" w:rsidRPr="009627FD" w:rsidRDefault="005B1143" w:rsidP="005B1143">
      <w:pPr>
        <w:widowControl w:val="0"/>
        <w:autoSpaceDE w:val="0"/>
        <w:autoSpaceDN w:val="0"/>
        <w:adjustRightInd w:val="0"/>
        <w:spacing w:line="360" w:lineRule="auto"/>
        <w:ind w:firstLine="708"/>
        <w:rPr>
          <w:rFonts w:eastAsiaTheme="minorEastAsia"/>
          <w:lang w:val="en-US"/>
        </w:rPr>
      </w:pPr>
      <w:r w:rsidRPr="009627FD">
        <w:rPr>
          <w:rStyle w:val="Hyperlink"/>
          <w:u w:val="none"/>
          <w:lang w:val="en-US"/>
        </w:rPr>
        <w:t>https://doi.org/10.2307/3151312</w:t>
      </w:r>
    </w:p>
    <w:p w14:paraId="7FE05DEB" w14:textId="77777777" w:rsidR="00743ED1" w:rsidRDefault="00743ED1" w:rsidP="00A54959">
      <w:pPr>
        <w:widowControl w:val="0"/>
        <w:autoSpaceDE w:val="0"/>
        <w:autoSpaceDN w:val="0"/>
        <w:adjustRightInd w:val="0"/>
        <w:spacing w:line="360" w:lineRule="auto"/>
        <w:rPr>
          <w:rFonts w:eastAsiaTheme="minorEastAsia"/>
          <w:lang w:val="en-US"/>
        </w:rPr>
      </w:pPr>
    </w:p>
    <w:p w14:paraId="485D0CEA" w14:textId="16095A78" w:rsidR="00DB52F2" w:rsidRPr="009627FD" w:rsidRDefault="00DB52F2"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lastRenderedPageBreak/>
        <w:t xml:space="preserve">Field, A. (2013). </w:t>
      </w:r>
      <w:r w:rsidRPr="009627FD">
        <w:rPr>
          <w:rFonts w:eastAsiaTheme="minorEastAsia"/>
          <w:i/>
          <w:lang w:val="en-US"/>
        </w:rPr>
        <w:t>Discovering statistics using IBM SPSS statistics</w:t>
      </w:r>
      <w:r w:rsidR="005A0204" w:rsidRPr="009627FD">
        <w:rPr>
          <w:rFonts w:eastAsiaTheme="minorEastAsia"/>
          <w:i/>
          <w:lang w:val="en-US"/>
        </w:rPr>
        <w:t xml:space="preserve"> </w:t>
      </w:r>
      <w:r w:rsidR="005A0204" w:rsidRPr="009627FD">
        <w:rPr>
          <w:rFonts w:eastAsiaTheme="minorEastAsia"/>
          <w:lang w:val="en-US"/>
        </w:rPr>
        <w:t>(4th ed)</w:t>
      </w:r>
      <w:r w:rsidRPr="009627FD">
        <w:rPr>
          <w:rFonts w:eastAsiaTheme="minorEastAsia"/>
          <w:lang w:val="en-US"/>
        </w:rPr>
        <w:t>. Sage</w:t>
      </w:r>
      <w:r w:rsidR="005A0204" w:rsidRPr="009627FD">
        <w:rPr>
          <w:rFonts w:eastAsiaTheme="minorEastAsia"/>
          <w:lang w:val="en-US"/>
        </w:rPr>
        <w:t>: London</w:t>
      </w:r>
      <w:r w:rsidRPr="009627FD">
        <w:rPr>
          <w:rFonts w:eastAsiaTheme="minorEastAsia"/>
          <w:lang w:val="en-US"/>
        </w:rPr>
        <w:t>.</w:t>
      </w:r>
    </w:p>
    <w:p w14:paraId="3D7680A5"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Fitzpatrick, K. M., Drawve, G., Harris, C. (2020). Facing new fears during the COVID-19 </w:t>
      </w:r>
    </w:p>
    <w:p w14:paraId="06321B47"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pandemic: The State of America’s mental health. </w:t>
      </w:r>
      <w:r w:rsidRPr="009627FD">
        <w:rPr>
          <w:rFonts w:eastAsiaTheme="minorEastAsia"/>
          <w:i/>
          <w:iCs/>
          <w:lang w:val="en-US"/>
        </w:rPr>
        <w:t>Journal of Anxiety Disorders, 75,</w:t>
      </w:r>
      <w:r w:rsidRPr="009627FD">
        <w:rPr>
          <w:rFonts w:eastAsiaTheme="minorEastAsia"/>
          <w:lang w:val="en-US"/>
        </w:rPr>
        <w:t xml:space="preserve"> 102291. </w:t>
      </w:r>
      <w:hyperlink r:id="rId30" w:history="1">
        <w:r w:rsidRPr="009627FD">
          <w:rPr>
            <w:rStyle w:val="Hyperlink"/>
            <w:u w:val="none"/>
            <w:lang w:val="en-US"/>
          </w:rPr>
          <w:t>https://doi.org/10.1016/j.janxdis.2020.102291</w:t>
        </w:r>
      </w:hyperlink>
    </w:p>
    <w:p w14:paraId="4B4D2465" w14:textId="77777777" w:rsidR="00A54959" w:rsidRPr="009627FD" w:rsidRDefault="00A54959" w:rsidP="00A54959">
      <w:pPr>
        <w:widowControl w:val="0"/>
        <w:autoSpaceDE w:val="0"/>
        <w:autoSpaceDN w:val="0"/>
        <w:adjustRightInd w:val="0"/>
        <w:spacing w:line="360" w:lineRule="auto"/>
      </w:pPr>
      <w:r w:rsidRPr="009627FD">
        <w:rPr>
          <w:lang w:val="en-US"/>
        </w:rPr>
        <w:t xml:space="preserve">Gravetter, F.J., Wallnau, L.B. (2016) </w:t>
      </w:r>
      <w:r w:rsidRPr="009627FD">
        <w:rPr>
          <w:i/>
          <w:iCs/>
          <w:lang w:val="en-US"/>
        </w:rPr>
        <w:t>Statistics for the behavioral sciences</w:t>
      </w:r>
      <w:r w:rsidRPr="009627FD">
        <w:rPr>
          <w:lang w:val="en-US"/>
        </w:rPr>
        <w:t xml:space="preserve">. </w:t>
      </w:r>
      <w:r w:rsidRPr="009627FD">
        <w:t xml:space="preserve">Boston: Cengage </w:t>
      </w:r>
    </w:p>
    <w:p w14:paraId="697A19F8" w14:textId="77777777" w:rsidR="00A54959" w:rsidRPr="009627FD" w:rsidRDefault="00A54959" w:rsidP="00A54959">
      <w:pPr>
        <w:widowControl w:val="0"/>
        <w:autoSpaceDE w:val="0"/>
        <w:autoSpaceDN w:val="0"/>
        <w:adjustRightInd w:val="0"/>
        <w:spacing w:line="360" w:lineRule="auto"/>
        <w:ind w:firstLine="708"/>
      </w:pPr>
      <w:r w:rsidRPr="009627FD">
        <w:t xml:space="preserve">Learning. </w:t>
      </w:r>
    </w:p>
    <w:p w14:paraId="0C4332C9" w14:textId="77777777" w:rsidR="00A54959" w:rsidRPr="009627FD" w:rsidRDefault="00A54959" w:rsidP="00A54959">
      <w:pPr>
        <w:widowControl w:val="0"/>
        <w:autoSpaceDE w:val="0"/>
        <w:autoSpaceDN w:val="0"/>
        <w:adjustRightInd w:val="0"/>
        <w:spacing w:line="360" w:lineRule="auto"/>
        <w:rPr>
          <w:lang w:val="en-US"/>
        </w:rPr>
      </w:pPr>
      <w:r w:rsidRPr="009627FD">
        <w:t xml:space="preserve">Guido, G., Peluso, A. M., Capestro, M., &amp; Miglietta, M. (2015). </w:t>
      </w:r>
      <w:r w:rsidRPr="009627FD">
        <w:rPr>
          <w:lang w:val="en-US"/>
        </w:rPr>
        <w:t xml:space="preserve">An Italian version of the 10-item </w:t>
      </w:r>
    </w:p>
    <w:p w14:paraId="09000DE2" w14:textId="77777777" w:rsidR="00A54959" w:rsidRPr="009627FD" w:rsidRDefault="00A54959" w:rsidP="00A54959">
      <w:pPr>
        <w:widowControl w:val="0"/>
        <w:autoSpaceDE w:val="0"/>
        <w:autoSpaceDN w:val="0"/>
        <w:adjustRightInd w:val="0"/>
        <w:spacing w:line="360" w:lineRule="auto"/>
        <w:ind w:left="708"/>
        <w:rPr>
          <w:lang w:val="en-US"/>
        </w:rPr>
      </w:pPr>
      <w:r w:rsidRPr="009627FD">
        <w:rPr>
          <w:lang w:val="en-US"/>
        </w:rPr>
        <w:t xml:space="preserve">Big Five Inventory: An application to hedonic and utilitarian shopping values. </w:t>
      </w:r>
      <w:r w:rsidRPr="009627FD">
        <w:rPr>
          <w:i/>
          <w:iCs/>
          <w:lang w:val="en-US"/>
        </w:rPr>
        <w:t>Personality and Individual Differences, 76,</w:t>
      </w:r>
      <w:r w:rsidRPr="009627FD">
        <w:rPr>
          <w:lang w:val="en-US"/>
        </w:rPr>
        <w:t xml:space="preserve"> 135–140. </w:t>
      </w:r>
      <w:hyperlink r:id="rId31" w:history="1">
        <w:r w:rsidRPr="009627FD">
          <w:rPr>
            <w:rStyle w:val="Hyperlink"/>
            <w:u w:val="none"/>
            <w:lang w:val="en-US"/>
          </w:rPr>
          <w:t>https://doi.org/10.1016/j.paid.2014.11.053</w:t>
        </w:r>
      </w:hyperlink>
    </w:p>
    <w:p w14:paraId="1606A9C9" w14:textId="5A07EE30" w:rsidR="005B1143" w:rsidRPr="009627FD" w:rsidRDefault="005B1143" w:rsidP="00A54959">
      <w:pPr>
        <w:widowControl w:val="0"/>
        <w:autoSpaceDE w:val="0"/>
        <w:autoSpaceDN w:val="0"/>
        <w:adjustRightInd w:val="0"/>
        <w:spacing w:line="360" w:lineRule="auto"/>
        <w:rPr>
          <w:noProof/>
          <w:lang w:val="en-US"/>
        </w:rPr>
      </w:pPr>
      <w:r w:rsidRPr="009627FD">
        <w:rPr>
          <w:noProof/>
          <w:lang w:val="en-US"/>
        </w:rPr>
        <w:t xml:space="preserve">Hair, J., Black, W., Babin, B., and Anderson, R. (2010). </w:t>
      </w:r>
      <w:r w:rsidRPr="009627FD">
        <w:rPr>
          <w:i/>
          <w:noProof/>
          <w:lang w:val="en-US"/>
        </w:rPr>
        <w:t xml:space="preserve">Multivariate data analysis </w:t>
      </w:r>
      <w:r w:rsidRPr="009627FD">
        <w:rPr>
          <w:noProof/>
          <w:lang w:val="en-US"/>
        </w:rPr>
        <w:t xml:space="preserve">(7th ed.). </w:t>
      </w:r>
    </w:p>
    <w:p w14:paraId="08AD5291" w14:textId="5FE11C5E" w:rsidR="005B1143" w:rsidRPr="009627FD" w:rsidRDefault="005B1143" w:rsidP="005B1143">
      <w:pPr>
        <w:widowControl w:val="0"/>
        <w:autoSpaceDE w:val="0"/>
        <w:autoSpaceDN w:val="0"/>
        <w:adjustRightInd w:val="0"/>
        <w:spacing w:line="360" w:lineRule="auto"/>
        <w:ind w:firstLine="708"/>
        <w:rPr>
          <w:noProof/>
          <w:lang w:val="en-US"/>
        </w:rPr>
      </w:pPr>
      <w:r w:rsidRPr="009627FD">
        <w:rPr>
          <w:noProof/>
          <w:lang w:val="en-US"/>
        </w:rPr>
        <w:t>Prentice-Hall, Inc. Upper Saddle River, NJ</w:t>
      </w:r>
      <w:r w:rsidR="005A0204" w:rsidRPr="009627FD">
        <w:rPr>
          <w:noProof/>
          <w:lang w:val="en-US"/>
        </w:rPr>
        <w:t>:</w:t>
      </w:r>
      <w:r w:rsidRPr="009627FD">
        <w:rPr>
          <w:noProof/>
          <w:lang w:val="en-US"/>
        </w:rPr>
        <w:t xml:space="preserve"> USA.</w:t>
      </w:r>
    </w:p>
    <w:p w14:paraId="52F4AB50" w14:textId="77777777" w:rsidR="005B1143" w:rsidRPr="009627FD" w:rsidRDefault="005B1143" w:rsidP="005B1143">
      <w:pPr>
        <w:widowControl w:val="0"/>
        <w:autoSpaceDE w:val="0"/>
        <w:autoSpaceDN w:val="0"/>
        <w:adjustRightInd w:val="0"/>
        <w:spacing w:line="360" w:lineRule="auto"/>
        <w:rPr>
          <w:i/>
          <w:shd w:val="clear" w:color="auto" w:fill="FFFFFF"/>
          <w:lang w:val="en-GB"/>
        </w:rPr>
      </w:pPr>
      <w:r w:rsidRPr="009627FD">
        <w:rPr>
          <w:shd w:val="clear" w:color="auto" w:fill="FFFFFF"/>
          <w:lang w:val="en-GB"/>
        </w:rPr>
        <w:t xml:space="preserve">Hair Jr., J. F., Anderson, R. E., Tatham, R. L., &amp; Black, W. C. (1998). </w:t>
      </w:r>
      <w:r w:rsidRPr="009627FD">
        <w:rPr>
          <w:i/>
          <w:shd w:val="clear" w:color="auto" w:fill="FFFFFF"/>
          <w:lang w:val="en-GB"/>
        </w:rPr>
        <w:t xml:space="preserve">Multivariate Data Analysis </w:t>
      </w:r>
    </w:p>
    <w:p w14:paraId="3D6494CD" w14:textId="3B52C27B" w:rsidR="005B1143" w:rsidRPr="009627FD" w:rsidRDefault="005B1143" w:rsidP="005B1143">
      <w:pPr>
        <w:widowControl w:val="0"/>
        <w:autoSpaceDE w:val="0"/>
        <w:autoSpaceDN w:val="0"/>
        <w:adjustRightInd w:val="0"/>
        <w:spacing w:line="360" w:lineRule="auto"/>
        <w:ind w:firstLine="708"/>
        <w:rPr>
          <w:noProof/>
          <w:lang w:val="en-US"/>
        </w:rPr>
      </w:pPr>
      <w:r w:rsidRPr="009627FD">
        <w:rPr>
          <w:shd w:val="clear" w:color="auto" w:fill="FFFFFF"/>
          <w:lang w:val="en-GB"/>
        </w:rPr>
        <w:t xml:space="preserve">(5th ed.). </w:t>
      </w:r>
      <w:r w:rsidR="005A0204" w:rsidRPr="009627FD">
        <w:rPr>
          <w:shd w:val="clear" w:color="auto" w:fill="FFFFFF"/>
          <w:lang w:val="en-GB"/>
        </w:rPr>
        <w:t xml:space="preserve">Prentice Hall, </w:t>
      </w:r>
      <w:r w:rsidRPr="009627FD">
        <w:rPr>
          <w:shd w:val="clear" w:color="auto" w:fill="FFFFFF"/>
          <w:lang w:val="en-GB"/>
        </w:rPr>
        <w:t>Englewood Cliffs, NJ:</w:t>
      </w:r>
      <w:r w:rsidR="005A0204" w:rsidRPr="009627FD">
        <w:rPr>
          <w:shd w:val="clear" w:color="auto" w:fill="FFFFFF"/>
          <w:lang w:val="en-GB"/>
        </w:rPr>
        <w:t xml:space="preserve"> USA.</w:t>
      </w:r>
      <w:r w:rsidRPr="009627FD">
        <w:rPr>
          <w:shd w:val="clear" w:color="auto" w:fill="FFFFFF"/>
          <w:lang w:val="en-GB"/>
        </w:rPr>
        <w:t xml:space="preserve"> </w:t>
      </w:r>
    </w:p>
    <w:p w14:paraId="622147CE" w14:textId="77777777" w:rsidR="00A54959" w:rsidRPr="009627FD" w:rsidRDefault="00A54959" w:rsidP="00A54959">
      <w:pPr>
        <w:widowControl w:val="0"/>
        <w:autoSpaceDE w:val="0"/>
        <w:autoSpaceDN w:val="0"/>
        <w:adjustRightInd w:val="0"/>
        <w:spacing w:line="360" w:lineRule="auto"/>
        <w:rPr>
          <w:noProof/>
          <w:lang w:val="en-US"/>
        </w:rPr>
      </w:pPr>
      <w:r w:rsidRPr="009627FD">
        <w:rPr>
          <w:noProof/>
          <w:lang w:val="en-US"/>
        </w:rPr>
        <w:t xml:space="preserve">Håkansson, A., &amp; Claesdotter, E. (2021). Fear of COVID-19, compliance with recommendations </w:t>
      </w:r>
    </w:p>
    <w:p w14:paraId="31CC8639" w14:textId="77777777" w:rsidR="00A54959" w:rsidRPr="009627FD" w:rsidRDefault="00A54959" w:rsidP="00A54959">
      <w:pPr>
        <w:widowControl w:val="0"/>
        <w:autoSpaceDE w:val="0"/>
        <w:autoSpaceDN w:val="0"/>
        <w:adjustRightInd w:val="0"/>
        <w:spacing w:line="360" w:lineRule="auto"/>
        <w:ind w:left="708"/>
        <w:rPr>
          <w:rStyle w:val="Hyperlink"/>
          <w:u w:val="none"/>
          <w:lang w:val="en-US"/>
        </w:rPr>
      </w:pPr>
      <w:r w:rsidRPr="009627FD">
        <w:rPr>
          <w:noProof/>
          <w:lang w:val="en-US"/>
        </w:rPr>
        <w:t>against virus transmission, and attitudes towards vaccination in Sweden. </w:t>
      </w:r>
      <w:r w:rsidRPr="009627FD">
        <w:rPr>
          <w:i/>
          <w:iCs/>
          <w:noProof/>
          <w:lang w:val="en-US"/>
        </w:rPr>
        <w:t>Heliyon</w:t>
      </w:r>
      <w:r w:rsidRPr="009627FD">
        <w:rPr>
          <w:noProof/>
          <w:lang w:val="en-US"/>
        </w:rPr>
        <w:t xml:space="preserve">, e08699. </w:t>
      </w:r>
      <w:hyperlink r:id="rId32" w:history="1">
        <w:r w:rsidRPr="009627FD">
          <w:rPr>
            <w:rStyle w:val="Hyperlink"/>
            <w:u w:val="none"/>
            <w:lang w:val="en-US"/>
          </w:rPr>
          <w:t>https://doi.org/10.1016/j.heliyon.2021.e08699</w:t>
        </w:r>
      </w:hyperlink>
    </w:p>
    <w:p w14:paraId="7A7D9C3B" w14:textId="77777777" w:rsidR="00517F83" w:rsidRPr="009627FD" w:rsidRDefault="00517F83" w:rsidP="00517F83">
      <w:pPr>
        <w:widowControl w:val="0"/>
        <w:autoSpaceDE w:val="0"/>
        <w:autoSpaceDN w:val="0"/>
        <w:adjustRightInd w:val="0"/>
        <w:spacing w:line="360" w:lineRule="auto"/>
        <w:rPr>
          <w:noProof/>
        </w:rPr>
      </w:pPr>
      <w:r w:rsidRPr="009627FD">
        <w:rPr>
          <w:noProof/>
        </w:rPr>
        <w:t xml:space="preserve">Horn, J.L. (1965) A rationale and test for the number of factors in  factor analysis. </w:t>
      </w:r>
      <w:r w:rsidRPr="009627FD">
        <w:rPr>
          <w:i/>
          <w:noProof/>
        </w:rPr>
        <w:t>Psychometrika,</w:t>
      </w:r>
      <w:r w:rsidRPr="009627FD">
        <w:rPr>
          <w:noProof/>
        </w:rPr>
        <w:t xml:space="preserve"> </w:t>
      </w:r>
    </w:p>
    <w:p w14:paraId="1D2D1976" w14:textId="215E58F3" w:rsidR="00517F83" w:rsidRPr="009627FD" w:rsidRDefault="00517F83" w:rsidP="00517F83">
      <w:pPr>
        <w:widowControl w:val="0"/>
        <w:autoSpaceDE w:val="0"/>
        <w:autoSpaceDN w:val="0"/>
        <w:adjustRightInd w:val="0"/>
        <w:spacing w:line="360" w:lineRule="auto"/>
        <w:ind w:firstLine="708"/>
        <w:rPr>
          <w:noProof/>
        </w:rPr>
      </w:pPr>
      <w:r w:rsidRPr="009627FD">
        <w:rPr>
          <w:noProof/>
        </w:rPr>
        <w:t>30,179–85. </w:t>
      </w:r>
      <w:r w:rsidRPr="009627FD">
        <w:t xml:space="preserve"> </w:t>
      </w:r>
      <w:r w:rsidRPr="009627FD">
        <w:rPr>
          <w:rStyle w:val="Hyperlink"/>
          <w:u w:val="none"/>
          <w:lang w:val="en-US"/>
        </w:rPr>
        <w:t>https://doi.org/10.1007/BF02289447</w:t>
      </w:r>
    </w:p>
    <w:p w14:paraId="29C49CE0" w14:textId="77777777" w:rsidR="00A54959" w:rsidRPr="009627FD" w:rsidRDefault="00A54959" w:rsidP="00A54959">
      <w:pPr>
        <w:spacing w:line="360" w:lineRule="auto"/>
        <w:rPr>
          <w:noProof/>
          <w:lang w:val="en-US"/>
        </w:rPr>
      </w:pPr>
      <w:r w:rsidRPr="009627FD">
        <w:rPr>
          <w:noProof/>
          <w:lang w:val="en-US"/>
        </w:rPr>
        <w:t xml:space="preserve">Hu, L. T., &amp; Bentler, P. M. (1999). Cutoff criteria for fit indexes in covariance structure analysis: </w:t>
      </w:r>
    </w:p>
    <w:p w14:paraId="76C3047B" w14:textId="77777777" w:rsidR="00A54959" w:rsidRPr="009627FD" w:rsidRDefault="00A54959" w:rsidP="00A54959">
      <w:pPr>
        <w:spacing w:line="360" w:lineRule="auto"/>
        <w:ind w:left="708"/>
        <w:rPr>
          <w:noProof/>
          <w:lang w:val="en-US"/>
        </w:rPr>
      </w:pPr>
      <w:r w:rsidRPr="009627FD">
        <w:rPr>
          <w:noProof/>
          <w:lang w:val="en-US"/>
        </w:rPr>
        <w:t>Conventional criteria versus new alternatives. Structural equation modeling: a multidisciplinary journal, 6(1), 1-55.</w:t>
      </w:r>
      <w:r w:rsidRPr="009627FD">
        <w:rPr>
          <w:rFonts w:ascii="Open Sans" w:hAnsi="Open Sans" w:cs="Open Sans"/>
          <w:sz w:val="20"/>
          <w:szCs w:val="20"/>
          <w:lang w:val="en-US"/>
        </w:rPr>
        <w:t xml:space="preserve"> </w:t>
      </w:r>
      <w:hyperlink r:id="rId33" w:history="1">
        <w:r w:rsidRPr="009627FD">
          <w:rPr>
            <w:rStyle w:val="Hyperlink"/>
            <w:u w:val="none"/>
            <w:lang w:val="en-US"/>
          </w:rPr>
          <w:t>https://doi.org/10.1080/10705519909540118</w:t>
        </w:r>
      </w:hyperlink>
    </w:p>
    <w:p w14:paraId="516AF964" w14:textId="77777777" w:rsidR="00A54959" w:rsidRPr="009627FD" w:rsidRDefault="00A54959" w:rsidP="00A54959">
      <w:pPr>
        <w:widowControl w:val="0"/>
        <w:autoSpaceDE w:val="0"/>
        <w:autoSpaceDN w:val="0"/>
        <w:adjustRightInd w:val="0"/>
        <w:spacing w:line="360" w:lineRule="auto"/>
        <w:rPr>
          <w:iCs/>
          <w:lang w:val="en-US"/>
        </w:rPr>
      </w:pPr>
      <w:r w:rsidRPr="009627FD">
        <w:rPr>
          <w:iCs/>
          <w:lang w:val="en-US"/>
        </w:rPr>
        <w:t xml:space="preserve">Jӧreskog, K.G., &amp; Sӧrbom, D. (1996). </w:t>
      </w:r>
      <w:r w:rsidRPr="009627FD">
        <w:rPr>
          <w:i/>
          <w:lang w:val="en-US"/>
        </w:rPr>
        <w:t>LISREL 8: User’s reference guide</w:t>
      </w:r>
      <w:r w:rsidRPr="009627FD">
        <w:rPr>
          <w:iCs/>
          <w:lang w:val="en-US"/>
        </w:rPr>
        <w:t xml:space="preserve">. Chicago: Scientific </w:t>
      </w:r>
    </w:p>
    <w:p w14:paraId="0FEE54FC" w14:textId="77777777" w:rsidR="00A54959" w:rsidRPr="009627FD" w:rsidRDefault="00A54959" w:rsidP="00A54959">
      <w:pPr>
        <w:widowControl w:val="0"/>
        <w:autoSpaceDE w:val="0"/>
        <w:autoSpaceDN w:val="0"/>
        <w:adjustRightInd w:val="0"/>
        <w:spacing w:line="360" w:lineRule="auto"/>
        <w:ind w:firstLine="708"/>
        <w:rPr>
          <w:iCs/>
          <w:lang w:val="en-US"/>
        </w:rPr>
      </w:pPr>
      <w:r w:rsidRPr="009627FD">
        <w:rPr>
          <w:iCs/>
          <w:lang w:val="en-US"/>
        </w:rPr>
        <w:t>Software International.</w:t>
      </w:r>
    </w:p>
    <w:p w14:paraId="453F115A" w14:textId="77777777" w:rsidR="00A54959" w:rsidRPr="009627FD" w:rsidRDefault="00A54959" w:rsidP="00A54959">
      <w:pPr>
        <w:widowControl w:val="0"/>
        <w:autoSpaceDE w:val="0"/>
        <w:autoSpaceDN w:val="0"/>
        <w:adjustRightInd w:val="0"/>
        <w:spacing w:line="360" w:lineRule="auto"/>
        <w:rPr>
          <w:lang w:val="en-US"/>
        </w:rPr>
      </w:pPr>
      <w:r w:rsidRPr="009627FD">
        <w:rPr>
          <w:lang w:val="en-US"/>
        </w:rPr>
        <w:t xml:space="preserve">Jylhä, P., &amp; Isometsä, E. (2006). The relationship of neuroticism and extraversion to symptoms of </w:t>
      </w:r>
    </w:p>
    <w:p w14:paraId="1F898051" w14:textId="77777777" w:rsidR="00A54959" w:rsidRPr="009627FD" w:rsidRDefault="00A54959" w:rsidP="00A54959">
      <w:pPr>
        <w:widowControl w:val="0"/>
        <w:autoSpaceDE w:val="0"/>
        <w:autoSpaceDN w:val="0"/>
        <w:adjustRightInd w:val="0"/>
        <w:spacing w:line="360" w:lineRule="auto"/>
        <w:ind w:firstLine="708"/>
        <w:rPr>
          <w:lang w:val="en-US"/>
        </w:rPr>
      </w:pPr>
      <w:r w:rsidRPr="009627FD">
        <w:rPr>
          <w:lang w:val="en-US"/>
        </w:rPr>
        <w:t>anxiety and depression in the general population. </w:t>
      </w:r>
      <w:r w:rsidRPr="009627FD">
        <w:rPr>
          <w:i/>
          <w:iCs/>
          <w:lang w:val="en-US"/>
        </w:rPr>
        <w:t>Depression and anxiety</w:t>
      </w:r>
      <w:r w:rsidRPr="009627FD">
        <w:rPr>
          <w:lang w:val="en-US"/>
        </w:rPr>
        <w:t>, </w:t>
      </w:r>
      <w:r w:rsidRPr="009627FD">
        <w:rPr>
          <w:i/>
          <w:iCs/>
          <w:lang w:val="en-US"/>
        </w:rPr>
        <w:t>23</w:t>
      </w:r>
      <w:r w:rsidRPr="009627FD">
        <w:rPr>
          <w:lang w:val="en-US"/>
        </w:rPr>
        <w:t>(5), 281-289.</w:t>
      </w:r>
    </w:p>
    <w:p w14:paraId="790C5600" w14:textId="77777777" w:rsidR="00A54959" w:rsidRPr="009627FD" w:rsidRDefault="005D691B" w:rsidP="00A54959">
      <w:pPr>
        <w:widowControl w:val="0"/>
        <w:autoSpaceDE w:val="0"/>
        <w:autoSpaceDN w:val="0"/>
        <w:adjustRightInd w:val="0"/>
        <w:spacing w:line="360" w:lineRule="auto"/>
        <w:ind w:firstLine="708"/>
        <w:rPr>
          <w:rStyle w:val="Hyperlink"/>
          <w:u w:val="none"/>
          <w:lang w:val="en-US"/>
        </w:rPr>
      </w:pPr>
      <w:hyperlink r:id="rId34" w:history="1">
        <w:r w:rsidR="00A54959" w:rsidRPr="009627FD">
          <w:rPr>
            <w:rStyle w:val="Hyperlink"/>
            <w:u w:val="none"/>
            <w:lang w:val="en-US"/>
          </w:rPr>
          <w:t>https://doi.org/10.1002/da.20167</w:t>
        </w:r>
      </w:hyperlink>
      <w:r w:rsidR="00A54959" w:rsidRPr="009627FD">
        <w:rPr>
          <w:rStyle w:val="Hyperlink"/>
          <w:u w:val="none"/>
          <w:lang w:val="en-US"/>
        </w:rPr>
        <w:t xml:space="preserve"> </w:t>
      </w:r>
    </w:p>
    <w:p w14:paraId="694C2F24" w14:textId="77777777" w:rsidR="00A54959" w:rsidRPr="009627FD" w:rsidRDefault="00A54959" w:rsidP="00A54959">
      <w:pPr>
        <w:widowControl w:val="0"/>
        <w:autoSpaceDE w:val="0"/>
        <w:autoSpaceDN w:val="0"/>
        <w:adjustRightInd w:val="0"/>
        <w:spacing w:line="360" w:lineRule="auto"/>
        <w:rPr>
          <w:lang w:val="en-US"/>
        </w:rPr>
      </w:pPr>
      <w:r w:rsidRPr="009627FD">
        <w:rPr>
          <w:lang w:val="en-US"/>
        </w:rPr>
        <w:t xml:space="preserve">Kaiser, H. F. (1970). A second generation little jiffy. </w:t>
      </w:r>
      <w:r w:rsidRPr="009627FD">
        <w:rPr>
          <w:i/>
          <w:iCs/>
          <w:lang w:val="en-US"/>
        </w:rPr>
        <w:t>Psychometrika, 35</w:t>
      </w:r>
      <w:r w:rsidRPr="009627FD">
        <w:rPr>
          <w:lang w:val="en-US"/>
        </w:rPr>
        <w:t xml:space="preserve">(4), 401–415. </w:t>
      </w:r>
    </w:p>
    <w:p w14:paraId="2AB95CB5" w14:textId="3739A539" w:rsidR="00A54959" w:rsidRPr="009627FD" w:rsidRDefault="005D691B" w:rsidP="002474A6">
      <w:pPr>
        <w:widowControl w:val="0"/>
        <w:autoSpaceDE w:val="0"/>
        <w:autoSpaceDN w:val="0"/>
        <w:adjustRightInd w:val="0"/>
        <w:spacing w:line="360" w:lineRule="auto"/>
        <w:ind w:firstLine="708"/>
        <w:rPr>
          <w:u w:val="single"/>
          <w:lang w:val="en-US"/>
        </w:rPr>
      </w:pPr>
      <w:hyperlink r:id="rId35" w:history="1">
        <w:r w:rsidR="00A54959" w:rsidRPr="009627FD">
          <w:rPr>
            <w:rStyle w:val="Hyperlink"/>
            <w:u w:val="none"/>
            <w:lang w:val="en-US"/>
          </w:rPr>
          <w:t>https://doi.org/10.1007/BF02291817</w:t>
        </w:r>
      </w:hyperlink>
    </w:p>
    <w:p w14:paraId="2426636C" w14:textId="77777777" w:rsidR="00A54959" w:rsidRPr="009627FD" w:rsidRDefault="00A54959" w:rsidP="00A54959">
      <w:pPr>
        <w:widowControl w:val="0"/>
        <w:autoSpaceDE w:val="0"/>
        <w:autoSpaceDN w:val="0"/>
        <w:adjustRightInd w:val="0"/>
        <w:spacing w:line="360" w:lineRule="auto"/>
        <w:rPr>
          <w:lang w:val="en-US"/>
        </w:rPr>
      </w:pPr>
      <w:r w:rsidRPr="009627FD">
        <w:rPr>
          <w:lang w:val="en-US"/>
        </w:rPr>
        <w:t xml:space="preserve">Koorevaar, A. M. L., Hegeman, J. M., Lamers, F., Dhondt, A. D. F., Van der Mast, R. C., Stek, M. </w:t>
      </w:r>
    </w:p>
    <w:p w14:paraId="6FC0EDA3" w14:textId="77777777" w:rsidR="00A54959" w:rsidRPr="009627FD" w:rsidRDefault="00A54959" w:rsidP="00A54959">
      <w:pPr>
        <w:widowControl w:val="0"/>
        <w:autoSpaceDE w:val="0"/>
        <w:autoSpaceDN w:val="0"/>
        <w:adjustRightInd w:val="0"/>
        <w:spacing w:line="360" w:lineRule="auto"/>
        <w:ind w:firstLine="708"/>
        <w:rPr>
          <w:lang w:val="en-US"/>
        </w:rPr>
      </w:pPr>
      <w:r w:rsidRPr="009627FD">
        <w:rPr>
          <w:lang w:val="en-US"/>
        </w:rPr>
        <w:t xml:space="preserve">L., &amp; Comijs, H. C. (2017). Big Five personality characteristics are associated with </w:t>
      </w:r>
    </w:p>
    <w:p w14:paraId="57698A63" w14:textId="77777777" w:rsidR="00A54959" w:rsidRPr="009627FD" w:rsidRDefault="00A54959" w:rsidP="00A54959">
      <w:pPr>
        <w:widowControl w:val="0"/>
        <w:autoSpaceDE w:val="0"/>
        <w:autoSpaceDN w:val="0"/>
        <w:adjustRightInd w:val="0"/>
        <w:spacing w:line="360" w:lineRule="auto"/>
        <w:ind w:firstLine="708"/>
        <w:rPr>
          <w:i/>
          <w:iCs/>
          <w:lang w:val="en-US"/>
        </w:rPr>
      </w:pPr>
      <w:r w:rsidRPr="009627FD">
        <w:rPr>
          <w:lang w:val="en-US"/>
        </w:rPr>
        <w:t>depression subtypes and symptom dimensions of depression in older adults. </w:t>
      </w:r>
      <w:r w:rsidRPr="009627FD">
        <w:rPr>
          <w:i/>
          <w:iCs/>
          <w:lang w:val="en-US"/>
        </w:rPr>
        <w:t xml:space="preserve">International </w:t>
      </w:r>
    </w:p>
    <w:p w14:paraId="06EEE1B1" w14:textId="77777777" w:rsidR="00A54959" w:rsidRPr="009627FD" w:rsidRDefault="00A54959" w:rsidP="00A54959">
      <w:pPr>
        <w:widowControl w:val="0"/>
        <w:autoSpaceDE w:val="0"/>
        <w:autoSpaceDN w:val="0"/>
        <w:adjustRightInd w:val="0"/>
        <w:spacing w:line="360" w:lineRule="auto"/>
        <w:ind w:firstLine="708"/>
        <w:rPr>
          <w:lang w:val="en-US"/>
        </w:rPr>
      </w:pPr>
      <w:r w:rsidRPr="009627FD">
        <w:rPr>
          <w:i/>
          <w:iCs/>
          <w:lang w:val="en-US"/>
        </w:rPr>
        <w:t>journal of geriatric psychiatry</w:t>
      </w:r>
      <w:r w:rsidRPr="009627FD">
        <w:rPr>
          <w:lang w:val="en-US"/>
        </w:rPr>
        <w:t>, </w:t>
      </w:r>
      <w:r w:rsidRPr="009627FD">
        <w:rPr>
          <w:i/>
          <w:iCs/>
          <w:lang w:val="en-US"/>
        </w:rPr>
        <w:t>32</w:t>
      </w:r>
      <w:r w:rsidRPr="009627FD">
        <w:rPr>
          <w:lang w:val="en-US"/>
        </w:rPr>
        <w:t xml:space="preserve">(12), e132-e140. </w:t>
      </w:r>
      <w:hyperlink r:id="rId36" w:history="1">
        <w:r w:rsidRPr="009627FD">
          <w:rPr>
            <w:rStyle w:val="Hyperlink"/>
            <w:u w:val="none"/>
            <w:lang w:val="en-US"/>
          </w:rPr>
          <w:t>https://doi.org/10.1002/gps.4670</w:t>
        </w:r>
      </w:hyperlink>
    </w:p>
    <w:p w14:paraId="15550218" w14:textId="77777777" w:rsidR="00A54959" w:rsidRPr="009627FD" w:rsidRDefault="00A54959" w:rsidP="00A54959">
      <w:pPr>
        <w:widowControl w:val="0"/>
        <w:autoSpaceDE w:val="0"/>
        <w:autoSpaceDN w:val="0"/>
        <w:adjustRightInd w:val="0"/>
        <w:spacing w:line="360" w:lineRule="auto"/>
        <w:rPr>
          <w:lang w:val="en-US"/>
        </w:rPr>
      </w:pPr>
      <w:r w:rsidRPr="009627FD">
        <w:rPr>
          <w:lang w:val="en-US"/>
        </w:rPr>
        <w:t xml:space="preserve">Kroenke, K., Spitzer, R.L., &amp; Williams, J.B. (2001). The PHQ-9: validity of a brief depression </w:t>
      </w:r>
    </w:p>
    <w:p w14:paraId="793E0E6F" w14:textId="012AB1D7" w:rsidR="00A54959" w:rsidRPr="009627FD" w:rsidRDefault="00A54959" w:rsidP="00A54959">
      <w:pPr>
        <w:widowControl w:val="0"/>
        <w:autoSpaceDE w:val="0"/>
        <w:autoSpaceDN w:val="0"/>
        <w:adjustRightInd w:val="0"/>
        <w:spacing w:line="360" w:lineRule="auto"/>
        <w:ind w:left="708"/>
        <w:rPr>
          <w:lang w:val="en-US"/>
        </w:rPr>
      </w:pPr>
      <w:r w:rsidRPr="009627FD">
        <w:rPr>
          <w:lang w:val="en-US"/>
        </w:rPr>
        <w:t xml:space="preserve">severity measure. </w:t>
      </w:r>
      <w:r w:rsidRPr="009627FD">
        <w:rPr>
          <w:i/>
          <w:iCs/>
          <w:lang w:val="en-US"/>
        </w:rPr>
        <w:t>Journal of General Internal Medicine, 16</w:t>
      </w:r>
      <w:r w:rsidRPr="009627FD">
        <w:rPr>
          <w:lang w:val="en-US"/>
        </w:rPr>
        <w:t xml:space="preserve">(9), 606-613. </w:t>
      </w:r>
      <w:hyperlink r:id="rId37" w:history="1">
        <w:r w:rsidRPr="009627FD">
          <w:rPr>
            <w:rStyle w:val="Hyperlink"/>
            <w:u w:val="none"/>
            <w:lang w:val="en-US"/>
          </w:rPr>
          <w:t>https://doi.org/10.1046/j.1525-1497.2001.016009606.x</w:t>
        </w:r>
      </w:hyperlink>
    </w:p>
    <w:p w14:paraId="138BAE9A" w14:textId="77777777" w:rsidR="00743ED1" w:rsidRDefault="00743ED1" w:rsidP="00A54959">
      <w:pPr>
        <w:spacing w:line="360" w:lineRule="auto"/>
        <w:rPr>
          <w:lang w:val="en-US"/>
        </w:rPr>
      </w:pPr>
    </w:p>
    <w:p w14:paraId="5CBCAF9C" w14:textId="5D8006A4" w:rsidR="00A54959" w:rsidRPr="009627FD" w:rsidRDefault="00A54959" w:rsidP="00A54959">
      <w:pPr>
        <w:spacing w:line="360" w:lineRule="auto"/>
        <w:rPr>
          <w:lang w:val="en-US"/>
        </w:rPr>
      </w:pPr>
      <w:r w:rsidRPr="009627FD">
        <w:rPr>
          <w:lang w:val="en-US"/>
        </w:rPr>
        <w:lastRenderedPageBreak/>
        <w:t xml:space="preserve">Lebrasseur, A., Fortin-Bédard, N., Lettre, J., Raymond, E., Bussières, E. L., Lapierre, N., ... &amp; </w:t>
      </w:r>
    </w:p>
    <w:p w14:paraId="4DA9D41B" w14:textId="77777777" w:rsidR="00A54959" w:rsidRPr="009627FD" w:rsidRDefault="00A54959" w:rsidP="00A54959">
      <w:pPr>
        <w:spacing w:line="360" w:lineRule="auto"/>
        <w:ind w:left="708"/>
        <w:rPr>
          <w:lang w:val="en-US"/>
        </w:rPr>
      </w:pPr>
      <w:r w:rsidRPr="009627FD">
        <w:rPr>
          <w:lang w:val="en-US"/>
        </w:rPr>
        <w:t>Routhier, F. (2021). Impact of the COVID-19 pandemic on older adults: rapid review. JMIR aging, 4(2), e26474. doi: 10.2196/26474</w:t>
      </w:r>
    </w:p>
    <w:p w14:paraId="073AE0E3" w14:textId="77777777" w:rsidR="00A54959" w:rsidRPr="009627FD" w:rsidRDefault="00A54959" w:rsidP="00A54959">
      <w:pPr>
        <w:widowControl w:val="0"/>
        <w:autoSpaceDE w:val="0"/>
        <w:autoSpaceDN w:val="0"/>
        <w:adjustRightInd w:val="0"/>
        <w:spacing w:line="360" w:lineRule="auto"/>
        <w:rPr>
          <w:rFonts w:eastAsiaTheme="minorEastAsia"/>
          <w:i/>
          <w:iCs/>
          <w:lang w:val="en-US"/>
        </w:rPr>
      </w:pPr>
      <w:r w:rsidRPr="009627FD">
        <w:rPr>
          <w:rFonts w:eastAsiaTheme="minorEastAsia"/>
          <w:lang w:val="en-US"/>
        </w:rPr>
        <w:t xml:space="preserve">Lee, S. A. (2020a). How much “Thinking” about COVID-19 is clinically dysfunctional? </w:t>
      </w:r>
      <w:r w:rsidRPr="009627FD">
        <w:rPr>
          <w:rFonts w:eastAsiaTheme="minorEastAsia"/>
          <w:i/>
          <w:iCs/>
          <w:lang w:val="en-US"/>
        </w:rPr>
        <w:t xml:space="preserve">Brain, </w:t>
      </w:r>
    </w:p>
    <w:p w14:paraId="78D2061B" w14:textId="77777777" w:rsidR="00A54959" w:rsidRPr="009627FD" w:rsidRDefault="00A54959" w:rsidP="00A54959">
      <w:pPr>
        <w:widowControl w:val="0"/>
        <w:autoSpaceDE w:val="0"/>
        <w:autoSpaceDN w:val="0"/>
        <w:adjustRightInd w:val="0"/>
        <w:spacing w:line="360" w:lineRule="auto"/>
        <w:ind w:firstLine="708"/>
        <w:rPr>
          <w:rFonts w:eastAsiaTheme="minorEastAsia"/>
          <w:lang w:val="en-US"/>
        </w:rPr>
      </w:pPr>
      <w:r w:rsidRPr="009627FD">
        <w:rPr>
          <w:rFonts w:eastAsiaTheme="minorEastAsia"/>
          <w:i/>
          <w:iCs/>
          <w:lang w:val="en-US"/>
        </w:rPr>
        <w:t>Behavior, and Immunity, 87</w:t>
      </w:r>
      <w:r w:rsidRPr="009627FD">
        <w:rPr>
          <w:rFonts w:eastAsiaTheme="minorEastAsia"/>
          <w:lang w:val="en-US"/>
        </w:rPr>
        <w:t xml:space="preserve">, 97-98. </w:t>
      </w:r>
      <w:hyperlink r:id="rId38" w:history="1">
        <w:r w:rsidRPr="009627FD">
          <w:rPr>
            <w:rStyle w:val="Hyperlink"/>
            <w:u w:val="none"/>
            <w:lang w:val="en-US"/>
          </w:rPr>
          <w:t>https://doi.org/10.1016/j.bbi.2020.04.067</w:t>
        </w:r>
      </w:hyperlink>
      <w:r w:rsidRPr="009627FD">
        <w:rPr>
          <w:rFonts w:eastAsiaTheme="minorEastAsia"/>
          <w:lang w:val="en-US"/>
        </w:rPr>
        <w:t xml:space="preserve"> </w:t>
      </w:r>
    </w:p>
    <w:p w14:paraId="2C412901"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Lee, S.A. (2020b). Coronavirus Anxiety Scale: A brief mental health screener for COVID-19 </w:t>
      </w:r>
    </w:p>
    <w:p w14:paraId="5ACED41E"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related anxiety. </w:t>
      </w:r>
      <w:r w:rsidRPr="009627FD">
        <w:rPr>
          <w:rFonts w:eastAsiaTheme="minorEastAsia"/>
          <w:i/>
          <w:iCs/>
          <w:lang w:val="en-US"/>
        </w:rPr>
        <w:t>Death Studies, 44</w:t>
      </w:r>
      <w:r w:rsidRPr="009627FD">
        <w:rPr>
          <w:rFonts w:eastAsiaTheme="minorEastAsia"/>
          <w:lang w:val="en-US"/>
        </w:rPr>
        <w:t xml:space="preserve">(7), 393401. </w:t>
      </w:r>
      <w:hyperlink r:id="rId39" w:history="1">
        <w:r w:rsidRPr="009627FD">
          <w:rPr>
            <w:rStyle w:val="Hyperlink"/>
            <w:u w:val="none"/>
            <w:lang w:val="en-US"/>
          </w:rPr>
          <w:t>https://doi.org/10.1080/07481187.2020.1748481</w:t>
        </w:r>
      </w:hyperlink>
    </w:p>
    <w:p w14:paraId="4BAC6B0C"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Li, Q., Guan, X., Wu, P., Wang, X., Zhou, L., &amp; Tong, Y. (2020). Early transmission dynamics in </w:t>
      </w:r>
    </w:p>
    <w:p w14:paraId="309397A2"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 xml:space="preserve">Wuhan, China, of novel coronavirus-infected pneumonia. </w:t>
      </w:r>
      <w:r w:rsidRPr="009627FD">
        <w:rPr>
          <w:rFonts w:eastAsiaTheme="minorEastAsia"/>
          <w:i/>
          <w:iCs/>
          <w:lang w:val="en-US"/>
        </w:rPr>
        <w:t>The New England Journal of Medicine, 382</w:t>
      </w:r>
      <w:r w:rsidRPr="009627FD">
        <w:rPr>
          <w:rFonts w:eastAsiaTheme="minorEastAsia"/>
          <w:lang w:val="en-US"/>
        </w:rPr>
        <w:t xml:space="preserve">(13), 1199-1207. DOI: 10.1056/NEJMoa2001316 </w:t>
      </w:r>
    </w:p>
    <w:p w14:paraId="292CE763" w14:textId="77777777" w:rsidR="00A54959" w:rsidRPr="009627FD" w:rsidRDefault="00A54959" w:rsidP="00A54959">
      <w:pPr>
        <w:widowControl w:val="0"/>
        <w:autoSpaceDE w:val="0"/>
        <w:autoSpaceDN w:val="0"/>
        <w:adjustRightInd w:val="0"/>
        <w:spacing w:line="360" w:lineRule="auto"/>
        <w:rPr>
          <w:rFonts w:eastAsiaTheme="minorEastAsia"/>
          <w:i/>
          <w:iCs/>
          <w:lang w:val="en-US"/>
        </w:rPr>
      </w:pPr>
      <w:r w:rsidRPr="009627FD">
        <w:rPr>
          <w:rFonts w:eastAsiaTheme="minorEastAsia"/>
          <w:lang w:val="en-US"/>
        </w:rPr>
        <w:t xml:space="preserve">Lucock, M. P., &amp; Morley, S. (1996). The health anxiety questionnaire. </w:t>
      </w:r>
      <w:r w:rsidRPr="009627FD">
        <w:rPr>
          <w:rFonts w:eastAsiaTheme="minorEastAsia"/>
          <w:i/>
          <w:iCs/>
          <w:lang w:val="en-US"/>
        </w:rPr>
        <w:t xml:space="preserve">British journal of health </w:t>
      </w:r>
    </w:p>
    <w:p w14:paraId="3AB58A05" w14:textId="77777777" w:rsidR="00A54959" w:rsidRPr="009627FD" w:rsidRDefault="00A54959" w:rsidP="00A54959">
      <w:pPr>
        <w:widowControl w:val="0"/>
        <w:autoSpaceDE w:val="0"/>
        <w:autoSpaceDN w:val="0"/>
        <w:adjustRightInd w:val="0"/>
        <w:spacing w:line="360" w:lineRule="auto"/>
        <w:ind w:firstLine="708"/>
        <w:rPr>
          <w:rFonts w:eastAsiaTheme="minorEastAsia"/>
          <w:lang w:val="en-US"/>
        </w:rPr>
      </w:pPr>
      <w:r w:rsidRPr="009627FD">
        <w:rPr>
          <w:rFonts w:eastAsiaTheme="minorEastAsia"/>
          <w:i/>
          <w:iCs/>
          <w:lang w:val="en-US"/>
        </w:rPr>
        <w:t>psychology, 1</w:t>
      </w:r>
      <w:r w:rsidRPr="009627FD">
        <w:rPr>
          <w:rFonts w:eastAsiaTheme="minorEastAsia"/>
          <w:lang w:val="en-US"/>
        </w:rPr>
        <w:t xml:space="preserve">(2), 137-150. </w:t>
      </w:r>
      <w:hyperlink r:id="rId40" w:history="1">
        <w:r w:rsidRPr="009627FD">
          <w:rPr>
            <w:rStyle w:val="Hyperlink"/>
            <w:u w:val="none"/>
            <w:lang w:val="en-US"/>
          </w:rPr>
          <w:t>https://doi.org/10.1111/j.2044-8287.1996.tb00498.x</w:t>
        </w:r>
      </w:hyperlink>
    </w:p>
    <w:p w14:paraId="617CBF7A"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Lyon, K. A., Elliott, R., Ware, K., Juhasz, G., &amp; Brown, L. J. E. (2021). Associations between </w:t>
      </w:r>
    </w:p>
    <w:p w14:paraId="09CA871C" w14:textId="5DF53210"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facets and aspects of big five personality and affective disorders: a systematic review and best evidence synthesis. </w:t>
      </w:r>
      <w:r w:rsidRPr="009627FD">
        <w:rPr>
          <w:rFonts w:eastAsiaTheme="minorEastAsia"/>
          <w:i/>
          <w:iCs/>
          <w:lang w:val="en-US"/>
        </w:rPr>
        <w:t>Journal of Affective Disorders, 288</w:t>
      </w:r>
      <w:r w:rsidRPr="009627FD">
        <w:rPr>
          <w:rFonts w:eastAsiaTheme="minorEastAsia"/>
          <w:lang w:val="en-US"/>
        </w:rPr>
        <w:t xml:space="preserve">, 175-188. </w:t>
      </w:r>
      <w:hyperlink r:id="rId41" w:history="1">
        <w:r w:rsidRPr="009627FD">
          <w:rPr>
            <w:rStyle w:val="Hyperlink"/>
            <w:u w:val="none"/>
            <w:lang w:val="en-US"/>
          </w:rPr>
          <w:t>https://doi.org/10.1016/j.jad.2021.03.061</w:t>
        </w:r>
      </w:hyperlink>
    </w:p>
    <w:p w14:paraId="39AE0434" w14:textId="77777777" w:rsidR="00A54959" w:rsidRPr="009627FD" w:rsidRDefault="00A54959" w:rsidP="00A54959">
      <w:pPr>
        <w:spacing w:line="360" w:lineRule="auto"/>
        <w:rPr>
          <w:lang w:val="en-US"/>
        </w:rPr>
      </w:pPr>
      <w:r w:rsidRPr="009627FD">
        <w:rPr>
          <w:lang w:val="en-US"/>
        </w:rPr>
        <w:t xml:space="preserve">Manea, L., Gilbody, S., McMillan, D. (2015). A diagnostic meta-analysis of the Patient Health </w:t>
      </w:r>
    </w:p>
    <w:p w14:paraId="63E42038" w14:textId="77777777" w:rsidR="00A54959" w:rsidRPr="009627FD" w:rsidRDefault="00A54959" w:rsidP="00A54959">
      <w:pPr>
        <w:spacing w:line="360" w:lineRule="auto"/>
        <w:ind w:left="708"/>
        <w:rPr>
          <w:lang w:val="en-US"/>
        </w:rPr>
      </w:pPr>
      <w:r w:rsidRPr="009627FD">
        <w:rPr>
          <w:lang w:val="en-US"/>
        </w:rPr>
        <w:t xml:space="preserve">Questionnaire-9 (PHQ-9) algorithm scoring method as a screen for depression. </w:t>
      </w:r>
      <w:r w:rsidRPr="009627FD">
        <w:rPr>
          <w:i/>
          <w:iCs/>
          <w:lang w:val="en-US"/>
        </w:rPr>
        <w:t>General Hospital Psychiatry, 37</w:t>
      </w:r>
      <w:r w:rsidRPr="009627FD">
        <w:rPr>
          <w:lang w:val="en-US"/>
        </w:rPr>
        <w:t xml:space="preserve">(1), 67-75. </w:t>
      </w:r>
      <w:hyperlink r:id="rId42" w:history="1">
        <w:r w:rsidRPr="009627FD">
          <w:rPr>
            <w:rStyle w:val="Hyperlink"/>
            <w:u w:val="none"/>
            <w:lang w:val="en-US"/>
          </w:rPr>
          <w:t>https://doi.org/10.1016/j.genhosppsych.2014.09.009</w:t>
        </w:r>
      </w:hyperlink>
    </w:p>
    <w:p w14:paraId="41B502AC"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Mansueto, G., Lopes, F. L., Grassi, L., &amp; Cosci, F. (2021). Impact of COVID-19 outbreak on Italian </w:t>
      </w:r>
    </w:p>
    <w:p w14:paraId="583463C3" w14:textId="77777777" w:rsidR="00A54959" w:rsidRPr="009627FD" w:rsidRDefault="00A54959" w:rsidP="00A54959">
      <w:pPr>
        <w:spacing w:line="360" w:lineRule="auto"/>
        <w:ind w:left="708"/>
        <w:rPr>
          <w:shd w:val="clear" w:color="auto" w:fill="FFFFFF"/>
        </w:rPr>
      </w:pPr>
      <w:r w:rsidRPr="009627FD">
        <w:rPr>
          <w:shd w:val="clear" w:color="auto" w:fill="FFFFFF"/>
          <w:lang w:val="en-US"/>
        </w:rPr>
        <w:t>healthcare workers versus general population: Results from an online survey. </w:t>
      </w:r>
      <w:r w:rsidRPr="009627FD">
        <w:rPr>
          <w:i/>
          <w:shd w:val="clear" w:color="auto" w:fill="FFFFFF"/>
        </w:rPr>
        <w:t>Clinical Psychology &amp; Psychotherapy, 28</w:t>
      </w:r>
      <w:r w:rsidRPr="009627FD">
        <w:rPr>
          <w:shd w:val="clear" w:color="auto" w:fill="FFFFFF"/>
        </w:rPr>
        <w:t xml:space="preserve">(6): 1334-1345. </w:t>
      </w:r>
      <w:hyperlink r:id="rId43" w:history="1">
        <w:r w:rsidRPr="009627FD">
          <w:rPr>
            <w:rStyle w:val="Hyperlink"/>
            <w:u w:val="none"/>
          </w:rPr>
          <w:t>https://doi.org/10.1002/cpp.2644</w:t>
        </w:r>
      </w:hyperlink>
    </w:p>
    <w:p w14:paraId="6CE42387" w14:textId="77777777" w:rsidR="00A54959" w:rsidRPr="009627FD" w:rsidRDefault="00A54959" w:rsidP="00A54959">
      <w:pPr>
        <w:spacing w:line="360" w:lineRule="auto"/>
      </w:pPr>
      <w:r w:rsidRPr="009627FD">
        <w:t xml:space="preserve">Mazzotti, E., Fassone, G., Picardi, A., Sagoni, E., Ramieri, L., Lega, I., Camaioni, D., Abeni, D. &amp; </w:t>
      </w:r>
    </w:p>
    <w:p w14:paraId="0733DD45" w14:textId="77777777" w:rsidR="00A54959" w:rsidRPr="009627FD" w:rsidRDefault="00A54959" w:rsidP="00A54959">
      <w:pPr>
        <w:spacing w:line="360" w:lineRule="auto"/>
        <w:ind w:left="708"/>
        <w:rPr>
          <w:lang w:val="en-US"/>
        </w:rPr>
      </w:pPr>
      <w:r w:rsidRPr="009627FD">
        <w:t xml:space="preserve">Pasquini, P. (2003). II Patient Health Questionnaire (PHQ) per lo screening dei disturbi psichiatrici: Uno studio di validazione nei confronti della Intervista Clinica Strutturata per il DSM-IV asse I (SCID-I). </w:t>
      </w:r>
      <w:r w:rsidRPr="009627FD">
        <w:rPr>
          <w:i/>
          <w:iCs/>
          <w:lang w:val="en-US"/>
        </w:rPr>
        <w:t>Italian Journal of Psychopathology, 9</w:t>
      </w:r>
      <w:r w:rsidRPr="009627FD">
        <w:rPr>
          <w:lang w:val="en-US"/>
        </w:rPr>
        <w:t>(3), 235-242.</w:t>
      </w:r>
    </w:p>
    <w:p w14:paraId="6BBC50D8" w14:textId="77777777" w:rsidR="00A54959" w:rsidRPr="009627FD" w:rsidRDefault="00A54959" w:rsidP="00A54959">
      <w:pPr>
        <w:spacing w:line="360" w:lineRule="auto"/>
        <w:rPr>
          <w:lang w:val="en-US"/>
        </w:rPr>
      </w:pPr>
      <w:r w:rsidRPr="009627FD">
        <w:rPr>
          <w:lang w:val="en-US"/>
        </w:rPr>
        <w:t xml:space="preserve">McCann, S. J. W., Stewin, L. L., &amp; Short, R. H. (1991). Sex differences, social desirability, </w:t>
      </w:r>
    </w:p>
    <w:p w14:paraId="327651D3" w14:textId="77777777" w:rsidR="00A54959" w:rsidRPr="009627FD" w:rsidRDefault="00A54959" w:rsidP="00A54959">
      <w:pPr>
        <w:spacing w:line="360" w:lineRule="auto"/>
        <w:ind w:left="708"/>
        <w:rPr>
          <w:lang w:val="en-US"/>
        </w:rPr>
      </w:pPr>
      <w:r w:rsidRPr="009627FD">
        <w:rPr>
          <w:lang w:val="en-US"/>
        </w:rPr>
        <w:t xml:space="preserve">masculinity, and the tendency to worry. </w:t>
      </w:r>
      <w:r w:rsidRPr="009627FD">
        <w:rPr>
          <w:i/>
          <w:iCs/>
          <w:lang w:val="en-US"/>
        </w:rPr>
        <w:t>The Journal of Genetic Psychology, 152</w:t>
      </w:r>
      <w:r w:rsidRPr="009627FD">
        <w:rPr>
          <w:lang w:val="en-US"/>
        </w:rPr>
        <w:t xml:space="preserve">, 295–301. </w:t>
      </w:r>
    </w:p>
    <w:p w14:paraId="002DE01A" w14:textId="77777777" w:rsidR="00A54959" w:rsidRPr="009627FD" w:rsidRDefault="005D691B" w:rsidP="00A54959">
      <w:pPr>
        <w:spacing w:line="360" w:lineRule="auto"/>
        <w:ind w:left="708"/>
        <w:rPr>
          <w:rStyle w:val="Hyperlink"/>
          <w:u w:val="none"/>
        </w:rPr>
      </w:pPr>
      <w:hyperlink r:id="rId44" w:history="1">
        <w:r w:rsidR="00A54959" w:rsidRPr="009627FD">
          <w:rPr>
            <w:rStyle w:val="Hyperlink"/>
            <w:u w:val="none"/>
          </w:rPr>
          <w:t>https://doi.org/10.1080/00221325.1991.9914687</w:t>
        </w:r>
      </w:hyperlink>
    </w:p>
    <w:p w14:paraId="7AFAEDC1" w14:textId="77777777" w:rsidR="00A54959" w:rsidRPr="009627FD" w:rsidRDefault="00A54959" w:rsidP="00A54959">
      <w:pPr>
        <w:widowControl w:val="0"/>
        <w:tabs>
          <w:tab w:val="left" w:pos="220"/>
          <w:tab w:val="left" w:pos="720"/>
        </w:tabs>
        <w:autoSpaceDE w:val="0"/>
        <w:autoSpaceDN w:val="0"/>
        <w:adjustRightInd w:val="0"/>
        <w:spacing w:line="360" w:lineRule="auto"/>
        <w:rPr>
          <w:shd w:val="clear" w:color="auto" w:fill="FFFFFF"/>
          <w:lang w:val="en-US"/>
        </w:rPr>
      </w:pPr>
      <w:r w:rsidRPr="009627FD">
        <w:rPr>
          <w:shd w:val="clear" w:color="auto" w:fill="FFFFFF"/>
        </w:rPr>
        <w:t xml:space="preserve">Melli, G., Coradeschi, D., &amp;Smurra, R. (2007). </w:t>
      </w:r>
      <w:r w:rsidRPr="009627FD">
        <w:rPr>
          <w:shd w:val="clear" w:color="auto" w:fill="FFFFFF"/>
          <w:lang w:val="en-US"/>
        </w:rPr>
        <w:t xml:space="preserve">The Italian version of Health Anxiety </w:t>
      </w:r>
    </w:p>
    <w:p w14:paraId="077FFAAE" w14:textId="77777777" w:rsidR="00A54959" w:rsidRPr="009627FD" w:rsidRDefault="00A54959" w:rsidP="00A54959">
      <w:pPr>
        <w:widowControl w:val="0"/>
        <w:tabs>
          <w:tab w:val="left" w:pos="220"/>
          <w:tab w:val="left" w:pos="720"/>
        </w:tabs>
        <w:autoSpaceDE w:val="0"/>
        <w:autoSpaceDN w:val="0"/>
        <w:adjustRightInd w:val="0"/>
        <w:spacing w:line="360" w:lineRule="auto"/>
        <w:rPr>
          <w:i/>
          <w:iCs/>
          <w:shd w:val="clear" w:color="auto" w:fill="FFFFFF"/>
        </w:rPr>
      </w:pPr>
      <w:r w:rsidRPr="009627FD">
        <w:rPr>
          <w:shd w:val="clear" w:color="auto" w:fill="FFFFFF"/>
          <w:lang w:val="en-US"/>
        </w:rPr>
        <w:tab/>
      </w:r>
      <w:r w:rsidRPr="009627FD">
        <w:rPr>
          <w:shd w:val="clear" w:color="auto" w:fill="FFFFFF"/>
          <w:lang w:val="en-US"/>
        </w:rPr>
        <w:tab/>
        <w:t xml:space="preserve">Questionnaire: reliability and factorial analysis. </w:t>
      </w:r>
      <w:r w:rsidRPr="009627FD">
        <w:rPr>
          <w:i/>
          <w:iCs/>
          <w:shd w:val="clear" w:color="auto" w:fill="FFFFFF"/>
        </w:rPr>
        <w:t xml:space="preserve">Psicoterapia Cognitivo e Comportamentale, </w:t>
      </w:r>
    </w:p>
    <w:p w14:paraId="53C0A6EC" w14:textId="77777777" w:rsidR="00A54959" w:rsidRPr="009627FD" w:rsidRDefault="00A54959" w:rsidP="00A54959">
      <w:pPr>
        <w:widowControl w:val="0"/>
        <w:tabs>
          <w:tab w:val="left" w:pos="220"/>
          <w:tab w:val="left" w:pos="720"/>
        </w:tabs>
        <w:autoSpaceDE w:val="0"/>
        <w:autoSpaceDN w:val="0"/>
        <w:adjustRightInd w:val="0"/>
        <w:spacing w:line="360" w:lineRule="auto"/>
        <w:rPr>
          <w:shd w:val="clear" w:color="auto" w:fill="FFFFFF"/>
        </w:rPr>
      </w:pPr>
      <w:r w:rsidRPr="009627FD">
        <w:rPr>
          <w:i/>
          <w:iCs/>
          <w:shd w:val="clear" w:color="auto" w:fill="FFFFFF"/>
        </w:rPr>
        <w:tab/>
      </w:r>
      <w:r w:rsidRPr="009627FD">
        <w:rPr>
          <w:i/>
          <w:iCs/>
          <w:shd w:val="clear" w:color="auto" w:fill="FFFFFF"/>
        </w:rPr>
        <w:tab/>
        <w:t>13</w:t>
      </w:r>
      <w:r w:rsidRPr="009627FD">
        <w:rPr>
          <w:shd w:val="clear" w:color="auto" w:fill="FFFFFF"/>
        </w:rPr>
        <w:t>, 37-48.</w:t>
      </w:r>
    </w:p>
    <w:p w14:paraId="20D0910A" w14:textId="77777777" w:rsidR="00A54959" w:rsidRPr="009627FD" w:rsidRDefault="00A54959" w:rsidP="00A54959">
      <w:pPr>
        <w:widowControl w:val="0"/>
        <w:tabs>
          <w:tab w:val="left" w:pos="220"/>
          <w:tab w:val="left" w:pos="720"/>
        </w:tabs>
        <w:autoSpaceDE w:val="0"/>
        <w:autoSpaceDN w:val="0"/>
        <w:adjustRightInd w:val="0"/>
        <w:spacing w:line="360" w:lineRule="auto"/>
        <w:rPr>
          <w:shd w:val="clear" w:color="auto" w:fill="FFFFFF"/>
          <w:lang w:val="en-US"/>
        </w:rPr>
      </w:pPr>
      <w:r w:rsidRPr="009627FD">
        <w:rPr>
          <w:shd w:val="clear" w:color="auto" w:fill="FFFFFF"/>
        </w:rPr>
        <w:t>Mozzoni, M., &amp; Franzot, E. (2020). </w:t>
      </w:r>
      <w:r w:rsidRPr="009627FD">
        <w:rPr>
          <w:iCs/>
          <w:shd w:val="clear" w:color="auto" w:fill="FFFFFF"/>
          <w:lang w:val="en-US"/>
        </w:rPr>
        <w:t>Coronavirus Anxiety Scale</w:t>
      </w:r>
      <w:r w:rsidRPr="009627FD">
        <w:rPr>
          <w:shd w:val="clear" w:color="auto" w:fill="FFFFFF"/>
          <w:lang w:val="en-US"/>
        </w:rPr>
        <w:t xml:space="preserve"> (CAS). Department of </w:t>
      </w:r>
    </w:p>
    <w:p w14:paraId="7C58F649" w14:textId="77777777" w:rsidR="00A54959" w:rsidRPr="009627FD" w:rsidRDefault="00A54959" w:rsidP="00A54959">
      <w:pPr>
        <w:widowControl w:val="0"/>
        <w:tabs>
          <w:tab w:val="left" w:pos="220"/>
          <w:tab w:val="left" w:pos="720"/>
        </w:tabs>
        <w:autoSpaceDE w:val="0"/>
        <w:autoSpaceDN w:val="0"/>
        <w:adjustRightInd w:val="0"/>
        <w:spacing w:line="360" w:lineRule="auto"/>
        <w:rPr>
          <w:shd w:val="clear" w:color="auto" w:fill="FFFFFF"/>
          <w:lang w:val="en-US"/>
        </w:rPr>
      </w:pPr>
      <w:r w:rsidRPr="009627FD">
        <w:rPr>
          <w:shd w:val="clear" w:color="auto" w:fill="FFFFFF"/>
          <w:lang w:val="en-US"/>
        </w:rPr>
        <w:tab/>
      </w:r>
      <w:r w:rsidRPr="009627FD">
        <w:rPr>
          <w:shd w:val="clear" w:color="auto" w:fill="FFFFFF"/>
          <w:lang w:val="en-US"/>
        </w:rPr>
        <w:tab/>
        <w:t>Psychology, Christopher Newport University, Virginia, USA.</w:t>
      </w:r>
    </w:p>
    <w:p w14:paraId="126E76E6" w14:textId="77777777" w:rsidR="00743ED1" w:rsidRDefault="00743ED1" w:rsidP="00A54959">
      <w:pPr>
        <w:widowControl w:val="0"/>
        <w:tabs>
          <w:tab w:val="left" w:pos="220"/>
          <w:tab w:val="left" w:pos="720"/>
        </w:tabs>
        <w:autoSpaceDE w:val="0"/>
        <w:autoSpaceDN w:val="0"/>
        <w:adjustRightInd w:val="0"/>
        <w:spacing w:line="360" w:lineRule="auto"/>
        <w:rPr>
          <w:shd w:val="clear" w:color="auto" w:fill="FFFFFF"/>
          <w:lang w:val="en-US"/>
        </w:rPr>
      </w:pPr>
    </w:p>
    <w:p w14:paraId="7BED3D8F" w14:textId="70B6086F" w:rsidR="00A54959" w:rsidRPr="009627FD" w:rsidRDefault="00A54959" w:rsidP="00A54959">
      <w:pPr>
        <w:widowControl w:val="0"/>
        <w:tabs>
          <w:tab w:val="left" w:pos="220"/>
          <w:tab w:val="left" w:pos="720"/>
        </w:tabs>
        <w:autoSpaceDE w:val="0"/>
        <w:autoSpaceDN w:val="0"/>
        <w:adjustRightInd w:val="0"/>
        <w:spacing w:line="360" w:lineRule="auto"/>
        <w:rPr>
          <w:shd w:val="clear" w:color="auto" w:fill="FFFFFF"/>
          <w:lang w:val="en-US"/>
        </w:rPr>
      </w:pPr>
      <w:r w:rsidRPr="009627FD">
        <w:rPr>
          <w:shd w:val="clear" w:color="auto" w:fill="FFFFFF"/>
          <w:lang w:val="en-US"/>
        </w:rPr>
        <w:lastRenderedPageBreak/>
        <w:t xml:space="preserve">Mundt, J. C., Marks, I. M., Shear, M. K., &amp; Greist, J. H. (2002). The work and social adjustment </w:t>
      </w:r>
    </w:p>
    <w:p w14:paraId="575F9EA5" w14:textId="77777777" w:rsidR="00A54959" w:rsidRPr="009627FD" w:rsidRDefault="00A54959" w:rsidP="00A54959">
      <w:pPr>
        <w:widowControl w:val="0"/>
        <w:tabs>
          <w:tab w:val="left" w:pos="220"/>
          <w:tab w:val="left" w:pos="720"/>
        </w:tabs>
        <w:autoSpaceDE w:val="0"/>
        <w:autoSpaceDN w:val="0"/>
        <w:adjustRightInd w:val="0"/>
        <w:spacing w:line="360" w:lineRule="auto"/>
        <w:ind w:left="708"/>
        <w:rPr>
          <w:shd w:val="clear" w:color="auto" w:fill="FFFFFF"/>
          <w:lang w:val="en-US"/>
        </w:rPr>
      </w:pPr>
      <w:r w:rsidRPr="009627FD">
        <w:rPr>
          <w:shd w:val="clear" w:color="auto" w:fill="FFFFFF"/>
          <w:lang w:val="en-US"/>
        </w:rPr>
        <w:t xml:space="preserve">scale: a simple accurate measure of impairment in functioning. </w:t>
      </w:r>
      <w:r w:rsidRPr="009627FD">
        <w:rPr>
          <w:i/>
          <w:iCs/>
          <w:shd w:val="clear" w:color="auto" w:fill="FFFFFF"/>
          <w:lang w:val="en-US"/>
        </w:rPr>
        <w:t>British Journal of Psychiatry, 180,</w:t>
      </w:r>
      <w:r w:rsidRPr="009627FD">
        <w:rPr>
          <w:shd w:val="clear" w:color="auto" w:fill="FFFFFF"/>
          <w:lang w:val="en-US"/>
        </w:rPr>
        <w:t xml:space="preserve"> 461-464. </w:t>
      </w:r>
      <w:hyperlink r:id="rId45" w:history="1">
        <w:r w:rsidRPr="009627FD">
          <w:rPr>
            <w:rStyle w:val="Hyperlink"/>
            <w:u w:val="none"/>
            <w:lang w:val="en-US"/>
          </w:rPr>
          <w:t>https://doi.org/10.1192/bjp.180.5.461</w:t>
        </w:r>
      </w:hyperlink>
      <w:r w:rsidRPr="009627FD">
        <w:rPr>
          <w:shd w:val="clear" w:color="auto" w:fill="FFFFFF"/>
          <w:lang w:val="en-US"/>
        </w:rPr>
        <w:t xml:space="preserve"> </w:t>
      </w:r>
    </w:p>
    <w:p w14:paraId="2A551760" w14:textId="77777777" w:rsidR="00DB52F2" w:rsidRPr="009627FD" w:rsidRDefault="00DB52F2" w:rsidP="00A54959">
      <w:pPr>
        <w:widowControl w:val="0"/>
        <w:tabs>
          <w:tab w:val="left" w:pos="220"/>
          <w:tab w:val="left" w:pos="720"/>
        </w:tabs>
        <w:autoSpaceDE w:val="0"/>
        <w:autoSpaceDN w:val="0"/>
        <w:adjustRightInd w:val="0"/>
        <w:spacing w:line="360" w:lineRule="auto"/>
        <w:rPr>
          <w:shd w:val="clear" w:color="auto" w:fill="FFFFFF"/>
          <w:lang w:val="en-GB"/>
        </w:rPr>
      </w:pPr>
      <w:r w:rsidRPr="009627FD">
        <w:rPr>
          <w:shd w:val="clear" w:color="auto" w:fill="FFFFFF"/>
          <w:lang w:val="en-GB"/>
        </w:rPr>
        <w:t xml:space="preserve">Myers, R. (1990). </w:t>
      </w:r>
      <w:r w:rsidRPr="009627FD">
        <w:rPr>
          <w:i/>
          <w:shd w:val="clear" w:color="auto" w:fill="FFFFFF"/>
          <w:lang w:val="en-GB"/>
        </w:rPr>
        <w:t>Classical</w:t>
      </w:r>
      <w:r w:rsidRPr="009627FD">
        <w:rPr>
          <w:rFonts w:ascii="MS Mincho" w:eastAsia="MS Mincho" w:hAnsi="MS Mincho" w:cs="MS Mincho"/>
          <w:i/>
          <w:shd w:val="clear" w:color="auto" w:fill="FFFFFF"/>
          <w:lang w:val="en-GB"/>
        </w:rPr>
        <w:t> </w:t>
      </w:r>
      <w:r w:rsidRPr="009627FD">
        <w:rPr>
          <w:i/>
          <w:shd w:val="clear" w:color="auto" w:fill="FFFFFF"/>
          <w:lang w:val="en-GB"/>
        </w:rPr>
        <w:t>and modern regression with applications (2nd ed.).</w:t>
      </w:r>
      <w:r w:rsidRPr="009627FD">
        <w:rPr>
          <w:shd w:val="clear" w:color="auto" w:fill="FFFFFF"/>
          <w:lang w:val="en-GB"/>
        </w:rPr>
        <w:t xml:space="preserve"> Boston, MA: </w:t>
      </w:r>
    </w:p>
    <w:p w14:paraId="517D6112" w14:textId="36299FE1" w:rsidR="00DB52F2" w:rsidRPr="009627FD" w:rsidRDefault="00DB52F2"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shd w:val="clear" w:color="auto" w:fill="FFFFFF"/>
          <w:lang w:val="en-GB"/>
        </w:rPr>
        <w:tab/>
      </w:r>
      <w:r w:rsidRPr="009627FD">
        <w:rPr>
          <w:shd w:val="clear" w:color="auto" w:fill="FFFFFF"/>
          <w:lang w:val="en-GB"/>
        </w:rPr>
        <w:tab/>
        <w:t>Duxbury.</w:t>
      </w:r>
    </w:p>
    <w:p w14:paraId="0A55F7FC" w14:textId="77777777" w:rsidR="00A54959" w:rsidRPr="009627FD" w:rsidRDefault="00A54959"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rFonts w:eastAsiaTheme="minorEastAsia"/>
          <w:lang w:val="en-US"/>
        </w:rPr>
        <w:t xml:space="preserve">Nikčević, A.V., Marino, C., Kolubinski, D.C., Leach, D., &amp; Spada, M.M. (2021). Modelling the </w:t>
      </w:r>
    </w:p>
    <w:p w14:paraId="1F17426F" w14:textId="77777777" w:rsidR="00A54959" w:rsidRPr="009627FD" w:rsidRDefault="00A54959" w:rsidP="00A54959">
      <w:pPr>
        <w:widowControl w:val="0"/>
        <w:tabs>
          <w:tab w:val="left" w:pos="220"/>
          <w:tab w:val="left" w:pos="720"/>
        </w:tabs>
        <w:autoSpaceDE w:val="0"/>
        <w:autoSpaceDN w:val="0"/>
        <w:adjustRightInd w:val="0"/>
        <w:spacing w:line="360" w:lineRule="auto"/>
        <w:ind w:left="708"/>
        <w:rPr>
          <w:rFonts w:eastAsiaTheme="minorEastAsia"/>
          <w:lang w:val="en-US"/>
        </w:rPr>
      </w:pPr>
      <w:r w:rsidRPr="009627FD">
        <w:rPr>
          <w:rFonts w:eastAsiaTheme="minorEastAsia"/>
          <w:lang w:val="en-US"/>
        </w:rPr>
        <w:tab/>
        <w:t xml:space="preserve">contribution of the Big Five personality traits, health anxiety, and COVID-19 psychological distress to generalised anxiety and depressive symptoms during the COVID-19 pandemic. </w:t>
      </w:r>
      <w:r w:rsidRPr="009627FD">
        <w:rPr>
          <w:rFonts w:eastAsiaTheme="minorEastAsia"/>
          <w:i/>
          <w:iCs/>
          <w:lang w:val="en-US"/>
        </w:rPr>
        <w:t>Journal of Affect Disorder, 279</w:t>
      </w:r>
      <w:r w:rsidRPr="009627FD">
        <w:rPr>
          <w:rFonts w:eastAsiaTheme="minorEastAsia"/>
          <w:lang w:val="en-US"/>
        </w:rPr>
        <w:t xml:space="preserve">, 578-584. </w:t>
      </w:r>
      <w:hyperlink r:id="rId46" w:history="1">
        <w:r w:rsidRPr="009627FD">
          <w:rPr>
            <w:rStyle w:val="Hyperlink"/>
            <w:u w:val="none"/>
            <w:lang w:val="en-US"/>
          </w:rPr>
          <w:t>https://doi.org/10.1016/j.jad.2020.10.053</w:t>
        </w:r>
      </w:hyperlink>
    </w:p>
    <w:p w14:paraId="5A5C6587" w14:textId="77777777" w:rsidR="00A54959" w:rsidRPr="009627FD" w:rsidRDefault="00A54959"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rFonts w:eastAsiaTheme="minorEastAsia"/>
          <w:lang w:val="en-US"/>
        </w:rPr>
        <w:t xml:space="preserve">Nikčević, A.V., &amp; Spada, M.M. (2020). The COVID-19 anxiety syndrome scale: Development and </w:t>
      </w:r>
    </w:p>
    <w:p w14:paraId="25AFD7A4" w14:textId="77777777" w:rsidR="00A54959" w:rsidRPr="009627FD" w:rsidRDefault="00A54959" w:rsidP="00A54959">
      <w:pPr>
        <w:widowControl w:val="0"/>
        <w:tabs>
          <w:tab w:val="left" w:pos="220"/>
          <w:tab w:val="left" w:pos="720"/>
        </w:tabs>
        <w:autoSpaceDE w:val="0"/>
        <w:autoSpaceDN w:val="0"/>
        <w:adjustRightInd w:val="0"/>
        <w:spacing w:line="360" w:lineRule="auto"/>
        <w:ind w:left="708"/>
        <w:rPr>
          <w:rFonts w:eastAsiaTheme="minorEastAsia"/>
          <w:lang w:val="en-US"/>
        </w:rPr>
      </w:pPr>
      <w:r w:rsidRPr="009627FD">
        <w:rPr>
          <w:rFonts w:eastAsiaTheme="minorEastAsia"/>
          <w:lang w:val="en-US"/>
        </w:rPr>
        <w:tab/>
        <w:t xml:space="preserve">psychometric properties. </w:t>
      </w:r>
      <w:r w:rsidRPr="009627FD">
        <w:rPr>
          <w:rFonts w:eastAsiaTheme="minorEastAsia"/>
          <w:i/>
          <w:iCs/>
          <w:lang w:val="en-US"/>
        </w:rPr>
        <w:t>Psychiatry Research, 292</w:t>
      </w:r>
      <w:r w:rsidRPr="009627FD">
        <w:rPr>
          <w:rFonts w:eastAsiaTheme="minorEastAsia"/>
          <w:lang w:val="en-US"/>
        </w:rPr>
        <w:t xml:space="preserve">,113322. </w:t>
      </w:r>
      <w:hyperlink r:id="rId47" w:history="1">
        <w:r w:rsidRPr="009627FD">
          <w:rPr>
            <w:rStyle w:val="Hyperlink"/>
            <w:u w:val="none"/>
            <w:lang w:val="en-US"/>
          </w:rPr>
          <w:t>https://doi.org/10.1016/j.psychres.2020.113322</w:t>
        </w:r>
      </w:hyperlink>
    </w:p>
    <w:p w14:paraId="65F0821F" w14:textId="77777777" w:rsidR="00A54959" w:rsidRPr="009627FD" w:rsidRDefault="00A54959"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rFonts w:eastAsiaTheme="minorEastAsia"/>
          <w:lang w:val="en-US"/>
        </w:rPr>
        <w:t>Peng, M., Wang, L., Xue, Q., Yin, L., Zhu, B. H., Wang, K., ... &amp; Wang, H. X. (2021). Post-</w:t>
      </w:r>
    </w:p>
    <w:p w14:paraId="56BCCD68" w14:textId="77777777" w:rsidR="00A54959" w:rsidRPr="009627FD" w:rsidRDefault="00A54959"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rFonts w:eastAsiaTheme="minorEastAsia"/>
          <w:lang w:val="en-US"/>
        </w:rPr>
        <w:tab/>
      </w:r>
      <w:r w:rsidRPr="009627FD">
        <w:rPr>
          <w:rFonts w:eastAsiaTheme="minorEastAsia"/>
          <w:lang w:val="en-US"/>
        </w:rPr>
        <w:tab/>
        <w:t xml:space="preserve">COVID-19 epidemic: allostatic load among medical and nonmedical workers in </w:t>
      </w:r>
    </w:p>
    <w:p w14:paraId="2420E912" w14:textId="77777777" w:rsidR="00A54959" w:rsidRPr="009627FD" w:rsidRDefault="00A54959"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rFonts w:eastAsiaTheme="minorEastAsia"/>
          <w:lang w:val="en-US"/>
        </w:rPr>
        <w:tab/>
      </w:r>
      <w:r w:rsidRPr="009627FD">
        <w:rPr>
          <w:rFonts w:eastAsiaTheme="minorEastAsia"/>
          <w:lang w:val="en-US"/>
        </w:rPr>
        <w:tab/>
        <w:t>China. </w:t>
      </w:r>
      <w:r w:rsidRPr="009627FD">
        <w:rPr>
          <w:rFonts w:eastAsiaTheme="minorEastAsia"/>
          <w:i/>
          <w:iCs/>
          <w:lang w:val="en-US"/>
        </w:rPr>
        <w:t>Psychotherapy and Psychosomatics</w:t>
      </w:r>
      <w:r w:rsidRPr="009627FD">
        <w:rPr>
          <w:rFonts w:eastAsiaTheme="minorEastAsia"/>
          <w:lang w:val="en-US"/>
        </w:rPr>
        <w:t>, </w:t>
      </w:r>
      <w:r w:rsidRPr="009627FD">
        <w:rPr>
          <w:rFonts w:eastAsiaTheme="minorEastAsia"/>
          <w:i/>
          <w:iCs/>
          <w:lang w:val="en-US"/>
        </w:rPr>
        <w:t>90</w:t>
      </w:r>
      <w:r w:rsidRPr="009627FD">
        <w:rPr>
          <w:rFonts w:eastAsiaTheme="minorEastAsia"/>
          <w:lang w:val="en-US"/>
        </w:rPr>
        <w:t xml:space="preserve">(2), 127-136. </w:t>
      </w:r>
    </w:p>
    <w:p w14:paraId="1D9A2CA9" w14:textId="77777777" w:rsidR="00A54959" w:rsidRPr="009627FD" w:rsidRDefault="00A54959" w:rsidP="00A54959">
      <w:pPr>
        <w:widowControl w:val="0"/>
        <w:tabs>
          <w:tab w:val="left" w:pos="220"/>
          <w:tab w:val="left" w:pos="720"/>
        </w:tabs>
        <w:autoSpaceDE w:val="0"/>
        <w:autoSpaceDN w:val="0"/>
        <w:adjustRightInd w:val="0"/>
        <w:spacing w:line="360" w:lineRule="auto"/>
        <w:rPr>
          <w:rFonts w:eastAsiaTheme="minorEastAsia"/>
          <w:lang w:val="en-US"/>
        </w:rPr>
      </w:pPr>
      <w:r w:rsidRPr="009627FD">
        <w:rPr>
          <w:rFonts w:eastAsiaTheme="minorEastAsia"/>
          <w:lang w:val="en-US"/>
        </w:rPr>
        <w:tab/>
      </w:r>
      <w:r w:rsidRPr="009627FD">
        <w:rPr>
          <w:rFonts w:eastAsiaTheme="minorEastAsia"/>
          <w:lang w:val="en-US"/>
        </w:rPr>
        <w:tab/>
      </w:r>
      <w:hyperlink r:id="rId48" w:history="1">
        <w:r w:rsidRPr="009627FD">
          <w:rPr>
            <w:rStyle w:val="Hyperlink"/>
            <w:u w:val="none"/>
            <w:lang w:val="en-US"/>
          </w:rPr>
          <w:t>https://doi.org/10.1159/000511823</w:t>
        </w:r>
      </w:hyperlink>
    </w:p>
    <w:p w14:paraId="3EB0100F" w14:textId="77777777" w:rsidR="00A54959" w:rsidRPr="009627FD" w:rsidRDefault="00A54959" w:rsidP="00A54959">
      <w:pPr>
        <w:widowControl w:val="0"/>
        <w:tabs>
          <w:tab w:val="left" w:pos="220"/>
          <w:tab w:val="left" w:pos="720"/>
        </w:tabs>
        <w:autoSpaceDE w:val="0"/>
        <w:autoSpaceDN w:val="0"/>
        <w:adjustRightInd w:val="0"/>
        <w:spacing w:line="360" w:lineRule="auto"/>
        <w:rPr>
          <w:noProof/>
          <w:lang w:val="en-US"/>
        </w:rPr>
      </w:pPr>
      <w:r w:rsidRPr="009627FD">
        <w:rPr>
          <w:noProof/>
          <w:lang w:val="en-US"/>
        </w:rPr>
        <w:t xml:space="preserve">R Development Core, T. (2017). R: A language and environment for statistical computing. R </w:t>
      </w:r>
    </w:p>
    <w:p w14:paraId="70BFC29E" w14:textId="77777777" w:rsidR="002474A6" w:rsidRPr="009627FD" w:rsidRDefault="00A54959" w:rsidP="00A54959">
      <w:pPr>
        <w:widowControl w:val="0"/>
        <w:tabs>
          <w:tab w:val="left" w:pos="220"/>
          <w:tab w:val="left" w:pos="720"/>
        </w:tabs>
        <w:autoSpaceDE w:val="0"/>
        <w:autoSpaceDN w:val="0"/>
        <w:adjustRightInd w:val="0"/>
        <w:spacing w:line="360" w:lineRule="auto"/>
        <w:ind w:left="708"/>
        <w:rPr>
          <w:noProof/>
          <w:lang w:val="en-US"/>
        </w:rPr>
      </w:pPr>
      <w:r w:rsidRPr="009627FD">
        <w:rPr>
          <w:noProof/>
          <w:lang w:val="en-US"/>
        </w:rPr>
        <w:t xml:space="preserve">Foundation for Statistical Computing, Vienna, Austria. ISBN 3-900051-07-0, http://www.R-project.org/. </w:t>
      </w:r>
    </w:p>
    <w:p w14:paraId="4FEF3DB8" w14:textId="77777777" w:rsidR="00A54959" w:rsidRPr="009627FD" w:rsidRDefault="00A54959" w:rsidP="00A54959">
      <w:pPr>
        <w:widowControl w:val="0"/>
        <w:tabs>
          <w:tab w:val="left" w:pos="220"/>
          <w:tab w:val="left" w:pos="720"/>
        </w:tabs>
        <w:autoSpaceDE w:val="0"/>
        <w:autoSpaceDN w:val="0"/>
        <w:adjustRightInd w:val="0"/>
        <w:spacing w:line="360" w:lineRule="auto"/>
        <w:rPr>
          <w:noProof/>
          <w:lang w:val="en-US"/>
        </w:rPr>
      </w:pPr>
      <w:r w:rsidRPr="009627FD">
        <w:rPr>
          <w:noProof/>
          <w:lang w:val="en-US"/>
        </w:rPr>
        <w:t xml:space="preserve">Rammstedt, B., &amp; John, O. P. (2007). Measuring personality in one minute or less: A 10-item short </w:t>
      </w:r>
    </w:p>
    <w:p w14:paraId="281FA5A5" w14:textId="77777777" w:rsidR="00A54959" w:rsidRPr="009627FD" w:rsidRDefault="00A54959" w:rsidP="00A54959">
      <w:pPr>
        <w:widowControl w:val="0"/>
        <w:tabs>
          <w:tab w:val="left" w:pos="220"/>
          <w:tab w:val="left" w:pos="720"/>
        </w:tabs>
        <w:autoSpaceDE w:val="0"/>
        <w:autoSpaceDN w:val="0"/>
        <w:adjustRightInd w:val="0"/>
        <w:spacing w:line="360" w:lineRule="auto"/>
        <w:ind w:left="708"/>
        <w:rPr>
          <w:noProof/>
          <w:lang w:val="en-US"/>
        </w:rPr>
      </w:pPr>
      <w:r w:rsidRPr="009627FD">
        <w:rPr>
          <w:noProof/>
          <w:lang w:val="en-US"/>
        </w:rPr>
        <w:t xml:space="preserve">version of the Big Five inventory in English and German. </w:t>
      </w:r>
      <w:r w:rsidRPr="009627FD">
        <w:rPr>
          <w:i/>
          <w:iCs/>
          <w:noProof/>
          <w:lang w:val="en-US"/>
        </w:rPr>
        <w:t>Journal of Research in Personality, 41</w:t>
      </w:r>
      <w:r w:rsidRPr="009627FD">
        <w:rPr>
          <w:noProof/>
          <w:lang w:val="en-US"/>
        </w:rPr>
        <w:t xml:space="preserve">, 203- 212. </w:t>
      </w:r>
      <w:hyperlink r:id="rId49" w:history="1">
        <w:r w:rsidRPr="009627FD">
          <w:rPr>
            <w:rStyle w:val="Hyperlink"/>
            <w:u w:val="none"/>
            <w:lang w:val="en-US"/>
          </w:rPr>
          <w:t>https://doi.org/10.1016/j.jrp.2006.02.001</w:t>
        </w:r>
      </w:hyperlink>
    </w:p>
    <w:p w14:paraId="612270B3" w14:textId="77777777" w:rsidR="00A54959" w:rsidRPr="009627FD" w:rsidRDefault="00A54959" w:rsidP="00A54959">
      <w:pPr>
        <w:widowControl w:val="0"/>
        <w:tabs>
          <w:tab w:val="left" w:pos="220"/>
          <w:tab w:val="left" w:pos="720"/>
        </w:tabs>
        <w:autoSpaceDE w:val="0"/>
        <w:autoSpaceDN w:val="0"/>
        <w:adjustRightInd w:val="0"/>
        <w:spacing w:line="360" w:lineRule="auto"/>
        <w:rPr>
          <w:noProof/>
          <w:lang w:val="en-US"/>
        </w:rPr>
      </w:pPr>
      <w:r w:rsidRPr="009627FD">
        <w:rPr>
          <w:noProof/>
          <w:lang w:val="en-US"/>
        </w:rPr>
        <w:t xml:space="preserve">Robichaud, M., Dugas, M. J., &amp; Conway, M. (2003). Gender differences in worry and associated </w:t>
      </w:r>
    </w:p>
    <w:p w14:paraId="014A60FE" w14:textId="77777777" w:rsidR="00A54959" w:rsidRPr="009627FD" w:rsidRDefault="00A54959" w:rsidP="00A54959">
      <w:pPr>
        <w:widowControl w:val="0"/>
        <w:tabs>
          <w:tab w:val="left" w:pos="220"/>
          <w:tab w:val="left" w:pos="720"/>
        </w:tabs>
        <w:autoSpaceDE w:val="0"/>
        <w:autoSpaceDN w:val="0"/>
        <w:adjustRightInd w:val="0"/>
        <w:spacing w:line="360" w:lineRule="auto"/>
        <w:rPr>
          <w:noProof/>
          <w:lang w:val="en-US"/>
        </w:rPr>
      </w:pPr>
      <w:r w:rsidRPr="009627FD">
        <w:rPr>
          <w:noProof/>
          <w:lang w:val="en-US"/>
        </w:rPr>
        <w:tab/>
      </w:r>
      <w:r w:rsidRPr="009627FD">
        <w:rPr>
          <w:noProof/>
          <w:lang w:val="en-US"/>
        </w:rPr>
        <w:tab/>
        <w:t xml:space="preserve">cognitive-behavioral variables. </w:t>
      </w:r>
      <w:r w:rsidRPr="009627FD">
        <w:rPr>
          <w:i/>
          <w:iCs/>
          <w:noProof/>
          <w:lang w:val="en-US"/>
        </w:rPr>
        <w:t>Anxiety Disorders, 17</w:t>
      </w:r>
      <w:r w:rsidRPr="009627FD">
        <w:rPr>
          <w:noProof/>
          <w:lang w:val="en-US"/>
        </w:rPr>
        <w:t xml:space="preserve">, 501–516. </w:t>
      </w:r>
    </w:p>
    <w:p w14:paraId="1D779B36" w14:textId="77777777" w:rsidR="00A54959" w:rsidRPr="009627FD" w:rsidRDefault="00A54959" w:rsidP="00A54959">
      <w:pPr>
        <w:widowControl w:val="0"/>
        <w:tabs>
          <w:tab w:val="left" w:pos="220"/>
          <w:tab w:val="left" w:pos="720"/>
        </w:tabs>
        <w:autoSpaceDE w:val="0"/>
        <w:autoSpaceDN w:val="0"/>
        <w:adjustRightInd w:val="0"/>
        <w:spacing w:line="360" w:lineRule="auto"/>
        <w:rPr>
          <w:noProof/>
          <w:lang w:val="en-US"/>
        </w:rPr>
      </w:pPr>
      <w:r w:rsidRPr="009627FD">
        <w:rPr>
          <w:noProof/>
          <w:lang w:val="en-US"/>
        </w:rPr>
        <w:tab/>
      </w:r>
      <w:r w:rsidRPr="009627FD">
        <w:rPr>
          <w:noProof/>
          <w:lang w:val="en-US"/>
        </w:rPr>
        <w:tab/>
      </w:r>
      <w:hyperlink r:id="rId50" w:history="1">
        <w:r w:rsidRPr="009627FD">
          <w:rPr>
            <w:rStyle w:val="Hyperlink"/>
            <w:u w:val="none"/>
            <w:lang w:val="en-US"/>
          </w:rPr>
          <w:t>https://doi.org/10.1016/S0887-6185(02)00237-2</w:t>
        </w:r>
      </w:hyperlink>
    </w:p>
    <w:p w14:paraId="108A1D2B" w14:textId="77777777" w:rsidR="00A54959" w:rsidRPr="009627FD" w:rsidRDefault="00A54959" w:rsidP="00A54959">
      <w:pPr>
        <w:widowControl w:val="0"/>
        <w:tabs>
          <w:tab w:val="left" w:pos="220"/>
          <w:tab w:val="left" w:pos="720"/>
        </w:tabs>
        <w:autoSpaceDE w:val="0"/>
        <w:autoSpaceDN w:val="0"/>
        <w:adjustRightInd w:val="0"/>
        <w:spacing w:line="360" w:lineRule="auto"/>
        <w:rPr>
          <w:i/>
          <w:iCs/>
          <w:lang w:val="en-US"/>
        </w:rPr>
      </w:pPr>
      <w:r w:rsidRPr="009627FD">
        <w:rPr>
          <w:lang w:val="en-US"/>
        </w:rPr>
        <w:t xml:space="preserve">Rosseel, Y. (2012). Lavaan: An R package for structural equation modeling. </w:t>
      </w:r>
      <w:r w:rsidRPr="009627FD">
        <w:rPr>
          <w:i/>
          <w:iCs/>
          <w:lang w:val="en-US"/>
        </w:rPr>
        <w:t xml:space="preserve">Journal of Statistical </w:t>
      </w:r>
    </w:p>
    <w:p w14:paraId="1D8DC298" w14:textId="77777777" w:rsidR="00A54959" w:rsidRPr="009627FD" w:rsidRDefault="00A54959" w:rsidP="00A54959">
      <w:pPr>
        <w:widowControl w:val="0"/>
        <w:tabs>
          <w:tab w:val="left" w:pos="220"/>
          <w:tab w:val="left" w:pos="720"/>
        </w:tabs>
        <w:autoSpaceDE w:val="0"/>
        <w:autoSpaceDN w:val="0"/>
        <w:adjustRightInd w:val="0"/>
        <w:spacing w:line="360" w:lineRule="auto"/>
        <w:rPr>
          <w:lang w:val="en-US"/>
        </w:rPr>
      </w:pPr>
      <w:r w:rsidRPr="009627FD">
        <w:rPr>
          <w:i/>
          <w:iCs/>
          <w:lang w:val="en-US"/>
        </w:rPr>
        <w:tab/>
      </w:r>
      <w:r w:rsidRPr="009627FD">
        <w:rPr>
          <w:i/>
          <w:iCs/>
          <w:lang w:val="en-US"/>
        </w:rPr>
        <w:tab/>
        <w:t>Software, 48</w:t>
      </w:r>
      <w:r w:rsidRPr="009627FD">
        <w:rPr>
          <w:lang w:val="en-US"/>
        </w:rPr>
        <w:t xml:space="preserve">, 1–36. </w:t>
      </w:r>
      <w:hyperlink r:id="rId51" w:history="1">
        <w:r w:rsidRPr="009627FD">
          <w:rPr>
            <w:rStyle w:val="Hyperlink"/>
            <w:u w:val="none"/>
            <w:lang w:val="en-US"/>
          </w:rPr>
          <w:t>https://doi.org/10.18637/jss.v048.i02</w:t>
        </w:r>
      </w:hyperlink>
    </w:p>
    <w:p w14:paraId="626EF362" w14:textId="77777777" w:rsidR="00A54959" w:rsidRPr="009627FD" w:rsidRDefault="00A54959" w:rsidP="00A54959">
      <w:pPr>
        <w:widowControl w:val="0"/>
        <w:tabs>
          <w:tab w:val="left" w:pos="220"/>
          <w:tab w:val="left" w:pos="720"/>
        </w:tabs>
        <w:autoSpaceDE w:val="0"/>
        <w:autoSpaceDN w:val="0"/>
        <w:adjustRightInd w:val="0"/>
        <w:spacing w:line="360" w:lineRule="auto"/>
        <w:rPr>
          <w:lang w:val="en-US"/>
        </w:rPr>
      </w:pPr>
      <w:r w:rsidRPr="009627FD">
        <w:rPr>
          <w:lang w:val="en-US"/>
        </w:rPr>
        <w:t xml:space="preserve">Satorra, A., &amp; Bentler, P. M. (1994). Corrections to test statistics and standard errors in covariance </w:t>
      </w:r>
    </w:p>
    <w:p w14:paraId="557BD499" w14:textId="77777777" w:rsidR="00A54959" w:rsidRPr="009627FD" w:rsidRDefault="00A54959" w:rsidP="00A54959">
      <w:pPr>
        <w:widowControl w:val="0"/>
        <w:tabs>
          <w:tab w:val="left" w:pos="220"/>
          <w:tab w:val="left" w:pos="720"/>
        </w:tabs>
        <w:autoSpaceDE w:val="0"/>
        <w:autoSpaceDN w:val="0"/>
        <w:adjustRightInd w:val="0"/>
        <w:spacing w:line="360" w:lineRule="auto"/>
        <w:ind w:left="708"/>
        <w:rPr>
          <w:lang w:val="en-US"/>
        </w:rPr>
      </w:pPr>
      <w:r w:rsidRPr="009627FD">
        <w:rPr>
          <w:lang w:val="en-US"/>
        </w:rPr>
        <w:t xml:space="preserve">structure analysis. In A. Von Eye &amp; C. C. Clogg (Eds.), </w:t>
      </w:r>
      <w:r w:rsidRPr="009627FD">
        <w:rPr>
          <w:i/>
          <w:iCs/>
          <w:lang w:val="en-US"/>
        </w:rPr>
        <w:t>Latent variable analysis. Applications for developmental research</w:t>
      </w:r>
      <w:r w:rsidRPr="009627FD">
        <w:rPr>
          <w:lang w:val="en-US"/>
        </w:rPr>
        <w:t xml:space="preserve"> (pp. 399–419). Thousand Oaks, CA: Sage.</w:t>
      </w:r>
    </w:p>
    <w:p w14:paraId="0A97D996" w14:textId="77777777" w:rsidR="00A54959" w:rsidRPr="009627FD" w:rsidRDefault="00A54959" w:rsidP="00A54959">
      <w:pPr>
        <w:spacing w:line="360" w:lineRule="auto"/>
        <w:rPr>
          <w:lang w:val="en-US"/>
        </w:rPr>
      </w:pPr>
      <w:r w:rsidRPr="009627FD">
        <w:rPr>
          <w:lang w:val="en-US"/>
        </w:rPr>
        <w:t xml:space="preserve">Soraci, P., Ferrari, A., Abbiati, F.A., Del Fante, E., De Pace, R., Urso, A, &amp; Griffiths, M.D. (2020) </w:t>
      </w:r>
    </w:p>
    <w:p w14:paraId="7E830776" w14:textId="228E690E" w:rsidR="00A54959" w:rsidRPr="009627FD" w:rsidRDefault="00A54959" w:rsidP="00A54959">
      <w:pPr>
        <w:spacing w:line="360" w:lineRule="auto"/>
        <w:ind w:left="708"/>
        <w:rPr>
          <w:lang w:val="en-US"/>
        </w:rPr>
      </w:pPr>
      <w:r w:rsidRPr="009627FD">
        <w:rPr>
          <w:lang w:val="en-US"/>
        </w:rPr>
        <w:t>Validation and Psychometric Evaluation of the Italian Version of the Fear of COVID-19 Scale</w:t>
      </w:r>
      <w:r w:rsidRPr="009627FD">
        <w:rPr>
          <w:i/>
          <w:iCs/>
          <w:lang w:val="en-US"/>
        </w:rPr>
        <w:t>. International Journal of Mental Health and Addiction, 4,</w:t>
      </w:r>
      <w:r w:rsidRPr="009627FD">
        <w:rPr>
          <w:lang w:val="en-US"/>
        </w:rPr>
        <w:t xml:space="preserve"> 1-10. </w:t>
      </w:r>
      <w:hyperlink r:id="rId52" w:history="1">
        <w:r w:rsidRPr="009627FD">
          <w:rPr>
            <w:rStyle w:val="Hyperlink"/>
            <w:u w:val="none"/>
            <w:lang w:val="en-US"/>
          </w:rPr>
          <w:t>https://doi.org/10.1007/s11469-020-00277-1</w:t>
        </w:r>
      </w:hyperlink>
    </w:p>
    <w:p w14:paraId="0C907C64" w14:textId="77777777" w:rsidR="00743ED1" w:rsidRDefault="00743ED1" w:rsidP="00A54959">
      <w:pPr>
        <w:widowControl w:val="0"/>
        <w:autoSpaceDE w:val="0"/>
        <w:autoSpaceDN w:val="0"/>
        <w:adjustRightInd w:val="0"/>
        <w:spacing w:line="360" w:lineRule="auto"/>
        <w:rPr>
          <w:noProof/>
          <w:lang w:val="en-US"/>
        </w:rPr>
      </w:pPr>
    </w:p>
    <w:p w14:paraId="1D5F9D71" w14:textId="77777777" w:rsidR="00743ED1" w:rsidRDefault="00743ED1" w:rsidP="00A54959">
      <w:pPr>
        <w:widowControl w:val="0"/>
        <w:autoSpaceDE w:val="0"/>
        <w:autoSpaceDN w:val="0"/>
        <w:adjustRightInd w:val="0"/>
        <w:spacing w:line="360" w:lineRule="auto"/>
        <w:rPr>
          <w:noProof/>
          <w:lang w:val="en-US"/>
        </w:rPr>
      </w:pPr>
    </w:p>
    <w:p w14:paraId="03C22E03" w14:textId="1E00BD01" w:rsidR="00A54959" w:rsidRPr="009627FD" w:rsidRDefault="00A54959" w:rsidP="00A54959">
      <w:pPr>
        <w:widowControl w:val="0"/>
        <w:autoSpaceDE w:val="0"/>
        <w:autoSpaceDN w:val="0"/>
        <w:adjustRightInd w:val="0"/>
        <w:spacing w:line="360" w:lineRule="auto"/>
        <w:rPr>
          <w:noProof/>
          <w:lang w:val="en-US"/>
        </w:rPr>
      </w:pPr>
      <w:r w:rsidRPr="009627FD">
        <w:rPr>
          <w:noProof/>
          <w:lang w:val="en-US"/>
        </w:rPr>
        <w:lastRenderedPageBreak/>
        <w:t xml:space="preserve">Sousa, V.D., &amp; Rojjanasrirat, W.  (2011). Translation, adaptation and validation of instruments or </w:t>
      </w:r>
    </w:p>
    <w:p w14:paraId="4B6BCB2F" w14:textId="77777777" w:rsidR="00A54959" w:rsidRPr="009627FD" w:rsidRDefault="00A54959" w:rsidP="00A54959">
      <w:pPr>
        <w:widowControl w:val="0"/>
        <w:autoSpaceDE w:val="0"/>
        <w:autoSpaceDN w:val="0"/>
        <w:adjustRightInd w:val="0"/>
        <w:spacing w:line="360" w:lineRule="auto"/>
        <w:ind w:left="708"/>
        <w:rPr>
          <w:noProof/>
          <w:lang w:val="en-US"/>
        </w:rPr>
      </w:pPr>
      <w:r w:rsidRPr="009627FD">
        <w:rPr>
          <w:noProof/>
          <w:lang w:val="en-US"/>
        </w:rPr>
        <w:t xml:space="preserve">scales for use in cross-cultural health care research: a clear and user-friendly guideline. </w:t>
      </w:r>
      <w:r w:rsidRPr="009627FD">
        <w:rPr>
          <w:i/>
          <w:noProof/>
          <w:lang w:val="en-US"/>
        </w:rPr>
        <w:t>Journal of Evaluation in Clinical Practice, 17</w:t>
      </w:r>
      <w:r w:rsidRPr="009627FD">
        <w:rPr>
          <w:noProof/>
          <w:lang w:val="en-US"/>
        </w:rPr>
        <w:t xml:space="preserve">(2), 268-274. </w:t>
      </w:r>
      <w:hyperlink r:id="rId53" w:history="1">
        <w:r w:rsidRPr="009627FD">
          <w:rPr>
            <w:rStyle w:val="Hyperlink"/>
            <w:u w:val="none"/>
            <w:lang w:val="en-US"/>
          </w:rPr>
          <w:t>https://doi.org/10.1111/j.1365-2753.2010.01434.x</w:t>
        </w:r>
      </w:hyperlink>
    </w:p>
    <w:p w14:paraId="015E965B" w14:textId="77777777" w:rsidR="00A54959" w:rsidRPr="009627FD" w:rsidRDefault="00A54959" w:rsidP="00A54959">
      <w:pPr>
        <w:spacing w:line="360" w:lineRule="auto"/>
        <w:rPr>
          <w:lang w:val="en-US"/>
        </w:rPr>
      </w:pPr>
      <w:r w:rsidRPr="009627FD">
        <w:rPr>
          <w:lang w:val="en-US"/>
        </w:rPr>
        <w:t xml:space="preserve">Spitzer, R. L., Kroenke, K., Williams, J. B., &amp; Löwe, B. (2006). A brief measure for assessing </w:t>
      </w:r>
    </w:p>
    <w:p w14:paraId="24BAD117" w14:textId="77777777" w:rsidR="00A54959" w:rsidRPr="009627FD" w:rsidRDefault="00A54959" w:rsidP="00A54959">
      <w:pPr>
        <w:spacing w:line="360" w:lineRule="auto"/>
        <w:ind w:firstLine="708"/>
        <w:rPr>
          <w:lang w:val="en-US"/>
        </w:rPr>
      </w:pPr>
      <w:r w:rsidRPr="009627FD">
        <w:rPr>
          <w:lang w:val="en-US"/>
        </w:rPr>
        <w:t>generalized anxiety disorder: the GAD-7. </w:t>
      </w:r>
      <w:r w:rsidRPr="009627FD">
        <w:rPr>
          <w:i/>
          <w:iCs/>
          <w:lang w:val="en-US"/>
        </w:rPr>
        <w:t>Archives of internal medicine</w:t>
      </w:r>
      <w:r w:rsidRPr="009627FD">
        <w:rPr>
          <w:lang w:val="en-US"/>
        </w:rPr>
        <w:t>, </w:t>
      </w:r>
      <w:r w:rsidRPr="009627FD">
        <w:rPr>
          <w:i/>
          <w:iCs/>
          <w:lang w:val="en-US"/>
        </w:rPr>
        <w:t>166</w:t>
      </w:r>
      <w:r w:rsidRPr="009627FD">
        <w:rPr>
          <w:lang w:val="en-US"/>
        </w:rPr>
        <w:t>(10), 1092-</w:t>
      </w:r>
    </w:p>
    <w:p w14:paraId="2DF42365" w14:textId="4C6109D7" w:rsidR="00A54959" w:rsidRPr="009627FD" w:rsidRDefault="00A54959" w:rsidP="00A54959">
      <w:pPr>
        <w:spacing w:line="360" w:lineRule="auto"/>
        <w:ind w:firstLine="708"/>
        <w:rPr>
          <w:lang w:val="en-US"/>
        </w:rPr>
      </w:pPr>
      <w:r w:rsidRPr="009627FD">
        <w:rPr>
          <w:lang w:val="en-US"/>
        </w:rPr>
        <w:t xml:space="preserve">1097. </w:t>
      </w:r>
      <w:hyperlink r:id="rId54" w:history="1">
        <w:r w:rsidRPr="009627FD">
          <w:rPr>
            <w:rStyle w:val="Hyperlink"/>
            <w:u w:val="none"/>
            <w:lang w:val="en-US"/>
          </w:rPr>
          <w:t>https://doi.org/10.1001/archinte.166.10.1092</w:t>
        </w:r>
      </w:hyperlink>
    </w:p>
    <w:p w14:paraId="09FE95FA" w14:textId="77777777" w:rsidR="00A54959" w:rsidRPr="009627FD" w:rsidRDefault="00A54959" w:rsidP="00A54959">
      <w:pPr>
        <w:spacing w:line="360" w:lineRule="auto"/>
        <w:rPr>
          <w:lang w:val="en-US"/>
        </w:rPr>
      </w:pPr>
      <w:r w:rsidRPr="009627FD">
        <w:t xml:space="preserve">Stavosky, J. M., &amp; Borkovec, T. D. (1988). </w:t>
      </w:r>
      <w:r w:rsidRPr="009627FD">
        <w:rPr>
          <w:lang w:val="en-US"/>
        </w:rPr>
        <w:t xml:space="preserve">The phenomenon of worry: theory, research, treatment </w:t>
      </w:r>
    </w:p>
    <w:p w14:paraId="06CC3D1A" w14:textId="77777777" w:rsidR="00A54959" w:rsidRPr="009627FD" w:rsidRDefault="00A54959" w:rsidP="00A54959">
      <w:pPr>
        <w:spacing w:line="360" w:lineRule="auto"/>
        <w:ind w:firstLine="708"/>
        <w:rPr>
          <w:lang w:val="en-US"/>
        </w:rPr>
      </w:pPr>
      <w:r w:rsidRPr="009627FD">
        <w:rPr>
          <w:lang w:val="en-US"/>
        </w:rPr>
        <w:t xml:space="preserve">and its implications for women. </w:t>
      </w:r>
      <w:r w:rsidRPr="009627FD">
        <w:rPr>
          <w:i/>
          <w:iCs/>
          <w:lang w:val="en-US"/>
        </w:rPr>
        <w:t>Women and Therapy, 6</w:t>
      </w:r>
      <w:r w:rsidRPr="009627FD">
        <w:rPr>
          <w:lang w:val="en-US"/>
        </w:rPr>
        <w:t xml:space="preserve">, 77–95. </w:t>
      </w:r>
    </w:p>
    <w:p w14:paraId="6450BCC9" w14:textId="77777777" w:rsidR="00A54959" w:rsidRPr="009627FD" w:rsidRDefault="005D691B" w:rsidP="00A54959">
      <w:pPr>
        <w:spacing w:line="360" w:lineRule="auto"/>
        <w:ind w:firstLine="708"/>
        <w:rPr>
          <w:rStyle w:val="Hyperlink"/>
          <w:u w:val="none"/>
          <w:lang w:val="en-US"/>
        </w:rPr>
      </w:pPr>
      <w:hyperlink r:id="rId55" w:history="1">
        <w:r w:rsidR="00A54959" w:rsidRPr="009627FD">
          <w:rPr>
            <w:rStyle w:val="Hyperlink"/>
            <w:u w:val="none"/>
            <w:lang w:val="en-US"/>
          </w:rPr>
          <w:t>https://doi.org/10.1300/J015V06N03_07</w:t>
        </w:r>
      </w:hyperlink>
    </w:p>
    <w:p w14:paraId="08676545" w14:textId="77777777" w:rsidR="00A54959" w:rsidRPr="009627FD" w:rsidRDefault="00A54959" w:rsidP="00A54959">
      <w:pPr>
        <w:widowControl w:val="0"/>
        <w:autoSpaceDE w:val="0"/>
        <w:autoSpaceDN w:val="0"/>
        <w:adjustRightInd w:val="0"/>
        <w:spacing w:line="360" w:lineRule="auto"/>
        <w:rPr>
          <w:rFonts w:eastAsiaTheme="minorEastAsia"/>
          <w:i/>
          <w:iCs/>
          <w:lang w:val="en-US"/>
        </w:rPr>
      </w:pPr>
      <w:r w:rsidRPr="009627FD">
        <w:rPr>
          <w:rFonts w:eastAsiaTheme="minorEastAsia"/>
          <w:lang w:val="en-US"/>
        </w:rPr>
        <w:t xml:space="preserve">Taylor, S. (2019). </w:t>
      </w:r>
      <w:r w:rsidRPr="009627FD">
        <w:rPr>
          <w:rFonts w:eastAsiaTheme="minorEastAsia"/>
          <w:i/>
          <w:iCs/>
          <w:lang w:val="en-US"/>
        </w:rPr>
        <w:t xml:space="preserve">The psychology of pandemics: Preparing for the next global outbreak of </w:t>
      </w:r>
    </w:p>
    <w:p w14:paraId="01A4B5A0" w14:textId="77777777" w:rsidR="00A54959" w:rsidRPr="009627FD" w:rsidRDefault="00A54959" w:rsidP="00A54959">
      <w:pPr>
        <w:widowControl w:val="0"/>
        <w:autoSpaceDE w:val="0"/>
        <w:autoSpaceDN w:val="0"/>
        <w:adjustRightInd w:val="0"/>
        <w:spacing w:line="360" w:lineRule="auto"/>
        <w:ind w:firstLine="708"/>
        <w:rPr>
          <w:rFonts w:eastAsiaTheme="minorEastAsia"/>
          <w:lang w:val="en-US"/>
        </w:rPr>
      </w:pPr>
      <w:r w:rsidRPr="009627FD">
        <w:rPr>
          <w:rFonts w:eastAsiaTheme="minorEastAsia"/>
          <w:i/>
          <w:iCs/>
          <w:lang w:val="en-US"/>
        </w:rPr>
        <w:t>infectious disease</w:t>
      </w:r>
      <w:r w:rsidRPr="009627FD">
        <w:rPr>
          <w:rFonts w:eastAsiaTheme="minorEastAsia"/>
          <w:lang w:val="en-US"/>
        </w:rPr>
        <w:t>. Cambridge Scholars Publishing.</w:t>
      </w:r>
    </w:p>
    <w:p w14:paraId="26D87F63"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Taylor, S., Landry, C. A., Paluszek, M. M., Fergus, T. A., McKay, D., &amp; Asmundson, G. J. (2020). </w:t>
      </w:r>
    </w:p>
    <w:p w14:paraId="5A9BBEA6" w14:textId="77777777" w:rsidR="00A54959" w:rsidRPr="009627FD" w:rsidRDefault="00A54959" w:rsidP="00A54959">
      <w:pPr>
        <w:spacing w:line="360" w:lineRule="auto"/>
        <w:ind w:left="708"/>
        <w:rPr>
          <w:shd w:val="clear" w:color="auto" w:fill="FFFFFF"/>
          <w:lang w:val="en-US"/>
        </w:rPr>
      </w:pPr>
      <w:r w:rsidRPr="009627FD">
        <w:rPr>
          <w:shd w:val="clear" w:color="auto" w:fill="FFFFFF"/>
          <w:lang w:val="en-US"/>
        </w:rPr>
        <w:t>Development and initial validation of the COVID Stress Scales. </w:t>
      </w:r>
      <w:r w:rsidRPr="009627FD">
        <w:rPr>
          <w:i/>
          <w:iCs/>
          <w:shd w:val="clear" w:color="auto" w:fill="FFFFFF"/>
          <w:lang w:val="en-US"/>
        </w:rPr>
        <w:t>Journal of Anxiety Disorders, 72</w:t>
      </w:r>
      <w:r w:rsidRPr="009627FD">
        <w:rPr>
          <w:shd w:val="clear" w:color="auto" w:fill="FFFFFF"/>
          <w:lang w:val="en-US"/>
        </w:rPr>
        <w:t xml:space="preserve">, 102232. </w:t>
      </w:r>
      <w:hyperlink r:id="rId56" w:history="1">
        <w:r w:rsidRPr="009627FD">
          <w:rPr>
            <w:rStyle w:val="Hyperlink"/>
            <w:u w:val="none"/>
            <w:lang w:val="en-US"/>
          </w:rPr>
          <w:t>https://doi.org/10.1016/j.janxdis.2020.102232</w:t>
        </w:r>
      </w:hyperlink>
    </w:p>
    <w:p w14:paraId="23EDC8CD" w14:textId="77777777" w:rsidR="00A54959" w:rsidRPr="009627FD" w:rsidRDefault="00A54959" w:rsidP="00A54959">
      <w:pPr>
        <w:spacing w:line="360" w:lineRule="auto"/>
        <w:rPr>
          <w:shd w:val="clear" w:color="auto" w:fill="FFFFFF"/>
          <w:lang w:val="en-US"/>
        </w:rPr>
      </w:pPr>
      <w:r w:rsidRPr="009627FD">
        <w:rPr>
          <w:shd w:val="clear" w:color="auto" w:fill="FFFFFF"/>
          <w:lang w:val="en-US"/>
        </w:rPr>
        <w:t xml:space="preserve">Taylor, S., Paluszek, M. M., Rachor, G. S., McKay, D., &amp; Asmundson, G. J. (2021). Substance use </w:t>
      </w:r>
    </w:p>
    <w:p w14:paraId="743D1E36" w14:textId="77777777" w:rsidR="00A54959" w:rsidRPr="009627FD" w:rsidRDefault="00A54959" w:rsidP="00A54959">
      <w:pPr>
        <w:spacing w:line="360" w:lineRule="auto"/>
        <w:ind w:left="708"/>
        <w:rPr>
          <w:lang w:val="en-US"/>
        </w:rPr>
      </w:pPr>
      <w:r w:rsidRPr="009627FD">
        <w:rPr>
          <w:shd w:val="clear" w:color="auto" w:fill="FFFFFF"/>
          <w:lang w:val="en-US"/>
        </w:rPr>
        <w:t>and abuse, COVID-19-related distress, and disregard for social distancing: A network analysis. </w:t>
      </w:r>
      <w:r w:rsidRPr="009627FD">
        <w:rPr>
          <w:i/>
          <w:shd w:val="clear" w:color="auto" w:fill="FFFFFF"/>
          <w:lang w:val="en-US"/>
        </w:rPr>
        <w:t>Addictive Behaviors, 114</w:t>
      </w:r>
      <w:r w:rsidRPr="009627FD">
        <w:rPr>
          <w:shd w:val="clear" w:color="auto" w:fill="FFFFFF"/>
          <w:lang w:val="en-US"/>
        </w:rPr>
        <w:t xml:space="preserve">, 106754. </w:t>
      </w:r>
      <w:hyperlink r:id="rId57" w:history="1">
        <w:r w:rsidRPr="009627FD">
          <w:rPr>
            <w:rStyle w:val="Hyperlink"/>
            <w:u w:val="none"/>
            <w:lang w:val="en-US"/>
          </w:rPr>
          <w:t>https://doi.org/10.1016/j.addbeh.2020.106754</w:t>
        </w:r>
      </w:hyperlink>
    </w:p>
    <w:p w14:paraId="67BCF13B" w14:textId="77777777" w:rsidR="00A54959" w:rsidRPr="009627FD" w:rsidRDefault="00A54959" w:rsidP="00A54959">
      <w:pPr>
        <w:spacing w:line="360" w:lineRule="auto"/>
        <w:rPr>
          <w:i/>
          <w:iCs/>
          <w:lang w:val="en-US"/>
        </w:rPr>
      </w:pPr>
      <w:r w:rsidRPr="009627FD">
        <w:rPr>
          <w:lang w:val="en-US"/>
        </w:rPr>
        <w:t xml:space="preserve">Theorell, T. (2020). COVID-19 and working conditions in health care. </w:t>
      </w:r>
      <w:r w:rsidRPr="009627FD">
        <w:rPr>
          <w:i/>
          <w:iCs/>
          <w:lang w:val="en-US"/>
        </w:rPr>
        <w:t xml:space="preserve">Psychotherapy and </w:t>
      </w:r>
    </w:p>
    <w:p w14:paraId="567F48C3" w14:textId="77777777" w:rsidR="00A54959" w:rsidRPr="009627FD" w:rsidRDefault="00A54959" w:rsidP="00A54959">
      <w:pPr>
        <w:spacing w:line="360" w:lineRule="auto"/>
        <w:ind w:firstLine="708"/>
        <w:rPr>
          <w:rStyle w:val="Hyperlink"/>
          <w:u w:val="none"/>
          <w:lang w:val="en-US"/>
        </w:rPr>
      </w:pPr>
      <w:r w:rsidRPr="009627FD">
        <w:rPr>
          <w:i/>
          <w:iCs/>
          <w:lang w:val="en-US"/>
        </w:rPr>
        <w:t>Psychosomatics, 89</w:t>
      </w:r>
      <w:r w:rsidRPr="009627FD">
        <w:rPr>
          <w:lang w:val="en-US"/>
        </w:rPr>
        <w:t xml:space="preserve">(4), 193–194. </w:t>
      </w:r>
      <w:hyperlink r:id="rId58" w:history="1">
        <w:r w:rsidRPr="009627FD">
          <w:rPr>
            <w:rStyle w:val="Hyperlink"/>
            <w:u w:val="none"/>
            <w:lang w:val="en-US"/>
          </w:rPr>
          <w:t>https://doi.org/10. 1159/000507765</w:t>
        </w:r>
      </w:hyperlink>
    </w:p>
    <w:p w14:paraId="0B072284" w14:textId="77777777" w:rsidR="00517F83" w:rsidRPr="009627FD" w:rsidRDefault="00517F83" w:rsidP="00517F83">
      <w:pPr>
        <w:spacing w:line="360" w:lineRule="auto"/>
        <w:rPr>
          <w:lang w:val="en-US"/>
        </w:rPr>
      </w:pPr>
      <w:r w:rsidRPr="009627FD">
        <w:rPr>
          <w:lang w:val="en-US"/>
        </w:rPr>
        <w:t xml:space="preserve">Van de Schoot, R., Lugtig, P, &amp; Hox, J. (2012). A checklist for testing measurement invariance. </w:t>
      </w:r>
    </w:p>
    <w:p w14:paraId="6110C26B" w14:textId="77777777" w:rsidR="00517F83" w:rsidRPr="009627FD" w:rsidRDefault="00517F83" w:rsidP="00517F83">
      <w:pPr>
        <w:spacing w:line="360" w:lineRule="auto"/>
        <w:ind w:firstLine="708"/>
        <w:rPr>
          <w:lang w:val="en-US"/>
        </w:rPr>
      </w:pPr>
      <w:r w:rsidRPr="009627FD">
        <w:rPr>
          <w:i/>
          <w:lang w:val="en-US"/>
        </w:rPr>
        <w:t>European Journal of Developmental Psychology</w:t>
      </w:r>
      <w:r w:rsidRPr="009627FD">
        <w:rPr>
          <w:lang w:val="en-US"/>
        </w:rPr>
        <w:t>, 9, 486-492.</w:t>
      </w:r>
    </w:p>
    <w:p w14:paraId="7A12B6E9" w14:textId="72F04D39" w:rsidR="00517F83" w:rsidRPr="009627FD" w:rsidRDefault="00517F83" w:rsidP="00517F83">
      <w:pPr>
        <w:spacing w:line="360" w:lineRule="auto"/>
        <w:ind w:firstLine="708"/>
        <w:rPr>
          <w:lang w:val="en-US"/>
        </w:rPr>
      </w:pPr>
      <w:r w:rsidRPr="009627FD">
        <w:rPr>
          <w:rStyle w:val="Hyperlink"/>
          <w:u w:val="none"/>
        </w:rPr>
        <w:t>https://doi.org/10.1080/17405629.2012.686740</w:t>
      </w:r>
    </w:p>
    <w:p w14:paraId="6F3E5454" w14:textId="77777777" w:rsidR="00A54959" w:rsidRPr="009627FD" w:rsidRDefault="00A54959" w:rsidP="00A54959">
      <w:pPr>
        <w:spacing w:line="360" w:lineRule="auto"/>
        <w:rPr>
          <w:lang w:val="en-US"/>
        </w:rPr>
      </w:pPr>
      <w:r w:rsidRPr="009627FD">
        <w:rPr>
          <w:lang w:val="en-US"/>
        </w:rPr>
        <w:t xml:space="preserve">Viner, R. M., Russell, S. J., Croker, H., Packer, J., Ward, J., Stansfield, C., …, &amp; Booy, R. (2020). </w:t>
      </w:r>
    </w:p>
    <w:p w14:paraId="41C34915" w14:textId="4536048A" w:rsidR="00A54959" w:rsidRPr="009627FD" w:rsidRDefault="00A54959" w:rsidP="00A54959">
      <w:pPr>
        <w:spacing w:line="360" w:lineRule="auto"/>
        <w:ind w:left="708"/>
        <w:rPr>
          <w:lang w:val="en-US"/>
        </w:rPr>
      </w:pPr>
      <w:r w:rsidRPr="009627FD">
        <w:rPr>
          <w:lang w:val="en-US"/>
        </w:rPr>
        <w:t xml:space="preserve">School closure and manage- ment practices during coronavirus outbreaks including COVID-19: A rapid systematic review. The Lancet Child &amp; Adolescent Health, 4(5), 397–404. </w:t>
      </w:r>
      <w:r w:rsidRPr="009627FD">
        <w:rPr>
          <w:rStyle w:val="Hyperlink"/>
          <w:u w:val="none"/>
          <w:lang w:val="en-US"/>
        </w:rPr>
        <w:t>https://doi.org/10.1016/S2352-4642(20)30095-X</w:t>
      </w:r>
    </w:p>
    <w:p w14:paraId="6C1742FE" w14:textId="77777777" w:rsidR="00A54959" w:rsidRPr="009627FD" w:rsidRDefault="00A54959" w:rsidP="00A54959">
      <w:pPr>
        <w:spacing w:line="360" w:lineRule="auto"/>
        <w:rPr>
          <w:lang w:val="en-US"/>
        </w:rPr>
      </w:pPr>
      <w:r w:rsidRPr="009627FD">
        <w:rPr>
          <w:lang w:val="en-US"/>
        </w:rPr>
        <w:t xml:space="preserve">Wahlund, T., Mataix-Cols, D., Lauri, K. O., de Schipper, E., Ljótsson, B., Aspvall, K., &amp; </w:t>
      </w:r>
    </w:p>
    <w:p w14:paraId="53720887" w14:textId="77777777" w:rsidR="00A54959" w:rsidRPr="009627FD" w:rsidRDefault="00A54959" w:rsidP="00A54959">
      <w:pPr>
        <w:spacing w:line="360" w:lineRule="auto"/>
        <w:ind w:firstLine="708"/>
        <w:rPr>
          <w:lang w:val="en-US"/>
        </w:rPr>
      </w:pPr>
      <w:r w:rsidRPr="009627FD">
        <w:rPr>
          <w:lang w:val="en-US"/>
        </w:rPr>
        <w:t xml:space="preserve">Andersson, E. (2021). Brief online cognitive behavioural intervention for dysfunctional </w:t>
      </w:r>
    </w:p>
    <w:p w14:paraId="58BDFF6E" w14:textId="77777777" w:rsidR="00A54959" w:rsidRPr="009627FD" w:rsidRDefault="00A54959" w:rsidP="00A54959">
      <w:pPr>
        <w:spacing w:line="360" w:lineRule="auto"/>
        <w:ind w:firstLine="708"/>
        <w:rPr>
          <w:i/>
          <w:iCs/>
          <w:lang w:val="en-US"/>
        </w:rPr>
      </w:pPr>
      <w:r w:rsidRPr="009627FD">
        <w:rPr>
          <w:lang w:val="en-US"/>
        </w:rPr>
        <w:t>worry related to the COVID-19 pandemic: a randomised controlled trial. </w:t>
      </w:r>
      <w:r w:rsidRPr="009627FD">
        <w:rPr>
          <w:i/>
          <w:iCs/>
          <w:lang w:val="en-US"/>
        </w:rPr>
        <w:t xml:space="preserve">Psychotherapy and </w:t>
      </w:r>
    </w:p>
    <w:p w14:paraId="0BFCF761" w14:textId="77777777" w:rsidR="00A54959" w:rsidRPr="009627FD" w:rsidRDefault="00A54959" w:rsidP="00A54959">
      <w:pPr>
        <w:spacing w:line="360" w:lineRule="auto"/>
        <w:ind w:firstLine="708"/>
        <w:rPr>
          <w:lang w:val="en-US"/>
        </w:rPr>
      </w:pPr>
      <w:r w:rsidRPr="009627FD">
        <w:rPr>
          <w:i/>
          <w:iCs/>
          <w:lang w:val="en-US"/>
        </w:rPr>
        <w:t>psychosomatics</w:t>
      </w:r>
      <w:r w:rsidRPr="009627FD">
        <w:rPr>
          <w:lang w:val="en-US"/>
        </w:rPr>
        <w:t>, </w:t>
      </w:r>
      <w:r w:rsidRPr="009627FD">
        <w:rPr>
          <w:i/>
          <w:iCs/>
          <w:lang w:val="en-US"/>
        </w:rPr>
        <w:t>90</w:t>
      </w:r>
      <w:r w:rsidRPr="009627FD">
        <w:rPr>
          <w:lang w:val="en-US"/>
        </w:rPr>
        <w:t xml:space="preserve">(3), 191-199. </w:t>
      </w:r>
      <w:hyperlink r:id="rId59" w:history="1">
        <w:r w:rsidRPr="009627FD">
          <w:rPr>
            <w:rStyle w:val="Hyperlink"/>
            <w:u w:val="none"/>
            <w:lang w:val="en-US"/>
          </w:rPr>
          <w:t>https://doi.org/10.1159/ 000512843</w:t>
        </w:r>
      </w:hyperlink>
      <w:r w:rsidRPr="009627FD">
        <w:rPr>
          <w:lang w:val="en-US"/>
        </w:rPr>
        <w:t xml:space="preserve"> </w:t>
      </w:r>
    </w:p>
    <w:p w14:paraId="02AB049B" w14:textId="77777777" w:rsidR="00A54959" w:rsidRPr="009627FD" w:rsidRDefault="00A54959" w:rsidP="00A54959">
      <w:pPr>
        <w:spacing w:line="360" w:lineRule="auto"/>
        <w:rPr>
          <w:lang w:val="en-US"/>
        </w:rPr>
      </w:pPr>
      <w:r w:rsidRPr="009627FD">
        <w:rPr>
          <w:lang w:val="en-US"/>
        </w:rPr>
        <w:t xml:space="preserve">Wells, A. (2000). </w:t>
      </w:r>
      <w:r w:rsidRPr="009627FD">
        <w:rPr>
          <w:i/>
          <w:iCs/>
          <w:lang w:val="en-US"/>
        </w:rPr>
        <w:t>Emotional disorders and metacognition: Innovative cognitive therapy</w:t>
      </w:r>
      <w:r w:rsidRPr="009627FD">
        <w:rPr>
          <w:lang w:val="en-US"/>
        </w:rPr>
        <w:t>. Wiley.</w:t>
      </w:r>
    </w:p>
    <w:p w14:paraId="75DC62E8" w14:textId="77777777" w:rsidR="00A54959" w:rsidRPr="009627FD" w:rsidRDefault="00A54959" w:rsidP="00A54959">
      <w:pPr>
        <w:spacing w:line="360" w:lineRule="auto"/>
        <w:rPr>
          <w:lang w:val="en-US"/>
        </w:rPr>
      </w:pPr>
      <w:r w:rsidRPr="009627FD">
        <w:rPr>
          <w:lang w:val="en-US"/>
        </w:rPr>
        <w:t xml:space="preserve">Wells, A., &amp; Matthews, G. (1994). </w:t>
      </w:r>
      <w:r w:rsidRPr="009627FD">
        <w:rPr>
          <w:i/>
          <w:iCs/>
          <w:lang w:val="en-US"/>
        </w:rPr>
        <w:t>Attention and emotion: A clinical perspective</w:t>
      </w:r>
      <w:r w:rsidRPr="009627FD">
        <w:rPr>
          <w:lang w:val="en-US"/>
        </w:rPr>
        <w:t>. Hove: Erlbaum.</w:t>
      </w:r>
    </w:p>
    <w:p w14:paraId="22CB4BC2" w14:textId="77777777" w:rsidR="00A54959" w:rsidRPr="009627FD" w:rsidRDefault="00A54959" w:rsidP="00A54959">
      <w:pPr>
        <w:spacing w:line="360" w:lineRule="auto"/>
        <w:rPr>
          <w:lang w:val="en-US"/>
        </w:rPr>
      </w:pPr>
      <w:r w:rsidRPr="009627FD">
        <w:rPr>
          <w:lang w:val="en-US"/>
        </w:rPr>
        <w:t xml:space="preserve">Wells, A., &amp; Matthews, G. (1996). Modelling cognition in emotional disorder: The S-REF </w:t>
      </w:r>
    </w:p>
    <w:p w14:paraId="6C26040D" w14:textId="77777777" w:rsidR="00A54959" w:rsidRPr="009627FD" w:rsidRDefault="00A54959" w:rsidP="00A54959">
      <w:pPr>
        <w:spacing w:line="360" w:lineRule="auto"/>
        <w:ind w:firstLine="708"/>
        <w:rPr>
          <w:rStyle w:val="Hyperlink"/>
          <w:u w:val="none"/>
          <w:lang w:val="en-US"/>
        </w:rPr>
      </w:pPr>
      <w:r w:rsidRPr="009627FD">
        <w:rPr>
          <w:lang w:val="en-US"/>
        </w:rPr>
        <w:t>model. </w:t>
      </w:r>
      <w:r w:rsidRPr="009627FD">
        <w:rPr>
          <w:i/>
          <w:iCs/>
          <w:lang w:val="en-US"/>
        </w:rPr>
        <w:t>Behaviour research and therapy</w:t>
      </w:r>
      <w:r w:rsidRPr="009627FD">
        <w:rPr>
          <w:lang w:val="en-US"/>
        </w:rPr>
        <w:t>, </w:t>
      </w:r>
      <w:r w:rsidRPr="009627FD">
        <w:rPr>
          <w:i/>
          <w:iCs/>
          <w:lang w:val="en-US"/>
        </w:rPr>
        <w:t>34</w:t>
      </w:r>
      <w:r w:rsidRPr="009627FD">
        <w:rPr>
          <w:lang w:val="en-US"/>
        </w:rPr>
        <w:t xml:space="preserve">(11-12), 881-888. </w:t>
      </w:r>
      <w:r w:rsidRPr="009627FD">
        <w:rPr>
          <w:rStyle w:val="Hyperlink"/>
          <w:u w:val="none"/>
        </w:rPr>
        <w:fldChar w:fldCharType="begin"/>
      </w:r>
      <w:r w:rsidRPr="009627FD">
        <w:rPr>
          <w:rStyle w:val="Hyperlink"/>
          <w:u w:val="none"/>
          <w:lang w:val="en-US"/>
        </w:rPr>
        <w:instrText xml:space="preserve"> HYPERLINK "https://doi.org/10.1016/S0005-%20%207967(96)00050-2" </w:instrText>
      </w:r>
      <w:r w:rsidRPr="009627FD">
        <w:rPr>
          <w:rStyle w:val="Hyperlink"/>
          <w:u w:val="none"/>
        </w:rPr>
        <w:fldChar w:fldCharType="separate"/>
      </w:r>
      <w:r w:rsidRPr="009627FD">
        <w:rPr>
          <w:rStyle w:val="Hyperlink"/>
          <w:u w:val="none"/>
          <w:lang w:val="en-US"/>
        </w:rPr>
        <w:t>https://doi.org/10.1016/S0005-</w:t>
      </w:r>
    </w:p>
    <w:p w14:paraId="097657DE" w14:textId="77777777" w:rsidR="00A54959" w:rsidRPr="009627FD" w:rsidRDefault="00A54959" w:rsidP="00A54959">
      <w:pPr>
        <w:spacing w:line="360" w:lineRule="auto"/>
        <w:ind w:firstLine="708"/>
        <w:rPr>
          <w:rStyle w:val="Hyperlink"/>
          <w:u w:val="none"/>
          <w:lang w:val="en-US"/>
        </w:rPr>
      </w:pPr>
      <w:r w:rsidRPr="009627FD">
        <w:rPr>
          <w:rStyle w:val="Hyperlink"/>
          <w:u w:val="none"/>
          <w:lang w:val="en-US"/>
        </w:rPr>
        <w:t>7967(96)00050-2</w:t>
      </w:r>
      <w:r w:rsidRPr="009627FD">
        <w:rPr>
          <w:rStyle w:val="Hyperlink"/>
          <w:u w:val="none"/>
        </w:rPr>
        <w:fldChar w:fldCharType="end"/>
      </w:r>
    </w:p>
    <w:p w14:paraId="1C159DEB" w14:textId="77777777" w:rsidR="00A54959" w:rsidRPr="009627FD" w:rsidRDefault="00A54959" w:rsidP="00A54959">
      <w:pPr>
        <w:spacing w:line="360" w:lineRule="auto"/>
        <w:rPr>
          <w:shd w:val="clear" w:color="auto" w:fill="FFFFFF"/>
          <w:lang w:val="en-US"/>
        </w:rPr>
      </w:pPr>
      <w:r w:rsidRPr="009627FD">
        <w:rPr>
          <w:lang w:val="en-US"/>
        </w:rPr>
        <w:lastRenderedPageBreak/>
        <w:t>World Health Organization</w:t>
      </w:r>
      <w:r w:rsidRPr="009627FD">
        <w:rPr>
          <w:shd w:val="clear" w:color="auto" w:fill="FFFFFF"/>
          <w:lang w:val="en-US"/>
        </w:rPr>
        <w:t xml:space="preserve"> 2022. Retrieved, January 24, 2022.</w:t>
      </w:r>
      <w:r w:rsidRPr="009627FD">
        <w:rPr>
          <w:lang w:val="en-US"/>
        </w:rPr>
        <w:t xml:space="preserve"> Available </w:t>
      </w:r>
      <w:r w:rsidRPr="009627FD">
        <w:rPr>
          <w:shd w:val="clear" w:color="auto" w:fill="FFFFFF"/>
          <w:lang w:val="en-US"/>
        </w:rPr>
        <w:t xml:space="preserve">from </w:t>
      </w:r>
    </w:p>
    <w:p w14:paraId="0457F1AE" w14:textId="77777777" w:rsidR="00A54959" w:rsidRPr="009627FD" w:rsidRDefault="00A54959" w:rsidP="00A54959">
      <w:pPr>
        <w:spacing w:line="360" w:lineRule="auto"/>
        <w:ind w:firstLine="708"/>
        <w:rPr>
          <w:shd w:val="clear" w:color="auto" w:fill="FFFFFF"/>
          <w:lang w:val="en-US"/>
        </w:rPr>
      </w:pPr>
      <w:r w:rsidRPr="009627FD">
        <w:rPr>
          <w:shd w:val="clear" w:color="auto" w:fill="FFFFFF"/>
          <w:lang w:val="en-US"/>
        </w:rPr>
        <w:t xml:space="preserve">https://covid19.who.int/ </w:t>
      </w:r>
    </w:p>
    <w:p w14:paraId="3CDF4141" w14:textId="77777777" w:rsidR="00A54959" w:rsidRPr="009627FD" w:rsidRDefault="00A54959" w:rsidP="00A54959">
      <w:pPr>
        <w:widowControl w:val="0"/>
        <w:autoSpaceDE w:val="0"/>
        <w:autoSpaceDN w:val="0"/>
        <w:adjustRightInd w:val="0"/>
        <w:spacing w:line="360" w:lineRule="auto"/>
        <w:rPr>
          <w:rFonts w:eastAsiaTheme="minorEastAsia"/>
          <w:lang w:val="en-US"/>
        </w:rPr>
      </w:pPr>
      <w:r w:rsidRPr="009627FD">
        <w:rPr>
          <w:rFonts w:eastAsiaTheme="minorEastAsia"/>
          <w:lang w:val="en-US"/>
        </w:rPr>
        <w:t xml:space="preserve">Zhang, W. R., Wang, K., Yin, L., Zhao, W. F., Xue, Q., Peng, M., ... &amp; Wang, H. X. (2020). Mental </w:t>
      </w:r>
    </w:p>
    <w:p w14:paraId="5BD7386C" w14:textId="77777777" w:rsidR="00A54959" w:rsidRPr="009627FD" w:rsidRDefault="00A54959" w:rsidP="00A54959">
      <w:pPr>
        <w:widowControl w:val="0"/>
        <w:autoSpaceDE w:val="0"/>
        <w:autoSpaceDN w:val="0"/>
        <w:adjustRightInd w:val="0"/>
        <w:spacing w:line="360" w:lineRule="auto"/>
        <w:ind w:left="708"/>
        <w:rPr>
          <w:rFonts w:eastAsiaTheme="minorEastAsia"/>
          <w:lang w:val="en-US"/>
        </w:rPr>
      </w:pPr>
      <w:r w:rsidRPr="009627FD">
        <w:rPr>
          <w:rFonts w:eastAsiaTheme="minorEastAsia"/>
          <w:lang w:val="en-US"/>
        </w:rPr>
        <w:t>health and psychosocial problems of medical health workers during the COVID-19 epidemic in China. </w:t>
      </w:r>
      <w:r w:rsidRPr="009627FD">
        <w:rPr>
          <w:rFonts w:eastAsiaTheme="minorEastAsia"/>
          <w:i/>
          <w:iCs/>
          <w:lang w:val="en-US"/>
        </w:rPr>
        <w:t>Psychotherapy and psychosomatics</w:t>
      </w:r>
      <w:r w:rsidRPr="009627FD">
        <w:rPr>
          <w:rFonts w:eastAsiaTheme="minorEastAsia"/>
          <w:lang w:val="en-US"/>
        </w:rPr>
        <w:t>, </w:t>
      </w:r>
      <w:r w:rsidRPr="009627FD">
        <w:rPr>
          <w:rFonts w:eastAsiaTheme="minorEastAsia"/>
          <w:i/>
          <w:iCs/>
          <w:lang w:val="en-US"/>
        </w:rPr>
        <w:t>89</w:t>
      </w:r>
      <w:r w:rsidRPr="009627FD">
        <w:rPr>
          <w:rFonts w:eastAsiaTheme="minorEastAsia"/>
          <w:lang w:val="en-US"/>
        </w:rPr>
        <w:t xml:space="preserve">(4), 242-250. </w:t>
      </w:r>
      <w:hyperlink r:id="rId60" w:history="1">
        <w:r w:rsidRPr="009627FD">
          <w:rPr>
            <w:rStyle w:val="Hyperlink"/>
            <w:u w:val="none"/>
            <w:lang w:val="en-US"/>
          </w:rPr>
          <w:t>https://doi.org/10.1159/000507639</w:t>
        </w:r>
      </w:hyperlink>
    </w:p>
    <w:p w14:paraId="2AC12D0C" w14:textId="77777777" w:rsidR="002B3172" w:rsidRPr="009627FD" w:rsidRDefault="002B3172" w:rsidP="002B3172">
      <w:pPr>
        <w:spacing w:line="360" w:lineRule="auto"/>
        <w:contextualSpacing/>
        <w:jc w:val="both"/>
        <w:rPr>
          <w:b/>
          <w:lang w:val="en-US"/>
        </w:rPr>
      </w:pPr>
    </w:p>
    <w:p w14:paraId="72A620EE" w14:textId="77777777" w:rsidR="00A54959" w:rsidRPr="009627FD" w:rsidRDefault="00A54959">
      <w:pPr>
        <w:rPr>
          <w:b/>
          <w:lang w:val="en-US"/>
        </w:rPr>
      </w:pPr>
      <w:r w:rsidRPr="009627FD">
        <w:rPr>
          <w:b/>
          <w:lang w:val="en-US"/>
        </w:rPr>
        <w:br w:type="page"/>
      </w:r>
    </w:p>
    <w:p w14:paraId="7756700F" w14:textId="40C8D786" w:rsidR="00C146A6" w:rsidRPr="009627FD" w:rsidRDefault="00C146A6" w:rsidP="00522ACB">
      <w:pPr>
        <w:spacing w:line="360" w:lineRule="auto"/>
        <w:jc w:val="both"/>
        <w:rPr>
          <w:lang w:val="en-US"/>
        </w:rPr>
      </w:pPr>
      <w:r w:rsidRPr="009627FD">
        <w:rPr>
          <w:b/>
          <w:lang w:val="en-US"/>
        </w:rPr>
        <w:lastRenderedPageBreak/>
        <w:t>Table 1</w:t>
      </w:r>
      <w:r w:rsidRPr="009627FD">
        <w:rPr>
          <w:lang w:val="en-US"/>
        </w:rPr>
        <w:t xml:space="preserve">.  </w:t>
      </w:r>
      <w:r w:rsidR="00EB5443" w:rsidRPr="009627FD">
        <w:rPr>
          <w:lang w:val="en-US"/>
        </w:rPr>
        <w:t>The Italian version of the COVID-19 Anxiety Syndrome Scal</w:t>
      </w:r>
      <w:r w:rsidR="00377DDB" w:rsidRPr="009627FD">
        <w:rPr>
          <w:lang w:val="en-US"/>
        </w:rPr>
        <w:t>e (C-19ASS ITA) factor loading</w:t>
      </w:r>
    </w:p>
    <w:tbl>
      <w:tblPr>
        <w:tblStyle w:val="TableGrid"/>
        <w:tblW w:w="94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5875"/>
        <w:gridCol w:w="1629"/>
        <w:gridCol w:w="1296"/>
      </w:tblGrid>
      <w:tr w:rsidR="00EB5443" w:rsidRPr="009627FD" w14:paraId="609DD4CB" w14:textId="77777777" w:rsidTr="00C37620">
        <w:tc>
          <w:tcPr>
            <w:tcW w:w="656" w:type="dxa"/>
            <w:tcBorders>
              <w:top w:val="single" w:sz="4" w:space="0" w:color="auto"/>
              <w:bottom w:val="single" w:sz="4" w:space="0" w:color="auto"/>
            </w:tcBorders>
            <w:vAlign w:val="center"/>
          </w:tcPr>
          <w:p w14:paraId="52FAC3B0" w14:textId="77777777" w:rsidR="00EB5443" w:rsidRPr="009627FD" w:rsidRDefault="00EB5443" w:rsidP="00C37620">
            <w:pPr>
              <w:spacing w:line="360" w:lineRule="auto"/>
              <w:contextualSpacing/>
              <w:jc w:val="both"/>
              <w:rPr>
                <w:b/>
                <w:lang w:val="en-US"/>
              </w:rPr>
            </w:pPr>
            <w:r w:rsidRPr="009627FD">
              <w:rPr>
                <w:b/>
                <w:lang w:val="en-US"/>
              </w:rPr>
              <w:t>Item</w:t>
            </w:r>
          </w:p>
        </w:tc>
        <w:tc>
          <w:tcPr>
            <w:tcW w:w="6044" w:type="dxa"/>
            <w:tcBorders>
              <w:top w:val="single" w:sz="4" w:space="0" w:color="auto"/>
              <w:bottom w:val="single" w:sz="4" w:space="0" w:color="auto"/>
            </w:tcBorders>
          </w:tcPr>
          <w:p w14:paraId="7932277A" w14:textId="77777777" w:rsidR="00EB5443" w:rsidRPr="009627FD" w:rsidRDefault="00EB5443" w:rsidP="00C37620">
            <w:pPr>
              <w:spacing w:line="360" w:lineRule="auto"/>
              <w:contextualSpacing/>
              <w:jc w:val="both"/>
              <w:rPr>
                <w:lang w:val="en-US"/>
              </w:rPr>
            </w:pPr>
          </w:p>
        </w:tc>
        <w:tc>
          <w:tcPr>
            <w:tcW w:w="1556" w:type="dxa"/>
            <w:tcBorders>
              <w:top w:val="single" w:sz="4" w:space="0" w:color="auto"/>
              <w:bottom w:val="single" w:sz="4" w:space="0" w:color="auto"/>
            </w:tcBorders>
          </w:tcPr>
          <w:p w14:paraId="14216CC8" w14:textId="77777777" w:rsidR="00EB5443" w:rsidRPr="009627FD" w:rsidRDefault="00EB5443" w:rsidP="00C37620">
            <w:pPr>
              <w:spacing w:line="360" w:lineRule="auto"/>
              <w:contextualSpacing/>
              <w:jc w:val="center"/>
              <w:rPr>
                <w:lang w:val="en-US"/>
              </w:rPr>
            </w:pPr>
            <w:r w:rsidRPr="009627FD">
              <w:rPr>
                <w:b/>
                <w:lang w:val="en-US"/>
              </w:rPr>
              <w:t>Factor 1 Perseveration</w:t>
            </w:r>
          </w:p>
        </w:tc>
        <w:tc>
          <w:tcPr>
            <w:tcW w:w="1240" w:type="dxa"/>
            <w:tcBorders>
              <w:top w:val="single" w:sz="4" w:space="0" w:color="auto"/>
              <w:bottom w:val="single" w:sz="4" w:space="0" w:color="auto"/>
            </w:tcBorders>
          </w:tcPr>
          <w:p w14:paraId="6156F910" w14:textId="77777777" w:rsidR="00EB5443" w:rsidRPr="009627FD" w:rsidRDefault="00EB5443" w:rsidP="00C37620">
            <w:pPr>
              <w:spacing w:line="360" w:lineRule="auto"/>
              <w:contextualSpacing/>
              <w:jc w:val="center"/>
              <w:rPr>
                <w:b/>
                <w:lang w:val="en-US"/>
              </w:rPr>
            </w:pPr>
            <w:r w:rsidRPr="009627FD">
              <w:rPr>
                <w:b/>
                <w:lang w:val="en-US"/>
              </w:rPr>
              <w:t>Factor 2 Avoidance</w:t>
            </w:r>
          </w:p>
        </w:tc>
      </w:tr>
      <w:tr w:rsidR="00EB5443" w:rsidRPr="009627FD" w14:paraId="23E9D659" w14:textId="77777777" w:rsidTr="00C37620">
        <w:tc>
          <w:tcPr>
            <w:tcW w:w="656" w:type="dxa"/>
            <w:tcBorders>
              <w:top w:val="single" w:sz="4" w:space="0" w:color="auto"/>
            </w:tcBorders>
          </w:tcPr>
          <w:p w14:paraId="21F964DC" w14:textId="77777777" w:rsidR="00EB5443" w:rsidRPr="009627FD" w:rsidRDefault="00EB5443" w:rsidP="00C37620">
            <w:pPr>
              <w:spacing w:line="360" w:lineRule="auto"/>
              <w:contextualSpacing/>
              <w:jc w:val="both"/>
              <w:rPr>
                <w:iCs/>
                <w:lang w:val="en-US"/>
              </w:rPr>
            </w:pPr>
            <w:r w:rsidRPr="009627FD">
              <w:rPr>
                <w:iCs/>
                <w:lang w:val="en-US"/>
              </w:rPr>
              <w:t>1</w:t>
            </w:r>
          </w:p>
        </w:tc>
        <w:tc>
          <w:tcPr>
            <w:tcW w:w="6044" w:type="dxa"/>
            <w:tcBorders>
              <w:top w:val="single" w:sz="4" w:space="0" w:color="auto"/>
            </w:tcBorders>
          </w:tcPr>
          <w:p w14:paraId="779F2216" w14:textId="77777777" w:rsidR="00EB5443" w:rsidRPr="009627FD" w:rsidRDefault="00EB5443" w:rsidP="00C37620">
            <w:pPr>
              <w:spacing w:line="360" w:lineRule="auto"/>
              <w:contextualSpacing/>
              <w:jc w:val="both"/>
              <w:rPr>
                <w:iCs/>
                <w:lang w:val="en-US"/>
              </w:rPr>
            </w:pPr>
            <w:r w:rsidRPr="009627FD">
              <w:rPr>
                <w:iCs/>
                <w:lang w:val="en-US"/>
              </w:rPr>
              <w:t>I have avoided using public transport because of the fear of contracting coronavirus (COVID-19).</w:t>
            </w:r>
          </w:p>
        </w:tc>
        <w:tc>
          <w:tcPr>
            <w:tcW w:w="1556" w:type="dxa"/>
            <w:tcBorders>
              <w:top w:val="single" w:sz="4" w:space="0" w:color="auto"/>
            </w:tcBorders>
          </w:tcPr>
          <w:p w14:paraId="2EEBA1DA" w14:textId="27A90C1D" w:rsidR="00EB5443" w:rsidRPr="009627FD" w:rsidRDefault="00EB5443" w:rsidP="00C37620">
            <w:pPr>
              <w:spacing w:line="360" w:lineRule="auto"/>
              <w:contextualSpacing/>
              <w:jc w:val="center"/>
              <w:rPr>
                <w:lang w:val="en-US"/>
              </w:rPr>
            </w:pPr>
            <w:r w:rsidRPr="009627FD">
              <w:rPr>
                <w:lang w:val="en-US"/>
              </w:rPr>
              <w:t>.15</w:t>
            </w:r>
          </w:p>
        </w:tc>
        <w:tc>
          <w:tcPr>
            <w:tcW w:w="1240" w:type="dxa"/>
            <w:tcBorders>
              <w:top w:val="single" w:sz="4" w:space="0" w:color="auto"/>
            </w:tcBorders>
          </w:tcPr>
          <w:p w14:paraId="20ACE56A" w14:textId="1B4271FB" w:rsidR="00EB5443" w:rsidRPr="009627FD" w:rsidRDefault="00EB5443" w:rsidP="00C37620">
            <w:pPr>
              <w:spacing w:line="360" w:lineRule="auto"/>
              <w:contextualSpacing/>
              <w:jc w:val="center"/>
              <w:rPr>
                <w:b/>
                <w:lang w:val="en-US"/>
              </w:rPr>
            </w:pPr>
            <w:r w:rsidRPr="009627FD">
              <w:rPr>
                <w:b/>
                <w:lang w:val="en-US"/>
              </w:rPr>
              <w:t>.30</w:t>
            </w:r>
          </w:p>
        </w:tc>
      </w:tr>
      <w:tr w:rsidR="00EB5443" w:rsidRPr="009627FD" w14:paraId="0015D020" w14:textId="77777777" w:rsidTr="00C37620">
        <w:tc>
          <w:tcPr>
            <w:tcW w:w="656" w:type="dxa"/>
          </w:tcPr>
          <w:p w14:paraId="5CD0C8B5" w14:textId="77777777" w:rsidR="00EB5443" w:rsidRPr="009627FD" w:rsidRDefault="00EB5443" w:rsidP="00C37620">
            <w:pPr>
              <w:spacing w:line="360" w:lineRule="auto"/>
              <w:contextualSpacing/>
              <w:jc w:val="both"/>
              <w:rPr>
                <w:iCs/>
                <w:lang w:val="en-US"/>
              </w:rPr>
            </w:pPr>
            <w:r w:rsidRPr="009627FD">
              <w:rPr>
                <w:iCs/>
                <w:lang w:val="en-US"/>
              </w:rPr>
              <w:t>2</w:t>
            </w:r>
          </w:p>
        </w:tc>
        <w:tc>
          <w:tcPr>
            <w:tcW w:w="6044" w:type="dxa"/>
          </w:tcPr>
          <w:p w14:paraId="50B0A052" w14:textId="77777777" w:rsidR="00EB5443" w:rsidRPr="009627FD" w:rsidRDefault="00EB5443" w:rsidP="00C37620">
            <w:pPr>
              <w:spacing w:line="360" w:lineRule="auto"/>
              <w:contextualSpacing/>
              <w:jc w:val="both"/>
              <w:rPr>
                <w:iCs/>
                <w:lang w:val="en-US"/>
              </w:rPr>
            </w:pPr>
            <w:r w:rsidRPr="009627FD">
              <w:rPr>
                <w:iCs/>
                <w:lang w:val="en-US"/>
              </w:rPr>
              <w:t>I have checked myself for symptoms of coronavirus (COVID-19)</w:t>
            </w:r>
          </w:p>
        </w:tc>
        <w:tc>
          <w:tcPr>
            <w:tcW w:w="1556" w:type="dxa"/>
          </w:tcPr>
          <w:p w14:paraId="23033817" w14:textId="54DA46A0" w:rsidR="00EB5443" w:rsidRPr="009627FD" w:rsidRDefault="00EB5443" w:rsidP="00C37620">
            <w:pPr>
              <w:spacing w:line="360" w:lineRule="auto"/>
              <w:contextualSpacing/>
              <w:jc w:val="center"/>
              <w:rPr>
                <w:b/>
                <w:iCs/>
                <w:lang w:val="en-US"/>
              </w:rPr>
            </w:pPr>
            <w:r w:rsidRPr="009627FD">
              <w:rPr>
                <w:b/>
                <w:iCs/>
                <w:lang w:val="en-US"/>
              </w:rPr>
              <w:t>.54</w:t>
            </w:r>
          </w:p>
        </w:tc>
        <w:tc>
          <w:tcPr>
            <w:tcW w:w="1240" w:type="dxa"/>
          </w:tcPr>
          <w:p w14:paraId="4D8B9D13" w14:textId="379471B0" w:rsidR="00EB5443" w:rsidRPr="009627FD" w:rsidRDefault="00EB5443" w:rsidP="00C37620">
            <w:pPr>
              <w:spacing w:line="360" w:lineRule="auto"/>
              <w:contextualSpacing/>
              <w:jc w:val="center"/>
              <w:rPr>
                <w:iCs/>
                <w:lang w:val="en-US"/>
              </w:rPr>
            </w:pPr>
            <w:r w:rsidRPr="009627FD">
              <w:rPr>
                <w:iCs/>
                <w:lang w:val="en-US"/>
              </w:rPr>
              <w:t>.10</w:t>
            </w:r>
          </w:p>
        </w:tc>
      </w:tr>
      <w:tr w:rsidR="00EB5443" w:rsidRPr="009627FD" w14:paraId="1334AAA2" w14:textId="77777777" w:rsidTr="00C37620">
        <w:tc>
          <w:tcPr>
            <w:tcW w:w="656" w:type="dxa"/>
          </w:tcPr>
          <w:p w14:paraId="5FDE1684" w14:textId="77777777" w:rsidR="00EB5443" w:rsidRPr="009627FD" w:rsidRDefault="00EB5443" w:rsidP="00C37620">
            <w:pPr>
              <w:spacing w:line="360" w:lineRule="auto"/>
              <w:contextualSpacing/>
              <w:jc w:val="both"/>
              <w:rPr>
                <w:iCs/>
                <w:lang w:val="en-US"/>
              </w:rPr>
            </w:pPr>
            <w:r w:rsidRPr="009627FD">
              <w:rPr>
                <w:iCs/>
                <w:lang w:val="en-US"/>
              </w:rPr>
              <w:t>3</w:t>
            </w:r>
          </w:p>
        </w:tc>
        <w:tc>
          <w:tcPr>
            <w:tcW w:w="6044" w:type="dxa"/>
          </w:tcPr>
          <w:p w14:paraId="6612BD50" w14:textId="77777777" w:rsidR="00EB5443" w:rsidRPr="009627FD" w:rsidRDefault="00EB5443" w:rsidP="00C37620">
            <w:pPr>
              <w:spacing w:line="360" w:lineRule="auto"/>
              <w:contextualSpacing/>
              <w:jc w:val="both"/>
              <w:rPr>
                <w:iCs/>
                <w:lang w:val="en-US"/>
              </w:rPr>
            </w:pPr>
            <w:r w:rsidRPr="009627FD">
              <w:rPr>
                <w:iCs/>
                <w:lang w:val="en-US"/>
              </w:rPr>
              <w:t>I have avoided going out to public places (shops, parks) because of the fear of contracting coronavirus (COVID-19)</w:t>
            </w:r>
          </w:p>
        </w:tc>
        <w:tc>
          <w:tcPr>
            <w:tcW w:w="1556" w:type="dxa"/>
          </w:tcPr>
          <w:p w14:paraId="77F59B19" w14:textId="54D45239" w:rsidR="00EB5443" w:rsidRPr="009627FD" w:rsidRDefault="00EB5443" w:rsidP="00C37620">
            <w:pPr>
              <w:spacing w:line="360" w:lineRule="auto"/>
              <w:contextualSpacing/>
              <w:jc w:val="center"/>
              <w:rPr>
                <w:lang w:val="en-US"/>
              </w:rPr>
            </w:pPr>
            <w:r w:rsidRPr="009627FD">
              <w:rPr>
                <w:lang w:val="en-US"/>
              </w:rPr>
              <w:t>-.04</w:t>
            </w:r>
          </w:p>
        </w:tc>
        <w:tc>
          <w:tcPr>
            <w:tcW w:w="1240" w:type="dxa"/>
          </w:tcPr>
          <w:p w14:paraId="244C03A6" w14:textId="5F1B5B8F" w:rsidR="00EB5443" w:rsidRPr="009627FD" w:rsidRDefault="00EB5443" w:rsidP="00C37620">
            <w:pPr>
              <w:spacing w:line="360" w:lineRule="auto"/>
              <w:contextualSpacing/>
              <w:jc w:val="center"/>
              <w:rPr>
                <w:b/>
                <w:lang w:val="en-US"/>
              </w:rPr>
            </w:pPr>
            <w:r w:rsidRPr="009627FD">
              <w:rPr>
                <w:b/>
                <w:lang w:val="en-US"/>
              </w:rPr>
              <w:t>.96</w:t>
            </w:r>
          </w:p>
        </w:tc>
      </w:tr>
      <w:tr w:rsidR="00EB5443" w:rsidRPr="009627FD" w14:paraId="1DAC6A6D" w14:textId="77777777" w:rsidTr="00C37620">
        <w:tc>
          <w:tcPr>
            <w:tcW w:w="656" w:type="dxa"/>
          </w:tcPr>
          <w:p w14:paraId="6682CC96" w14:textId="77777777" w:rsidR="00EB5443" w:rsidRPr="009627FD" w:rsidRDefault="00EB5443" w:rsidP="00C37620">
            <w:pPr>
              <w:spacing w:line="360" w:lineRule="auto"/>
              <w:contextualSpacing/>
              <w:jc w:val="both"/>
              <w:rPr>
                <w:iCs/>
                <w:lang w:val="en-US"/>
              </w:rPr>
            </w:pPr>
            <w:r w:rsidRPr="009627FD">
              <w:rPr>
                <w:iCs/>
                <w:lang w:val="en-US"/>
              </w:rPr>
              <w:t>4</w:t>
            </w:r>
          </w:p>
        </w:tc>
        <w:tc>
          <w:tcPr>
            <w:tcW w:w="6044" w:type="dxa"/>
          </w:tcPr>
          <w:p w14:paraId="42EF7820" w14:textId="77777777" w:rsidR="00EB5443" w:rsidRPr="009627FD" w:rsidRDefault="00EB5443" w:rsidP="00C37620">
            <w:pPr>
              <w:spacing w:line="360" w:lineRule="auto"/>
              <w:contextualSpacing/>
              <w:jc w:val="both"/>
              <w:rPr>
                <w:iCs/>
                <w:lang w:val="en-US"/>
              </w:rPr>
            </w:pPr>
            <w:r w:rsidRPr="009627FD">
              <w:rPr>
                <w:iCs/>
                <w:lang w:val="en-US"/>
              </w:rPr>
              <w:t>I have been concerned about not having adhered strictly to social distancing guidelines for coronavirus (COVID-19).</w:t>
            </w:r>
          </w:p>
        </w:tc>
        <w:tc>
          <w:tcPr>
            <w:tcW w:w="1556" w:type="dxa"/>
          </w:tcPr>
          <w:p w14:paraId="77E03119" w14:textId="5EA8AB4A" w:rsidR="00EB5443" w:rsidRPr="009627FD" w:rsidRDefault="00EB5443" w:rsidP="00C37620">
            <w:pPr>
              <w:spacing w:line="360" w:lineRule="auto"/>
              <w:contextualSpacing/>
              <w:jc w:val="center"/>
              <w:rPr>
                <w:b/>
                <w:lang w:val="en-US"/>
              </w:rPr>
            </w:pPr>
            <w:r w:rsidRPr="009627FD">
              <w:rPr>
                <w:b/>
                <w:lang w:val="en-US"/>
              </w:rPr>
              <w:t>.36</w:t>
            </w:r>
          </w:p>
        </w:tc>
        <w:tc>
          <w:tcPr>
            <w:tcW w:w="1240" w:type="dxa"/>
          </w:tcPr>
          <w:p w14:paraId="6EC8853D" w14:textId="6F391A5C" w:rsidR="00EB5443" w:rsidRPr="009627FD" w:rsidRDefault="00EB5443" w:rsidP="00C37620">
            <w:pPr>
              <w:spacing w:line="360" w:lineRule="auto"/>
              <w:contextualSpacing/>
              <w:jc w:val="center"/>
              <w:rPr>
                <w:lang w:val="en-US"/>
              </w:rPr>
            </w:pPr>
            <w:r w:rsidRPr="009627FD">
              <w:rPr>
                <w:lang w:val="en-US"/>
              </w:rPr>
              <w:t>.12</w:t>
            </w:r>
          </w:p>
        </w:tc>
      </w:tr>
      <w:tr w:rsidR="00EB5443" w:rsidRPr="009627FD" w14:paraId="1ABC7701" w14:textId="77777777" w:rsidTr="00C37620">
        <w:tc>
          <w:tcPr>
            <w:tcW w:w="656" w:type="dxa"/>
          </w:tcPr>
          <w:p w14:paraId="7A7B9569" w14:textId="77777777" w:rsidR="00EB5443" w:rsidRPr="009627FD" w:rsidRDefault="00EB5443" w:rsidP="00C37620">
            <w:pPr>
              <w:spacing w:line="360" w:lineRule="auto"/>
              <w:contextualSpacing/>
              <w:jc w:val="both"/>
              <w:rPr>
                <w:iCs/>
                <w:lang w:val="en-US"/>
              </w:rPr>
            </w:pPr>
            <w:r w:rsidRPr="009627FD">
              <w:rPr>
                <w:iCs/>
                <w:lang w:val="en-US"/>
              </w:rPr>
              <w:t>5</w:t>
            </w:r>
          </w:p>
        </w:tc>
        <w:tc>
          <w:tcPr>
            <w:tcW w:w="6044" w:type="dxa"/>
          </w:tcPr>
          <w:p w14:paraId="721FD7B9" w14:textId="77777777" w:rsidR="00EB5443" w:rsidRPr="009627FD" w:rsidRDefault="00EB5443" w:rsidP="00C37620">
            <w:pPr>
              <w:spacing w:line="360" w:lineRule="auto"/>
              <w:contextualSpacing/>
              <w:jc w:val="both"/>
              <w:rPr>
                <w:iCs/>
                <w:lang w:val="en-US"/>
              </w:rPr>
            </w:pPr>
            <w:r w:rsidRPr="009627FD">
              <w:rPr>
                <w:iCs/>
                <w:lang w:val="en-US"/>
              </w:rPr>
              <w:t>I have avoided touching things in public spaces because of the fear of contracting coronavirus (COVID-19)</w:t>
            </w:r>
          </w:p>
        </w:tc>
        <w:tc>
          <w:tcPr>
            <w:tcW w:w="1556" w:type="dxa"/>
          </w:tcPr>
          <w:p w14:paraId="4AA3DAB4" w14:textId="70633656" w:rsidR="00EB5443" w:rsidRPr="009627FD" w:rsidRDefault="00EB5443" w:rsidP="00C37620">
            <w:pPr>
              <w:spacing w:line="360" w:lineRule="auto"/>
              <w:contextualSpacing/>
              <w:jc w:val="center"/>
              <w:rPr>
                <w:lang w:val="en-US"/>
              </w:rPr>
            </w:pPr>
            <w:r w:rsidRPr="009627FD">
              <w:rPr>
                <w:lang w:val="en-US"/>
              </w:rPr>
              <w:t>.24</w:t>
            </w:r>
          </w:p>
        </w:tc>
        <w:tc>
          <w:tcPr>
            <w:tcW w:w="1240" w:type="dxa"/>
          </w:tcPr>
          <w:p w14:paraId="0B0A0708" w14:textId="7CB53D6B" w:rsidR="00EB5443" w:rsidRPr="009627FD" w:rsidRDefault="00EB5443" w:rsidP="00C37620">
            <w:pPr>
              <w:spacing w:line="360" w:lineRule="auto"/>
              <w:contextualSpacing/>
              <w:jc w:val="center"/>
              <w:rPr>
                <w:b/>
                <w:lang w:val="en-US"/>
              </w:rPr>
            </w:pPr>
            <w:r w:rsidRPr="009627FD">
              <w:rPr>
                <w:b/>
                <w:lang w:val="en-US"/>
              </w:rPr>
              <w:t>.35</w:t>
            </w:r>
          </w:p>
        </w:tc>
      </w:tr>
      <w:tr w:rsidR="00EB5443" w:rsidRPr="009627FD" w14:paraId="29A67EB7" w14:textId="77777777" w:rsidTr="00C37620">
        <w:tc>
          <w:tcPr>
            <w:tcW w:w="656" w:type="dxa"/>
          </w:tcPr>
          <w:p w14:paraId="4B2E2493" w14:textId="77777777" w:rsidR="00EB5443" w:rsidRPr="009627FD" w:rsidRDefault="00EB5443" w:rsidP="00C37620">
            <w:pPr>
              <w:spacing w:line="360" w:lineRule="auto"/>
              <w:contextualSpacing/>
              <w:jc w:val="both"/>
              <w:rPr>
                <w:iCs/>
                <w:lang w:val="en-US"/>
              </w:rPr>
            </w:pPr>
            <w:r w:rsidRPr="009627FD">
              <w:rPr>
                <w:iCs/>
                <w:lang w:val="en-US"/>
              </w:rPr>
              <w:t>6</w:t>
            </w:r>
          </w:p>
        </w:tc>
        <w:tc>
          <w:tcPr>
            <w:tcW w:w="6044" w:type="dxa"/>
          </w:tcPr>
          <w:p w14:paraId="443DF29E" w14:textId="77777777" w:rsidR="00EB5443" w:rsidRPr="009627FD" w:rsidRDefault="00EB5443" w:rsidP="00C37620">
            <w:pPr>
              <w:spacing w:line="360" w:lineRule="auto"/>
              <w:contextualSpacing/>
              <w:jc w:val="both"/>
              <w:rPr>
                <w:iCs/>
                <w:lang w:val="en-US"/>
              </w:rPr>
            </w:pPr>
            <w:r w:rsidRPr="009627FD">
              <w:rPr>
                <w:iCs/>
                <w:lang w:val="en-US"/>
              </w:rPr>
              <w:t>I have read about news relating to coronavirus (COVID-19) at the cost of engaging in work (such as writing emails, working on word documents or spreadsheets)</w:t>
            </w:r>
          </w:p>
        </w:tc>
        <w:tc>
          <w:tcPr>
            <w:tcW w:w="1556" w:type="dxa"/>
          </w:tcPr>
          <w:p w14:paraId="179181B9" w14:textId="07C012B9" w:rsidR="00EB5443" w:rsidRPr="009627FD" w:rsidRDefault="00EB5443" w:rsidP="00C37620">
            <w:pPr>
              <w:spacing w:line="360" w:lineRule="auto"/>
              <w:contextualSpacing/>
              <w:jc w:val="center"/>
              <w:rPr>
                <w:b/>
                <w:lang w:val="en-US"/>
              </w:rPr>
            </w:pPr>
            <w:r w:rsidRPr="009627FD">
              <w:rPr>
                <w:b/>
                <w:lang w:val="en-US"/>
              </w:rPr>
              <w:t>.33</w:t>
            </w:r>
          </w:p>
        </w:tc>
        <w:tc>
          <w:tcPr>
            <w:tcW w:w="1240" w:type="dxa"/>
          </w:tcPr>
          <w:p w14:paraId="442A6661" w14:textId="500237C4" w:rsidR="00EB5443" w:rsidRPr="009627FD" w:rsidRDefault="00EB5443" w:rsidP="00C37620">
            <w:pPr>
              <w:spacing w:line="360" w:lineRule="auto"/>
              <w:contextualSpacing/>
              <w:jc w:val="center"/>
              <w:rPr>
                <w:lang w:val="en-US"/>
              </w:rPr>
            </w:pPr>
            <w:r w:rsidRPr="009627FD">
              <w:rPr>
                <w:lang w:val="en-US"/>
              </w:rPr>
              <w:t>.15</w:t>
            </w:r>
          </w:p>
        </w:tc>
      </w:tr>
      <w:tr w:rsidR="00EB5443" w:rsidRPr="009627FD" w14:paraId="7E0F4F61" w14:textId="77777777" w:rsidTr="00C37620">
        <w:tc>
          <w:tcPr>
            <w:tcW w:w="656" w:type="dxa"/>
          </w:tcPr>
          <w:p w14:paraId="73580666" w14:textId="77777777" w:rsidR="00EB5443" w:rsidRPr="009627FD" w:rsidRDefault="00EB5443" w:rsidP="00C37620">
            <w:pPr>
              <w:spacing w:line="360" w:lineRule="auto"/>
              <w:contextualSpacing/>
              <w:jc w:val="both"/>
              <w:rPr>
                <w:iCs/>
                <w:lang w:val="en-US"/>
              </w:rPr>
            </w:pPr>
            <w:r w:rsidRPr="009627FD">
              <w:rPr>
                <w:iCs/>
                <w:lang w:val="en-US"/>
              </w:rPr>
              <w:t>7</w:t>
            </w:r>
          </w:p>
        </w:tc>
        <w:tc>
          <w:tcPr>
            <w:tcW w:w="6044" w:type="dxa"/>
          </w:tcPr>
          <w:p w14:paraId="12FA61AE" w14:textId="77777777" w:rsidR="00EB5443" w:rsidRPr="009627FD" w:rsidRDefault="00EB5443" w:rsidP="00C37620">
            <w:pPr>
              <w:spacing w:line="360" w:lineRule="auto"/>
              <w:contextualSpacing/>
              <w:jc w:val="both"/>
              <w:rPr>
                <w:iCs/>
                <w:lang w:val="en-US"/>
              </w:rPr>
            </w:pPr>
            <w:r w:rsidRPr="009627FD">
              <w:rPr>
                <w:iCs/>
                <w:lang w:val="en-US"/>
              </w:rPr>
              <w:t>I have checked my family members and loved one for the signs of coronavirus (COVID-19)</w:t>
            </w:r>
          </w:p>
        </w:tc>
        <w:tc>
          <w:tcPr>
            <w:tcW w:w="1556" w:type="dxa"/>
          </w:tcPr>
          <w:p w14:paraId="2A8215F9" w14:textId="6E9AF8B4" w:rsidR="00EB5443" w:rsidRPr="009627FD" w:rsidRDefault="00EB5443" w:rsidP="00C37620">
            <w:pPr>
              <w:spacing w:line="360" w:lineRule="auto"/>
              <w:contextualSpacing/>
              <w:jc w:val="center"/>
              <w:rPr>
                <w:b/>
                <w:lang w:val="en-US"/>
              </w:rPr>
            </w:pPr>
            <w:r w:rsidRPr="009627FD">
              <w:rPr>
                <w:b/>
                <w:lang w:val="en-US"/>
              </w:rPr>
              <w:t>.77</w:t>
            </w:r>
          </w:p>
        </w:tc>
        <w:tc>
          <w:tcPr>
            <w:tcW w:w="1240" w:type="dxa"/>
          </w:tcPr>
          <w:p w14:paraId="5B91A90D" w14:textId="00224AD3" w:rsidR="00EB5443" w:rsidRPr="009627FD" w:rsidRDefault="00EB5443" w:rsidP="00C37620">
            <w:pPr>
              <w:spacing w:line="360" w:lineRule="auto"/>
              <w:contextualSpacing/>
              <w:jc w:val="center"/>
              <w:rPr>
                <w:lang w:val="en-US"/>
              </w:rPr>
            </w:pPr>
            <w:r w:rsidRPr="009627FD">
              <w:rPr>
                <w:lang w:val="en-US"/>
              </w:rPr>
              <w:t>-.02</w:t>
            </w:r>
          </w:p>
        </w:tc>
      </w:tr>
      <w:tr w:rsidR="00EB5443" w:rsidRPr="009627FD" w14:paraId="08AE9C16" w14:textId="77777777" w:rsidTr="00C37620">
        <w:tc>
          <w:tcPr>
            <w:tcW w:w="656" w:type="dxa"/>
          </w:tcPr>
          <w:p w14:paraId="2C653F84" w14:textId="77777777" w:rsidR="00EB5443" w:rsidRPr="009627FD" w:rsidRDefault="00EB5443" w:rsidP="00C37620">
            <w:pPr>
              <w:spacing w:line="360" w:lineRule="auto"/>
              <w:contextualSpacing/>
              <w:jc w:val="both"/>
              <w:rPr>
                <w:iCs/>
                <w:lang w:val="en-US"/>
              </w:rPr>
            </w:pPr>
            <w:r w:rsidRPr="009627FD">
              <w:rPr>
                <w:iCs/>
                <w:lang w:val="en-US"/>
              </w:rPr>
              <w:t>8</w:t>
            </w:r>
          </w:p>
        </w:tc>
        <w:tc>
          <w:tcPr>
            <w:tcW w:w="6044" w:type="dxa"/>
          </w:tcPr>
          <w:p w14:paraId="4342676C" w14:textId="77777777" w:rsidR="00EB5443" w:rsidRPr="009627FD" w:rsidRDefault="00EB5443" w:rsidP="00C37620">
            <w:pPr>
              <w:spacing w:line="360" w:lineRule="auto"/>
              <w:contextualSpacing/>
              <w:jc w:val="both"/>
              <w:rPr>
                <w:iCs/>
                <w:lang w:val="en-US"/>
              </w:rPr>
            </w:pPr>
            <w:r w:rsidRPr="009627FD">
              <w:rPr>
                <w:iCs/>
                <w:lang w:val="en-US"/>
              </w:rPr>
              <w:t>I have been paying close attention to others displaying possible symptoms of coronavirus (COVID-19)</w:t>
            </w:r>
          </w:p>
        </w:tc>
        <w:tc>
          <w:tcPr>
            <w:tcW w:w="1556" w:type="dxa"/>
          </w:tcPr>
          <w:p w14:paraId="6586641D" w14:textId="4A4405C1" w:rsidR="00EB5443" w:rsidRPr="009627FD" w:rsidRDefault="00EB5443" w:rsidP="00C37620">
            <w:pPr>
              <w:spacing w:line="360" w:lineRule="auto"/>
              <w:contextualSpacing/>
              <w:jc w:val="center"/>
              <w:rPr>
                <w:b/>
                <w:lang w:val="en-US"/>
              </w:rPr>
            </w:pPr>
            <w:r w:rsidRPr="009627FD">
              <w:rPr>
                <w:b/>
                <w:lang w:val="en-US"/>
              </w:rPr>
              <w:t>.68</w:t>
            </w:r>
          </w:p>
        </w:tc>
        <w:tc>
          <w:tcPr>
            <w:tcW w:w="1240" w:type="dxa"/>
          </w:tcPr>
          <w:p w14:paraId="6FBB8A1E" w14:textId="3E9D345A" w:rsidR="00EB5443" w:rsidRPr="009627FD" w:rsidRDefault="00EB5443" w:rsidP="00C37620">
            <w:pPr>
              <w:spacing w:line="360" w:lineRule="auto"/>
              <w:contextualSpacing/>
              <w:jc w:val="center"/>
              <w:rPr>
                <w:lang w:val="en-US"/>
              </w:rPr>
            </w:pPr>
            <w:r w:rsidRPr="009627FD">
              <w:rPr>
                <w:lang w:val="en-US"/>
              </w:rPr>
              <w:t>.03</w:t>
            </w:r>
          </w:p>
        </w:tc>
      </w:tr>
      <w:tr w:rsidR="00EB5443" w:rsidRPr="009627FD" w14:paraId="4C418F37" w14:textId="77777777" w:rsidTr="00C37620">
        <w:tc>
          <w:tcPr>
            <w:tcW w:w="656" w:type="dxa"/>
            <w:tcBorders>
              <w:bottom w:val="single" w:sz="4" w:space="0" w:color="auto"/>
            </w:tcBorders>
          </w:tcPr>
          <w:p w14:paraId="2DA69CC9" w14:textId="77777777" w:rsidR="00EB5443" w:rsidRPr="009627FD" w:rsidRDefault="00EB5443" w:rsidP="00C37620">
            <w:pPr>
              <w:spacing w:line="360" w:lineRule="auto"/>
              <w:contextualSpacing/>
              <w:jc w:val="both"/>
              <w:rPr>
                <w:iCs/>
                <w:lang w:val="en-US"/>
              </w:rPr>
            </w:pPr>
            <w:r w:rsidRPr="009627FD">
              <w:rPr>
                <w:iCs/>
                <w:lang w:val="en-US"/>
              </w:rPr>
              <w:t>9</w:t>
            </w:r>
          </w:p>
        </w:tc>
        <w:tc>
          <w:tcPr>
            <w:tcW w:w="6044" w:type="dxa"/>
            <w:tcBorders>
              <w:bottom w:val="single" w:sz="4" w:space="0" w:color="auto"/>
            </w:tcBorders>
          </w:tcPr>
          <w:p w14:paraId="6BD9859C" w14:textId="77777777" w:rsidR="00EB5443" w:rsidRPr="009627FD" w:rsidRDefault="00EB5443" w:rsidP="00C37620">
            <w:pPr>
              <w:spacing w:line="360" w:lineRule="auto"/>
              <w:contextualSpacing/>
              <w:jc w:val="both"/>
              <w:rPr>
                <w:iCs/>
                <w:lang w:val="en-US"/>
              </w:rPr>
            </w:pPr>
            <w:r w:rsidRPr="009627FD">
              <w:rPr>
                <w:iCs/>
                <w:lang w:val="en-US"/>
              </w:rPr>
              <w:t>I have imagined what could happen to my family members if they contracted coronavirus (COVID-19)</w:t>
            </w:r>
          </w:p>
        </w:tc>
        <w:tc>
          <w:tcPr>
            <w:tcW w:w="1556" w:type="dxa"/>
            <w:tcBorders>
              <w:bottom w:val="single" w:sz="4" w:space="0" w:color="auto"/>
            </w:tcBorders>
          </w:tcPr>
          <w:p w14:paraId="12E7B387" w14:textId="2E9D9A67" w:rsidR="00EB5443" w:rsidRPr="009627FD" w:rsidRDefault="00EB5443" w:rsidP="00C37620">
            <w:pPr>
              <w:spacing w:line="360" w:lineRule="auto"/>
              <w:contextualSpacing/>
              <w:jc w:val="center"/>
              <w:rPr>
                <w:b/>
                <w:lang w:val="en-US"/>
              </w:rPr>
            </w:pPr>
            <w:r w:rsidRPr="009627FD">
              <w:rPr>
                <w:b/>
                <w:lang w:val="en-US"/>
              </w:rPr>
              <w:t>.67</w:t>
            </w:r>
          </w:p>
        </w:tc>
        <w:tc>
          <w:tcPr>
            <w:tcW w:w="1240" w:type="dxa"/>
            <w:tcBorders>
              <w:bottom w:val="single" w:sz="4" w:space="0" w:color="auto"/>
            </w:tcBorders>
          </w:tcPr>
          <w:p w14:paraId="5DDEED46" w14:textId="2FEE4746" w:rsidR="00EB5443" w:rsidRPr="009627FD" w:rsidRDefault="00EB5443" w:rsidP="00C37620">
            <w:pPr>
              <w:spacing w:line="360" w:lineRule="auto"/>
              <w:contextualSpacing/>
              <w:jc w:val="center"/>
              <w:rPr>
                <w:lang w:val="en-US"/>
              </w:rPr>
            </w:pPr>
            <w:r w:rsidRPr="009627FD">
              <w:rPr>
                <w:lang w:val="en-US"/>
              </w:rPr>
              <w:t>-.01</w:t>
            </w:r>
          </w:p>
        </w:tc>
      </w:tr>
    </w:tbl>
    <w:p w14:paraId="2C76F34B" w14:textId="58DD6D2D" w:rsidR="00C146A6" w:rsidRPr="009627FD" w:rsidRDefault="006D4FB3" w:rsidP="00522ACB">
      <w:pPr>
        <w:spacing w:line="360" w:lineRule="auto"/>
        <w:jc w:val="both"/>
        <w:rPr>
          <w:lang w:val="en-US"/>
        </w:rPr>
      </w:pPr>
      <w:r w:rsidRPr="009627FD">
        <w:rPr>
          <w:lang w:val="en-US"/>
        </w:rPr>
        <w:t xml:space="preserve">Note: </w:t>
      </w:r>
      <w:r w:rsidR="006E3309" w:rsidRPr="009627FD">
        <w:rPr>
          <w:lang w:val="en-US"/>
        </w:rPr>
        <w:t>n</w:t>
      </w:r>
      <w:r w:rsidRPr="009627FD">
        <w:rPr>
          <w:lang w:val="en-US"/>
        </w:rPr>
        <w:t>=271</w:t>
      </w:r>
    </w:p>
    <w:p w14:paraId="03839E68" w14:textId="77777777" w:rsidR="00C819F8" w:rsidRPr="009627FD" w:rsidRDefault="00C819F8" w:rsidP="00522ACB">
      <w:pPr>
        <w:spacing w:line="360" w:lineRule="auto"/>
        <w:jc w:val="both"/>
        <w:rPr>
          <w:lang w:val="en-US"/>
        </w:rPr>
      </w:pPr>
    </w:p>
    <w:p w14:paraId="6B60A12B" w14:textId="77777777" w:rsidR="00C819F8" w:rsidRPr="009627FD" w:rsidRDefault="00C819F8" w:rsidP="00522ACB">
      <w:pPr>
        <w:spacing w:line="360" w:lineRule="auto"/>
        <w:jc w:val="both"/>
        <w:rPr>
          <w:lang w:val="en-US"/>
        </w:rPr>
      </w:pPr>
    </w:p>
    <w:p w14:paraId="7513E0F5" w14:textId="77777777" w:rsidR="00C819F8" w:rsidRPr="009627FD" w:rsidRDefault="00C819F8" w:rsidP="00522ACB">
      <w:pPr>
        <w:spacing w:line="360" w:lineRule="auto"/>
        <w:jc w:val="both"/>
        <w:rPr>
          <w:lang w:val="en-US"/>
        </w:rPr>
      </w:pPr>
    </w:p>
    <w:p w14:paraId="16AA1E67" w14:textId="77777777" w:rsidR="00C819F8" w:rsidRPr="009627FD" w:rsidRDefault="00C819F8" w:rsidP="00522ACB">
      <w:pPr>
        <w:spacing w:line="360" w:lineRule="auto"/>
        <w:jc w:val="both"/>
        <w:rPr>
          <w:lang w:val="en-US"/>
        </w:rPr>
      </w:pPr>
    </w:p>
    <w:p w14:paraId="175D1197" w14:textId="77777777" w:rsidR="00C819F8" w:rsidRPr="009627FD" w:rsidRDefault="00C819F8" w:rsidP="00522ACB">
      <w:pPr>
        <w:spacing w:line="360" w:lineRule="auto"/>
        <w:jc w:val="both"/>
        <w:rPr>
          <w:lang w:val="en-US"/>
        </w:rPr>
      </w:pPr>
    </w:p>
    <w:p w14:paraId="68787BDC" w14:textId="77777777" w:rsidR="00C819F8" w:rsidRPr="009627FD" w:rsidRDefault="00C819F8" w:rsidP="00522ACB">
      <w:pPr>
        <w:spacing w:line="360" w:lineRule="auto"/>
        <w:jc w:val="both"/>
        <w:rPr>
          <w:lang w:val="en-US"/>
        </w:rPr>
      </w:pPr>
    </w:p>
    <w:p w14:paraId="713494FD" w14:textId="77777777" w:rsidR="00C819F8" w:rsidRPr="009627FD" w:rsidRDefault="00C819F8" w:rsidP="00522ACB">
      <w:pPr>
        <w:spacing w:line="360" w:lineRule="auto"/>
        <w:jc w:val="both"/>
        <w:rPr>
          <w:lang w:val="en-US"/>
        </w:rPr>
      </w:pPr>
    </w:p>
    <w:p w14:paraId="0944A799" w14:textId="77777777" w:rsidR="00C819F8" w:rsidRPr="009627FD" w:rsidRDefault="00C819F8" w:rsidP="00522ACB">
      <w:pPr>
        <w:spacing w:line="360" w:lineRule="auto"/>
        <w:jc w:val="both"/>
        <w:rPr>
          <w:lang w:val="en-US"/>
        </w:rPr>
      </w:pPr>
    </w:p>
    <w:p w14:paraId="30823D48" w14:textId="7827B5DD" w:rsidR="00485060" w:rsidRDefault="00485060" w:rsidP="00522ACB">
      <w:pPr>
        <w:spacing w:line="360" w:lineRule="auto"/>
        <w:jc w:val="both"/>
        <w:rPr>
          <w:lang w:val="en-US"/>
        </w:rPr>
      </w:pPr>
    </w:p>
    <w:p w14:paraId="2678D9DF" w14:textId="77777777" w:rsidR="00743ED1" w:rsidRPr="009627FD" w:rsidRDefault="00743ED1" w:rsidP="00522ACB">
      <w:pPr>
        <w:spacing w:line="360" w:lineRule="auto"/>
        <w:jc w:val="both"/>
        <w:rPr>
          <w:lang w:val="en-US"/>
        </w:rPr>
      </w:pPr>
    </w:p>
    <w:p w14:paraId="29DE4B76" w14:textId="77777777" w:rsidR="00C819F8" w:rsidRPr="009627FD" w:rsidRDefault="00C819F8" w:rsidP="00522ACB">
      <w:pPr>
        <w:spacing w:line="360" w:lineRule="auto"/>
        <w:jc w:val="both"/>
        <w:rPr>
          <w:lang w:val="en-US"/>
        </w:rPr>
      </w:pPr>
    </w:p>
    <w:p w14:paraId="6A603D90" w14:textId="5025B6BF" w:rsidR="00C146A6" w:rsidRPr="009627FD" w:rsidRDefault="00C146A6" w:rsidP="00522ACB">
      <w:pPr>
        <w:autoSpaceDE w:val="0"/>
        <w:autoSpaceDN w:val="0"/>
        <w:adjustRightInd w:val="0"/>
        <w:spacing w:line="360" w:lineRule="auto"/>
        <w:jc w:val="both"/>
        <w:rPr>
          <w:lang w:val="en-US" w:bidi="fa-IR"/>
        </w:rPr>
      </w:pPr>
      <w:r w:rsidRPr="009627FD">
        <w:rPr>
          <w:b/>
          <w:lang w:val="en-US" w:bidi="fa-IR"/>
        </w:rPr>
        <w:lastRenderedPageBreak/>
        <w:t>Table 2.</w:t>
      </w:r>
      <w:r w:rsidRPr="009627FD">
        <w:rPr>
          <w:lang w:val="en-US" w:bidi="fa-IR"/>
        </w:rPr>
        <w:t xml:space="preserve"> Model fit indices of confirmatory factor analysis for the </w:t>
      </w:r>
      <w:r w:rsidR="0028362B" w:rsidRPr="009627FD">
        <w:rPr>
          <w:lang w:val="en-US"/>
        </w:rPr>
        <w:t>Italian version of the COVID-19 Anxiety Syndrome Scale (C-19ASS ITA)</w:t>
      </w:r>
    </w:p>
    <w:tbl>
      <w:tblPr>
        <w:tblStyle w:val="TableGrid"/>
        <w:tblW w:w="516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968"/>
        <w:gridCol w:w="536"/>
        <w:gridCol w:w="733"/>
        <w:gridCol w:w="923"/>
        <w:gridCol w:w="1083"/>
        <w:gridCol w:w="733"/>
        <w:gridCol w:w="733"/>
        <w:gridCol w:w="733"/>
        <w:gridCol w:w="734"/>
        <w:gridCol w:w="734"/>
      </w:tblGrid>
      <w:tr w:rsidR="00C146A6" w:rsidRPr="009627FD" w14:paraId="4C2CB522" w14:textId="77777777" w:rsidTr="00411CA4">
        <w:tc>
          <w:tcPr>
            <w:tcW w:w="1028" w:type="pct"/>
            <w:tcBorders>
              <w:top w:val="single" w:sz="4" w:space="0" w:color="auto"/>
              <w:bottom w:val="single" w:sz="4" w:space="0" w:color="auto"/>
            </w:tcBorders>
            <w:vAlign w:val="center"/>
          </w:tcPr>
          <w:p w14:paraId="0926BBCC" w14:textId="77777777" w:rsidR="00C146A6" w:rsidRPr="009627FD" w:rsidRDefault="00C146A6" w:rsidP="00522ACB">
            <w:pPr>
              <w:autoSpaceDE w:val="0"/>
              <w:autoSpaceDN w:val="0"/>
              <w:adjustRightInd w:val="0"/>
              <w:spacing w:line="360" w:lineRule="auto"/>
              <w:jc w:val="center"/>
              <w:rPr>
                <w:lang w:val="en-US" w:bidi="fa-IR"/>
              </w:rPr>
            </w:pPr>
          </w:p>
        </w:tc>
        <w:tc>
          <w:tcPr>
            <w:tcW w:w="490" w:type="pct"/>
            <w:tcBorders>
              <w:top w:val="single" w:sz="4" w:space="0" w:color="auto"/>
              <w:bottom w:val="single" w:sz="4" w:space="0" w:color="auto"/>
            </w:tcBorders>
            <w:vAlign w:val="center"/>
          </w:tcPr>
          <w:p w14:paraId="2DFF259A"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rPr>
              <w:t>χ</w:t>
            </w:r>
            <w:r w:rsidRPr="009627FD">
              <w:rPr>
                <w:b/>
                <w:bCs/>
                <w:vertAlign w:val="superscript"/>
                <w:lang w:val="en-US"/>
              </w:rPr>
              <w:t>2</w:t>
            </w:r>
          </w:p>
        </w:tc>
        <w:tc>
          <w:tcPr>
            <w:tcW w:w="263" w:type="pct"/>
            <w:tcBorders>
              <w:top w:val="single" w:sz="4" w:space="0" w:color="auto"/>
              <w:bottom w:val="single" w:sz="4" w:space="0" w:color="auto"/>
            </w:tcBorders>
            <w:vAlign w:val="center"/>
          </w:tcPr>
          <w:p w14:paraId="30524A08"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DF</w:t>
            </w:r>
          </w:p>
        </w:tc>
        <w:tc>
          <w:tcPr>
            <w:tcW w:w="372" w:type="pct"/>
            <w:tcBorders>
              <w:top w:val="single" w:sz="4" w:space="0" w:color="auto"/>
              <w:bottom w:val="single" w:sz="4" w:space="0" w:color="auto"/>
            </w:tcBorders>
            <w:vAlign w:val="center"/>
          </w:tcPr>
          <w:p w14:paraId="5FEEDA83"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rPr>
              <w:t>χ</w:t>
            </w:r>
            <w:r w:rsidRPr="009627FD">
              <w:rPr>
                <w:b/>
                <w:bCs/>
                <w:vertAlign w:val="superscript"/>
                <w:lang w:val="en-US"/>
              </w:rPr>
              <w:t>2</w:t>
            </w:r>
            <w:r w:rsidRPr="009627FD">
              <w:rPr>
                <w:b/>
                <w:bCs/>
                <w:lang w:val="en-US" w:bidi="fa-IR"/>
              </w:rPr>
              <w:t>/df</w:t>
            </w:r>
          </w:p>
        </w:tc>
        <w:tc>
          <w:tcPr>
            <w:tcW w:w="454" w:type="pct"/>
            <w:tcBorders>
              <w:top w:val="single" w:sz="4" w:space="0" w:color="auto"/>
              <w:bottom w:val="single" w:sz="4" w:space="0" w:color="auto"/>
            </w:tcBorders>
            <w:vAlign w:val="center"/>
          </w:tcPr>
          <w:p w14:paraId="6941C9F9"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SRMR</w:t>
            </w:r>
          </w:p>
        </w:tc>
        <w:tc>
          <w:tcPr>
            <w:tcW w:w="532" w:type="pct"/>
            <w:tcBorders>
              <w:top w:val="single" w:sz="4" w:space="0" w:color="auto"/>
              <w:bottom w:val="single" w:sz="4" w:space="0" w:color="auto"/>
            </w:tcBorders>
            <w:vAlign w:val="center"/>
          </w:tcPr>
          <w:p w14:paraId="1BEE555D"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RMSEA</w:t>
            </w:r>
          </w:p>
        </w:tc>
        <w:tc>
          <w:tcPr>
            <w:tcW w:w="372" w:type="pct"/>
            <w:tcBorders>
              <w:top w:val="single" w:sz="4" w:space="0" w:color="auto"/>
              <w:bottom w:val="single" w:sz="4" w:space="0" w:color="auto"/>
            </w:tcBorders>
            <w:vAlign w:val="center"/>
          </w:tcPr>
          <w:p w14:paraId="214D8696"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GFI</w:t>
            </w:r>
          </w:p>
        </w:tc>
        <w:tc>
          <w:tcPr>
            <w:tcW w:w="372" w:type="pct"/>
            <w:tcBorders>
              <w:top w:val="single" w:sz="4" w:space="0" w:color="auto"/>
              <w:bottom w:val="single" w:sz="4" w:space="0" w:color="auto"/>
            </w:tcBorders>
            <w:vAlign w:val="center"/>
          </w:tcPr>
          <w:p w14:paraId="3630EC01"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CFI</w:t>
            </w:r>
          </w:p>
        </w:tc>
        <w:tc>
          <w:tcPr>
            <w:tcW w:w="372" w:type="pct"/>
            <w:tcBorders>
              <w:top w:val="single" w:sz="4" w:space="0" w:color="auto"/>
              <w:bottom w:val="single" w:sz="4" w:space="0" w:color="auto"/>
            </w:tcBorders>
            <w:vAlign w:val="center"/>
          </w:tcPr>
          <w:p w14:paraId="0DDAAF18"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NFI</w:t>
            </w:r>
          </w:p>
        </w:tc>
        <w:tc>
          <w:tcPr>
            <w:tcW w:w="372" w:type="pct"/>
            <w:tcBorders>
              <w:top w:val="single" w:sz="4" w:space="0" w:color="auto"/>
              <w:bottom w:val="single" w:sz="4" w:space="0" w:color="auto"/>
            </w:tcBorders>
            <w:vAlign w:val="center"/>
          </w:tcPr>
          <w:p w14:paraId="197BDF32"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TLI</w:t>
            </w:r>
          </w:p>
        </w:tc>
        <w:tc>
          <w:tcPr>
            <w:tcW w:w="372" w:type="pct"/>
            <w:tcBorders>
              <w:top w:val="single" w:sz="4" w:space="0" w:color="auto"/>
              <w:bottom w:val="single" w:sz="4" w:space="0" w:color="auto"/>
            </w:tcBorders>
            <w:vAlign w:val="center"/>
          </w:tcPr>
          <w:p w14:paraId="402E52D6" w14:textId="77777777" w:rsidR="00C146A6" w:rsidRPr="009627FD" w:rsidRDefault="00C146A6" w:rsidP="00522ACB">
            <w:pPr>
              <w:autoSpaceDE w:val="0"/>
              <w:autoSpaceDN w:val="0"/>
              <w:adjustRightInd w:val="0"/>
              <w:spacing w:line="360" w:lineRule="auto"/>
              <w:jc w:val="center"/>
              <w:rPr>
                <w:b/>
                <w:bCs/>
                <w:lang w:val="en-US" w:bidi="fa-IR"/>
              </w:rPr>
            </w:pPr>
            <w:r w:rsidRPr="009627FD">
              <w:rPr>
                <w:b/>
                <w:bCs/>
                <w:lang w:val="en-US" w:bidi="fa-IR"/>
              </w:rPr>
              <w:t>IFI</w:t>
            </w:r>
          </w:p>
        </w:tc>
      </w:tr>
      <w:tr w:rsidR="00C146A6" w:rsidRPr="009627FD" w14:paraId="75D41BD9" w14:textId="77777777" w:rsidTr="00411CA4">
        <w:tc>
          <w:tcPr>
            <w:tcW w:w="1028" w:type="pct"/>
            <w:tcBorders>
              <w:top w:val="single" w:sz="4" w:space="0" w:color="auto"/>
            </w:tcBorders>
            <w:vAlign w:val="center"/>
          </w:tcPr>
          <w:p w14:paraId="6A2DA793" w14:textId="77777777" w:rsidR="00C146A6" w:rsidRPr="009627FD" w:rsidRDefault="00C146A6" w:rsidP="00522ACB">
            <w:pPr>
              <w:autoSpaceDE w:val="0"/>
              <w:autoSpaceDN w:val="0"/>
              <w:adjustRightInd w:val="0"/>
              <w:spacing w:line="360" w:lineRule="auto"/>
              <w:rPr>
                <w:b/>
                <w:bCs/>
                <w:lang w:val="en-US" w:bidi="fa-IR"/>
              </w:rPr>
            </w:pPr>
            <w:r w:rsidRPr="009627FD">
              <w:rPr>
                <w:b/>
                <w:bCs/>
                <w:lang w:val="en-US"/>
              </w:rPr>
              <w:t>One-factor solution</w:t>
            </w:r>
          </w:p>
        </w:tc>
        <w:tc>
          <w:tcPr>
            <w:tcW w:w="490" w:type="pct"/>
            <w:tcBorders>
              <w:top w:val="single" w:sz="4" w:space="0" w:color="auto"/>
            </w:tcBorders>
            <w:vAlign w:val="center"/>
          </w:tcPr>
          <w:p w14:paraId="7482A484" w14:textId="7777777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59.235</w:t>
            </w:r>
          </w:p>
        </w:tc>
        <w:tc>
          <w:tcPr>
            <w:tcW w:w="263" w:type="pct"/>
            <w:tcBorders>
              <w:top w:val="single" w:sz="4" w:space="0" w:color="auto"/>
            </w:tcBorders>
            <w:vAlign w:val="center"/>
          </w:tcPr>
          <w:p w14:paraId="52EE4E4B" w14:textId="7777777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27</w:t>
            </w:r>
          </w:p>
        </w:tc>
        <w:tc>
          <w:tcPr>
            <w:tcW w:w="372" w:type="pct"/>
            <w:tcBorders>
              <w:top w:val="single" w:sz="4" w:space="0" w:color="auto"/>
            </w:tcBorders>
            <w:vAlign w:val="center"/>
          </w:tcPr>
          <w:p w14:paraId="1B3E7448" w14:textId="7777777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2.19</w:t>
            </w:r>
          </w:p>
        </w:tc>
        <w:tc>
          <w:tcPr>
            <w:tcW w:w="454" w:type="pct"/>
            <w:tcBorders>
              <w:top w:val="single" w:sz="4" w:space="0" w:color="auto"/>
            </w:tcBorders>
            <w:vAlign w:val="center"/>
          </w:tcPr>
          <w:p w14:paraId="45FFAA40" w14:textId="633123D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.051</w:t>
            </w:r>
          </w:p>
        </w:tc>
        <w:tc>
          <w:tcPr>
            <w:tcW w:w="532" w:type="pct"/>
            <w:tcBorders>
              <w:top w:val="single" w:sz="4" w:space="0" w:color="auto"/>
            </w:tcBorders>
            <w:vAlign w:val="center"/>
          </w:tcPr>
          <w:p w14:paraId="7C3326A6" w14:textId="73F715C0" w:rsidR="00C146A6" w:rsidRPr="009627FD" w:rsidRDefault="00C146A6" w:rsidP="00522ACB">
            <w:pPr>
              <w:autoSpaceDE w:val="0"/>
              <w:autoSpaceDN w:val="0"/>
              <w:adjustRightInd w:val="0"/>
              <w:spacing w:line="360" w:lineRule="auto"/>
              <w:jc w:val="center"/>
              <w:rPr>
                <w:lang w:val="en-US" w:bidi="fa-IR"/>
              </w:rPr>
            </w:pPr>
            <w:r w:rsidRPr="009627FD">
              <w:rPr>
                <w:lang w:val="en-US" w:bidi="fa-IR"/>
              </w:rPr>
              <w:t>.050</w:t>
            </w:r>
          </w:p>
        </w:tc>
        <w:tc>
          <w:tcPr>
            <w:tcW w:w="372" w:type="pct"/>
            <w:tcBorders>
              <w:top w:val="single" w:sz="4" w:space="0" w:color="auto"/>
            </w:tcBorders>
            <w:vAlign w:val="center"/>
          </w:tcPr>
          <w:p w14:paraId="515EA07F" w14:textId="02C39192"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.993</w:t>
            </w:r>
          </w:p>
        </w:tc>
        <w:tc>
          <w:tcPr>
            <w:tcW w:w="372" w:type="pct"/>
            <w:tcBorders>
              <w:top w:val="single" w:sz="4" w:space="0" w:color="auto"/>
            </w:tcBorders>
            <w:vAlign w:val="center"/>
          </w:tcPr>
          <w:p w14:paraId="363FFB15" w14:textId="54EBFA82"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.989</w:t>
            </w:r>
          </w:p>
        </w:tc>
        <w:tc>
          <w:tcPr>
            <w:tcW w:w="372" w:type="pct"/>
            <w:tcBorders>
              <w:top w:val="single" w:sz="4" w:space="0" w:color="auto"/>
            </w:tcBorders>
            <w:vAlign w:val="center"/>
          </w:tcPr>
          <w:p w14:paraId="4F903164" w14:textId="2C2EB565"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.981</w:t>
            </w:r>
          </w:p>
        </w:tc>
        <w:tc>
          <w:tcPr>
            <w:tcW w:w="372" w:type="pct"/>
            <w:tcBorders>
              <w:top w:val="single" w:sz="4" w:space="0" w:color="auto"/>
            </w:tcBorders>
            <w:vAlign w:val="center"/>
          </w:tcPr>
          <w:p w14:paraId="69C39E38" w14:textId="4F9CC322"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.986</w:t>
            </w:r>
          </w:p>
        </w:tc>
        <w:tc>
          <w:tcPr>
            <w:tcW w:w="372" w:type="pct"/>
            <w:tcBorders>
              <w:top w:val="single" w:sz="4" w:space="0" w:color="auto"/>
            </w:tcBorders>
            <w:vAlign w:val="center"/>
          </w:tcPr>
          <w:p w14:paraId="1099C2D5" w14:textId="58099205"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.989</w:t>
            </w:r>
          </w:p>
        </w:tc>
      </w:tr>
      <w:tr w:rsidR="00C146A6" w:rsidRPr="009627FD" w14:paraId="04A1B89C" w14:textId="77777777" w:rsidTr="00411CA4">
        <w:tc>
          <w:tcPr>
            <w:tcW w:w="1028" w:type="pct"/>
            <w:tcBorders>
              <w:bottom w:val="single" w:sz="4" w:space="0" w:color="auto"/>
            </w:tcBorders>
            <w:vAlign w:val="center"/>
          </w:tcPr>
          <w:p w14:paraId="653D560E" w14:textId="77777777" w:rsidR="00C146A6" w:rsidRPr="009627FD" w:rsidRDefault="00C146A6" w:rsidP="00522ACB">
            <w:pPr>
              <w:autoSpaceDE w:val="0"/>
              <w:autoSpaceDN w:val="0"/>
              <w:adjustRightInd w:val="0"/>
              <w:spacing w:line="360" w:lineRule="auto"/>
              <w:rPr>
                <w:b/>
                <w:bCs/>
                <w:lang w:val="en-US" w:bidi="fa-IR"/>
              </w:rPr>
            </w:pPr>
            <w:r w:rsidRPr="009627FD">
              <w:rPr>
                <w:b/>
                <w:bCs/>
                <w:lang w:val="en-US"/>
              </w:rPr>
              <w:t>Two-factor solution</w:t>
            </w:r>
          </w:p>
        </w:tc>
        <w:tc>
          <w:tcPr>
            <w:tcW w:w="490" w:type="pct"/>
            <w:tcBorders>
              <w:bottom w:val="single" w:sz="4" w:space="0" w:color="auto"/>
            </w:tcBorders>
            <w:vAlign w:val="center"/>
          </w:tcPr>
          <w:p w14:paraId="7D1B4B99" w14:textId="7777777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33.746</w:t>
            </w:r>
          </w:p>
        </w:tc>
        <w:tc>
          <w:tcPr>
            <w:tcW w:w="263" w:type="pct"/>
            <w:tcBorders>
              <w:bottom w:val="single" w:sz="4" w:space="0" w:color="auto"/>
            </w:tcBorders>
            <w:vAlign w:val="center"/>
          </w:tcPr>
          <w:p w14:paraId="1B3017BB" w14:textId="7777777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26</w:t>
            </w:r>
          </w:p>
        </w:tc>
        <w:tc>
          <w:tcPr>
            <w:tcW w:w="372" w:type="pct"/>
            <w:tcBorders>
              <w:bottom w:val="single" w:sz="4" w:space="0" w:color="auto"/>
            </w:tcBorders>
            <w:vAlign w:val="center"/>
          </w:tcPr>
          <w:p w14:paraId="1F0B312F" w14:textId="77777777" w:rsidR="00C146A6" w:rsidRPr="009627FD" w:rsidRDefault="00C146A6" w:rsidP="00522ACB">
            <w:pPr>
              <w:autoSpaceDE w:val="0"/>
              <w:autoSpaceDN w:val="0"/>
              <w:adjustRightInd w:val="0"/>
              <w:spacing w:line="360" w:lineRule="auto"/>
              <w:jc w:val="center"/>
              <w:rPr>
                <w:lang w:val="en-US" w:bidi="fa-IR"/>
              </w:rPr>
            </w:pPr>
            <w:r w:rsidRPr="009627FD">
              <w:rPr>
                <w:lang w:val="en-US" w:bidi="fa-IR"/>
              </w:rPr>
              <w:t>1.29</w:t>
            </w:r>
          </w:p>
        </w:tc>
        <w:tc>
          <w:tcPr>
            <w:tcW w:w="454" w:type="pct"/>
            <w:tcBorders>
              <w:bottom w:val="single" w:sz="4" w:space="0" w:color="auto"/>
            </w:tcBorders>
            <w:vAlign w:val="center"/>
          </w:tcPr>
          <w:p w14:paraId="0B6AA029" w14:textId="6F38E005" w:rsidR="00C146A6" w:rsidRPr="009627FD" w:rsidRDefault="00C146A6" w:rsidP="00522ACB">
            <w:pPr>
              <w:autoSpaceDE w:val="0"/>
              <w:autoSpaceDN w:val="0"/>
              <w:adjustRightInd w:val="0"/>
              <w:spacing w:line="360" w:lineRule="auto"/>
              <w:jc w:val="center"/>
              <w:rPr>
                <w:lang w:val="en-US" w:bidi="fa-IR"/>
              </w:rPr>
            </w:pPr>
            <w:r w:rsidRPr="009627FD">
              <w:rPr>
                <w:lang w:val="en-US" w:bidi="fa-IR"/>
              </w:rPr>
              <w:t>.040</w:t>
            </w:r>
          </w:p>
        </w:tc>
        <w:tc>
          <w:tcPr>
            <w:tcW w:w="532" w:type="pct"/>
            <w:tcBorders>
              <w:bottom w:val="single" w:sz="4" w:space="0" w:color="auto"/>
            </w:tcBorders>
            <w:vAlign w:val="center"/>
          </w:tcPr>
          <w:p w14:paraId="148EEE55" w14:textId="20E4C0C2" w:rsidR="00C146A6" w:rsidRPr="009627FD" w:rsidRDefault="00C146A6" w:rsidP="00522ACB">
            <w:pPr>
              <w:autoSpaceDE w:val="0"/>
              <w:autoSpaceDN w:val="0"/>
              <w:adjustRightInd w:val="0"/>
              <w:spacing w:line="360" w:lineRule="auto"/>
              <w:jc w:val="center"/>
              <w:rPr>
                <w:lang w:val="en-US" w:bidi="fa-IR"/>
              </w:rPr>
            </w:pPr>
            <w:r w:rsidRPr="009627FD">
              <w:rPr>
                <w:lang w:val="en-US" w:bidi="fa-IR"/>
              </w:rPr>
              <w:t>.025</w:t>
            </w:r>
          </w:p>
        </w:tc>
        <w:tc>
          <w:tcPr>
            <w:tcW w:w="372" w:type="pct"/>
            <w:tcBorders>
              <w:bottom w:val="single" w:sz="4" w:space="0" w:color="auto"/>
            </w:tcBorders>
            <w:vAlign w:val="center"/>
          </w:tcPr>
          <w:p w14:paraId="4A59F783" w14:textId="23B43F45"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.996</w:t>
            </w:r>
          </w:p>
        </w:tc>
        <w:tc>
          <w:tcPr>
            <w:tcW w:w="372" w:type="pct"/>
            <w:tcBorders>
              <w:bottom w:val="single" w:sz="4" w:space="0" w:color="auto"/>
            </w:tcBorders>
            <w:vAlign w:val="center"/>
          </w:tcPr>
          <w:p w14:paraId="7879451D" w14:textId="7BF61FCB"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.997</w:t>
            </w:r>
          </w:p>
        </w:tc>
        <w:tc>
          <w:tcPr>
            <w:tcW w:w="372" w:type="pct"/>
            <w:tcBorders>
              <w:bottom w:val="single" w:sz="4" w:space="0" w:color="auto"/>
            </w:tcBorders>
            <w:vAlign w:val="center"/>
          </w:tcPr>
          <w:p w14:paraId="5F5D5249" w14:textId="16F1A6E8"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.989</w:t>
            </w:r>
          </w:p>
        </w:tc>
        <w:tc>
          <w:tcPr>
            <w:tcW w:w="372" w:type="pct"/>
            <w:tcBorders>
              <w:bottom w:val="single" w:sz="4" w:space="0" w:color="auto"/>
            </w:tcBorders>
            <w:vAlign w:val="center"/>
          </w:tcPr>
          <w:p w14:paraId="1A2A91F7" w14:textId="4BF6D9AD"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.996</w:t>
            </w:r>
          </w:p>
        </w:tc>
        <w:tc>
          <w:tcPr>
            <w:tcW w:w="372" w:type="pct"/>
            <w:tcBorders>
              <w:bottom w:val="single" w:sz="4" w:space="0" w:color="auto"/>
            </w:tcBorders>
            <w:vAlign w:val="center"/>
          </w:tcPr>
          <w:p w14:paraId="6E2E633B" w14:textId="0233B14C" w:rsidR="00C146A6" w:rsidRPr="009627FD" w:rsidRDefault="00C146A6" w:rsidP="00522ACB">
            <w:pPr>
              <w:autoSpaceDE w:val="0"/>
              <w:autoSpaceDN w:val="0"/>
              <w:adjustRightInd w:val="0"/>
              <w:spacing w:line="360" w:lineRule="auto"/>
              <w:jc w:val="center"/>
              <w:rPr>
                <w:lang w:val="en-US" w:bidi="fa-IR"/>
              </w:rPr>
            </w:pPr>
            <w:r w:rsidRPr="009627FD">
              <w:rPr>
                <w:lang w:val="en-US" w:bidi="fa-IR"/>
              </w:rPr>
              <w:t>.997</w:t>
            </w:r>
          </w:p>
        </w:tc>
      </w:tr>
    </w:tbl>
    <w:p w14:paraId="4B33FAFC" w14:textId="41B22F17" w:rsidR="00C146A6" w:rsidRPr="009627FD" w:rsidRDefault="00C146A6" w:rsidP="002D38A9">
      <w:pPr>
        <w:autoSpaceDE w:val="0"/>
        <w:autoSpaceDN w:val="0"/>
        <w:adjustRightInd w:val="0"/>
        <w:jc w:val="both"/>
        <w:rPr>
          <w:lang w:val="en-US" w:bidi="fa-IR"/>
        </w:rPr>
      </w:pPr>
      <w:r w:rsidRPr="009627FD">
        <w:rPr>
          <w:lang w:val="en-US" w:bidi="fa-IR"/>
        </w:rPr>
        <w:t xml:space="preserve">Note. </w:t>
      </w:r>
      <w:r w:rsidR="006E3309" w:rsidRPr="009627FD">
        <w:rPr>
          <w:lang w:val="en-US"/>
        </w:rPr>
        <w:t>n</w:t>
      </w:r>
      <w:r w:rsidR="006D4FB3" w:rsidRPr="009627FD">
        <w:rPr>
          <w:lang w:val="en-US"/>
        </w:rPr>
        <w:t xml:space="preserve">=484. </w:t>
      </w:r>
      <w:r w:rsidRPr="009627FD">
        <w:rPr>
          <w:lang w:val="en-US" w:bidi="fa-IR"/>
        </w:rPr>
        <w:t xml:space="preserve">All the models were estimated with zero cross-loadings and correlated errors; </w:t>
      </w:r>
      <w:r w:rsidRPr="009627FD">
        <w:rPr>
          <w:i/>
          <w:iCs/>
          <w:lang w:val="en-US" w:bidi="fa-IR"/>
        </w:rPr>
        <w:t>χ</w:t>
      </w:r>
      <w:r w:rsidRPr="009627FD">
        <w:rPr>
          <w:lang w:val="en-US" w:bidi="fa-IR"/>
        </w:rPr>
        <w:t xml:space="preserve">2 = chi-square index; SRMR = standardized root mean square residual; RMSEA = root mean square error of approximation; GFI = goodness of fit; CFI = comparative fit index; NFI = normed fit index; TLI = Tucker-Lewis Index; IFI = incremental fit index. </w:t>
      </w:r>
    </w:p>
    <w:p w14:paraId="243065DF" w14:textId="77777777" w:rsidR="00C146A6" w:rsidRPr="009627FD" w:rsidRDefault="00C146A6" w:rsidP="00522ACB">
      <w:pPr>
        <w:spacing w:line="360" w:lineRule="auto"/>
        <w:rPr>
          <w:lang w:val="en-US"/>
        </w:rPr>
      </w:pPr>
    </w:p>
    <w:p w14:paraId="6FC0EB0F" w14:textId="77777777" w:rsidR="00C146A6" w:rsidRPr="009627FD" w:rsidRDefault="00C146A6" w:rsidP="00522ACB">
      <w:pPr>
        <w:spacing w:line="360" w:lineRule="auto"/>
        <w:rPr>
          <w:lang w:val="en-US"/>
        </w:rPr>
      </w:pPr>
      <w:r w:rsidRPr="009627FD">
        <w:rPr>
          <w:lang w:val="en-US"/>
        </w:rPr>
        <w:br w:type="page"/>
      </w:r>
    </w:p>
    <w:p w14:paraId="5706907D" w14:textId="77777777" w:rsidR="00C146A6" w:rsidRPr="009627FD" w:rsidRDefault="00C146A6" w:rsidP="00522ACB">
      <w:pPr>
        <w:spacing w:line="360" w:lineRule="auto"/>
        <w:rPr>
          <w:lang w:val="en-US"/>
        </w:rPr>
        <w:sectPr w:rsidR="00C146A6" w:rsidRPr="009627FD" w:rsidSect="002D79F3">
          <w:headerReference w:type="default" r:id="rId61"/>
          <w:footerReference w:type="even" r:id="rId62"/>
          <w:footerReference w:type="default" r:id="rId63"/>
          <w:pgSz w:w="11906" w:h="16838"/>
          <w:pgMar w:top="851" w:right="1134" w:bottom="851" w:left="1134" w:header="708" w:footer="708" w:gutter="0"/>
          <w:cols w:space="708"/>
          <w:docGrid w:linePitch="360"/>
        </w:sectPr>
      </w:pPr>
    </w:p>
    <w:p w14:paraId="44CAFB67" w14:textId="6941092E" w:rsidR="00C146A6" w:rsidRPr="009627FD" w:rsidRDefault="00C146A6" w:rsidP="00A53F56">
      <w:pPr>
        <w:spacing w:line="360" w:lineRule="auto"/>
        <w:rPr>
          <w:lang w:val="en-US"/>
        </w:rPr>
      </w:pPr>
      <w:r w:rsidRPr="009627FD">
        <w:rPr>
          <w:b/>
          <w:lang w:val="en-US"/>
        </w:rPr>
        <w:lastRenderedPageBreak/>
        <w:t>Table 3</w:t>
      </w:r>
      <w:r w:rsidRPr="009627FD">
        <w:rPr>
          <w:lang w:val="en-US"/>
        </w:rPr>
        <w:t xml:space="preserve">. Means, standard deviations, ranges, and </w:t>
      </w:r>
      <w:r w:rsidR="00377DDB" w:rsidRPr="009627FD">
        <w:rPr>
          <w:lang w:val="en-US"/>
        </w:rPr>
        <w:t>inter-correlations of variables</w:t>
      </w:r>
    </w:p>
    <w:tbl>
      <w:tblPr>
        <w:tblStyle w:val="TableGrid"/>
        <w:tblW w:w="1606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1678"/>
        <w:gridCol w:w="1226"/>
        <w:gridCol w:w="727"/>
        <w:gridCol w:w="1005"/>
        <w:gridCol w:w="894"/>
        <w:gridCol w:w="316"/>
        <w:gridCol w:w="766"/>
        <w:gridCol w:w="787"/>
        <w:gridCol w:w="766"/>
        <w:gridCol w:w="651"/>
        <w:gridCol w:w="851"/>
        <w:gridCol w:w="850"/>
        <w:gridCol w:w="851"/>
        <w:gridCol w:w="850"/>
        <w:gridCol w:w="851"/>
        <w:gridCol w:w="850"/>
        <w:gridCol w:w="851"/>
        <w:gridCol w:w="850"/>
      </w:tblGrid>
      <w:tr w:rsidR="00A53F56" w:rsidRPr="009627FD" w14:paraId="44B86477" w14:textId="369CA243" w:rsidTr="002D38A9">
        <w:tc>
          <w:tcPr>
            <w:tcW w:w="445" w:type="dxa"/>
            <w:tcBorders>
              <w:top w:val="single" w:sz="4" w:space="0" w:color="auto"/>
              <w:bottom w:val="single" w:sz="4" w:space="0" w:color="auto"/>
            </w:tcBorders>
          </w:tcPr>
          <w:p w14:paraId="3A1B6A52" w14:textId="77777777" w:rsidR="00B9512A" w:rsidRPr="009627FD" w:rsidRDefault="00B9512A" w:rsidP="00C66DF9">
            <w:pPr>
              <w:spacing w:line="360" w:lineRule="auto"/>
              <w:rPr>
                <w:sz w:val="20"/>
                <w:szCs w:val="20"/>
                <w:lang w:val="en-US"/>
              </w:rPr>
            </w:pPr>
          </w:p>
        </w:tc>
        <w:tc>
          <w:tcPr>
            <w:tcW w:w="1678" w:type="dxa"/>
            <w:tcBorders>
              <w:top w:val="single" w:sz="4" w:space="0" w:color="auto"/>
              <w:bottom w:val="single" w:sz="4" w:space="0" w:color="auto"/>
            </w:tcBorders>
          </w:tcPr>
          <w:p w14:paraId="48CAA5B4" w14:textId="10D0106C" w:rsidR="00B9512A" w:rsidRPr="009627FD" w:rsidRDefault="00D53AF9" w:rsidP="00D53AF9">
            <w:pPr>
              <w:tabs>
                <w:tab w:val="left" w:pos="780"/>
              </w:tabs>
              <w:spacing w:line="360" w:lineRule="auto"/>
              <w:rPr>
                <w:sz w:val="20"/>
                <w:szCs w:val="20"/>
                <w:lang w:val="en-US"/>
              </w:rPr>
            </w:pPr>
            <w:r w:rsidRPr="009627FD">
              <w:rPr>
                <w:sz w:val="20"/>
                <w:szCs w:val="20"/>
                <w:lang w:val="en-US"/>
              </w:rPr>
              <w:tab/>
            </w:r>
          </w:p>
        </w:tc>
        <w:tc>
          <w:tcPr>
            <w:tcW w:w="1226" w:type="dxa"/>
            <w:tcBorders>
              <w:top w:val="single" w:sz="4" w:space="0" w:color="auto"/>
              <w:bottom w:val="single" w:sz="4" w:space="0" w:color="auto"/>
            </w:tcBorders>
          </w:tcPr>
          <w:p w14:paraId="2143C308" w14:textId="076D626F" w:rsidR="00B9512A" w:rsidRPr="009627FD" w:rsidRDefault="00B9512A" w:rsidP="00C66DF9">
            <w:pPr>
              <w:spacing w:line="360" w:lineRule="auto"/>
              <w:rPr>
                <w:sz w:val="20"/>
                <w:szCs w:val="20"/>
                <w:lang w:val="en-US"/>
              </w:rPr>
            </w:pPr>
            <w:r w:rsidRPr="009627FD">
              <w:rPr>
                <w:sz w:val="20"/>
                <w:szCs w:val="20"/>
                <w:lang w:val="en-US"/>
              </w:rPr>
              <w:t>Mean ±S.D.</w:t>
            </w:r>
          </w:p>
        </w:tc>
        <w:tc>
          <w:tcPr>
            <w:tcW w:w="727" w:type="dxa"/>
            <w:tcBorders>
              <w:top w:val="single" w:sz="4" w:space="0" w:color="auto"/>
              <w:bottom w:val="single" w:sz="4" w:space="0" w:color="auto"/>
            </w:tcBorders>
          </w:tcPr>
          <w:p w14:paraId="40E510FD" w14:textId="7F059360" w:rsidR="00B9512A" w:rsidRPr="009627FD" w:rsidRDefault="00B9512A" w:rsidP="00C66DF9">
            <w:pPr>
              <w:spacing w:line="360" w:lineRule="auto"/>
              <w:rPr>
                <w:sz w:val="20"/>
                <w:szCs w:val="20"/>
                <w:lang w:val="en-US"/>
              </w:rPr>
            </w:pPr>
            <w:r w:rsidRPr="009627FD">
              <w:rPr>
                <w:sz w:val="20"/>
                <w:szCs w:val="20"/>
                <w:lang w:val="en-US"/>
              </w:rPr>
              <w:t>Range</w:t>
            </w:r>
          </w:p>
        </w:tc>
        <w:tc>
          <w:tcPr>
            <w:tcW w:w="1005" w:type="dxa"/>
            <w:tcBorders>
              <w:top w:val="single" w:sz="4" w:space="0" w:color="auto"/>
              <w:bottom w:val="single" w:sz="4" w:space="0" w:color="auto"/>
            </w:tcBorders>
          </w:tcPr>
          <w:p w14:paraId="26878FF3" w14:textId="2EF3EA10" w:rsidR="00B9512A" w:rsidRPr="009627FD" w:rsidRDefault="00B9512A" w:rsidP="00C66DF9">
            <w:pPr>
              <w:spacing w:line="360" w:lineRule="auto"/>
              <w:rPr>
                <w:sz w:val="20"/>
                <w:szCs w:val="20"/>
                <w:lang w:val="en-US"/>
              </w:rPr>
            </w:pPr>
            <w:r w:rsidRPr="009627FD">
              <w:rPr>
                <w:sz w:val="20"/>
                <w:szCs w:val="20"/>
                <w:lang w:val="en-US"/>
              </w:rPr>
              <w:t xml:space="preserve">Skewness </w:t>
            </w:r>
          </w:p>
        </w:tc>
        <w:tc>
          <w:tcPr>
            <w:tcW w:w="894" w:type="dxa"/>
            <w:tcBorders>
              <w:top w:val="single" w:sz="4" w:space="0" w:color="auto"/>
              <w:bottom w:val="single" w:sz="4" w:space="0" w:color="auto"/>
            </w:tcBorders>
          </w:tcPr>
          <w:p w14:paraId="1E7E2B4F" w14:textId="05B863E1" w:rsidR="00B9512A" w:rsidRPr="009627FD" w:rsidRDefault="00B9512A" w:rsidP="00C66DF9">
            <w:pPr>
              <w:spacing w:line="360" w:lineRule="auto"/>
              <w:rPr>
                <w:sz w:val="20"/>
                <w:szCs w:val="20"/>
                <w:lang w:val="en-US"/>
              </w:rPr>
            </w:pPr>
            <w:r w:rsidRPr="009627FD">
              <w:rPr>
                <w:sz w:val="20"/>
                <w:szCs w:val="20"/>
                <w:lang w:val="en-US"/>
              </w:rPr>
              <w:t>Kurtosis</w:t>
            </w:r>
          </w:p>
        </w:tc>
        <w:tc>
          <w:tcPr>
            <w:tcW w:w="316" w:type="dxa"/>
            <w:tcBorders>
              <w:top w:val="single" w:sz="4" w:space="0" w:color="auto"/>
              <w:bottom w:val="single" w:sz="4" w:space="0" w:color="auto"/>
            </w:tcBorders>
          </w:tcPr>
          <w:p w14:paraId="0F9F0950" w14:textId="75005933" w:rsidR="00B9512A" w:rsidRPr="009627FD" w:rsidRDefault="00B9512A" w:rsidP="00C66DF9">
            <w:pPr>
              <w:spacing w:line="360" w:lineRule="auto"/>
              <w:rPr>
                <w:sz w:val="20"/>
                <w:szCs w:val="20"/>
                <w:lang w:val="en-US"/>
              </w:rPr>
            </w:pPr>
            <w:r w:rsidRPr="009627FD">
              <w:rPr>
                <w:sz w:val="20"/>
                <w:szCs w:val="20"/>
                <w:lang w:val="en-US"/>
              </w:rPr>
              <w:t>1</w:t>
            </w:r>
          </w:p>
        </w:tc>
        <w:tc>
          <w:tcPr>
            <w:tcW w:w="766" w:type="dxa"/>
            <w:tcBorders>
              <w:top w:val="single" w:sz="4" w:space="0" w:color="auto"/>
              <w:bottom w:val="single" w:sz="4" w:space="0" w:color="auto"/>
            </w:tcBorders>
          </w:tcPr>
          <w:p w14:paraId="229EF3A6" w14:textId="6B64A872" w:rsidR="00B9512A" w:rsidRPr="009627FD" w:rsidRDefault="00B9512A" w:rsidP="00C66DF9">
            <w:pPr>
              <w:spacing w:line="360" w:lineRule="auto"/>
              <w:rPr>
                <w:sz w:val="20"/>
                <w:szCs w:val="20"/>
                <w:lang w:val="en-US"/>
              </w:rPr>
            </w:pPr>
            <w:r w:rsidRPr="009627FD">
              <w:rPr>
                <w:sz w:val="20"/>
                <w:szCs w:val="20"/>
                <w:lang w:val="en-US"/>
              </w:rPr>
              <w:t>2</w:t>
            </w:r>
          </w:p>
        </w:tc>
        <w:tc>
          <w:tcPr>
            <w:tcW w:w="787" w:type="dxa"/>
            <w:tcBorders>
              <w:top w:val="single" w:sz="4" w:space="0" w:color="auto"/>
              <w:bottom w:val="single" w:sz="4" w:space="0" w:color="auto"/>
            </w:tcBorders>
          </w:tcPr>
          <w:p w14:paraId="2962A7AB" w14:textId="6BAB3862" w:rsidR="00B9512A" w:rsidRPr="009627FD" w:rsidRDefault="00B9512A" w:rsidP="00C66DF9">
            <w:pPr>
              <w:spacing w:line="360" w:lineRule="auto"/>
              <w:rPr>
                <w:sz w:val="20"/>
                <w:szCs w:val="20"/>
                <w:lang w:val="en-US"/>
              </w:rPr>
            </w:pPr>
            <w:r w:rsidRPr="009627FD">
              <w:rPr>
                <w:sz w:val="20"/>
                <w:szCs w:val="20"/>
                <w:lang w:val="en-US"/>
              </w:rPr>
              <w:t>3</w:t>
            </w:r>
          </w:p>
        </w:tc>
        <w:tc>
          <w:tcPr>
            <w:tcW w:w="766" w:type="dxa"/>
            <w:tcBorders>
              <w:top w:val="single" w:sz="4" w:space="0" w:color="auto"/>
              <w:bottom w:val="single" w:sz="4" w:space="0" w:color="auto"/>
            </w:tcBorders>
          </w:tcPr>
          <w:p w14:paraId="68D6492B" w14:textId="5A9BE30F" w:rsidR="00B9512A" w:rsidRPr="009627FD" w:rsidRDefault="00B9512A" w:rsidP="00C66DF9">
            <w:pPr>
              <w:spacing w:line="360" w:lineRule="auto"/>
              <w:rPr>
                <w:sz w:val="20"/>
                <w:szCs w:val="20"/>
                <w:lang w:val="en-US"/>
              </w:rPr>
            </w:pPr>
            <w:r w:rsidRPr="009627FD">
              <w:rPr>
                <w:sz w:val="20"/>
                <w:szCs w:val="20"/>
                <w:lang w:val="en-US"/>
              </w:rPr>
              <w:t>4</w:t>
            </w:r>
          </w:p>
        </w:tc>
        <w:tc>
          <w:tcPr>
            <w:tcW w:w="651" w:type="dxa"/>
            <w:tcBorders>
              <w:top w:val="single" w:sz="4" w:space="0" w:color="auto"/>
              <w:bottom w:val="single" w:sz="4" w:space="0" w:color="auto"/>
            </w:tcBorders>
          </w:tcPr>
          <w:p w14:paraId="7AC53532" w14:textId="04C085B6" w:rsidR="00B9512A" w:rsidRPr="009627FD" w:rsidRDefault="00B9512A" w:rsidP="00C66DF9">
            <w:pPr>
              <w:spacing w:line="360" w:lineRule="auto"/>
              <w:rPr>
                <w:sz w:val="20"/>
                <w:szCs w:val="20"/>
                <w:lang w:val="en-US"/>
              </w:rPr>
            </w:pPr>
            <w:r w:rsidRPr="009627FD">
              <w:rPr>
                <w:sz w:val="20"/>
                <w:szCs w:val="20"/>
                <w:lang w:val="en-US"/>
              </w:rPr>
              <w:t>5</w:t>
            </w:r>
          </w:p>
        </w:tc>
        <w:tc>
          <w:tcPr>
            <w:tcW w:w="851" w:type="dxa"/>
            <w:tcBorders>
              <w:top w:val="single" w:sz="4" w:space="0" w:color="auto"/>
              <w:bottom w:val="single" w:sz="4" w:space="0" w:color="auto"/>
            </w:tcBorders>
          </w:tcPr>
          <w:p w14:paraId="163DA271" w14:textId="70154356" w:rsidR="00B9512A" w:rsidRPr="009627FD" w:rsidRDefault="00B9512A" w:rsidP="00C66DF9">
            <w:pPr>
              <w:spacing w:line="360" w:lineRule="auto"/>
              <w:rPr>
                <w:sz w:val="20"/>
                <w:szCs w:val="20"/>
                <w:lang w:val="en-US"/>
              </w:rPr>
            </w:pPr>
            <w:r w:rsidRPr="009627FD">
              <w:rPr>
                <w:sz w:val="20"/>
                <w:szCs w:val="20"/>
                <w:lang w:val="en-US"/>
              </w:rPr>
              <w:t>6</w:t>
            </w:r>
          </w:p>
        </w:tc>
        <w:tc>
          <w:tcPr>
            <w:tcW w:w="850" w:type="dxa"/>
            <w:tcBorders>
              <w:top w:val="single" w:sz="4" w:space="0" w:color="auto"/>
              <w:bottom w:val="single" w:sz="4" w:space="0" w:color="auto"/>
            </w:tcBorders>
          </w:tcPr>
          <w:p w14:paraId="6F6FE319" w14:textId="4A400CF3" w:rsidR="00B9512A" w:rsidRPr="009627FD" w:rsidRDefault="00B9512A" w:rsidP="00C66DF9">
            <w:pPr>
              <w:spacing w:line="360" w:lineRule="auto"/>
              <w:rPr>
                <w:sz w:val="20"/>
                <w:szCs w:val="20"/>
                <w:lang w:val="en-US"/>
              </w:rPr>
            </w:pPr>
            <w:r w:rsidRPr="009627FD">
              <w:rPr>
                <w:sz w:val="20"/>
                <w:szCs w:val="20"/>
                <w:lang w:val="en-US"/>
              </w:rPr>
              <w:t>7</w:t>
            </w:r>
          </w:p>
        </w:tc>
        <w:tc>
          <w:tcPr>
            <w:tcW w:w="851" w:type="dxa"/>
            <w:tcBorders>
              <w:top w:val="single" w:sz="4" w:space="0" w:color="auto"/>
              <w:bottom w:val="single" w:sz="4" w:space="0" w:color="auto"/>
            </w:tcBorders>
          </w:tcPr>
          <w:p w14:paraId="09ED89EB" w14:textId="33B986A9" w:rsidR="00B9512A" w:rsidRPr="009627FD" w:rsidRDefault="00B9512A" w:rsidP="00C66DF9">
            <w:pPr>
              <w:spacing w:line="360" w:lineRule="auto"/>
              <w:rPr>
                <w:sz w:val="20"/>
                <w:szCs w:val="20"/>
                <w:lang w:val="en-US"/>
              </w:rPr>
            </w:pPr>
            <w:r w:rsidRPr="009627FD">
              <w:rPr>
                <w:sz w:val="20"/>
                <w:szCs w:val="20"/>
                <w:lang w:val="en-US"/>
              </w:rPr>
              <w:t>8</w:t>
            </w:r>
          </w:p>
        </w:tc>
        <w:tc>
          <w:tcPr>
            <w:tcW w:w="850" w:type="dxa"/>
            <w:tcBorders>
              <w:top w:val="single" w:sz="4" w:space="0" w:color="auto"/>
              <w:bottom w:val="single" w:sz="4" w:space="0" w:color="auto"/>
            </w:tcBorders>
          </w:tcPr>
          <w:p w14:paraId="7AD7711C" w14:textId="0FA361D9" w:rsidR="00B9512A" w:rsidRPr="009627FD" w:rsidRDefault="00B9512A" w:rsidP="00C66DF9">
            <w:pPr>
              <w:spacing w:line="360" w:lineRule="auto"/>
              <w:rPr>
                <w:sz w:val="20"/>
                <w:szCs w:val="20"/>
                <w:lang w:val="en-US"/>
              </w:rPr>
            </w:pPr>
            <w:r w:rsidRPr="009627FD">
              <w:rPr>
                <w:sz w:val="20"/>
                <w:szCs w:val="20"/>
                <w:lang w:val="en-US"/>
              </w:rPr>
              <w:t>9</w:t>
            </w:r>
          </w:p>
        </w:tc>
        <w:tc>
          <w:tcPr>
            <w:tcW w:w="851" w:type="dxa"/>
            <w:tcBorders>
              <w:top w:val="single" w:sz="4" w:space="0" w:color="auto"/>
              <w:bottom w:val="single" w:sz="4" w:space="0" w:color="auto"/>
            </w:tcBorders>
          </w:tcPr>
          <w:p w14:paraId="1BD72763" w14:textId="09CF9017" w:rsidR="00B9512A" w:rsidRPr="009627FD" w:rsidRDefault="00B9512A" w:rsidP="00C66DF9">
            <w:pPr>
              <w:spacing w:line="360" w:lineRule="auto"/>
              <w:rPr>
                <w:sz w:val="20"/>
                <w:szCs w:val="20"/>
                <w:lang w:val="en-US"/>
              </w:rPr>
            </w:pPr>
            <w:r w:rsidRPr="009627FD">
              <w:rPr>
                <w:sz w:val="20"/>
                <w:szCs w:val="20"/>
                <w:lang w:val="en-US"/>
              </w:rPr>
              <w:t>10</w:t>
            </w:r>
          </w:p>
        </w:tc>
        <w:tc>
          <w:tcPr>
            <w:tcW w:w="850" w:type="dxa"/>
            <w:tcBorders>
              <w:top w:val="single" w:sz="4" w:space="0" w:color="auto"/>
              <w:bottom w:val="single" w:sz="4" w:space="0" w:color="auto"/>
            </w:tcBorders>
          </w:tcPr>
          <w:p w14:paraId="011DFEE9" w14:textId="0C4706A9" w:rsidR="00B9512A" w:rsidRPr="009627FD" w:rsidRDefault="00B9512A" w:rsidP="00C66DF9">
            <w:pPr>
              <w:spacing w:line="360" w:lineRule="auto"/>
              <w:rPr>
                <w:sz w:val="20"/>
                <w:szCs w:val="20"/>
                <w:lang w:val="en-US"/>
              </w:rPr>
            </w:pPr>
            <w:r w:rsidRPr="009627FD">
              <w:rPr>
                <w:sz w:val="20"/>
                <w:szCs w:val="20"/>
                <w:lang w:val="en-US"/>
              </w:rPr>
              <w:t>11</w:t>
            </w:r>
          </w:p>
        </w:tc>
        <w:tc>
          <w:tcPr>
            <w:tcW w:w="851" w:type="dxa"/>
            <w:tcBorders>
              <w:top w:val="single" w:sz="4" w:space="0" w:color="auto"/>
              <w:bottom w:val="single" w:sz="4" w:space="0" w:color="auto"/>
            </w:tcBorders>
          </w:tcPr>
          <w:p w14:paraId="348F6C6F" w14:textId="57F3EBC0" w:rsidR="00B9512A" w:rsidRPr="009627FD" w:rsidRDefault="00B9512A" w:rsidP="00C66DF9">
            <w:pPr>
              <w:spacing w:line="360" w:lineRule="auto"/>
              <w:rPr>
                <w:sz w:val="20"/>
                <w:szCs w:val="20"/>
                <w:lang w:val="en-US"/>
              </w:rPr>
            </w:pPr>
            <w:r w:rsidRPr="009627FD">
              <w:rPr>
                <w:sz w:val="20"/>
                <w:szCs w:val="20"/>
                <w:lang w:val="en-US"/>
              </w:rPr>
              <w:t>12</w:t>
            </w:r>
          </w:p>
        </w:tc>
        <w:tc>
          <w:tcPr>
            <w:tcW w:w="850" w:type="dxa"/>
            <w:tcBorders>
              <w:top w:val="single" w:sz="4" w:space="0" w:color="auto"/>
              <w:bottom w:val="single" w:sz="4" w:space="0" w:color="auto"/>
            </w:tcBorders>
          </w:tcPr>
          <w:p w14:paraId="3209C7C5" w14:textId="24F5752E" w:rsidR="00B9512A" w:rsidRPr="009627FD" w:rsidRDefault="00B9512A" w:rsidP="00C66DF9">
            <w:pPr>
              <w:spacing w:line="360" w:lineRule="auto"/>
              <w:rPr>
                <w:sz w:val="20"/>
                <w:szCs w:val="20"/>
                <w:lang w:val="en-US"/>
              </w:rPr>
            </w:pPr>
            <w:r w:rsidRPr="009627FD">
              <w:rPr>
                <w:sz w:val="20"/>
                <w:szCs w:val="20"/>
                <w:lang w:val="en-US"/>
              </w:rPr>
              <w:t>13</w:t>
            </w:r>
          </w:p>
        </w:tc>
      </w:tr>
      <w:tr w:rsidR="00A53F56" w:rsidRPr="009627FD" w14:paraId="7254FC2B" w14:textId="3C41ABD4" w:rsidTr="002D38A9">
        <w:tc>
          <w:tcPr>
            <w:tcW w:w="445" w:type="dxa"/>
            <w:tcBorders>
              <w:top w:val="single" w:sz="4" w:space="0" w:color="auto"/>
            </w:tcBorders>
          </w:tcPr>
          <w:p w14:paraId="70F30C35" w14:textId="77777777" w:rsidR="00B9512A" w:rsidRPr="009627FD" w:rsidRDefault="00B9512A" w:rsidP="00C66DF9">
            <w:pPr>
              <w:spacing w:line="360" w:lineRule="auto"/>
              <w:rPr>
                <w:sz w:val="20"/>
                <w:szCs w:val="20"/>
                <w:lang w:val="en-US"/>
              </w:rPr>
            </w:pPr>
            <w:r w:rsidRPr="009627FD">
              <w:rPr>
                <w:sz w:val="20"/>
                <w:szCs w:val="20"/>
                <w:lang w:val="en-US"/>
              </w:rPr>
              <w:t>1</w:t>
            </w:r>
          </w:p>
        </w:tc>
        <w:tc>
          <w:tcPr>
            <w:tcW w:w="1678" w:type="dxa"/>
            <w:tcBorders>
              <w:top w:val="single" w:sz="4" w:space="0" w:color="auto"/>
            </w:tcBorders>
          </w:tcPr>
          <w:p w14:paraId="37284B6F" w14:textId="616D1FF5" w:rsidR="00B9512A" w:rsidRPr="009627FD" w:rsidRDefault="00B9512A" w:rsidP="00C66DF9">
            <w:pPr>
              <w:spacing w:line="360" w:lineRule="auto"/>
              <w:rPr>
                <w:sz w:val="20"/>
                <w:szCs w:val="20"/>
                <w:lang w:val="en-US"/>
              </w:rPr>
            </w:pPr>
            <w:r w:rsidRPr="009627FD">
              <w:rPr>
                <w:sz w:val="20"/>
                <w:szCs w:val="20"/>
                <w:lang w:val="en-US"/>
              </w:rPr>
              <w:t>BFI-10-Agr</w:t>
            </w:r>
          </w:p>
        </w:tc>
        <w:tc>
          <w:tcPr>
            <w:tcW w:w="1226" w:type="dxa"/>
            <w:tcBorders>
              <w:top w:val="single" w:sz="4" w:space="0" w:color="auto"/>
            </w:tcBorders>
          </w:tcPr>
          <w:p w14:paraId="1FE2B6AB" w14:textId="51CA0EBD" w:rsidR="00B9512A" w:rsidRPr="009627FD" w:rsidRDefault="00B9512A" w:rsidP="00C66DF9">
            <w:pPr>
              <w:spacing w:line="360" w:lineRule="auto"/>
              <w:rPr>
                <w:sz w:val="20"/>
                <w:szCs w:val="20"/>
                <w:lang w:val="en-US"/>
              </w:rPr>
            </w:pPr>
            <w:r w:rsidRPr="009627FD">
              <w:rPr>
                <w:sz w:val="20"/>
                <w:szCs w:val="20"/>
                <w:lang w:val="en-US"/>
              </w:rPr>
              <w:t>6.55±3.11</w:t>
            </w:r>
          </w:p>
        </w:tc>
        <w:tc>
          <w:tcPr>
            <w:tcW w:w="727" w:type="dxa"/>
            <w:tcBorders>
              <w:top w:val="single" w:sz="4" w:space="0" w:color="auto"/>
            </w:tcBorders>
          </w:tcPr>
          <w:p w14:paraId="06B478BC" w14:textId="13F3C416" w:rsidR="00B9512A" w:rsidRPr="009627FD" w:rsidRDefault="00B9512A" w:rsidP="00C66DF9">
            <w:pPr>
              <w:spacing w:line="360" w:lineRule="auto"/>
              <w:rPr>
                <w:sz w:val="20"/>
                <w:szCs w:val="20"/>
                <w:lang w:val="en-US"/>
              </w:rPr>
            </w:pPr>
            <w:r w:rsidRPr="009627FD">
              <w:rPr>
                <w:sz w:val="20"/>
                <w:szCs w:val="20"/>
                <w:lang w:val="en-US"/>
              </w:rPr>
              <w:t>2-10</w:t>
            </w:r>
          </w:p>
        </w:tc>
        <w:tc>
          <w:tcPr>
            <w:tcW w:w="1005" w:type="dxa"/>
            <w:tcBorders>
              <w:top w:val="single" w:sz="4" w:space="0" w:color="auto"/>
            </w:tcBorders>
          </w:tcPr>
          <w:p w14:paraId="60DCB169" w14:textId="149004AC" w:rsidR="00B9512A" w:rsidRPr="009627FD" w:rsidRDefault="00B9512A" w:rsidP="00C66DF9">
            <w:pPr>
              <w:spacing w:line="360" w:lineRule="auto"/>
              <w:rPr>
                <w:sz w:val="20"/>
                <w:szCs w:val="20"/>
                <w:lang w:val="en-US"/>
              </w:rPr>
            </w:pPr>
            <w:r w:rsidRPr="009627FD">
              <w:rPr>
                <w:sz w:val="20"/>
                <w:szCs w:val="20"/>
                <w:lang w:val="en-US"/>
              </w:rPr>
              <w:t>-.22</w:t>
            </w:r>
          </w:p>
        </w:tc>
        <w:tc>
          <w:tcPr>
            <w:tcW w:w="894" w:type="dxa"/>
            <w:tcBorders>
              <w:top w:val="single" w:sz="4" w:space="0" w:color="auto"/>
            </w:tcBorders>
          </w:tcPr>
          <w:p w14:paraId="6ABFE8F5" w14:textId="37678139" w:rsidR="00B9512A" w:rsidRPr="009627FD" w:rsidRDefault="00B9512A" w:rsidP="00C66DF9">
            <w:pPr>
              <w:spacing w:line="360" w:lineRule="auto"/>
              <w:rPr>
                <w:sz w:val="20"/>
                <w:szCs w:val="20"/>
                <w:lang w:val="en-US"/>
              </w:rPr>
            </w:pPr>
            <w:r w:rsidRPr="009627FD">
              <w:rPr>
                <w:sz w:val="20"/>
                <w:szCs w:val="20"/>
                <w:lang w:val="en-US"/>
              </w:rPr>
              <w:t>-.29</w:t>
            </w:r>
          </w:p>
        </w:tc>
        <w:tc>
          <w:tcPr>
            <w:tcW w:w="316" w:type="dxa"/>
            <w:tcBorders>
              <w:top w:val="single" w:sz="4" w:space="0" w:color="auto"/>
            </w:tcBorders>
          </w:tcPr>
          <w:p w14:paraId="04F85B90" w14:textId="296AF47D" w:rsidR="00B9512A" w:rsidRPr="009627FD" w:rsidRDefault="00B9512A" w:rsidP="00C66DF9">
            <w:pPr>
              <w:spacing w:line="360" w:lineRule="auto"/>
              <w:rPr>
                <w:sz w:val="20"/>
                <w:szCs w:val="20"/>
                <w:lang w:val="en-US"/>
              </w:rPr>
            </w:pPr>
            <w:r w:rsidRPr="009627FD">
              <w:rPr>
                <w:sz w:val="20"/>
                <w:szCs w:val="20"/>
                <w:lang w:val="en-US"/>
              </w:rPr>
              <w:t>1</w:t>
            </w:r>
          </w:p>
        </w:tc>
        <w:tc>
          <w:tcPr>
            <w:tcW w:w="766" w:type="dxa"/>
            <w:tcBorders>
              <w:top w:val="single" w:sz="4" w:space="0" w:color="auto"/>
            </w:tcBorders>
          </w:tcPr>
          <w:p w14:paraId="662F3EC4" w14:textId="63350B1E" w:rsidR="00B9512A" w:rsidRPr="009627FD" w:rsidRDefault="00B9512A" w:rsidP="00C66DF9">
            <w:pPr>
              <w:spacing w:line="360" w:lineRule="auto"/>
              <w:rPr>
                <w:sz w:val="20"/>
                <w:szCs w:val="20"/>
                <w:lang w:val="en-US"/>
              </w:rPr>
            </w:pPr>
            <w:r w:rsidRPr="009627FD">
              <w:rPr>
                <w:sz w:val="20"/>
                <w:szCs w:val="20"/>
                <w:lang w:val="en-US"/>
              </w:rPr>
              <w:t>.169**</w:t>
            </w:r>
          </w:p>
        </w:tc>
        <w:tc>
          <w:tcPr>
            <w:tcW w:w="787" w:type="dxa"/>
            <w:tcBorders>
              <w:top w:val="single" w:sz="4" w:space="0" w:color="auto"/>
            </w:tcBorders>
          </w:tcPr>
          <w:p w14:paraId="17C586DD" w14:textId="46F5FE72" w:rsidR="00B9512A" w:rsidRPr="009627FD" w:rsidRDefault="00B9512A" w:rsidP="00C66DF9">
            <w:pPr>
              <w:spacing w:line="360" w:lineRule="auto"/>
              <w:rPr>
                <w:sz w:val="20"/>
                <w:szCs w:val="20"/>
                <w:lang w:val="en-US"/>
              </w:rPr>
            </w:pPr>
            <w:r w:rsidRPr="009627FD">
              <w:rPr>
                <w:sz w:val="20"/>
                <w:szCs w:val="20"/>
                <w:lang w:val="en-US"/>
              </w:rPr>
              <w:t>.246**</w:t>
            </w:r>
          </w:p>
        </w:tc>
        <w:tc>
          <w:tcPr>
            <w:tcW w:w="766" w:type="dxa"/>
            <w:tcBorders>
              <w:top w:val="single" w:sz="4" w:space="0" w:color="auto"/>
            </w:tcBorders>
          </w:tcPr>
          <w:p w14:paraId="4B557A4B" w14:textId="48C71034" w:rsidR="00B9512A" w:rsidRPr="009627FD" w:rsidRDefault="00B9512A" w:rsidP="00C66DF9">
            <w:pPr>
              <w:spacing w:line="360" w:lineRule="auto"/>
              <w:rPr>
                <w:sz w:val="20"/>
                <w:szCs w:val="20"/>
                <w:lang w:val="en-US"/>
              </w:rPr>
            </w:pPr>
            <w:r w:rsidRPr="009627FD">
              <w:rPr>
                <w:sz w:val="20"/>
                <w:szCs w:val="20"/>
                <w:lang w:val="en-US"/>
              </w:rPr>
              <w:t>.213**</w:t>
            </w:r>
          </w:p>
        </w:tc>
        <w:tc>
          <w:tcPr>
            <w:tcW w:w="651" w:type="dxa"/>
            <w:tcBorders>
              <w:top w:val="single" w:sz="4" w:space="0" w:color="auto"/>
            </w:tcBorders>
          </w:tcPr>
          <w:p w14:paraId="04A585FC" w14:textId="7FC1DD58" w:rsidR="00B9512A" w:rsidRPr="009627FD" w:rsidRDefault="00B9512A" w:rsidP="00C66DF9">
            <w:pPr>
              <w:spacing w:line="360" w:lineRule="auto"/>
              <w:rPr>
                <w:sz w:val="20"/>
                <w:szCs w:val="20"/>
                <w:lang w:val="en-US"/>
              </w:rPr>
            </w:pPr>
            <w:r w:rsidRPr="009627FD">
              <w:rPr>
                <w:sz w:val="20"/>
                <w:szCs w:val="20"/>
                <w:lang w:val="en-US"/>
              </w:rPr>
              <w:t>-.018</w:t>
            </w:r>
          </w:p>
        </w:tc>
        <w:tc>
          <w:tcPr>
            <w:tcW w:w="851" w:type="dxa"/>
            <w:tcBorders>
              <w:top w:val="single" w:sz="4" w:space="0" w:color="auto"/>
            </w:tcBorders>
          </w:tcPr>
          <w:p w14:paraId="32563D0A" w14:textId="7A96C236" w:rsidR="00B9512A" w:rsidRPr="009627FD" w:rsidRDefault="00B9512A" w:rsidP="00C66DF9">
            <w:pPr>
              <w:spacing w:line="360" w:lineRule="auto"/>
              <w:rPr>
                <w:sz w:val="20"/>
                <w:szCs w:val="20"/>
                <w:lang w:val="en-US"/>
              </w:rPr>
            </w:pPr>
            <w:r w:rsidRPr="009627FD">
              <w:rPr>
                <w:sz w:val="20"/>
                <w:szCs w:val="20"/>
                <w:lang w:val="en-US"/>
              </w:rPr>
              <w:t>-.026</w:t>
            </w:r>
          </w:p>
        </w:tc>
        <w:tc>
          <w:tcPr>
            <w:tcW w:w="850" w:type="dxa"/>
            <w:tcBorders>
              <w:top w:val="single" w:sz="4" w:space="0" w:color="auto"/>
            </w:tcBorders>
          </w:tcPr>
          <w:p w14:paraId="62286993" w14:textId="558D8C8F" w:rsidR="00B9512A" w:rsidRPr="009627FD" w:rsidRDefault="00B9512A" w:rsidP="00C66DF9">
            <w:pPr>
              <w:spacing w:line="360" w:lineRule="auto"/>
              <w:rPr>
                <w:sz w:val="20"/>
                <w:szCs w:val="20"/>
                <w:lang w:val="en-US"/>
              </w:rPr>
            </w:pPr>
            <w:r w:rsidRPr="009627FD">
              <w:rPr>
                <w:sz w:val="20"/>
                <w:szCs w:val="20"/>
                <w:lang w:val="en-US"/>
              </w:rPr>
              <w:t>-.171**</w:t>
            </w:r>
          </w:p>
        </w:tc>
        <w:tc>
          <w:tcPr>
            <w:tcW w:w="851" w:type="dxa"/>
            <w:tcBorders>
              <w:top w:val="single" w:sz="4" w:space="0" w:color="auto"/>
            </w:tcBorders>
          </w:tcPr>
          <w:p w14:paraId="7775BAD5" w14:textId="326830E4" w:rsidR="00B9512A" w:rsidRPr="009627FD" w:rsidRDefault="00B9512A" w:rsidP="00C66DF9">
            <w:pPr>
              <w:spacing w:line="360" w:lineRule="auto"/>
              <w:rPr>
                <w:sz w:val="20"/>
                <w:szCs w:val="20"/>
                <w:lang w:val="en-US"/>
              </w:rPr>
            </w:pPr>
            <w:r w:rsidRPr="009627FD">
              <w:rPr>
                <w:sz w:val="20"/>
                <w:szCs w:val="20"/>
                <w:lang w:val="en-US"/>
              </w:rPr>
              <w:t>-.214**</w:t>
            </w:r>
          </w:p>
        </w:tc>
        <w:tc>
          <w:tcPr>
            <w:tcW w:w="850" w:type="dxa"/>
            <w:tcBorders>
              <w:top w:val="single" w:sz="4" w:space="0" w:color="auto"/>
            </w:tcBorders>
          </w:tcPr>
          <w:p w14:paraId="4A954313" w14:textId="78D0A5CE" w:rsidR="00B9512A" w:rsidRPr="009627FD" w:rsidRDefault="00B9512A" w:rsidP="00C66DF9">
            <w:pPr>
              <w:spacing w:line="360" w:lineRule="auto"/>
              <w:rPr>
                <w:sz w:val="20"/>
                <w:szCs w:val="20"/>
                <w:lang w:val="en-US"/>
              </w:rPr>
            </w:pPr>
            <w:r w:rsidRPr="009627FD">
              <w:rPr>
                <w:sz w:val="20"/>
                <w:szCs w:val="20"/>
                <w:lang w:val="en-US"/>
              </w:rPr>
              <w:t>-.248**</w:t>
            </w:r>
          </w:p>
        </w:tc>
        <w:tc>
          <w:tcPr>
            <w:tcW w:w="851" w:type="dxa"/>
            <w:tcBorders>
              <w:top w:val="single" w:sz="4" w:space="0" w:color="auto"/>
            </w:tcBorders>
          </w:tcPr>
          <w:p w14:paraId="57B43EA5" w14:textId="361B2633" w:rsidR="00B9512A" w:rsidRPr="009627FD" w:rsidRDefault="00B9512A" w:rsidP="00C66DF9">
            <w:pPr>
              <w:spacing w:line="360" w:lineRule="auto"/>
              <w:rPr>
                <w:sz w:val="20"/>
                <w:szCs w:val="20"/>
                <w:lang w:val="en-US"/>
              </w:rPr>
            </w:pPr>
            <w:r w:rsidRPr="009627FD">
              <w:rPr>
                <w:sz w:val="20"/>
                <w:szCs w:val="20"/>
                <w:lang w:val="en-US"/>
              </w:rPr>
              <w:t>-.186**</w:t>
            </w:r>
          </w:p>
        </w:tc>
        <w:tc>
          <w:tcPr>
            <w:tcW w:w="850" w:type="dxa"/>
            <w:tcBorders>
              <w:top w:val="single" w:sz="4" w:space="0" w:color="auto"/>
            </w:tcBorders>
          </w:tcPr>
          <w:p w14:paraId="1611F1D9" w14:textId="280EB7F7" w:rsidR="00B9512A" w:rsidRPr="009627FD" w:rsidRDefault="00B9512A" w:rsidP="00C66DF9">
            <w:pPr>
              <w:spacing w:line="360" w:lineRule="auto"/>
              <w:rPr>
                <w:sz w:val="20"/>
                <w:szCs w:val="20"/>
                <w:lang w:val="en-US"/>
              </w:rPr>
            </w:pPr>
            <w:r w:rsidRPr="009627FD">
              <w:rPr>
                <w:sz w:val="20"/>
                <w:szCs w:val="20"/>
                <w:lang w:val="en-US"/>
              </w:rPr>
              <w:t>-.104*</w:t>
            </w:r>
          </w:p>
        </w:tc>
        <w:tc>
          <w:tcPr>
            <w:tcW w:w="851" w:type="dxa"/>
            <w:tcBorders>
              <w:top w:val="single" w:sz="4" w:space="0" w:color="auto"/>
            </w:tcBorders>
          </w:tcPr>
          <w:p w14:paraId="0DB49586" w14:textId="43A7FD17" w:rsidR="00B9512A" w:rsidRPr="009627FD" w:rsidRDefault="00B9512A" w:rsidP="00C66DF9">
            <w:pPr>
              <w:spacing w:line="360" w:lineRule="auto"/>
              <w:rPr>
                <w:sz w:val="20"/>
                <w:szCs w:val="20"/>
                <w:lang w:val="en-US"/>
              </w:rPr>
            </w:pPr>
            <w:r w:rsidRPr="009627FD">
              <w:rPr>
                <w:sz w:val="20"/>
                <w:szCs w:val="20"/>
                <w:lang w:val="en-US"/>
              </w:rPr>
              <w:t>-.043</w:t>
            </w:r>
          </w:p>
        </w:tc>
        <w:tc>
          <w:tcPr>
            <w:tcW w:w="850" w:type="dxa"/>
            <w:tcBorders>
              <w:top w:val="single" w:sz="4" w:space="0" w:color="auto"/>
            </w:tcBorders>
          </w:tcPr>
          <w:p w14:paraId="3E69C6FF" w14:textId="779D1AFB" w:rsidR="00B9512A" w:rsidRPr="009627FD" w:rsidRDefault="00B9512A" w:rsidP="00C66DF9">
            <w:pPr>
              <w:spacing w:line="360" w:lineRule="auto"/>
              <w:rPr>
                <w:sz w:val="20"/>
                <w:szCs w:val="20"/>
                <w:lang w:val="en-US"/>
              </w:rPr>
            </w:pPr>
            <w:r w:rsidRPr="009627FD">
              <w:rPr>
                <w:sz w:val="20"/>
                <w:szCs w:val="20"/>
                <w:lang w:val="en-US"/>
              </w:rPr>
              <w:t>-.007</w:t>
            </w:r>
          </w:p>
        </w:tc>
      </w:tr>
      <w:tr w:rsidR="00A53F56" w:rsidRPr="009627FD" w14:paraId="49361942" w14:textId="7B03FC73" w:rsidTr="002D38A9">
        <w:tc>
          <w:tcPr>
            <w:tcW w:w="445" w:type="dxa"/>
          </w:tcPr>
          <w:p w14:paraId="415AE94B" w14:textId="77777777" w:rsidR="00B9512A" w:rsidRPr="009627FD" w:rsidRDefault="00B9512A" w:rsidP="00C66DF9">
            <w:pPr>
              <w:spacing w:line="360" w:lineRule="auto"/>
              <w:rPr>
                <w:sz w:val="20"/>
                <w:szCs w:val="20"/>
                <w:lang w:val="en-US"/>
              </w:rPr>
            </w:pPr>
            <w:r w:rsidRPr="009627FD">
              <w:rPr>
                <w:sz w:val="20"/>
                <w:szCs w:val="20"/>
                <w:lang w:val="en-US"/>
              </w:rPr>
              <w:t>2</w:t>
            </w:r>
          </w:p>
        </w:tc>
        <w:tc>
          <w:tcPr>
            <w:tcW w:w="1678" w:type="dxa"/>
          </w:tcPr>
          <w:p w14:paraId="57B4BCD5" w14:textId="663FA39C" w:rsidR="00B9512A" w:rsidRPr="009627FD" w:rsidRDefault="00B9512A" w:rsidP="00C66DF9">
            <w:pPr>
              <w:spacing w:line="360" w:lineRule="auto"/>
              <w:rPr>
                <w:sz w:val="20"/>
                <w:szCs w:val="20"/>
                <w:lang w:val="en-US"/>
              </w:rPr>
            </w:pPr>
            <w:r w:rsidRPr="009627FD">
              <w:rPr>
                <w:sz w:val="20"/>
                <w:szCs w:val="20"/>
                <w:lang w:val="en-US"/>
              </w:rPr>
              <w:t>BFI-10-Con</w:t>
            </w:r>
          </w:p>
        </w:tc>
        <w:tc>
          <w:tcPr>
            <w:tcW w:w="1226" w:type="dxa"/>
          </w:tcPr>
          <w:p w14:paraId="4BBD285F" w14:textId="2FD74FEA" w:rsidR="00B9512A" w:rsidRPr="009627FD" w:rsidRDefault="00B9512A" w:rsidP="00C66DF9">
            <w:pPr>
              <w:spacing w:line="360" w:lineRule="auto"/>
              <w:rPr>
                <w:sz w:val="20"/>
                <w:szCs w:val="20"/>
                <w:lang w:val="en-US"/>
              </w:rPr>
            </w:pPr>
            <w:r w:rsidRPr="009627FD">
              <w:rPr>
                <w:sz w:val="20"/>
                <w:szCs w:val="20"/>
                <w:lang w:val="en-US"/>
              </w:rPr>
              <w:t>7.74±1.64</w:t>
            </w:r>
          </w:p>
        </w:tc>
        <w:tc>
          <w:tcPr>
            <w:tcW w:w="727" w:type="dxa"/>
          </w:tcPr>
          <w:p w14:paraId="13E8E746" w14:textId="09B63D5D" w:rsidR="00B9512A" w:rsidRPr="009627FD" w:rsidRDefault="00B9512A" w:rsidP="00C66DF9">
            <w:pPr>
              <w:spacing w:line="360" w:lineRule="auto"/>
              <w:rPr>
                <w:sz w:val="20"/>
                <w:szCs w:val="20"/>
                <w:lang w:val="en-US"/>
              </w:rPr>
            </w:pPr>
            <w:r w:rsidRPr="009627FD">
              <w:rPr>
                <w:sz w:val="20"/>
                <w:szCs w:val="20"/>
                <w:lang w:val="en-US"/>
              </w:rPr>
              <w:t>2-10</w:t>
            </w:r>
          </w:p>
        </w:tc>
        <w:tc>
          <w:tcPr>
            <w:tcW w:w="1005" w:type="dxa"/>
          </w:tcPr>
          <w:p w14:paraId="6EC33A0E" w14:textId="09744C97" w:rsidR="00B9512A" w:rsidRPr="009627FD" w:rsidRDefault="00B9512A" w:rsidP="00C66DF9">
            <w:pPr>
              <w:spacing w:line="360" w:lineRule="auto"/>
              <w:rPr>
                <w:sz w:val="20"/>
                <w:szCs w:val="20"/>
                <w:lang w:val="en-US"/>
              </w:rPr>
            </w:pPr>
            <w:r w:rsidRPr="009627FD">
              <w:rPr>
                <w:sz w:val="20"/>
                <w:szCs w:val="20"/>
                <w:lang w:val="en-US"/>
              </w:rPr>
              <w:t>-.30</w:t>
            </w:r>
          </w:p>
        </w:tc>
        <w:tc>
          <w:tcPr>
            <w:tcW w:w="894" w:type="dxa"/>
          </w:tcPr>
          <w:p w14:paraId="2C6A63E6" w14:textId="3A2060A7" w:rsidR="00B9512A" w:rsidRPr="009627FD" w:rsidRDefault="00B9512A" w:rsidP="00C66DF9">
            <w:pPr>
              <w:spacing w:line="360" w:lineRule="auto"/>
              <w:rPr>
                <w:sz w:val="20"/>
                <w:szCs w:val="20"/>
                <w:lang w:val="en-US"/>
              </w:rPr>
            </w:pPr>
            <w:r w:rsidRPr="009627FD">
              <w:rPr>
                <w:sz w:val="20"/>
                <w:szCs w:val="20"/>
                <w:lang w:val="en-US"/>
              </w:rPr>
              <w:t>-.55</w:t>
            </w:r>
          </w:p>
        </w:tc>
        <w:tc>
          <w:tcPr>
            <w:tcW w:w="316" w:type="dxa"/>
          </w:tcPr>
          <w:p w14:paraId="34A211B1" w14:textId="77777777" w:rsidR="00B9512A" w:rsidRPr="009627FD" w:rsidRDefault="00B9512A" w:rsidP="00C66DF9">
            <w:pPr>
              <w:spacing w:line="360" w:lineRule="auto"/>
              <w:rPr>
                <w:sz w:val="20"/>
                <w:szCs w:val="20"/>
                <w:lang w:val="en-US"/>
              </w:rPr>
            </w:pPr>
          </w:p>
        </w:tc>
        <w:tc>
          <w:tcPr>
            <w:tcW w:w="766" w:type="dxa"/>
          </w:tcPr>
          <w:p w14:paraId="20A3E207" w14:textId="46DD58BC" w:rsidR="00B9512A" w:rsidRPr="009627FD" w:rsidRDefault="00B9512A" w:rsidP="00C66DF9">
            <w:pPr>
              <w:spacing w:line="360" w:lineRule="auto"/>
              <w:rPr>
                <w:sz w:val="20"/>
                <w:szCs w:val="20"/>
                <w:lang w:val="en-US"/>
              </w:rPr>
            </w:pPr>
            <w:r w:rsidRPr="009627FD">
              <w:rPr>
                <w:sz w:val="20"/>
                <w:szCs w:val="20"/>
                <w:lang w:val="en-US"/>
              </w:rPr>
              <w:t>1</w:t>
            </w:r>
          </w:p>
        </w:tc>
        <w:tc>
          <w:tcPr>
            <w:tcW w:w="787" w:type="dxa"/>
          </w:tcPr>
          <w:p w14:paraId="44205C3D" w14:textId="3D87DFDC" w:rsidR="00B9512A" w:rsidRPr="009627FD" w:rsidRDefault="00B9512A" w:rsidP="00C66DF9">
            <w:pPr>
              <w:spacing w:line="360" w:lineRule="auto"/>
              <w:rPr>
                <w:sz w:val="20"/>
                <w:szCs w:val="20"/>
                <w:lang w:val="en-US"/>
              </w:rPr>
            </w:pPr>
            <w:r w:rsidRPr="009627FD">
              <w:rPr>
                <w:sz w:val="20"/>
                <w:szCs w:val="20"/>
                <w:lang w:val="en-US"/>
              </w:rPr>
              <w:t>.297**</w:t>
            </w:r>
          </w:p>
        </w:tc>
        <w:tc>
          <w:tcPr>
            <w:tcW w:w="766" w:type="dxa"/>
          </w:tcPr>
          <w:p w14:paraId="50602085" w14:textId="0FD39C50" w:rsidR="00B9512A" w:rsidRPr="009627FD" w:rsidRDefault="00B9512A" w:rsidP="00C66DF9">
            <w:pPr>
              <w:spacing w:line="360" w:lineRule="auto"/>
              <w:rPr>
                <w:sz w:val="20"/>
                <w:szCs w:val="20"/>
                <w:lang w:val="en-US"/>
              </w:rPr>
            </w:pPr>
            <w:r w:rsidRPr="009627FD">
              <w:rPr>
                <w:sz w:val="20"/>
                <w:szCs w:val="20"/>
                <w:lang w:val="en-US"/>
              </w:rPr>
              <w:t>.203**</w:t>
            </w:r>
          </w:p>
        </w:tc>
        <w:tc>
          <w:tcPr>
            <w:tcW w:w="651" w:type="dxa"/>
          </w:tcPr>
          <w:p w14:paraId="0EB799E8" w14:textId="29417CDE" w:rsidR="00B9512A" w:rsidRPr="009627FD" w:rsidRDefault="00B9512A" w:rsidP="00C66DF9">
            <w:pPr>
              <w:spacing w:line="360" w:lineRule="auto"/>
              <w:rPr>
                <w:sz w:val="20"/>
                <w:szCs w:val="20"/>
                <w:lang w:val="en-US"/>
              </w:rPr>
            </w:pPr>
            <w:r w:rsidRPr="009627FD">
              <w:rPr>
                <w:sz w:val="20"/>
                <w:szCs w:val="20"/>
                <w:lang w:val="en-US"/>
              </w:rPr>
              <w:t>-.014</w:t>
            </w:r>
          </w:p>
        </w:tc>
        <w:tc>
          <w:tcPr>
            <w:tcW w:w="851" w:type="dxa"/>
          </w:tcPr>
          <w:p w14:paraId="444A2DA1" w14:textId="5D11CB78" w:rsidR="00B9512A" w:rsidRPr="009627FD" w:rsidRDefault="00B9512A" w:rsidP="00C66DF9">
            <w:pPr>
              <w:spacing w:line="360" w:lineRule="auto"/>
              <w:rPr>
                <w:sz w:val="20"/>
                <w:szCs w:val="20"/>
                <w:lang w:val="en-US"/>
              </w:rPr>
            </w:pPr>
            <w:r w:rsidRPr="009627FD">
              <w:rPr>
                <w:sz w:val="20"/>
                <w:szCs w:val="20"/>
                <w:lang w:val="en-US"/>
              </w:rPr>
              <w:t>-.088</w:t>
            </w:r>
          </w:p>
        </w:tc>
        <w:tc>
          <w:tcPr>
            <w:tcW w:w="850" w:type="dxa"/>
          </w:tcPr>
          <w:p w14:paraId="679A2E51" w14:textId="31708279" w:rsidR="00B9512A" w:rsidRPr="009627FD" w:rsidRDefault="00B9512A" w:rsidP="00C66DF9">
            <w:pPr>
              <w:spacing w:line="360" w:lineRule="auto"/>
              <w:rPr>
                <w:sz w:val="20"/>
                <w:szCs w:val="20"/>
                <w:lang w:val="en-US"/>
              </w:rPr>
            </w:pPr>
            <w:r w:rsidRPr="009627FD">
              <w:rPr>
                <w:sz w:val="20"/>
                <w:szCs w:val="20"/>
                <w:lang w:val="en-US"/>
              </w:rPr>
              <w:t>-.210**</w:t>
            </w:r>
          </w:p>
        </w:tc>
        <w:tc>
          <w:tcPr>
            <w:tcW w:w="851" w:type="dxa"/>
          </w:tcPr>
          <w:p w14:paraId="1D8B37BF" w14:textId="436728EF" w:rsidR="00B9512A" w:rsidRPr="009627FD" w:rsidRDefault="00B9512A" w:rsidP="00C66DF9">
            <w:pPr>
              <w:spacing w:line="360" w:lineRule="auto"/>
              <w:rPr>
                <w:sz w:val="20"/>
                <w:szCs w:val="20"/>
                <w:lang w:val="en-US"/>
              </w:rPr>
            </w:pPr>
            <w:r w:rsidRPr="009627FD">
              <w:rPr>
                <w:sz w:val="20"/>
                <w:szCs w:val="20"/>
                <w:lang w:val="en-US"/>
              </w:rPr>
              <w:t>-.415**</w:t>
            </w:r>
          </w:p>
        </w:tc>
        <w:tc>
          <w:tcPr>
            <w:tcW w:w="850" w:type="dxa"/>
          </w:tcPr>
          <w:p w14:paraId="04759E3E" w14:textId="7A8D65E7" w:rsidR="00B9512A" w:rsidRPr="009627FD" w:rsidRDefault="00B9512A" w:rsidP="00C66DF9">
            <w:pPr>
              <w:spacing w:line="360" w:lineRule="auto"/>
              <w:rPr>
                <w:sz w:val="20"/>
                <w:szCs w:val="20"/>
                <w:lang w:val="en-US"/>
              </w:rPr>
            </w:pPr>
            <w:r w:rsidRPr="009627FD">
              <w:rPr>
                <w:sz w:val="20"/>
                <w:szCs w:val="20"/>
                <w:lang w:val="en-US"/>
              </w:rPr>
              <w:t>-.330**</w:t>
            </w:r>
          </w:p>
        </w:tc>
        <w:tc>
          <w:tcPr>
            <w:tcW w:w="851" w:type="dxa"/>
          </w:tcPr>
          <w:p w14:paraId="3B94C356" w14:textId="5B3B13DB" w:rsidR="00B9512A" w:rsidRPr="009627FD" w:rsidRDefault="00B9512A" w:rsidP="00C66DF9">
            <w:pPr>
              <w:spacing w:line="360" w:lineRule="auto"/>
              <w:rPr>
                <w:sz w:val="20"/>
                <w:szCs w:val="20"/>
                <w:lang w:val="en-US"/>
              </w:rPr>
            </w:pPr>
            <w:r w:rsidRPr="009627FD">
              <w:rPr>
                <w:sz w:val="20"/>
                <w:szCs w:val="20"/>
                <w:lang w:val="en-US"/>
              </w:rPr>
              <w:t>-.296**</w:t>
            </w:r>
          </w:p>
        </w:tc>
        <w:tc>
          <w:tcPr>
            <w:tcW w:w="850" w:type="dxa"/>
          </w:tcPr>
          <w:p w14:paraId="156E5BA1" w14:textId="38D41775" w:rsidR="00B9512A" w:rsidRPr="009627FD" w:rsidRDefault="00B9512A" w:rsidP="00C66DF9">
            <w:pPr>
              <w:spacing w:line="360" w:lineRule="auto"/>
              <w:rPr>
                <w:sz w:val="20"/>
                <w:szCs w:val="20"/>
                <w:lang w:val="en-US"/>
              </w:rPr>
            </w:pPr>
            <w:r w:rsidRPr="009627FD">
              <w:rPr>
                <w:sz w:val="20"/>
                <w:szCs w:val="20"/>
                <w:lang w:val="en-US"/>
              </w:rPr>
              <w:t>-.139*</w:t>
            </w:r>
          </w:p>
        </w:tc>
        <w:tc>
          <w:tcPr>
            <w:tcW w:w="851" w:type="dxa"/>
          </w:tcPr>
          <w:p w14:paraId="13D17111" w14:textId="1EA53B1E" w:rsidR="00B9512A" w:rsidRPr="009627FD" w:rsidRDefault="00B9512A" w:rsidP="00C66DF9">
            <w:pPr>
              <w:spacing w:line="360" w:lineRule="auto"/>
              <w:rPr>
                <w:sz w:val="20"/>
                <w:szCs w:val="20"/>
                <w:lang w:val="en-US"/>
              </w:rPr>
            </w:pPr>
            <w:r w:rsidRPr="009627FD">
              <w:rPr>
                <w:sz w:val="20"/>
                <w:szCs w:val="20"/>
                <w:lang w:val="en-US"/>
              </w:rPr>
              <w:t>-.113*</w:t>
            </w:r>
          </w:p>
        </w:tc>
        <w:tc>
          <w:tcPr>
            <w:tcW w:w="850" w:type="dxa"/>
          </w:tcPr>
          <w:p w14:paraId="62F8C37B" w14:textId="61211501" w:rsidR="00B9512A" w:rsidRPr="009627FD" w:rsidRDefault="00B9512A" w:rsidP="00C66DF9">
            <w:pPr>
              <w:spacing w:line="360" w:lineRule="auto"/>
              <w:rPr>
                <w:sz w:val="20"/>
                <w:szCs w:val="20"/>
                <w:lang w:val="en-US"/>
              </w:rPr>
            </w:pPr>
            <w:r w:rsidRPr="009627FD">
              <w:rPr>
                <w:sz w:val="20"/>
                <w:szCs w:val="20"/>
                <w:lang w:val="en-US"/>
              </w:rPr>
              <w:t>-.040</w:t>
            </w:r>
          </w:p>
        </w:tc>
      </w:tr>
      <w:tr w:rsidR="00A53F56" w:rsidRPr="009627FD" w14:paraId="6B88E4C3" w14:textId="7C7041B0" w:rsidTr="002D38A9">
        <w:tc>
          <w:tcPr>
            <w:tcW w:w="445" w:type="dxa"/>
          </w:tcPr>
          <w:p w14:paraId="3B73E28D" w14:textId="77777777" w:rsidR="00B9512A" w:rsidRPr="009627FD" w:rsidRDefault="00B9512A" w:rsidP="00C66DF9">
            <w:pPr>
              <w:spacing w:line="360" w:lineRule="auto"/>
              <w:rPr>
                <w:sz w:val="20"/>
                <w:szCs w:val="20"/>
                <w:lang w:val="en-US"/>
              </w:rPr>
            </w:pPr>
            <w:r w:rsidRPr="009627FD">
              <w:rPr>
                <w:sz w:val="20"/>
                <w:szCs w:val="20"/>
                <w:lang w:val="en-US"/>
              </w:rPr>
              <w:t>3</w:t>
            </w:r>
          </w:p>
        </w:tc>
        <w:tc>
          <w:tcPr>
            <w:tcW w:w="1678" w:type="dxa"/>
          </w:tcPr>
          <w:p w14:paraId="67C71270" w14:textId="0F3F90D5" w:rsidR="00B9512A" w:rsidRPr="009627FD" w:rsidRDefault="00B9512A" w:rsidP="00C66DF9">
            <w:pPr>
              <w:spacing w:line="360" w:lineRule="auto"/>
              <w:rPr>
                <w:sz w:val="20"/>
                <w:szCs w:val="20"/>
                <w:lang w:val="en-US"/>
              </w:rPr>
            </w:pPr>
            <w:r w:rsidRPr="009627FD">
              <w:rPr>
                <w:sz w:val="20"/>
                <w:szCs w:val="20"/>
                <w:lang w:val="en-US"/>
              </w:rPr>
              <w:t>BFI-10-Emo stab</w:t>
            </w:r>
          </w:p>
        </w:tc>
        <w:tc>
          <w:tcPr>
            <w:tcW w:w="1226" w:type="dxa"/>
          </w:tcPr>
          <w:p w14:paraId="5B1B3D02" w14:textId="1A9AF4C8" w:rsidR="00B9512A" w:rsidRPr="009627FD" w:rsidRDefault="00B9512A" w:rsidP="00C66DF9">
            <w:pPr>
              <w:spacing w:line="360" w:lineRule="auto"/>
              <w:rPr>
                <w:sz w:val="20"/>
                <w:szCs w:val="20"/>
                <w:lang w:val="en-US"/>
              </w:rPr>
            </w:pPr>
            <w:r w:rsidRPr="009627FD">
              <w:rPr>
                <w:sz w:val="20"/>
                <w:szCs w:val="20"/>
                <w:lang w:val="en-US"/>
              </w:rPr>
              <w:t>5.83±5.49</w:t>
            </w:r>
          </w:p>
        </w:tc>
        <w:tc>
          <w:tcPr>
            <w:tcW w:w="727" w:type="dxa"/>
          </w:tcPr>
          <w:p w14:paraId="548E3DA3" w14:textId="2F5CC332" w:rsidR="00B9512A" w:rsidRPr="009627FD" w:rsidRDefault="00B9512A" w:rsidP="00C66DF9">
            <w:pPr>
              <w:spacing w:line="360" w:lineRule="auto"/>
              <w:rPr>
                <w:sz w:val="20"/>
                <w:szCs w:val="20"/>
                <w:lang w:val="en-US"/>
              </w:rPr>
            </w:pPr>
            <w:r w:rsidRPr="009627FD">
              <w:rPr>
                <w:sz w:val="20"/>
                <w:szCs w:val="20"/>
                <w:lang w:val="en-US"/>
              </w:rPr>
              <w:t>2-10</w:t>
            </w:r>
          </w:p>
        </w:tc>
        <w:tc>
          <w:tcPr>
            <w:tcW w:w="1005" w:type="dxa"/>
          </w:tcPr>
          <w:p w14:paraId="0E462DD2" w14:textId="204B319A" w:rsidR="00B9512A" w:rsidRPr="009627FD" w:rsidRDefault="00B9512A" w:rsidP="00C66DF9">
            <w:pPr>
              <w:spacing w:line="360" w:lineRule="auto"/>
              <w:rPr>
                <w:sz w:val="20"/>
                <w:szCs w:val="20"/>
                <w:lang w:val="en-US"/>
              </w:rPr>
            </w:pPr>
            <w:r w:rsidRPr="009627FD">
              <w:rPr>
                <w:sz w:val="20"/>
                <w:szCs w:val="20"/>
                <w:lang w:val="en-US"/>
              </w:rPr>
              <w:t>.02</w:t>
            </w:r>
          </w:p>
        </w:tc>
        <w:tc>
          <w:tcPr>
            <w:tcW w:w="894" w:type="dxa"/>
          </w:tcPr>
          <w:p w14:paraId="0008D18C" w14:textId="3447D3E3" w:rsidR="00B9512A" w:rsidRPr="009627FD" w:rsidRDefault="00B9512A" w:rsidP="00C66DF9">
            <w:pPr>
              <w:spacing w:line="360" w:lineRule="auto"/>
              <w:rPr>
                <w:sz w:val="20"/>
                <w:szCs w:val="20"/>
                <w:lang w:val="en-US"/>
              </w:rPr>
            </w:pPr>
            <w:r w:rsidRPr="009627FD">
              <w:rPr>
                <w:sz w:val="20"/>
                <w:szCs w:val="20"/>
                <w:lang w:val="en-US"/>
              </w:rPr>
              <w:t>-.88</w:t>
            </w:r>
          </w:p>
        </w:tc>
        <w:tc>
          <w:tcPr>
            <w:tcW w:w="316" w:type="dxa"/>
          </w:tcPr>
          <w:p w14:paraId="7A8BE2D0" w14:textId="77777777" w:rsidR="00B9512A" w:rsidRPr="009627FD" w:rsidRDefault="00B9512A" w:rsidP="00C66DF9">
            <w:pPr>
              <w:spacing w:line="360" w:lineRule="auto"/>
              <w:rPr>
                <w:sz w:val="20"/>
                <w:szCs w:val="20"/>
                <w:lang w:val="en-US"/>
              </w:rPr>
            </w:pPr>
          </w:p>
        </w:tc>
        <w:tc>
          <w:tcPr>
            <w:tcW w:w="766" w:type="dxa"/>
          </w:tcPr>
          <w:p w14:paraId="35B6C7A1" w14:textId="488D94A2" w:rsidR="00B9512A" w:rsidRPr="009627FD" w:rsidRDefault="00B9512A" w:rsidP="00C66DF9">
            <w:pPr>
              <w:spacing w:line="360" w:lineRule="auto"/>
              <w:rPr>
                <w:sz w:val="20"/>
                <w:szCs w:val="20"/>
                <w:lang w:val="en-US"/>
              </w:rPr>
            </w:pPr>
          </w:p>
        </w:tc>
        <w:tc>
          <w:tcPr>
            <w:tcW w:w="787" w:type="dxa"/>
          </w:tcPr>
          <w:p w14:paraId="3B6B6FAA" w14:textId="4A22D79F" w:rsidR="00B9512A" w:rsidRPr="009627FD" w:rsidRDefault="00B9512A" w:rsidP="00C66DF9">
            <w:pPr>
              <w:spacing w:line="360" w:lineRule="auto"/>
              <w:rPr>
                <w:sz w:val="20"/>
                <w:szCs w:val="20"/>
                <w:lang w:val="en-US"/>
              </w:rPr>
            </w:pPr>
            <w:r w:rsidRPr="009627FD">
              <w:rPr>
                <w:sz w:val="20"/>
                <w:szCs w:val="20"/>
                <w:lang w:val="en-US"/>
              </w:rPr>
              <w:t>1</w:t>
            </w:r>
          </w:p>
        </w:tc>
        <w:tc>
          <w:tcPr>
            <w:tcW w:w="766" w:type="dxa"/>
          </w:tcPr>
          <w:p w14:paraId="4A622E8F" w14:textId="287F6C53" w:rsidR="00B9512A" w:rsidRPr="009627FD" w:rsidRDefault="00B9512A" w:rsidP="00C66DF9">
            <w:pPr>
              <w:spacing w:line="360" w:lineRule="auto"/>
              <w:rPr>
                <w:sz w:val="20"/>
                <w:szCs w:val="20"/>
                <w:lang w:val="en-US"/>
              </w:rPr>
            </w:pPr>
            <w:r w:rsidRPr="009627FD">
              <w:rPr>
                <w:sz w:val="20"/>
                <w:szCs w:val="20"/>
                <w:lang w:val="en-US"/>
              </w:rPr>
              <w:t>.167**</w:t>
            </w:r>
          </w:p>
        </w:tc>
        <w:tc>
          <w:tcPr>
            <w:tcW w:w="651" w:type="dxa"/>
          </w:tcPr>
          <w:p w14:paraId="48733D0B" w14:textId="12CC8049" w:rsidR="00B9512A" w:rsidRPr="009627FD" w:rsidRDefault="00B9512A" w:rsidP="00C66DF9">
            <w:pPr>
              <w:spacing w:line="360" w:lineRule="auto"/>
              <w:rPr>
                <w:sz w:val="20"/>
                <w:szCs w:val="20"/>
                <w:lang w:val="en-US"/>
              </w:rPr>
            </w:pPr>
            <w:r w:rsidRPr="009627FD">
              <w:rPr>
                <w:sz w:val="20"/>
                <w:szCs w:val="20"/>
                <w:lang w:val="en-US"/>
              </w:rPr>
              <w:t>-.045</w:t>
            </w:r>
          </w:p>
        </w:tc>
        <w:tc>
          <w:tcPr>
            <w:tcW w:w="851" w:type="dxa"/>
          </w:tcPr>
          <w:p w14:paraId="69094FF6" w14:textId="34980E8E" w:rsidR="00B9512A" w:rsidRPr="009627FD" w:rsidRDefault="00B9512A" w:rsidP="00C66DF9">
            <w:pPr>
              <w:spacing w:line="360" w:lineRule="auto"/>
              <w:rPr>
                <w:sz w:val="20"/>
                <w:szCs w:val="20"/>
                <w:lang w:val="en-US"/>
              </w:rPr>
            </w:pPr>
            <w:r w:rsidRPr="009627FD">
              <w:rPr>
                <w:sz w:val="20"/>
                <w:szCs w:val="20"/>
                <w:lang w:val="en-US"/>
              </w:rPr>
              <w:t>.358**</w:t>
            </w:r>
          </w:p>
        </w:tc>
        <w:tc>
          <w:tcPr>
            <w:tcW w:w="850" w:type="dxa"/>
          </w:tcPr>
          <w:p w14:paraId="282FD8B2" w14:textId="6CC552E0" w:rsidR="00B9512A" w:rsidRPr="009627FD" w:rsidRDefault="00B9512A" w:rsidP="00C66DF9">
            <w:pPr>
              <w:spacing w:line="360" w:lineRule="auto"/>
              <w:rPr>
                <w:sz w:val="20"/>
                <w:szCs w:val="20"/>
                <w:lang w:val="en-US"/>
              </w:rPr>
            </w:pPr>
            <w:r w:rsidRPr="009627FD">
              <w:rPr>
                <w:sz w:val="20"/>
                <w:szCs w:val="20"/>
                <w:lang w:val="en-US"/>
              </w:rPr>
              <w:t>-.512**</w:t>
            </w:r>
          </w:p>
        </w:tc>
        <w:tc>
          <w:tcPr>
            <w:tcW w:w="851" w:type="dxa"/>
          </w:tcPr>
          <w:p w14:paraId="1EF26133" w14:textId="20EFBCEF" w:rsidR="00B9512A" w:rsidRPr="009627FD" w:rsidRDefault="00B9512A" w:rsidP="00C66DF9">
            <w:pPr>
              <w:spacing w:line="360" w:lineRule="auto"/>
              <w:rPr>
                <w:sz w:val="20"/>
                <w:szCs w:val="20"/>
                <w:lang w:val="en-US"/>
              </w:rPr>
            </w:pPr>
            <w:r w:rsidRPr="009627FD">
              <w:rPr>
                <w:sz w:val="20"/>
                <w:szCs w:val="20"/>
                <w:lang w:val="en-US"/>
              </w:rPr>
              <w:t>-.483**</w:t>
            </w:r>
          </w:p>
        </w:tc>
        <w:tc>
          <w:tcPr>
            <w:tcW w:w="850" w:type="dxa"/>
          </w:tcPr>
          <w:p w14:paraId="6AC927AF" w14:textId="00E6525D" w:rsidR="00B9512A" w:rsidRPr="009627FD" w:rsidRDefault="00B9512A" w:rsidP="00C66DF9">
            <w:pPr>
              <w:spacing w:line="360" w:lineRule="auto"/>
              <w:rPr>
                <w:sz w:val="20"/>
                <w:szCs w:val="20"/>
                <w:lang w:val="en-US"/>
              </w:rPr>
            </w:pPr>
            <w:r w:rsidRPr="009627FD">
              <w:rPr>
                <w:sz w:val="20"/>
                <w:szCs w:val="20"/>
                <w:lang w:val="en-US"/>
              </w:rPr>
              <w:t>-.559**</w:t>
            </w:r>
          </w:p>
        </w:tc>
        <w:tc>
          <w:tcPr>
            <w:tcW w:w="851" w:type="dxa"/>
          </w:tcPr>
          <w:p w14:paraId="60104638" w14:textId="2F44504B" w:rsidR="00B9512A" w:rsidRPr="009627FD" w:rsidRDefault="00B9512A" w:rsidP="00C66DF9">
            <w:pPr>
              <w:spacing w:line="360" w:lineRule="auto"/>
              <w:rPr>
                <w:sz w:val="20"/>
                <w:szCs w:val="20"/>
                <w:lang w:val="en-US"/>
              </w:rPr>
            </w:pPr>
            <w:r w:rsidRPr="009627FD">
              <w:rPr>
                <w:sz w:val="20"/>
                <w:szCs w:val="20"/>
                <w:lang w:val="en-US"/>
              </w:rPr>
              <w:t>-.414**</w:t>
            </w:r>
          </w:p>
        </w:tc>
        <w:tc>
          <w:tcPr>
            <w:tcW w:w="850" w:type="dxa"/>
          </w:tcPr>
          <w:p w14:paraId="2256DCC8" w14:textId="5516A04B" w:rsidR="00B9512A" w:rsidRPr="009627FD" w:rsidRDefault="00B9512A" w:rsidP="00C66DF9">
            <w:pPr>
              <w:spacing w:line="360" w:lineRule="auto"/>
              <w:rPr>
                <w:sz w:val="20"/>
                <w:szCs w:val="20"/>
                <w:lang w:val="en-US"/>
              </w:rPr>
            </w:pPr>
            <w:r w:rsidRPr="009627FD">
              <w:rPr>
                <w:sz w:val="20"/>
                <w:szCs w:val="20"/>
                <w:lang w:val="en-US"/>
              </w:rPr>
              <w:t>-.419**</w:t>
            </w:r>
          </w:p>
        </w:tc>
        <w:tc>
          <w:tcPr>
            <w:tcW w:w="851" w:type="dxa"/>
          </w:tcPr>
          <w:p w14:paraId="35130FDF" w14:textId="43D9A69F" w:rsidR="00B9512A" w:rsidRPr="009627FD" w:rsidRDefault="00B9512A" w:rsidP="00C66DF9">
            <w:pPr>
              <w:spacing w:line="360" w:lineRule="auto"/>
              <w:rPr>
                <w:sz w:val="20"/>
                <w:szCs w:val="20"/>
                <w:lang w:val="en-US"/>
              </w:rPr>
            </w:pPr>
            <w:r w:rsidRPr="009627FD">
              <w:rPr>
                <w:sz w:val="20"/>
                <w:szCs w:val="20"/>
                <w:lang w:val="en-US"/>
              </w:rPr>
              <w:t>-.278**</w:t>
            </w:r>
          </w:p>
        </w:tc>
        <w:tc>
          <w:tcPr>
            <w:tcW w:w="850" w:type="dxa"/>
          </w:tcPr>
          <w:p w14:paraId="7994EE60" w14:textId="4D2FB116" w:rsidR="00B9512A" w:rsidRPr="009627FD" w:rsidRDefault="00B9512A" w:rsidP="00C66DF9">
            <w:pPr>
              <w:spacing w:line="360" w:lineRule="auto"/>
              <w:rPr>
                <w:sz w:val="20"/>
                <w:szCs w:val="20"/>
                <w:lang w:val="en-US"/>
              </w:rPr>
            </w:pPr>
            <w:r w:rsidRPr="009627FD">
              <w:rPr>
                <w:sz w:val="20"/>
                <w:szCs w:val="20"/>
                <w:lang w:val="en-US"/>
              </w:rPr>
              <w:t>-.201**</w:t>
            </w:r>
          </w:p>
        </w:tc>
      </w:tr>
      <w:tr w:rsidR="00A53F56" w:rsidRPr="009627FD" w14:paraId="1D58EB81" w14:textId="6189D960" w:rsidTr="002D38A9">
        <w:tc>
          <w:tcPr>
            <w:tcW w:w="445" w:type="dxa"/>
          </w:tcPr>
          <w:p w14:paraId="7DBCFEF4" w14:textId="77777777" w:rsidR="00B9512A" w:rsidRPr="009627FD" w:rsidRDefault="00B9512A" w:rsidP="00C66DF9">
            <w:pPr>
              <w:spacing w:line="360" w:lineRule="auto"/>
              <w:rPr>
                <w:sz w:val="20"/>
                <w:szCs w:val="20"/>
                <w:lang w:val="en-US"/>
              </w:rPr>
            </w:pPr>
            <w:r w:rsidRPr="009627FD">
              <w:rPr>
                <w:sz w:val="20"/>
                <w:szCs w:val="20"/>
                <w:lang w:val="en-US"/>
              </w:rPr>
              <w:t>4</w:t>
            </w:r>
          </w:p>
        </w:tc>
        <w:tc>
          <w:tcPr>
            <w:tcW w:w="1678" w:type="dxa"/>
          </w:tcPr>
          <w:p w14:paraId="568DC90E" w14:textId="364691F9" w:rsidR="00B9512A" w:rsidRPr="009627FD" w:rsidRDefault="00B9512A" w:rsidP="00C66DF9">
            <w:pPr>
              <w:spacing w:line="360" w:lineRule="auto"/>
              <w:rPr>
                <w:sz w:val="20"/>
                <w:szCs w:val="20"/>
                <w:lang w:val="en-US"/>
              </w:rPr>
            </w:pPr>
            <w:r w:rsidRPr="009627FD">
              <w:rPr>
                <w:sz w:val="20"/>
                <w:szCs w:val="20"/>
                <w:lang w:val="en-US"/>
              </w:rPr>
              <w:t>BFI-10-Ext</w:t>
            </w:r>
          </w:p>
        </w:tc>
        <w:tc>
          <w:tcPr>
            <w:tcW w:w="1226" w:type="dxa"/>
          </w:tcPr>
          <w:p w14:paraId="18670604" w14:textId="702B562F" w:rsidR="00B9512A" w:rsidRPr="009627FD" w:rsidRDefault="00B9512A" w:rsidP="00C66DF9">
            <w:pPr>
              <w:spacing w:line="360" w:lineRule="auto"/>
              <w:rPr>
                <w:sz w:val="20"/>
                <w:szCs w:val="20"/>
                <w:lang w:val="en-US"/>
              </w:rPr>
            </w:pPr>
            <w:r w:rsidRPr="009627FD">
              <w:rPr>
                <w:sz w:val="20"/>
                <w:szCs w:val="20"/>
                <w:lang w:val="en-US"/>
              </w:rPr>
              <w:t>6.30±1.94</w:t>
            </w:r>
          </w:p>
        </w:tc>
        <w:tc>
          <w:tcPr>
            <w:tcW w:w="727" w:type="dxa"/>
          </w:tcPr>
          <w:p w14:paraId="6BC344C5" w14:textId="14B927AA" w:rsidR="00B9512A" w:rsidRPr="009627FD" w:rsidRDefault="00B9512A" w:rsidP="00C66DF9">
            <w:pPr>
              <w:spacing w:line="360" w:lineRule="auto"/>
              <w:rPr>
                <w:sz w:val="20"/>
                <w:szCs w:val="20"/>
                <w:lang w:val="en-US"/>
              </w:rPr>
            </w:pPr>
            <w:r w:rsidRPr="009627FD">
              <w:rPr>
                <w:sz w:val="20"/>
                <w:szCs w:val="20"/>
                <w:lang w:val="en-US"/>
              </w:rPr>
              <w:t>2-10</w:t>
            </w:r>
          </w:p>
        </w:tc>
        <w:tc>
          <w:tcPr>
            <w:tcW w:w="1005" w:type="dxa"/>
          </w:tcPr>
          <w:p w14:paraId="1A3FF267" w14:textId="1377D31B" w:rsidR="00B9512A" w:rsidRPr="009627FD" w:rsidRDefault="00B9512A" w:rsidP="00C66DF9">
            <w:pPr>
              <w:spacing w:line="360" w:lineRule="auto"/>
              <w:rPr>
                <w:sz w:val="20"/>
                <w:szCs w:val="20"/>
                <w:lang w:val="en-US"/>
              </w:rPr>
            </w:pPr>
            <w:r w:rsidRPr="009627FD">
              <w:rPr>
                <w:sz w:val="20"/>
                <w:szCs w:val="20"/>
                <w:lang w:val="en-US"/>
              </w:rPr>
              <w:t>-.08</w:t>
            </w:r>
          </w:p>
        </w:tc>
        <w:tc>
          <w:tcPr>
            <w:tcW w:w="894" w:type="dxa"/>
          </w:tcPr>
          <w:p w14:paraId="42E00454" w14:textId="29CBAD6C" w:rsidR="00B9512A" w:rsidRPr="009627FD" w:rsidRDefault="00B9512A" w:rsidP="00C66DF9">
            <w:pPr>
              <w:spacing w:line="360" w:lineRule="auto"/>
              <w:rPr>
                <w:sz w:val="20"/>
                <w:szCs w:val="20"/>
                <w:lang w:val="en-US"/>
              </w:rPr>
            </w:pPr>
            <w:r w:rsidRPr="009627FD">
              <w:rPr>
                <w:sz w:val="20"/>
                <w:szCs w:val="20"/>
                <w:lang w:val="en-US"/>
              </w:rPr>
              <w:t>-.60</w:t>
            </w:r>
          </w:p>
        </w:tc>
        <w:tc>
          <w:tcPr>
            <w:tcW w:w="316" w:type="dxa"/>
          </w:tcPr>
          <w:p w14:paraId="25B071A8" w14:textId="77777777" w:rsidR="00B9512A" w:rsidRPr="009627FD" w:rsidRDefault="00B9512A" w:rsidP="00C66DF9">
            <w:pPr>
              <w:spacing w:line="360" w:lineRule="auto"/>
              <w:rPr>
                <w:sz w:val="20"/>
                <w:szCs w:val="20"/>
                <w:lang w:val="en-US"/>
              </w:rPr>
            </w:pPr>
          </w:p>
        </w:tc>
        <w:tc>
          <w:tcPr>
            <w:tcW w:w="766" w:type="dxa"/>
          </w:tcPr>
          <w:p w14:paraId="07C45F37" w14:textId="63894F34" w:rsidR="00B9512A" w:rsidRPr="009627FD" w:rsidRDefault="00B9512A" w:rsidP="00C66DF9">
            <w:pPr>
              <w:spacing w:line="360" w:lineRule="auto"/>
              <w:rPr>
                <w:sz w:val="20"/>
                <w:szCs w:val="20"/>
                <w:lang w:val="en-US"/>
              </w:rPr>
            </w:pPr>
          </w:p>
        </w:tc>
        <w:tc>
          <w:tcPr>
            <w:tcW w:w="787" w:type="dxa"/>
          </w:tcPr>
          <w:p w14:paraId="6FB803E2" w14:textId="40152F4C" w:rsidR="00B9512A" w:rsidRPr="009627FD" w:rsidRDefault="00B9512A" w:rsidP="00C66DF9">
            <w:pPr>
              <w:spacing w:line="360" w:lineRule="auto"/>
              <w:rPr>
                <w:sz w:val="20"/>
                <w:szCs w:val="20"/>
                <w:lang w:val="en-US"/>
              </w:rPr>
            </w:pPr>
          </w:p>
        </w:tc>
        <w:tc>
          <w:tcPr>
            <w:tcW w:w="766" w:type="dxa"/>
          </w:tcPr>
          <w:p w14:paraId="447F65AC" w14:textId="23A7997D" w:rsidR="00B9512A" w:rsidRPr="009627FD" w:rsidRDefault="00B9512A" w:rsidP="00C66DF9">
            <w:pPr>
              <w:spacing w:line="360" w:lineRule="auto"/>
              <w:rPr>
                <w:sz w:val="20"/>
                <w:szCs w:val="20"/>
                <w:lang w:val="en-US"/>
              </w:rPr>
            </w:pPr>
            <w:r w:rsidRPr="009627FD">
              <w:rPr>
                <w:sz w:val="20"/>
                <w:szCs w:val="20"/>
                <w:lang w:val="en-US"/>
              </w:rPr>
              <w:t>1</w:t>
            </w:r>
          </w:p>
        </w:tc>
        <w:tc>
          <w:tcPr>
            <w:tcW w:w="651" w:type="dxa"/>
          </w:tcPr>
          <w:p w14:paraId="122A9042" w14:textId="33A10D13" w:rsidR="00B9512A" w:rsidRPr="009627FD" w:rsidRDefault="00B9512A" w:rsidP="00C66DF9">
            <w:pPr>
              <w:spacing w:line="360" w:lineRule="auto"/>
              <w:rPr>
                <w:sz w:val="20"/>
                <w:szCs w:val="20"/>
                <w:lang w:val="en-US"/>
              </w:rPr>
            </w:pPr>
            <w:r w:rsidRPr="009627FD">
              <w:rPr>
                <w:sz w:val="20"/>
                <w:szCs w:val="20"/>
                <w:lang w:val="en-US"/>
              </w:rPr>
              <w:t>.073</w:t>
            </w:r>
          </w:p>
        </w:tc>
        <w:tc>
          <w:tcPr>
            <w:tcW w:w="851" w:type="dxa"/>
          </w:tcPr>
          <w:p w14:paraId="29939B07" w14:textId="07F9B893" w:rsidR="00B9512A" w:rsidRPr="009627FD" w:rsidRDefault="00B9512A" w:rsidP="00C66DF9">
            <w:pPr>
              <w:spacing w:line="360" w:lineRule="auto"/>
              <w:rPr>
                <w:sz w:val="20"/>
                <w:szCs w:val="20"/>
                <w:lang w:val="en-US"/>
              </w:rPr>
            </w:pPr>
            <w:r w:rsidRPr="009627FD">
              <w:rPr>
                <w:sz w:val="20"/>
                <w:szCs w:val="20"/>
                <w:lang w:val="en-US"/>
              </w:rPr>
              <w:t>-.060</w:t>
            </w:r>
          </w:p>
        </w:tc>
        <w:tc>
          <w:tcPr>
            <w:tcW w:w="850" w:type="dxa"/>
          </w:tcPr>
          <w:p w14:paraId="59694615" w14:textId="254D827C" w:rsidR="00B9512A" w:rsidRPr="009627FD" w:rsidRDefault="00B9512A" w:rsidP="00C66DF9">
            <w:pPr>
              <w:spacing w:line="360" w:lineRule="auto"/>
              <w:rPr>
                <w:sz w:val="20"/>
                <w:szCs w:val="20"/>
                <w:lang w:val="en-US"/>
              </w:rPr>
            </w:pPr>
            <w:r w:rsidRPr="009627FD">
              <w:rPr>
                <w:sz w:val="20"/>
                <w:szCs w:val="20"/>
                <w:lang w:val="en-US"/>
              </w:rPr>
              <w:t>-.076</w:t>
            </w:r>
          </w:p>
        </w:tc>
        <w:tc>
          <w:tcPr>
            <w:tcW w:w="851" w:type="dxa"/>
          </w:tcPr>
          <w:p w14:paraId="168B4096" w14:textId="4E98DD29" w:rsidR="00B9512A" w:rsidRPr="009627FD" w:rsidRDefault="00B9512A" w:rsidP="00C66DF9">
            <w:pPr>
              <w:spacing w:line="360" w:lineRule="auto"/>
              <w:rPr>
                <w:sz w:val="20"/>
                <w:szCs w:val="20"/>
                <w:lang w:val="en-US"/>
              </w:rPr>
            </w:pPr>
            <w:r w:rsidRPr="009627FD">
              <w:rPr>
                <w:sz w:val="20"/>
                <w:szCs w:val="20"/>
                <w:lang w:val="en-US"/>
              </w:rPr>
              <w:t>-.222**</w:t>
            </w:r>
          </w:p>
        </w:tc>
        <w:tc>
          <w:tcPr>
            <w:tcW w:w="850" w:type="dxa"/>
          </w:tcPr>
          <w:p w14:paraId="393CCA6C" w14:textId="5387A9D5" w:rsidR="00B9512A" w:rsidRPr="009627FD" w:rsidRDefault="00B9512A" w:rsidP="00C66DF9">
            <w:pPr>
              <w:spacing w:line="360" w:lineRule="auto"/>
              <w:rPr>
                <w:sz w:val="20"/>
                <w:szCs w:val="20"/>
                <w:lang w:val="en-US"/>
              </w:rPr>
            </w:pPr>
            <w:r w:rsidRPr="009627FD">
              <w:rPr>
                <w:sz w:val="20"/>
                <w:szCs w:val="20"/>
                <w:lang w:val="en-US"/>
              </w:rPr>
              <w:t>-.175**</w:t>
            </w:r>
          </w:p>
        </w:tc>
        <w:tc>
          <w:tcPr>
            <w:tcW w:w="851" w:type="dxa"/>
          </w:tcPr>
          <w:p w14:paraId="46349910" w14:textId="420447A1" w:rsidR="00B9512A" w:rsidRPr="009627FD" w:rsidRDefault="00B9512A" w:rsidP="00C66DF9">
            <w:pPr>
              <w:spacing w:line="360" w:lineRule="auto"/>
              <w:rPr>
                <w:sz w:val="20"/>
                <w:szCs w:val="20"/>
                <w:lang w:val="en-US"/>
              </w:rPr>
            </w:pPr>
            <w:r w:rsidRPr="009627FD">
              <w:rPr>
                <w:sz w:val="20"/>
                <w:szCs w:val="20"/>
                <w:lang w:val="en-US"/>
              </w:rPr>
              <w:t>-.195**</w:t>
            </w:r>
          </w:p>
        </w:tc>
        <w:tc>
          <w:tcPr>
            <w:tcW w:w="850" w:type="dxa"/>
          </w:tcPr>
          <w:p w14:paraId="0CB5BFA0" w14:textId="6B62BE8A" w:rsidR="00B9512A" w:rsidRPr="009627FD" w:rsidRDefault="00B9512A" w:rsidP="00C66DF9">
            <w:pPr>
              <w:spacing w:line="360" w:lineRule="auto"/>
              <w:rPr>
                <w:sz w:val="20"/>
                <w:szCs w:val="20"/>
                <w:lang w:val="en-US"/>
              </w:rPr>
            </w:pPr>
            <w:r w:rsidRPr="009627FD">
              <w:rPr>
                <w:sz w:val="20"/>
                <w:szCs w:val="20"/>
                <w:lang w:val="en-US"/>
              </w:rPr>
              <w:t>-.071</w:t>
            </w:r>
          </w:p>
        </w:tc>
        <w:tc>
          <w:tcPr>
            <w:tcW w:w="851" w:type="dxa"/>
          </w:tcPr>
          <w:p w14:paraId="465D8C0B" w14:textId="0FD9E87F" w:rsidR="00B9512A" w:rsidRPr="009627FD" w:rsidRDefault="00B9512A" w:rsidP="00C66DF9">
            <w:pPr>
              <w:spacing w:line="360" w:lineRule="auto"/>
              <w:rPr>
                <w:sz w:val="20"/>
                <w:szCs w:val="20"/>
                <w:lang w:val="en-US"/>
              </w:rPr>
            </w:pPr>
            <w:r w:rsidRPr="009627FD">
              <w:rPr>
                <w:sz w:val="20"/>
                <w:szCs w:val="20"/>
                <w:lang w:val="en-US"/>
              </w:rPr>
              <w:t>-.039</w:t>
            </w:r>
          </w:p>
        </w:tc>
        <w:tc>
          <w:tcPr>
            <w:tcW w:w="850" w:type="dxa"/>
          </w:tcPr>
          <w:p w14:paraId="00652580" w14:textId="39A97E25" w:rsidR="00B9512A" w:rsidRPr="009627FD" w:rsidRDefault="00B9512A" w:rsidP="00C66DF9">
            <w:pPr>
              <w:spacing w:line="360" w:lineRule="auto"/>
              <w:rPr>
                <w:sz w:val="20"/>
                <w:szCs w:val="20"/>
                <w:lang w:val="en-US"/>
              </w:rPr>
            </w:pPr>
            <w:r w:rsidRPr="009627FD">
              <w:rPr>
                <w:sz w:val="20"/>
                <w:szCs w:val="20"/>
                <w:lang w:val="en-US"/>
              </w:rPr>
              <w:t>-.077</w:t>
            </w:r>
          </w:p>
        </w:tc>
      </w:tr>
      <w:tr w:rsidR="00A53F56" w:rsidRPr="009627FD" w14:paraId="0799E660" w14:textId="435C4903" w:rsidTr="002D38A9">
        <w:tc>
          <w:tcPr>
            <w:tcW w:w="445" w:type="dxa"/>
          </w:tcPr>
          <w:p w14:paraId="774F829C" w14:textId="77777777" w:rsidR="00B9512A" w:rsidRPr="009627FD" w:rsidRDefault="00B9512A" w:rsidP="00C66DF9">
            <w:pPr>
              <w:spacing w:line="360" w:lineRule="auto"/>
              <w:rPr>
                <w:sz w:val="20"/>
                <w:szCs w:val="20"/>
                <w:lang w:val="en-US"/>
              </w:rPr>
            </w:pPr>
            <w:r w:rsidRPr="009627FD">
              <w:rPr>
                <w:sz w:val="20"/>
                <w:szCs w:val="20"/>
                <w:lang w:val="en-US"/>
              </w:rPr>
              <w:t>5</w:t>
            </w:r>
          </w:p>
        </w:tc>
        <w:tc>
          <w:tcPr>
            <w:tcW w:w="1678" w:type="dxa"/>
          </w:tcPr>
          <w:p w14:paraId="40529734" w14:textId="77777777" w:rsidR="00B9512A" w:rsidRPr="009627FD" w:rsidRDefault="00B9512A" w:rsidP="00C66DF9">
            <w:pPr>
              <w:spacing w:line="360" w:lineRule="auto"/>
              <w:rPr>
                <w:sz w:val="20"/>
                <w:szCs w:val="20"/>
                <w:lang w:val="en-US"/>
              </w:rPr>
            </w:pPr>
            <w:r w:rsidRPr="009627FD">
              <w:rPr>
                <w:sz w:val="20"/>
                <w:szCs w:val="20"/>
                <w:lang w:val="en-US"/>
              </w:rPr>
              <w:t>BFI-10-Ope</w:t>
            </w:r>
          </w:p>
        </w:tc>
        <w:tc>
          <w:tcPr>
            <w:tcW w:w="1226" w:type="dxa"/>
          </w:tcPr>
          <w:p w14:paraId="3B7F7B89" w14:textId="364A8A7A" w:rsidR="00B9512A" w:rsidRPr="009627FD" w:rsidRDefault="00B9512A" w:rsidP="00C66DF9">
            <w:pPr>
              <w:spacing w:line="360" w:lineRule="auto"/>
              <w:rPr>
                <w:sz w:val="20"/>
                <w:szCs w:val="20"/>
                <w:lang w:val="en-US"/>
              </w:rPr>
            </w:pPr>
            <w:r w:rsidRPr="009627FD">
              <w:rPr>
                <w:sz w:val="20"/>
                <w:szCs w:val="20"/>
                <w:lang w:val="en-US"/>
              </w:rPr>
              <w:t>6.90±3.45</w:t>
            </w:r>
          </w:p>
        </w:tc>
        <w:tc>
          <w:tcPr>
            <w:tcW w:w="727" w:type="dxa"/>
          </w:tcPr>
          <w:p w14:paraId="494C9E6B" w14:textId="1E3357B6" w:rsidR="00B9512A" w:rsidRPr="009627FD" w:rsidRDefault="00B9512A" w:rsidP="00C66DF9">
            <w:pPr>
              <w:spacing w:line="360" w:lineRule="auto"/>
              <w:rPr>
                <w:sz w:val="20"/>
                <w:szCs w:val="20"/>
                <w:lang w:val="en-US"/>
              </w:rPr>
            </w:pPr>
            <w:r w:rsidRPr="009627FD">
              <w:rPr>
                <w:sz w:val="20"/>
                <w:szCs w:val="20"/>
                <w:lang w:val="en-US"/>
              </w:rPr>
              <w:t>2-10</w:t>
            </w:r>
          </w:p>
        </w:tc>
        <w:tc>
          <w:tcPr>
            <w:tcW w:w="1005" w:type="dxa"/>
          </w:tcPr>
          <w:p w14:paraId="025ABBD3" w14:textId="23FA1E61" w:rsidR="00B9512A" w:rsidRPr="009627FD" w:rsidRDefault="00B9512A" w:rsidP="00C66DF9">
            <w:pPr>
              <w:spacing w:line="360" w:lineRule="auto"/>
              <w:rPr>
                <w:sz w:val="20"/>
                <w:szCs w:val="20"/>
                <w:lang w:val="en-US"/>
              </w:rPr>
            </w:pPr>
            <w:r w:rsidRPr="009627FD">
              <w:rPr>
                <w:sz w:val="20"/>
                <w:szCs w:val="20"/>
                <w:lang w:val="en-US"/>
              </w:rPr>
              <w:t>-.13</w:t>
            </w:r>
          </w:p>
        </w:tc>
        <w:tc>
          <w:tcPr>
            <w:tcW w:w="894" w:type="dxa"/>
          </w:tcPr>
          <w:p w14:paraId="01BC9009" w14:textId="7BCDEFCF" w:rsidR="00B9512A" w:rsidRPr="009627FD" w:rsidRDefault="00B9512A" w:rsidP="00C66DF9">
            <w:pPr>
              <w:spacing w:line="360" w:lineRule="auto"/>
              <w:rPr>
                <w:sz w:val="20"/>
                <w:szCs w:val="20"/>
                <w:lang w:val="en-US"/>
              </w:rPr>
            </w:pPr>
            <w:r w:rsidRPr="009627FD">
              <w:rPr>
                <w:sz w:val="20"/>
                <w:szCs w:val="20"/>
                <w:lang w:val="en-US"/>
              </w:rPr>
              <w:t>-.47</w:t>
            </w:r>
          </w:p>
        </w:tc>
        <w:tc>
          <w:tcPr>
            <w:tcW w:w="316" w:type="dxa"/>
          </w:tcPr>
          <w:p w14:paraId="44BE9BDE" w14:textId="77777777" w:rsidR="00B9512A" w:rsidRPr="009627FD" w:rsidRDefault="00B9512A" w:rsidP="00C66DF9">
            <w:pPr>
              <w:spacing w:line="360" w:lineRule="auto"/>
              <w:rPr>
                <w:sz w:val="20"/>
                <w:szCs w:val="20"/>
                <w:lang w:val="en-US"/>
              </w:rPr>
            </w:pPr>
          </w:p>
        </w:tc>
        <w:tc>
          <w:tcPr>
            <w:tcW w:w="766" w:type="dxa"/>
          </w:tcPr>
          <w:p w14:paraId="7F591AA0" w14:textId="7D0505DB" w:rsidR="00B9512A" w:rsidRPr="009627FD" w:rsidRDefault="00B9512A" w:rsidP="00C66DF9">
            <w:pPr>
              <w:spacing w:line="360" w:lineRule="auto"/>
              <w:rPr>
                <w:sz w:val="20"/>
                <w:szCs w:val="20"/>
                <w:lang w:val="en-US"/>
              </w:rPr>
            </w:pPr>
          </w:p>
        </w:tc>
        <w:tc>
          <w:tcPr>
            <w:tcW w:w="787" w:type="dxa"/>
          </w:tcPr>
          <w:p w14:paraId="3D8B3141" w14:textId="138563FA" w:rsidR="00B9512A" w:rsidRPr="009627FD" w:rsidRDefault="00B9512A" w:rsidP="00C66DF9">
            <w:pPr>
              <w:spacing w:line="360" w:lineRule="auto"/>
              <w:rPr>
                <w:sz w:val="20"/>
                <w:szCs w:val="20"/>
                <w:lang w:val="en-US"/>
              </w:rPr>
            </w:pPr>
          </w:p>
        </w:tc>
        <w:tc>
          <w:tcPr>
            <w:tcW w:w="766" w:type="dxa"/>
          </w:tcPr>
          <w:p w14:paraId="64E5E9E8" w14:textId="0179ED24" w:rsidR="00B9512A" w:rsidRPr="009627FD" w:rsidRDefault="00B9512A" w:rsidP="00C66DF9">
            <w:pPr>
              <w:spacing w:line="360" w:lineRule="auto"/>
              <w:rPr>
                <w:sz w:val="20"/>
                <w:szCs w:val="20"/>
                <w:lang w:val="en-US"/>
              </w:rPr>
            </w:pPr>
          </w:p>
        </w:tc>
        <w:tc>
          <w:tcPr>
            <w:tcW w:w="651" w:type="dxa"/>
          </w:tcPr>
          <w:p w14:paraId="6EF0825C" w14:textId="666C542B" w:rsidR="00B9512A" w:rsidRPr="009627FD" w:rsidRDefault="00B9512A" w:rsidP="00C66DF9">
            <w:pPr>
              <w:spacing w:line="360" w:lineRule="auto"/>
              <w:rPr>
                <w:sz w:val="20"/>
                <w:szCs w:val="20"/>
                <w:lang w:val="en-US"/>
              </w:rPr>
            </w:pPr>
            <w:r w:rsidRPr="009627FD">
              <w:rPr>
                <w:sz w:val="20"/>
                <w:szCs w:val="20"/>
                <w:lang w:val="en-US"/>
              </w:rPr>
              <w:t>1</w:t>
            </w:r>
          </w:p>
        </w:tc>
        <w:tc>
          <w:tcPr>
            <w:tcW w:w="851" w:type="dxa"/>
          </w:tcPr>
          <w:p w14:paraId="3DEE3855" w14:textId="05ECF7F1" w:rsidR="00B9512A" w:rsidRPr="009627FD" w:rsidRDefault="00B9512A" w:rsidP="00C66DF9">
            <w:pPr>
              <w:spacing w:line="360" w:lineRule="auto"/>
              <w:rPr>
                <w:sz w:val="20"/>
                <w:szCs w:val="20"/>
                <w:lang w:val="en-US"/>
              </w:rPr>
            </w:pPr>
            <w:r w:rsidRPr="009627FD">
              <w:rPr>
                <w:sz w:val="20"/>
                <w:szCs w:val="20"/>
                <w:lang w:val="en-US"/>
              </w:rPr>
              <w:t>-.033</w:t>
            </w:r>
          </w:p>
        </w:tc>
        <w:tc>
          <w:tcPr>
            <w:tcW w:w="850" w:type="dxa"/>
          </w:tcPr>
          <w:p w14:paraId="7AAA91E3" w14:textId="1EAF1610" w:rsidR="00B9512A" w:rsidRPr="009627FD" w:rsidRDefault="00B9512A" w:rsidP="00C66DF9">
            <w:pPr>
              <w:spacing w:line="360" w:lineRule="auto"/>
              <w:rPr>
                <w:sz w:val="20"/>
                <w:szCs w:val="20"/>
                <w:lang w:val="en-US"/>
              </w:rPr>
            </w:pPr>
            <w:r w:rsidRPr="009627FD">
              <w:rPr>
                <w:sz w:val="20"/>
                <w:szCs w:val="20"/>
                <w:lang w:val="en-US"/>
              </w:rPr>
              <w:t>.047</w:t>
            </w:r>
          </w:p>
        </w:tc>
        <w:tc>
          <w:tcPr>
            <w:tcW w:w="851" w:type="dxa"/>
          </w:tcPr>
          <w:p w14:paraId="74251344" w14:textId="36B28BD1" w:rsidR="00B9512A" w:rsidRPr="009627FD" w:rsidRDefault="00B9512A" w:rsidP="00C66DF9">
            <w:pPr>
              <w:spacing w:line="360" w:lineRule="auto"/>
              <w:rPr>
                <w:sz w:val="20"/>
                <w:szCs w:val="20"/>
                <w:lang w:val="en-US"/>
              </w:rPr>
            </w:pPr>
            <w:r w:rsidRPr="009627FD">
              <w:rPr>
                <w:sz w:val="20"/>
                <w:szCs w:val="20"/>
                <w:lang w:val="en-US"/>
              </w:rPr>
              <w:t>.049</w:t>
            </w:r>
          </w:p>
        </w:tc>
        <w:tc>
          <w:tcPr>
            <w:tcW w:w="850" w:type="dxa"/>
          </w:tcPr>
          <w:p w14:paraId="4C9AA064" w14:textId="7739815F" w:rsidR="00B9512A" w:rsidRPr="009627FD" w:rsidRDefault="00B9512A" w:rsidP="00C66DF9">
            <w:pPr>
              <w:spacing w:line="360" w:lineRule="auto"/>
              <w:rPr>
                <w:sz w:val="20"/>
                <w:szCs w:val="20"/>
                <w:lang w:val="en-US"/>
              </w:rPr>
            </w:pPr>
            <w:r w:rsidRPr="009627FD">
              <w:rPr>
                <w:sz w:val="20"/>
                <w:szCs w:val="20"/>
                <w:lang w:val="en-US"/>
              </w:rPr>
              <w:t>.045</w:t>
            </w:r>
          </w:p>
        </w:tc>
        <w:tc>
          <w:tcPr>
            <w:tcW w:w="851" w:type="dxa"/>
          </w:tcPr>
          <w:p w14:paraId="4C67F211" w14:textId="6C2E7064" w:rsidR="00B9512A" w:rsidRPr="009627FD" w:rsidRDefault="00B9512A" w:rsidP="00C66DF9">
            <w:pPr>
              <w:spacing w:line="360" w:lineRule="auto"/>
              <w:rPr>
                <w:sz w:val="20"/>
                <w:szCs w:val="20"/>
                <w:lang w:val="en-US"/>
              </w:rPr>
            </w:pPr>
            <w:r w:rsidRPr="009627FD">
              <w:rPr>
                <w:sz w:val="20"/>
                <w:szCs w:val="20"/>
                <w:lang w:val="en-US"/>
              </w:rPr>
              <w:t>.031</w:t>
            </w:r>
          </w:p>
        </w:tc>
        <w:tc>
          <w:tcPr>
            <w:tcW w:w="850" w:type="dxa"/>
          </w:tcPr>
          <w:p w14:paraId="153C1A34" w14:textId="6AE0C810" w:rsidR="00B9512A" w:rsidRPr="009627FD" w:rsidRDefault="00B9512A" w:rsidP="00C66DF9">
            <w:pPr>
              <w:spacing w:line="360" w:lineRule="auto"/>
              <w:rPr>
                <w:sz w:val="20"/>
                <w:szCs w:val="20"/>
                <w:lang w:val="en-US"/>
              </w:rPr>
            </w:pPr>
            <w:r w:rsidRPr="009627FD">
              <w:rPr>
                <w:sz w:val="20"/>
                <w:szCs w:val="20"/>
                <w:lang w:val="en-US"/>
              </w:rPr>
              <w:t>.036</w:t>
            </w:r>
          </w:p>
        </w:tc>
        <w:tc>
          <w:tcPr>
            <w:tcW w:w="851" w:type="dxa"/>
          </w:tcPr>
          <w:p w14:paraId="58A4433A" w14:textId="35B91599" w:rsidR="00B9512A" w:rsidRPr="009627FD" w:rsidRDefault="00B9512A" w:rsidP="00C66DF9">
            <w:pPr>
              <w:spacing w:line="360" w:lineRule="auto"/>
              <w:rPr>
                <w:sz w:val="20"/>
                <w:szCs w:val="20"/>
                <w:lang w:val="en-US"/>
              </w:rPr>
            </w:pPr>
            <w:r w:rsidRPr="009627FD">
              <w:rPr>
                <w:sz w:val="20"/>
                <w:szCs w:val="20"/>
                <w:lang w:val="en-US"/>
              </w:rPr>
              <w:t>-.060</w:t>
            </w:r>
          </w:p>
        </w:tc>
        <w:tc>
          <w:tcPr>
            <w:tcW w:w="850" w:type="dxa"/>
          </w:tcPr>
          <w:p w14:paraId="4669C3B2" w14:textId="36593386" w:rsidR="00B9512A" w:rsidRPr="009627FD" w:rsidRDefault="00B9512A" w:rsidP="00C66DF9">
            <w:pPr>
              <w:spacing w:line="360" w:lineRule="auto"/>
              <w:rPr>
                <w:sz w:val="20"/>
                <w:szCs w:val="20"/>
                <w:lang w:val="en-US"/>
              </w:rPr>
            </w:pPr>
            <w:r w:rsidRPr="009627FD">
              <w:rPr>
                <w:sz w:val="20"/>
                <w:szCs w:val="20"/>
                <w:lang w:val="en-US"/>
              </w:rPr>
              <w:t>-.069</w:t>
            </w:r>
          </w:p>
        </w:tc>
      </w:tr>
      <w:tr w:rsidR="00A53F56" w:rsidRPr="009627FD" w14:paraId="249EE9F8" w14:textId="62855017" w:rsidTr="002D38A9">
        <w:tc>
          <w:tcPr>
            <w:tcW w:w="445" w:type="dxa"/>
          </w:tcPr>
          <w:p w14:paraId="46DD0B97" w14:textId="281EA5D4" w:rsidR="00B9512A" w:rsidRPr="009627FD" w:rsidRDefault="00B9512A" w:rsidP="00C66DF9">
            <w:pPr>
              <w:spacing w:line="360" w:lineRule="auto"/>
              <w:rPr>
                <w:sz w:val="20"/>
                <w:szCs w:val="20"/>
                <w:lang w:val="en-US"/>
              </w:rPr>
            </w:pPr>
            <w:r w:rsidRPr="009627FD">
              <w:rPr>
                <w:sz w:val="20"/>
                <w:szCs w:val="20"/>
                <w:lang w:val="en-US"/>
              </w:rPr>
              <w:t>6</w:t>
            </w:r>
          </w:p>
        </w:tc>
        <w:tc>
          <w:tcPr>
            <w:tcW w:w="1678" w:type="dxa"/>
          </w:tcPr>
          <w:p w14:paraId="2912743A" w14:textId="77777777" w:rsidR="00B9512A" w:rsidRPr="009627FD" w:rsidRDefault="00B9512A" w:rsidP="00C66DF9">
            <w:pPr>
              <w:spacing w:line="360" w:lineRule="auto"/>
              <w:rPr>
                <w:sz w:val="20"/>
                <w:szCs w:val="20"/>
                <w:lang w:val="en-US"/>
              </w:rPr>
            </w:pPr>
            <w:r w:rsidRPr="009627FD">
              <w:rPr>
                <w:sz w:val="20"/>
                <w:szCs w:val="20"/>
                <w:lang w:val="en-US"/>
              </w:rPr>
              <w:t>FCV-19</w:t>
            </w:r>
          </w:p>
        </w:tc>
        <w:tc>
          <w:tcPr>
            <w:tcW w:w="1226" w:type="dxa"/>
          </w:tcPr>
          <w:p w14:paraId="44019CC7" w14:textId="1DCC6B09" w:rsidR="00B9512A" w:rsidRPr="009627FD" w:rsidRDefault="00B9512A" w:rsidP="00C66DF9">
            <w:pPr>
              <w:spacing w:line="360" w:lineRule="auto"/>
              <w:rPr>
                <w:sz w:val="20"/>
                <w:szCs w:val="20"/>
                <w:lang w:val="en-US"/>
              </w:rPr>
            </w:pPr>
            <w:r w:rsidRPr="009627FD">
              <w:rPr>
                <w:sz w:val="20"/>
                <w:szCs w:val="20"/>
                <w:lang w:val="en-US"/>
              </w:rPr>
              <w:t>17.18±39.46</w:t>
            </w:r>
          </w:p>
        </w:tc>
        <w:tc>
          <w:tcPr>
            <w:tcW w:w="727" w:type="dxa"/>
          </w:tcPr>
          <w:p w14:paraId="3F33D1F4" w14:textId="32B8A860" w:rsidR="00B9512A" w:rsidRPr="009627FD" w:rsidRDefault="00B9512A" w:rsidP="00C66DF9">
            <w:pPr>
              <w:spacing w:line="360" w:lineRule="auto"/>
              <w:rPr>
                <w:sz w:val="20"/>
                <w:szCs w:val="20"/>
                <w:lang w:val="en-US"/>
              </w:rPr>
            </w:pPr>
            <w:r w:rsidRPr="009627FD">
              <w:rPr>
                <w:sz w:val="20"/>
                <w:szCs w:val="20"/>
                <w:lang w:val="en-US"/>
              </w:rPr>
              <w:t>7-35</w:t>
            </w:r>
          </w:p>
        </w:tc>
        <w:tc>
          <w:tcPr>
            <w:tcW w:w="1005" w:type="dxa"/>
          </w:tcPr>
          <w:p w14:paraId="478FCD46" w14:textId="2F494473" w:rsidR="00B9512A" w:rsidRPr="009627FD" w:rsidRDefault="00B9512A" w:rsidP="00C66DF9">
            <w:pPr>
              <w:spacing w:line="360" w:lineRule="auto"/>
              <w:rPr>
                <w:sz w:val="20"/>
                <w:szCs w:val="20"/>
                <w:lang w:val="en-US"/>
              </w:rPr>
            </w:pPr>
            <w:r w:rsidRPr="009627FD">
              <w:rPr>
                <w:sz w:val="20"/>
                <w:szCs w:val="20"/>
                <w:lang w:val="en-US"/>
              </w:rPr>
              <w:t>.44</w:t>
            </w:r>
          </w:p>
        </w:tc>
        <w:tc>
          <w:tcPr>
            <w:tcW w:w="894" w:type="dxa"/>
          </w:tcPr>
          <w:p w14:paraId="295A810C" w14:textId="6FA417A6" w:rsidR="00B9512A" w:rsidRPr="009627FD" w:rsidRDefault="00B9512A" w:rsidP="00C66DF9">
            <w:pPr>
              <w:spacing w:line="360" w:lineRule="auto"/>
              <w:rPr>
                <w:sz w:val="20"/>
                <w:szCs w:val="20"/>
                <w:lang w:val="en-US"/>
              </w:rPr>
            </w:pPr>
            <w:r w:rsidRPr="009627FD">
              <w:rPr>
                <w:sz w:val="20"/>
                <w:szCs w:val="20"/>
                <w:lang w:val="en-US"/>
              </w:rPr>
              <w:t>-.42</w:t>
            </w:r>
          </w:p>
        </w:tc>
        <w:tc>
          <w:tcPr>
            <w:tcW w:w="316" w:type="dxa"/>
          </w:tcPr>
          <w:p w14:paraId="2ADE20E9" w14:textId="77777777" w:rsidR="00B9512A" w:rsidRPr="009627FD" w:rsidRDefault="00B9512A" w:rsidP="00C66DF9">
            <w:pPr>
              <w:spacing w:line="360" w:lineRule="auto"/>
              <w:rPr>
                <w:sz w:val="20"/>
                <w:szCs w:val="20"/>
                <w:lang w:val="en-US"/>
              </w:rPr>
            </w:pPr>
          </w:p>
        </w:tc>
        <w:tc>
          <w:tcPr>
            <w:tcW w:w="766" w:type="dxa"/>
          </w:tcPr>
          <w:p w14:paraId="1D9DFD5B" w14:textId="5F6E707C" w:rsidR="00B9512A" w:rsidRPr="009627FD" w:rsidRDefault="00B9512A" w:rsidP="00C66DF9">
            <w:pPr>
              <w:spacing w:line="360" w:lineRule="auto"/>
              <w:rPr>
                <w:sz w:val="20"/>
                <w:szCs w:val="20"/>
                <w:lang w:val="en-US"/>
              </w:rPr>
            </w:pPr>
          </w:p>
        </w:tc>
        <w:tc>
          <w:tcPr>
            <w:tcW w:w="787" w:type="dxa"/>
          </w:tcPr>
          <w:p w14:paraId="718CAF44" w14:textId="185F5DCB" w:rsidR="00B9512A" w:rsidRPr="009627FD" w:rsidRDefault="00B9512A" w:rsidP="00C66DF9">
            <w:pPr>
              <w:spacing w:line="360" w:lineRule="auto"/>
              <w:rPr>
                <w:sz w:val="20"/>
                <w:szCs w:val="20"/>
                <w:lang w:val="en-US"/>
              </w:rPr>
            </w:pPr>
          </w:p>
        </w:tc>
        <w:tc>
          <w:tcPr>
            <w:tcW w:w="766" w:type="dxa"/>
          </w:tcPr>
          <w:p w14:paraId="5E9091ED" w14:textId="1FED66C7" w:rsidR="00B9512A" w:rsidRPr="009627FD" w:rsidRDefault="00B9512A" w:rsidP="00C66DF9">
            <w:pPr>
              <w:spacing w:line="360" w:lineRule="auto"/>
              <w:rPr>
                <w:sz w:val="20"/>
                <w:szCs w:val="20"/>
                <w:lang w:val="en-US"/>
              </w:rPr>
            </w:pPr>
          </w:p>
        </w:tc>
        <w:tc>
          <w:tcPr>
            <w:tcW w:w="651" w:type="dxa"/>
          </w:tcPr>
          <w:p w14:paraId="12D14D8D" w14:textId="634B65E3" w:rsidR="00B9512A" w:rsidRPr="009627FD" w:rsidRDefault="00B9512A" w:rsidP="00C66DF9">
            <w:pPr>
              <w:spacing w:line="360" w:lineRule="auto"/>
              <w:rPr>
                <w:sz w:val="20"/>
                <w:szCs w:val="20"/>
                <w:lang w:val="en-US"/>
              </w:rPr>
            </w:pPr>
          </w:p>
        </w:tc>
        <w:tc>
          <w:tcPr>
            <w:tcW w:w="851" w:type="dxa"/>
          </w:tcPr>
          <w:p w14:paraId="0678E1C3" w14:textId="1BC5EAE6" w:rsidR="00B9512A" w:rsidRPr="009627FD" w:rsidRDefault="00B9512A" w:rsidP="00C66DF9">
            <w:pPr>
              <w:spacing w:line="360" w:lineRule="auto"/>
              <w:rPr>
                <w:sz w:val="20"/>
                <w:szCs w:val="20"/>
                <w:lang w:val="en-US"/>
              </w:rPr>
            </w:pPr>
            <w:r w:rsidRPr="009627FD">
              <w:rPr>
                <w:sz w:val="20"/>
                <w:szCs w:val="20"/>
                <w:lang w:val="en-US"/>
              </w:rPr>
              <w:t>1</w:t>
            </w:r>
          </w:p>
        </w:tc>
        <w:tc>
          <w:tcPr>
            <w:tcW w:w="850" w:type="dxa"/>
          </w:tcPr>
          <w:p w14:paraId="5ED20136" w14:textId="76F3EA85" w:rsidR="00B9512A" w:rsidRPr="009627FD" w:rsidRDefault="00B9512A" w:rsidP="00C66DF9">
            <w:pPr>
              <w:spacing w:line="360" w:lineRule="auto"/>
              <w:rPr>
                <w:sz w:val="20"/>
                <w:szCs w:val="20"/>
                <w:lang w:val="en-US"/>
              </w:rPr>
            </w:pPr>
            <w:r w:rsidRPr="009627FD">
              <w:rPr>
                <w:sz w:val="20"/>
                <w:szCs w:val="20"/>
                <w:lang w:val="en-US"/>
              </w:rPr>
              <w:t>.610**</w:t>
            </w:r>
          </w:p>
        </w:tc>
        <w:tc>
          <w:tcPr>
            <w:tcW w:w="851" w:type="dxa"/>
          </w:tcPr>
          <w:p w14:paraId="21D625E8" w14:textId="7CAB9DCF" w:rsidR="00B9512A" w:rsidRPr="009627FD" w:rsidRDefault="00B9512A" w:rsidP="00C66DF9">
            <w:pPr>
              <w:spacing w:line="360" w:lineRule="auto"/>
              <w:rPr>
                <w:sz w:val="20"/>
                <w:szCs w:val="20"/>
                <w:lang w:val="en-US"/>
              </w:rPr>
            </w:pPr>
            <w:r w:rsidRPr="009627FD">
              <w:rPr>
                <w:sz w:val="20"/>
                <w:szCs w:val="20"/>
                <w:lang w:val="en-US"/>
              </w:rPr>
              <w:t>.390**</w:t>
            </w:r>
          </w:p>
        </w:tc>
        <w:tc>
          <w:tcPr>
            <w:tcW w:w="850" w:type="dxa"/>
          </w:tcPr>
          <w:p w14:paraId="4592493D" w14:textId="4D611E59" w:rsidR="00B9512A" w:rsidRPr="009627FD" w:rsidRDefault="00B9512A" w:rsidP="00C66DF9">
            <w:pPr>
              <w:spacing w:line="360" w:lineRule="auto"/>
              <w:rPr>
                <w:sz w:val="20"/>
                <w:szCs w:val="20"/>
                <w:lang w:val="en-US"/>
              </w:rPr>
            </w:pPr>
            <w:r w:rsidRPr="009627FD">
              <w:rPr>
                <w:sz w:val="20"/>
                <w:szCs w:val="20"/>
                <w:lang w:val="en-US"/>
              </w:rPr>
              <w:t>.419**</w:t>
            </w:r>
          </w:p>
        </w:tc>
        <w:tc>
          <w:tcPr>
            <w:tcW w:w="851" w:type="dxa"/>
          </w:tcPr>
          <w:p w14:paraId="0249F88B" w14:textId="6308041A" w:rsidR="00B9512A" w:rsidRPr="009627FD" w:rsidRDefault="00B9512A" w:rsidP="00C66DF9">
            <w:pPr>
              <w:spacing w:line="360" w:lineRule="auto"/>
              <w:rPr>
                <w:sz w:val="20"/>
                <w:szCs w:val="20"/>
                <w:lang w:val="en-US"/>
              </w:rPr>
            </w:pPr>
            <w:r w:rsidRPr="009627FD">
              <w:rPr>
                <w:sz w:val="20"/>
                <w:szCs w:val="20"/>
                <w:lang w:val="en-US"/>
              </w:rPr>
              <w:t>.367**</w:t>
            </w:r>
          </w:p>
        </w:tc>
        <w:tc>
          <w:tcPr>
            <w:tcW w:w="850" w:type="dxa"/>
          </w:tcPr>
          <w:p w14:paraId="6EDF4998" w14:textId="4ABE5183" w:rsidR="00B9512A" w:rsidRPr="009627FD" w:rsidRDefault="00B9512A" w:rsidP="00C66DF9">
            <w:pPr>
              <w:spacing w:line="360" w:lineRule="auto"/>
              <w:rPr>
                <w:sz w:val="20"/>
                <w:szCs w:val="20"/>
                <w:lang w:val="en-US"/>
              </w:rPr>
            </w:pPr>
            <w:r w:rsidRPr="009627FD">
              <w:rPr>
                <w:sz w:val="20"/>
                <w:szCs w:val="20"/>
                <w:lang w:val="en-US"/>
              </w:rPr>
              <w:t>.685**</w:t>
            </w:r>
          </w:p>
        </w:tc>
        <w:tc>
          <w:tcPr>
            <w:tcW w:w="851" w:type="dxa"/>
          </w:tcPr>
          <w:p w14:paraId="7FA97C6B" w14:textId="187E50AC" w:rsidR="00B9512A" w:rsidRPr="009627FD" w:rsidRDefault="00B9512A" w:rsidP="00C66DF9">
            <w:pPr>
              <w:spacing w:line="360" w:lineRule="auto"/>
              <w:rPr>
                <w:sz w:val="20"/>
                <w:szCs w:val="20"/>
                <w:lang w:val="en-US"/>
              </w:rPr>
            </w:pPr>
            <w:r w:rsidRPr="009627FD">
              <w:rPr>
                <w:sz w:val="20"/>
                <w:szCs w:val="20"/>
                <w:lang w:val="en-US"/>
              </w:rPr>
              <w:t>.611**</w:t>
            </w:r>
          </w:p>
        </w:tc>
        <w:tc>
          <w:tcPr>
            <w:tcW w:w="850" w:type="dxa"/>
          </w:tcPr>
          <w:p w14:paraId="2F5E66B0" w14:textId="171A6C9B" w:rsidR="00B9512A" w:rsidRPr="009627FD" w:rsidRDefault="00B9512A" w:rsidP="00C66DF9">
            <w:pPr>
              <w:spacing w:line="360" w:lineRule="auto"/>
              <w:rPr>
                <w:sz w:val="20"/>
                <w:szCs w:val="20"/>
                <w:lang w:val="en-US"/>
              </w:rPr>
            </w:pPr>
            <w:r w:rsidRPr="009627FD">
              <w:rPr>
                <w:sz w:val="20"/>
                <w:szCs w:val="20"/>
                <w:lang w:val="en-US"/>
              </w:rPr>
              <w:t>.503**</w:t>
            </w:r>
          </w:p>
        </w:tc>
      </w:tr>
      <w:tr w:rsidR="00A53F56" w:rsidRPr="009627FD" w14:paraId="356BCFBD" w14:textId="539629BB" w:rsidTr="002D38A9">
        <w:tc>
          <w:tcPr>
            <w:tcW w:w="445" w:type="dxa"/>
          </w:tcPr>
          <w:p w14:paraId="7F828E2E" w14:textId="23FAC3AE" w:rsidR="00B9512A" w:rsidRPr="009627FD" w:rsidRDefault="00B9512A" w:rsidP="00C66DF9">
            <w:pPr>
              <w:spacing w:line="360" w:lineRule="auto"/>
              <w:rPr>
                <w:sz w:val="20"/>
                <w:szCs w:val="20"/>
                <w:lang w:val="en-US"/>
              </w:rPr>
            </w:pPr>
            <w:r w:rsidRPr="009627FD">
              <w:rPr>
                <w:sz w:val="20"/>
                <w:szCs w:val="20"/>
                <w:lang w:val="en-US"/>
              </w:rPr>
              <w:t>7</w:t>
            </w:r>
          </w:p>
        </w:tc>
        <w:tc>
          <w:tcPr>
            <w:tcW w:w="1678" w:type="dxa"/>
          </w:tcPr>
          <w:p w14:paraId="4E9578AA" w14:textId="05760FDD" w:rsidR="00B9512A" w:rsidRPr="009627FD" w:rsidRDefault="00B9512A" w:rsidP="00C66DF9">
            <w:pPr>
              <w:spacing w:line="360" w:lineRule="auto"/>
              <w:rPr>
                <w:sz w:val="20"/>
                <w:szCs w:val="20"/>
                <w:lang w:val="en-US"/>
              </w:rPr>
            </w:pPr>
            <w:r w:rsidRPr="009627FD">
              <w:rPr>
                <w:sz w:val="20"/>
                <w:szCs w:val="20"/>
                <w:lang w:val="en-US"/>
              </w:rPr>
              <w:t>HAQ</w:t>
            </w:r>
          </w:p>
        </w:tc>
        <w:tc>
          <w:tcPr>
            <w:tcW w:w="1226" w:type="dxa"/>
          </w:tcPr>
          <w:p w14:paraId="5742F8A2" w14:textId="54E58ED7" w:rsidR="00B9512A" w:rsidRPr="009627FD" w:rsidRDefault="00B9512A" w:rsidP="00C66DF9">
            <w:pPr>
              <w:spacing w:line="360" w:lineRule="auto"/>
              <w:rPr>
                <w:sz w:val="20"/>
                <w:szCs w:val="20"/>
                <w:lang w:val="en-US"/>
              </w:rPr>
            </w:pPr>
            <w:r w:rsidRPr="009627FD">
              <w:rPr>
                <w:sz w:val="20"/>
                <w:szCs w:val="20"/>
                <w:lang w:val="en-US"/>
              </w:rPr>
              <w:t>39.82±16.12</w:t>
            </w:r>
          </w:p>
        </w:tc>
        <w:tc>
          <w:tcPr>
            <w:tcW w:w="727" w:type="dxa"/>
          </w:tcPr>
          <w:p w14:paraId="1EE25CDA" w14:textId="71203ABF" w:rsidR="00B9512A" w:rsidRPr="009627FD" w:rsidRDefault="00B9512A" w:rsidP="00C66DF9">
            <w:pPr>
              <w:spacing w:line="360" w:lineRule="auto"/>
              <w:rPr>
                <w:sz w:val="20"/>
                <w:szCs w:val="20"/>
                <w:lang w:val="en-US"/>
              </w:rPr>
            </w:pPr>
            <w:r w:rsidRPr="009627FD">
              <w:rPr>
                <w:sz w:val="20"/>
                <w:szCs w:val="20"/>
                <w:lang w:val="en-US"/>
              </w:rPr>
              <w:t>21-83</w:t>
            </w:r>
          </w:p>
        </w:tc>
        <w:tc>
          <w:tcPr>
            <w:tcW w:w="1005" w:type="dxa"/>
          </w:tcPr>
          <w:p w14:paraId="795275FA" w14:textId="6B8BD82A" w:rsidR="00B9512A" w:rsidRPr="009627FD" w:rsidRDefault="00B9512A" w:rsidP="00C66DF9">
            <w:pPr>
              <w:spacing w:line="360" w:lineRule="auto"/>
              <w:rPr>
                <w:sz w:val="20"/>
                <w:szCs w:val="20"/>
                <w:lang w:val="en-US"/>
              </w:rPr>
            </w:pPr>
            <w:r w:rsidRPr="009627FD">
              <w:rPr>
                <w:sz w:val="20"/>
                <w:szCs w:val="20"/>
                <w:lang w:val="en-US"/>
              </w:rPr>
              <w:t>1.04</w:t>
            </w:r>
          </w:p>
        </w:tc>
        <w:tc>
          <w:tcPr>
            <w:tcW w:w="894" w:type="dxa"/>
          </w:tcPr>
          <w:p w14:paraId="68301711" w14:textId="3B5D70A9" w:rsidR="00B9512A" w:rsidRPr="009627FD" w:rsidRDefault="00B9512A" w:rsidP="00C66DF9">
            <w:pPr>
              <w:spacing w:line="360" w:lineRule="auto"/>
              <w:rPr>
                <w:sz w:val="20"/>
                <w:szCs w:val="20"/>
                <w:lang w:val="en-US"/>
              </w:rPr>
            </w:pPr>
            <w:r w:rsidRPr="009627FD">
              <w:rPr>
                <w:sz w:val="20"/>
                <w:szCs w:val="20"/>
                <w:lang w:val="en-US"/>
              </w:rPr>
              <w:t>.82</w:t>
            </w:r>
          </w:p>
        </w:tc>
        <w:tc>
          <w:tcPr>
            <w:tcW w:w="316" w:type="dxa"/>
          </w:tcPr>
          <w:p w14:paraId="16D28F28" w14:textId="77777777" w:rsidR="00B9512A" w:rsidRPr="009627FD" w:rsidRDefault="00B9512A" w:rsidP="00C66DF9">
            <w:pPr>
              <w:spacing w:line="360" w:lineRule="auto"/>
              <w:rPr>
                <w:sz w:val="20"/>
                <w:szCs w:val="20"/>
                <w:lang w:val="en-US"/>
              </w:rPr>
            </w:pPr>
          </w:p>
        </w:tc>
        <w:tc>
          <w:tcPr>
            <w:tcW w:w="766" w:type="dxa"/>
          </w:tcPr>
          <w:p w14:paraId="04599BCC" w14:textId="26A158A6" w:rsidR="00B9512A" w:rsidRPr="009627FD" w:rsidRDefault="00B9512A" w:rsidP="00C66DF9">
            <w:pPr>
              <w:spacing w:line="360" w:lineRule="auto"/>
              <w:rPr>
                <w:sz w:val="20"/>
                <w:szCs w:val="20"/>
                <w:lang w:val="en-US"/>
              </w:rPr>
            </w:pPr>
          </w:p>
        </w:tc>
        <w:tc>
          <w:tcPr>
            <w:tcW w:w="787" w:type="dxa"/>
          </w:tcPr>
          <w:p w14:paraId="7639D17F" w14:textId="510D3FE9" w:rsidR="00B9512A" w:rsidRPr="009627FD" w:rsidRDefault="00B9512A" w:rsidP="00C66DF9">
            <w:pPr>
              <w:spacing w:line="360" w:lineRule="auto"/>
              <w:rPr>
                <w:sz w:val="20"/>
                <w:szCs w:val="20"/>
                <w:lang w:val="en-US"/>
              </w:rPr>
            </w:pPr>
          </w:p>
        </w:tc>
        <w:tc>
          <w:tcPr>
            <w:tcW w:w="766" w:type="dxa"/>
          </w:tcPr>
          <w:p w14:paraId="53F4214A" w14:textId="3D2CAEC7" w:rsidR="00B9512A" w:rsidRPr="009627FD" w:rsidRDefault="00B9512A" w:rsidP="00C66DF9">
            <w:pPr>
              <w:spacing w:line="360" w:lineRule="auto"/>
              <w:rPr>
                <w:sz w:val="20"/>
                <w:szCs w:val="20"/>
                <w:lang w:val="en-US"/>
              </w:rPr>
            </w:pPr>
          </w:p>
        </w:tc>
        <w:tc>
          <w:tcPr>
            <w:tcW w:w="651" w:type="dxa"/>
          </w:tcPr>
          <w:p w14:paraId="3EA754B4" w14:textId="6B3B107B" w:rsidR="00B9512A" w:rsidRPr="009627FD" w:rsidRDefault="00B9512A" w:rsidP="00C66DF9">
            <w:pPr>
              <w:spacing w:line="360" w:lineRule="auto"/>
              <w:rPr>
                <w:sz w:val="20"/>
                <w:szCs w:val="20"/>
                <w:lang w:val="en-US"/>
              </w:rPr>
            </w:pPr>
          </w:p>
        </w:tc>
        <w:tc>
          <w:tcPr>
            <w:tcW w:w="851" w:type="dxa"/>
          </w:tcPr>
          <w:p w14:paraId="646CD994" w14:textId="0298E574" w:rsidR="00B9512A" w:rsidRPr="009627FD" w:rsidRDefault="00B9512A" w:rsidP="00C66DF9">
            <w:pPr>
              <w:spacing w:line="360" w:lineRule="auto"/>
              <w:rPr>
                <w:sz w:val="20"/>
                <w:szCs w:val="20"/>
                <w:lang w:val="en-US"/>
              </w:rPr>
            </w:pPr>
          </w:p>
        </w:tc>
        <w:tc>
          <w:tcPr>
            <w:tcW w:w="850" w:type="dxa"/>
          </w:tcPr>
          <w:p w14:paraId="4ED6F9DC" w14:textId="6679A99D" w:rsidR="00B9512A" w:rsidRPr="009627FD" w:rsidRDefault="00B9512A" w:rsidP="00C66DF9">
            <w:pPr>
              <w:spacing w:line="360" w:lineRule="auto"/>
              <w:rPr>
                <w:sz w:val="20"/>
                <w:szCs w:val="20"/>
                <w:lang w:val="en-US"/>
              </w:rPr>
            </w:pPr>
            <w:r w:rsidRPr="009627FD">
              <w:rPr>
                <w:sz w:val="20"/>
                <w:szCs w:val="20"/>
                <w:lang w:val="en-US"/>
              </w:rPr>
              <w:t>1</w:t>
            </w:r>
          </w:p>
        </w:tc>
        <w:tc>
          <w:tcPr>
            <w:tcW w:w="851" w:type="dxa"/>
          </w:tcPr>
          <w:p w14:paraId="51E14E76" w14:textId="39856DED" w:rsidR="00B9512A" w:rsidRPr="009627FD" w:rsidRDefault="00B9512A" w:rsidP="00C66DF9">
            <w:pPr>
              <w:spacing w:line="360" w:lineRule="auto"/>
              <w:rPr>
                <w:sz w:val="20"/>
                <w:szCs w:val="20"/>
                <w:lang w:val="en-US"/>
              </w:rPr>
            </w:pPr>
            <w:r w:rsidRPr="009627FD">
              <w:rPr>
                <w:sz w:val="20"/>
                <w:szCs w:val="20"/>
                <w:lang w:val="en-US"/>
              </w:rPr>
              <w:t>.488**</w:t>
            </w:r>
          </w:p>
        </w:tc>
        <w:tc>
          <w:tcPr>
            <w:tcW w:w="850" w:type="dxa"/>
          </w:tcPr>
          <w:p w14:paraId="4C89E827" w14:textId="2F790C80" w:rsidR="00B9512A" w:rsidRPr="009627FD" w:rsidRDefault="00B9512A" w:rsidP="00C66DF9">
            <w:pPr>
              <w:spacing w:line="360" w:lineRule="auto"/>
              <w:rPr>
                <w:sz w:val="20"/>
                <w:szCs w:val="20"/>
                <w:lang w:val="en-US"/>
              </w:rPr>
            </w:pPr>
            <w:r w:rsidRPr="009627FD">
              <w:rPr>
                <w:sz w:val="20"/>
                <w:szCs w:val="20"/>
                <w:lang w:val="en-US"/>
              </w:rPr>
              <w:t>.624**</w:t>
            </w:r>
          </w:p>
        </w:tc>
        <w:tc>
          <w:tcPr>
            <w:tcW w:w="851" w:type="dxa"/>
          </w:tcPr>
          <w:p w14:paraId="5FAA2FBC" w14:textId="1810834D" w:rsidR="00B9512A" w:rsidRPr="009627FD" w:rsidRDefault="00B9512A" w:rsidP="00C66DF9">
            <w:pPr>
              <w:spacing w:line="360" w:lineRule="auto"/>
              <w:rPr>
                <w:sz w:val="20"/>
                <w:szCs w:val="20"/>
                <w:lang w:val="en-US"/>
              </w:rPr>
            </w:pPr>
            <w:r w:rsidRPr="009627FD">
              <w:rPr>
                <w:sz w:val="20"/>
                <w:szCs w:val="20"/>
                <w:lang w:val="en-US"/>
              </w:rPr>
              <w:t>.496**</w:t>
            </w:r>
          </w:p>
        </w:tc>
        <w:tc>
          <w:tcPr>
            <w:tcW w:w="850" w:type="dxa"/>
          </w:tcPr>
          <w:p w14:paraId="1F18D3D1" w14:textId="6AD099D3" w:rsidR="00B9512A" w:rsidRPr="009627FD" w:rsidRDefault="00B9512A" w:rsidP="00C66DF9">
            <w:pPr>
              <w:spacing w:line="360" w:lineRule="auto"/>
              <w:rPr>
                <w:sz w:val="20"/>
                <w:szCs w:val="20"/>
                <w:lang w:val="en-US"/>
              </w:rPr>
            </w:pPr>
            <w:r w:rsidRPr="009627FD">
              <w:rPr>
                <w:sz w:val="20"/>
                <w:szCs w:val="20"/>
                <w:lang w:val="en-US"/>
              </w:rPr>
              <w:t>.573**</w:t>
            </w:r>
          </w:p>
        </w:tc>
        <w:tc>
          <w:tcPr>
            <w:tcW w:w="851" w:type="dxa"/>
          </w:tcPr>
          <w:p w14:paraId="2212285D" w14:textId="40E991E7" w:rsidR="00B9512A" w:rsidRPr="009627FD" w:rsidRDefault="00B9512A" w:rsidP="00C66DF9">
            <w:pPr>
              <w:spacing w:line="360" w:lineRule="auto"/>
              <w:rPr>
                <w:sz w:val="20"/>
                <w:szCs w:val="20"/>
                <w:lang w:val="en-US"/>
              </w:rPr>
            </w:pPr>
            <w:r w:rsidRPr="009627FD">
              <w:rPr>
                <w:sz w:val="20"/>
                <w:szCs w:val="20"/>
                <w:lang w:val="en-US"/>
              </w:rPr>
              <w:t>.521**</w:t>
            </w:r>
          </w:p>
        </w:tc>
        <w:tc>
          <w:tcPr>
            <w:tcW w:w="850" w:type="dxa"/>
          </w:tcPr>
          <w:p w14:paraId="42CBC2D3" w14:textId="6BC53060" w:rsidR="00B9512A" w:rsidRPr="009627FD" w:rsidRDefault="00B9512A" w:rsidP="00C66DF9">
            <w:pPr>
              <w:spacing w:line="360" w:lineRule="auto"/>
              <w:rPr>
                <w:sz w:val="20"/>
                <w:szCs w:val="20"/>
                <w:lang w:val="en-US"/>
              </w:rPr>
            </w:pPr>
            <w:r w:rsidRPr="009627FD">
              <w:rPr>
                <w:sz w:val="20"/>
                <w:szCs w:val="20"/>
                <w:lang w:val="en-US"/>
              </w:rPr>
              <w:t>.311**</w:t>
            </w:r>
          </w:p>
        </w:tc>
      </w:tr>
      <w:tr w:rsidR="00A53F56" w:rsidRPr="009627FD" w14:paraId="11B4CF9B" w14:textId="1DFDF4F7" w:rsidTr="002D38A9">
        <w:tc>
          <w:tcPr>
            <w:tcW w:w="445" w:type="dxa"/>
          </w:tcPr>
          <w:p w14:paraId="040D6559" w14:textId="0E1F1651" w:rsidR="00B9512A" w:rsidRPr="009627FD" w:rsidRDefault="00B9512A" w:rsidP="00C66DF9">
            <w:pPr>
              <w:spacing w:line="360" w:lineRule="auto"/>
              <w:rPr>
                <w:sz w:val="20"/>
                <w:szCs w:val="20"/>
                <w:lang w:val="en-US"/>
              </w:rPr>
            </w:pPr>
            <w:r w:rsidRPr="009627FD">
              <w:rPr>
                <w:sz w:val="20"/>
                <w:szCs w:val="20"/>
                <w:lang w:val="en-US"/>
              </w:rPr>
              <w:t>8</w:t>
            </w:r>
          </w:p>
        </w:tc>
        <w:tc>
          <w:tcPr>
            <w:tcW w:w="1678" w:type="dxa"/>
          </w:tcPr>
          <w:p w14:paraId="10F5B916" w14:textId="77777777" w:rsidR="00B9512A" w:rsidRPr="009627FD" w:rsidRDefault="00B9512A" w:rsidP="00C66DF9">
            <w:pPr>
              <w:spacing w:line="360" w:lineRule="auto"/>
              <w:rPr>
                <w:sz w:val="20"/>
                <w:szCs w:val="20"/>
                <w:lang w:val="en-US"/>
              </w:rPr>
            </w:pPr>
            <w:r w:rsidRPr="009627FD">
              <w:rPr>
                <w:sz w:val="20"/>
                <w:szCs w:val="20"/>
                <w:lang w:val="en-US"/>
              </w:rPr>
              <w:t>PHQ-9</w:t>
            </w:r>
          </w:p>
        </w:tc>
        <w:tc>
          <w:tcPr>
            <w:tcW w:w="1226" w:type="dxa"/>
          </w:tcPr>
          <w:p w14:paraId="3DCA4BD9" w14:textId="6212DBD9" w:rsidR="00B9512A" w:rsidRPr="009627FD" w:rsidRDefault="00B9512A" w:rsidP="00C66DF9">
            <w:pPr>
              <w:spacing w:line="360" w:lineRule="auto"/>
              <w:rPr>
                <w:sz w:val="20"/>
                <w:szCs w:val="20"/>
                <w:lang w:val="en-US"/>
              </w:rPr>
            </w:pPr>
            <w:r w:rsidRPr="009627FD">
              <w:rPr>
                <w:sz w:val="20"/>
                <w:szCs w:val="20"/>
                <w:lang w:val="en-US"/>
              </w:rPr>
              <w:t>7.86±32.38</w:t>
            </w:r>
          </w:p>
        </w:tc>
        <w:tc>
          <w:tcPr>
            <w:tcW w:w="727" w:type="dxa"/>
          </w:tcPr>
          <w:p w14:paraId="3CE4E47D" w14:textId="7C7AA359" w:rsidR="00B9512A" w:rsidRPr="009627FD" w:rsidRDefault="00B9512A" w:rsidP="00C66DF9">
            <w:pPr>
              <w:spacing w:line="360" w:lineRule="auto"/>
              <w:rPr>
                <w:sz w:val="20"/>
                <w:szCs w:val="20"/>
                <w:lang w:val="en-US"/>
              </w:rPr>
            </w:pPr>
            <w:r w:rsidRPr="009627FD">
              <w:rPr>
                <w:sz w:val="20"/>
                <w:szCs w:val="20"/>
                <w:lang w:val="en-US"/>
              </w:rPr>
              <w:t>0-27</w:t>
            </w:r>
          </w:p>
        </w:tc>
        <w:tc>
          <w:tcPr>
            <w:tcW w:w="1005" w:type="dxa"/>
          </w:tcPr>
          <w:p w14:paraId="05AD64FC" w14:textId="35AEC5F2" w:rsidR="00B9512A" w:rsidRPr="009627FD" w:rsidRDefault="00B9512A" w:rsidP="00C66DF9">
            <w:pPr>
              <w:spacing w:line="360" w:lineRule="auto"/>
              <w:rPr>
                <w:sz w:val="20"/>
                <w:szCs w:val="20"/>
                <w:lang w:val="en-US"/>
              </w:rPr>
            </w:pPr>
            <w:r w:rsidRPr="009627FD">
              <w:rPr>
                <w:sz w:val="20"/>
                <w:szCs w:val="20"/>
                <w:lang w:val="en-US"/>
              </w:rPr>
              <w:t>1.05</w:t>
            </w:r>
          </w:p>
        </w:tc>
        <w:tc>
          <w:tcPr>
            <w:tcW w:w="894" w:type="dxa"/>
          </w:tcPr>
          <w:p w14:paraId="0902475A" w14:textId="624ED21D" w:rsidR="00B9512A" w:rsidRPr="009627FD" w:rsidRDefault="00B9512A" w:rsidP="00C66DF9">
            <w:pPr>
              <w:spacing w:line="360" w:lineRule="auto"/>
              <w:rPr>
                <w:sz w:val="20"/>
                <w:szCs w:val="20"/>
                <w:lang w:val="en-US"/>
              </w:rPr>
            </w:pPr>
            <w:r w:rsidRPr="009627FD">
              <w:rPr>
                <w:sz w:val="20"/>
                <w:szCs w:val="20"/>
                <w:lang w:val="en-US"/>
              </w:rPr>
              <w:t>.70</w:t>
            </w:r>
          </w:p>
        </w:tc>
        <w:tc>
          <w:tcPr>
            <w:tcW w:w="316" w:type="dxa"/>
          </w:tcPr>
          <w:p w14:paraId="46EF91FC" w14:textId="77777777" w:rsidR="00B9512A" w:rsidRPr="009627FD" w:rsidRDefault="00B9512A" w:rsidP="00C66DF9">
            <w:pPr>
              <w:spacing w:line="360" w:lineRule="auto"/>
              <w:rPr>
                <w:sz w:val="20"/>
                <w:szCs w:val="20"/>
                <w:lang w:val="en-US"/>
              </w:rPr>
            </w:pPr>
          </w:p>
        </w:tc>
        <w:tc>
          <w:tcPr>
            <w:tcW w:w="766" w:type="dxa"/>
          </w:tcPr>
          <w:p w14:paraId="1F7B124B" w14:textId="26CAA383" w:rsidR="00B9512A" w:rsidRPr="009627FD" w:rsidRDefault="00B9512A" w:rsidP="00C66DF9">
            <w:pPr>
              <w:spacing w:line="360" w:lineRule="auto"/>
              <w:rPr>
                <w:sz w:val="20"/>
                <w:szCs w:val="20"/>
                <w:lang w:val="en-US"/>
              </w:rPr>
            </w:pPr>
          </w:p>
        </w:tc>
        <w:tc>
          <w:tcPr>
            <w:tcW w:w="787" w:type="dxa"/>
          </w:tcPr>
          <w:p w14:paraId="25885FD8" w14:textId="7CBAA5E4" w:rsidR="00B9512A" w:rsidRPr="009627FD" w:rsidRDefault="00B9512A" w:rsidP="00C66DF9">
            <w:pPr>
              <w:spacing w:line="360" w:lineRule="auto"/>
              <w:rPr>
                <w:sz w:val="20"/>
                <w:szCs w:val="20"/>
                <w:lang w:val="en-US"/>
              </w:rPr>
            </w:pPr>
          </w:p>
        </w:tc>
        <w:tc>
          <w:tcPr>
            <w:tcW w:w="766" w:type="dxa"/>
          </w:tcPr>
          <w:p w14:paraId="46BF214B" w14:textId="2326E0BC" w:rsidR="00B9512A" w:rsidRPr="009627FD" w:rsidRDefault="00B9512A" w:rsidP="00C66DF9">
            <w:pPr>
              <w:spacing w:line="360" w:lineRule="auto"/>
              <w:rPr>
                <w:sz w:val="20"/>
                <w:szCs w:val="20"/>
                <w:lang w:val="en-US"/>
              </w:rPr>
            </w:pPr>
          </w:p>
        </w:tc>
        <w:tc>
          <w:tcPr>
            <w:tcW w:w="651" w:type="dxa"/>
          </w:tcPr>
          <w:p w14:paraId="47E57F60" w14:textId="57ADEF38" w:rsidR="00B9512A" w:rsidRPr="009627FD" w:rsidRDefault="00B9512A" w:rsidP="00C66DF9">
            <w:pPr>
              <w:spacing w:line="360" w:lineRule="auto"/>
              <w:rPr>
                <w:sz w:val="20"/>
                <w:szCs w:val="20"/>
                <w:lang w:val="en-US"/>
              </w:rPr>
            </w:pPr>
          </w:p>
        </w:tc>
        <w:tc>
          <w:tcPr>
            <w:tcW w:w="851" w:type="dxa"/>
          </w:tcPr>
          <w:p w14:paraId="49C912FE" w14:textId="346954C3" w:rsidR="00B9512A" w:rsidRPr="009627FD" w:rsidRDefault="00B9512A" w:rsidP="00C66DF9">
            <w:pPr>
              <w:spacing w:line="360" w:lineRule="auto"/>
              <w:rPr>
                <w:sz w:val="20"/>
                <w:szCs w:val="20"/>
                <w:lang w:val="en-US"/>
              </w:rPr>
            </w:pPr>
          </w:p>
        </w:tc>
        <w:tc>
          <w:tcPr>
            <w:tcW w:w="850" w:type="dxa"/>
          </w:tcPr>
          <w:p w14:paraId="2AB5C10C" w14:textId="3EE3F209" w:rsidR="00B9512A" w:rsidRPr="009627FD" w:rsidRDefault="00B9512A" w:rsidP="00C66DF9">
            <w:pPr>
              <w:spacing w:line="360" w:lineRule="auto"/>
              <w:rPr>
                <w:sz w:val="20"/>
                <w:szCs w:val="20"/>
                <w:lang w:val="en-US"/>
              </w:rPr>
            </w:pPr>
          </w:p>
        </w:tc>
        <w:tc>
          <w:tcPr>
            <w:tcW w:w="851" w:type="dxa"/>
          </w:tcPr>
          <w:p w14:paraId="4E78C81C" w14:textId="283C41D1" w:rsidR="00B9512A" w:rsidRPr="009627FD" w:rsidRDefault="00B9512A" w:rsidP="00C66DF9">
            <w:pPr>
              <w:spacing w:line="360" w:lineRule="auto"/>
              <w:rPr>
                <w:sz w:val="20"/>
                <w:szCs w:val="20"/>
                <w:lang w:val="en-US"/>
              </w:rPr>
            </w:pPr>
            <w:r w:rsidRPr="009627FD">
              <w:rPr>
                <w:sz w:val="20"/>
                <w:szCs w:val="20"/>
                <w:lang w:val="en-US"/>
              </w:rPr>
              <w:t>1</w:t>
            </w:r>
          </w:p>
        </w:tc>
        <w:tc>
          <w:tcPr>
            <w:tcW w:w="850" w:type="dxa"/>
          </w:tcPr>
          <w:p w14:paraId="3B090B69" w14:textId="4B8BD50A" w:rsidR="00B9512A" w:rsidRPr="009627FD" w:rsidRDefault="00B9512A" w:rsidP="00C66DF9">
            <w:pPr>
              <w:spacing w:line="360" w:lineRule="auto"/>
              <w:rPr>
                <w:sz w:val="20"/>
                <w:szCs w:val="20"/>
                <w:lang w:val="en-US"/>
              </w:rPr>
            </w:pPr>
            <w:r w:rsidRPr="009627FD">
              <w:rPr>
                <w:sz w:val="20"/>
                <w:szCs w:val="20"/>
                <w:lang w:val="en-US"/>
              </w:rPr>
              <w:t>.806**</w:t>
            </w:r>
          </w:p>
        </w:tc>
        <w:tc>
          <w:tcPr>
            <w:tcW w:w="851" w:type="dxa"/>
          </w:tcPr>
          <w:p w14:paraId="64798B01" w14:textId="619C0F6F" w:rsidR="00B9512A" w:rsidRPr="009627FD" w:rsidRDefault="00B9512A" w:rsidP="00C66DF9">
            <w:pPr>
              <w:spacing w:line="360" w:lineRule="auto"/>
              <w:rPr>
                <w:sz w:val="20"/>
                <w:szCs w:val="20"/>
                <w:lang w:val="en-US"/>
              </w:rPr>
            </w:pPr>
            <w:r w:rsidRPr="009627FD">
              <w:rPr>
                <w:sz w:val="20"/>
                <w:szCs w:val="20"/>
                <w:lang w:val="en-US"/>
              </w:rPr>
              <w:t>.603**</w:t>
            </w:r>
          </w:p>
        </w:tc>
        <w:tc>
          <w:tcPr>
            <w:tcW w:w="850" w:type="dxa"/>
          </w:tcPr>
          <w:p w14:paraId="323BADA1" w14:textId="1EF6286C" w:rsidR="00B9512A" w:rsidRPr="009627FD" w:rsidRDefault="00B9512A" w:rsidP="00C66DF9">
            <w:pPr>
              <w:spacing w:line="360" w:lineRule="auto"/>
              <w:rPr>
                <w:sz w:val="20"/>
                <w:szCs w:val="20"/>
                <w:lang w:val="en-US"/>
              </w:rPr>
            </w:pPr>
            <w:r w:rsidRPr="009627FD">
              <w:rPr>
                <w:sz w:val="20"/>
                <w:szCs w:val="20"/>
                <w:lang w:val="en-US"/>
              </w:rPr>
              <w:t>.463**</w:t>
            </w:r>
          </w:p>
        </w:tc>
        <w:tc>
          <w:tcPr>
            <w:tcW w:w="851" w:type="dxa"/>
          </w:tcPr>
          <w:p w14:paraId="67D959D8" w14:textId="5B8F2654" w:rsidR="00B9512A" w:rsidRPr="009627FD" w:rsidRDefault="00B9512A" w:rsidP="00C66DF9">
            <w:pPr>
              <w:spacing w:line="360" w:lineRule="auto"/>
              <w:rPr>
                <w:sz w:val="20"/>
                <w:szCs w:val="20"/>
                <w:lang w:val="en-US"/>
              </w:rPr>
            </w:pPr>
            <w:r w:rsidRPr="009627FD">
              <w:rPr>
                <w:sz w:val="20"/>
                <w:szCs w:val="20"/>
                <w:lang w:val="en-US"/>
              </w:rPr>
              <w:t>.297**</w:t>
            </w:r>
          </w:p>
        </w:tc>
        <w:tc>
          <w:tcPr>
            <w:tcW w:w="850" w:type="dxa"/>
          </w:tcPr>
          <w:p w14:paraId="32AB792E" w14:textId="06DDCA51" w:rsidR="00B9512A" w:rsidRPr="009627FD" w:rsidRDefault="00B9512A" w:rsidP="00C66DF9">
            <w:pPr>
              <w:spacing w:line="360" w:lineRule="auto"/>
              <w:rPr>
                <w:sz w:val="20"/>
                <w:szCs w:val="20"/>
                <w:lang w:val="en-US"/>
              </w:rPr>
            </w:pPr>
            <w:r w:rsidRPr="009627FD">
              <w:rPr>
                <w:sz w:val="20"/>
                <w:szCs w:val="20"/>
                <w:lang w:val="en-US"/>
              </w:rPr>
              <w:t>.163**</w:t>
            </w:r>
          </w:p>
        </w:tc>
      </w:tr>
      <w:tr w:rsidR="00A53F56" w:rsidRPr="009627FD" w14:paraId="17FF200A" w14:textId="77549E31" w:rsidTr="002D38A9">
        <w:tc>
          <w:tcPr>
            <w:tcW w:w="445" w:type="dxa"/>
          </w:tcPr>
          <w:p w14:paraId="608D32C4" w14:textId="36A77982" w:rsidR="00B9512A" w:rsidRPr="009627FD" w:rsidRDefault="00B9512A" w:rsidP="00C66DF9">
            <w:pPr>
              <w:spacing w:line="360" w:lineRule="auto"/>
              <w:rPr>
                <w:sz w:val="20"/>
                <w:szCs w:val="20"/>
                <w:lang w:val="en-US"/>
              </w:rPr>
            </w:pPr>
            <w:r w:rsidRPr="009627FD">
              <w:rPr>
                <w:sz w:val="20"/>
                <w:szCs w:val="20"/>
                <w:lang w:val="en-US"/>
              </w:rPr>
              <w:t>9</w:t>
            </w:r>
          </w:p>
        </w:tc>
        <w:tc>
          <w:tcPr>
            <w:tcW w:w="1678" w:type="dxa"/>
          </w:tcPr>
          <w:p w14:paraId="23E171A8" w14:textId="6808B027" w:rsidR="00B9512A" w:rsidRPr="009627FD" w:rsidRDefault="00B9512A" w:rsidP="00C66DF9">
            <w:pPr>
              <w:spacing w:line="360" w:lineRule="auto"/>
              <w:rPr>
                <w:sz w:val="20"/>
                <w:szCs w:val="20"/>
                <w:lang w:val="en-US"/>
              </w:rPr>
            </w:pPr>
            <w:r w:rsidRPr="009627FD">
              <w:rPr>
                <w:sz w:val="20"/>
                <w:szCs w:val="20"/>
                <w:lang w:val="en-US"/>
              </w:rPr>
              <w:t>GAD-7</w:t>
            </w:r>
          </w:p>
        </w:tc>
        <w:tc>
          <w:tcPr>
            <w:tcW w:w="1226" w:type="dxa"/>
          </w:tcPr>
          <w:p w14:paraId="1AD1F574" w14:textId="587FD51F" w:rsidR="00B9512A" w:rsidRPr="009627FD" w:rsidRDefault="00B9512A" w:rsidP="00C66DF9">
            <w:pPr>
              <w:spacing w:line="360" w:lineRule="auto"/>
              <w:rPr>
                <w:sz w:val="20"/>
                <w:szCs w:val="20"/>
                <w:lang w:val="en-US"/>
              </w:rPr>
            </w:pPr>
            <w:r w:rsidRPr="009627FD">
              <w:rPr>
                <w:sz w:val="20"/>
                <w:szCs w:val="20"/>
                <w:lang w:val="en-US"/>
              </w:rPr>
              <w:t>6.74±29.04</w:t>
            </w:r>
          </w:p>
        </w:tc>
        <w:tc>
          <w:tcPr>
            <w:tcW w:w="727" w:type="dxa"/>
          </w:tcPr>
          <w:p w14:paraId="0A5474FB" w14:textId="07D9982E" w:rsidR="00B9512A" w:rsidRPr="009627FD" w:rsidRDefault="00B9512A" w:rsidP="00C66DF9">
            <w:pPr>
              <w:spacing w:line="360" w:lineRule="auto"/>
              <w:rPr>
                <w:sz w:val="20"/>
                <w:szCs w:val="20"/>
                <w:lang w:val="en-US"/>
              </w:rPr>
            </w:pPr>
            <w:r w:rsidRPr="009627FD">
              <w:rPr>
                <w:sz w:val="20"/>
                <w:szCs w:val="20"/>
                <w:lang w:val="en-US"/>
              </w:rPr>
              <w:t>0-21</w:t>
            </w:r>
          </w:p>
        </w:tc>
        <w:tc>
          <w:tcPr>
            <w:tcW w:w="1005" w:type="dxa"/>
          </w:tcPr>
          <w:p w14:paraId="4826DA5B" w14:textId="3DDB5EB1" w:rsidR="00B9512A" w:rsidRPr="009627FD" w:rsidRDefault="00B9512A" w:rsidP="00C66DF9">
            <w:pPr>
              <w:spacing w:line="360" w:lineRule="auto"/>
              <w:rPr>
                <w:sz w:val="20"/>
                <w:szCs w:val="20"/>
                <w:lang w:val="en-US"/>
              </w:rPr>
            </w:pPr>
            <w:r w:rsidRPr="009627FD">
              <w:rPr>
                <w:sz w:val="20"/>
                <w:szCs w:val="20"/>
                <w:lang w:val="en-US"/>
              </w:rPr>
              <w:t>.99</w:t>
            </w:r>
          </w:p>
        </w:tc>
        <w:tc>
          <w:tcPr>
            <w:tcW w:w="894" w:type="dxa"/>
          </w:tcPr>
          <w:p w14:paraId="300E623A" w14:textId="7A610246" w:rsidR="00B9512A" w:rsidRPr="009627FD" w:rsidRDefault="00B9512A" w:rsidP="00C66DF9">
            <w:pPr>
              <w:spacing w:line="360" w:lineRule="auto"/>
              <w:rPr>
                <w:sz w:val="20"/>
                <w:szCs w:val="20"/>
                <w:lang w:val="en-US"/>
              </w:rPr>
            </w:pPr>
            <w:r w:rsidRPr="009627FD">
              <w:rPr>
                <w:sz w:val="20"/>
                <w:szCs w:val="20"/>
                <w:lang w:val="en-US"/>
              </w:rPr>
              <w:t>.05</w:t>
            </w:r>
          </w:p>
        </w:tc>
        <w:tc>
          <w:tcPr>
            <w:tcW w:w="316" w:type="dxa"/>
          </w:tcPr>
          <w:p w14:paraId="3FBBC096" w14:textId="77777777" w:rsidR="00B9512A" w:rsidRPr="009627FD" w:rsidRDefault="00B9512A" w:rsidP="00C66DF9">
            <w:pPr>
              <w:spacing w:line="360" w:lineRule="auto"/>
              <w:rPr>
                <w:sz w:val="20"/>
                <w:szCs w:val="20"/>
                <w:lang w:val="en-US"/>
              </w:rPr>
            </w:pPr>
          </w:p>
        </w:tc>
        <w:tc>
          <w:tcPr>
            <w:tcW w:w="766" w:type="dxa"/>
          </w:tcPr>
          <w:p w14:paraId="0368913E" w14:textId="6FC04FA1" w:rsidR="00B9512A" w:rsidRPr="009627FD" w:rsidRDefault="00B9512A" w:rsidP="00C66DF9">
            <w:pPr>
              <w:spacing w:line="360" w:lineRule="auto"/>
              <w:rPr>
                <w:sz w:val="20"/>
                <w:szCs w:val="20"/>
                <w:lang w:val="en-US"/>
              </w:rPr>
            </w:pPr>
          </w:p>
        </w:tc>
        <w:tc>
          <w:tcPr>
            <w:tcW w:w="787" w:type="dxa"/>
          </w:tcPr>
          <w:p w14:paraId="3556D68A" w14:textId="4F798177" w:rsidR="00B9512A" w:rsidRPr="009627FD" w:rsidRDefault="00B9512A" w:rsidP="00C66DF9">
            <w:pPr>
              <w:spacing w:line="360" w:lineRule="auto"/>
              <w:rPr>
                <w:sz w:val="20"/>
                <w:szCs w:val="20"/>
                <w:lang w:val="en-US"/>
              </w:rPr>
            </w:pPr>
          </w:p>
        </w:tc>
        <w:tc>
          <w:tcPr>
            <w:tcW w:w="766" w:type="dxa"/>
          </w:tcPr>
          <w:p w14:paraId="4BBCAC45" w14:textId="7BD1A93F" w:rsidR="00B9512A" w:rsidRPr="009627FD" w:rsidRDefault="00B9512A" w:rsidP="00C66DF9">
            <w:pPr>
              <w:spacing w:line="360" w:lineRule="auto"/>
              <w:rPr>
                <w:sz w:val="20"/>
                <w:szCs w:val="20"/>
                <w:lang w:val="en-US"/>
              </w:rPr>
            </w:pPr>
          </w:p>
        </w:tc>
        <w:tc>
          <w:tcPr>
            <w:tcW w:w="651" w:type="dxa"/>
          </w:tcPr>
          <w:p w14:paraId="239DAD7F" w14:textId="2D6D0DF1" w:rsidR="00B9512A" w:rsidRPr="009627FD" w:rsidRDefault="00B9512A" w:rsidP="00C66DF9">
            <w:pPr>
              <w:spacing w:line="360" w:lineRule="auto"/>
              <w:rPr>
                <w:sz w:val="20"/>
                <w:szCs w:val="20"/>
                <w:lang w:val="en-US"/>
              </w:rPr>
            </w:pPr>
          </w:p>
        </w:tc>
        <w:tc>
          <w:tcPr>
            <w:tcW w:w="851" w:type="dxa"/>
          </w:tcPr>
          <w:p w14:paraId="5BFC3C9E" w14:textId="4A546B1A" w:rsidR="00B9512A" w:rsidRPr="009627FD" w:rsidRDefault="00B9512A" w:rsidP="00C66DF9">
            <w:pPr>
              <w:spacing w:line="360" w:lineRule="auto"/>
              <w:rPr>
                <w:sz w:val="20"/>
                <w:szCs w:val="20"/>
                <w:lang w:val="en-US"/>
              </w:rPr>
            </w:pPr>
          </w:p>
        </w:tc>
        <w:tc>
          <w:tcPr>
            <w:tcW w:w="850" w:type="dxa"/>
          </w:tcPr>
          <w:p w14:paraId="53AF4806" w14:textId="41EA7E4E" w:rsidR="00B9512A" w:rsidRPr="009627FD" w:rsidRDefault="00B9512A" w:rsidP="00C66DF9">
            <w:pPr>
              <w:spacing w:line="360" w:lineRule="auto"/>
              <w:rPr>
                <w:sz w:val="20"/>
                <w:szCs w:val="20"/>
                <w:lang w:val="en-US"/>
              </w:rPr>
            </w:pPr>
          </w:p>
        </w:tc>
        <w:tc>
          <w:tcPr>
            <w:tcW w:w="851" w:type="dxa"/>
          </w:tcPr>
          <w:p w14:paraId="77A092FA" w14:textId="19BBC633" w:rsidR="00B9512A" w:rsidRPr="009627FD" w:rsidRDefault="00B9512A" w:rsidP="00C66DF9">
            <w:pPr>
              <w:spacing w:line="360" w:lineRule="auto"/>
              <w:rPr>
                <w:sz w:val="20"/>
                <w:szCs w:val="20"/>
                <w:lang w:val="en-US"/>
              </w:rPr>
            </w:pPr>
          </w:p>
        </w:tc>
        <w:tc>
          <w:tcPr>
            <w:tcW w:w="850" w:type="dxa"/>
          </w:tcPr>
          <w:p w14:paraId="707247A1" w14:textId="0AA1AE18" w:rsidR="00B9512A" w:rsidRPr="009627FD" w:rsidRDefault="00B9512A" w:rsidP="00C66DF9">
            <w:pPr>
              <w:spacing w:line="360" w:lineRule="auto"/>
              <w:rPr>
                <w:sz w:val="20"/>
                <w:szCs w:val="20"/>
                <w:lang w:val="en-US"/>
              </w:rPr>
            </w:pPr>
            <w:r w:rsidRPr="009627FD">
              <w:rPr>
                <w:sz w:val="20"/>
                <w:szCs w:val="20"/>
                <w:lang w:val="en-US"/>
              </w:rPr>
              <w:t>1</w:t>
            </w:r>
          </w:p>
        </w:tc>
        <w:tc>
          <w:tcPr>
            <w:tcW w:w="851" w:type="dxa"/>
          </w:tcPr>
          <w:p w14:paraId="3147FAA6" w14:textId="65079F2C" w:rsidR="00B9512A" w:rsidRPr="009627FD" w:rsidRDefault="00B9512A" w:rsidP="00C66DF9">
            <w:pPr>
              <w:spacing w:line="360" w:lineRule="auto"/>
              <w:rPr>
                <w:sz w:val="20"/>
                <w:szCs w:val="20"/>
                <w:lang w:val="en-US"/>
              </w:rPr>
            </w:pPr>
            <w:r w:rsidRPr="009627FD">
              <w:rPr>
                <w:sz w:val="20"/>
                <w:szCs w:val="20"/>
                <w:lang w:val="en-US"/>
              </w:rPr>
              <w:t>.573**</w:t>
            </w:r>
          </w:p>
        </w:tc>
        <w:tc>
          <w:tcPr>
            <w:tcW w:w="850" w:type="dxa"/>
          </w:tcPr>
          <w:p w14:paraId="04B70C08" w14:textId="25D6820D" w:rsidR="00B9512A" w:rsidRPr="009627FD" w:rsidRDefault="00B9512A" w:rsidP="00C66DF9">
            <w:pPr>
              <w:spacing w:line="360" w:lineRule="auto"/>
              <w:rPr>
                <w:sz w:val="20"/>
                <w:szCs w:val="20"/>
                <w:lang w:val="en-US"/>
              </w:rPr>
            </w:pPr>
            <w:r w:rsidRPr="009627FD">
              <w:rPr>
                <w:sz w:val="20"/>
                <w:szCs w:val="20"/>
                <w:lang w:val="en-US"/>
              </w:rPr>
              <w:t>.518**</w:t>
            </w:r>
          </w:p>
        </w:tc>
        <w:tc>
          <w:tcPr>
            <w:tcW w:w="851" w:type="dxa"/>
          </w:tcPr>
          <w:p w14:paraId="1E113DBC" w14:textId="1DBE556F" w:rsidR="00B9512A" w:rsidRPr="009627FD" w:rsidRDefault="00B9512A" w:rsidP="00C66DF9">
            <w:pPr>
              <w:spacing w:line="360" w:lineRule="auto"/>
              <w:rPr>
                <w:sz w:val="20"/>
                <w:szCs w:val="20"/>
                <w:lang w:val="en-US"/>
              </w:rPr>
            </w:pPr>
            <w:r w:rsidRPr="009627FD">
              <w:rPr>
                <w:sz w:val="20"/>
                <w:szCs w:val="20"/>
                <w:lang w:val="en-US"/>
              </w:rPr>
              <w:t>.334**</w:t>
            </w:r>
          </w:p>
        </w:tc>
        <w:tc>
          <w:tcPr>
            <w:tcW w:w="850" w:type="dxa"/>
          </w:tcPr>
          <w:p w14:paraId="0445BEC2" w14:textId="05A72739" w:rsidR="00B9512A" w:rsidRPr="009627FD" w:rsidRDefault="00B9512A" w:rsidP="00C66DF9">
            <w:pPr>
              <w:spacing w:line="360" w:lineRule="auto"/>
              <w:rPr>
                <w:sz w:val="20"/>
                <w:szCs w:val="20"/>
                <w:lang w:val="en-US"/>
              </w:rPr>
            </w:pPr>
            <w:r w:rsidRPr="009627FD">
              <w:rPr>
                <w:sz w:val="20"/>
                <w:szCs w:val="20"/>
                <w:lang w:val="en-US"/>
              </w:rPr>
              <w:t>.184**</w:t>
            </w:r>
          </w:p>
        </w:tc>
      </w:tr>
      <w:tr w:rsidR="00A53F56" w:rsidRPr="009627FD" w14:paraId="5889D311" w14:textId="02B3BCD2" w:rsidTr="002D38A9">
        <w:tc>
          <w:tcPr>
            <w:tcW w:w="445" w:type="dxa"/>
          </w:tcPr>
          <w:p w14:paraId="317CEB29" w14:textId="46D327D2" w:rsidR="00B9512A" w:rsidRPr="009627FD" w:rsidRDefault="00B9512A" w:rsidP="00C66DF9">
            <w:pPr>
              <w:spacing w:line="360" w:lineRule="auto"/>
              <w:rPr>
                <w:sz w:val="20"/>
                <w:szCs w:val="20"/>
                <w:lang w:val="en-US"/>
              </w:rPr>
            </w:pPr>
            <w:r w:rsidRPr="009627FD">
              <w:rPr>
                <w:sz w:val="20"/>
                <w:szCs w:val="20"/>
                <w:lang w:val="en-US"/>
              </w:rPr>
              <w:t>10</w:t>
            </w:r>
          </w:p>
        </w:tc>
        <w:tc>
          <w:tcPr>
            <w:tcW w:w="1678" w:type="dxa"/>
          </w:tcPr>
          <w:p w14:paraId="20566155" w14:textId="6613AA33" w:rsidR="00B9512A" w:rsidRPr="009627FD" w:rsidRDefault="00B9512A" w:rsidP="00C66DF9">
            <w:pPr>
              <w:spacing w:line="360" w:lineRule="auto"/>
              <w:rPr>
                <w:sz w:val="20"/>
                <w:szCs w:val="20"/>
                <w:lang w:val="en-US"/>
              </w:rPr>
            </w:pPr>
            <w:r w:rsidRPr="009627FD">
              <w:rPr>
                <w:sz w:val="20"/>
                <w:szCs w:val="20"/>
                <w:lang w:val="en-US"/>
              </w:rPr>
              <w:t>WSAS</w:t>
            </w:r>
            <w:r w:rsidRPr="009627FD" w:rsidDel="00F75913">
              <w:rPr>
                <w:sz w:val="20"/>
                <w:szCs w:val="20"/>
                <w:lang w:val="en-US"/>
              </w:rPr>
              <w:t xml:space="preserve"> </w:t>
            </w:r>
          </w:p>
        </w:tc>
        <w:tc>
          <w:tcPr>
            <w:tcW w:w="1226" w:type="dxa"/>
          </w:tcPr>
          <w:p w14:paraId="2CE0C0C3" w14:textId="563B7438" w:rsidR="00B9512A" w:rsidRPr="009627FD" w:rsidRDefault="00B9512A" w:rsidP="00C66DF9">
            <w:pPr>
              <w:spacing w:line="360" w:lineRule="auto"/>
              <w:rPr>
                <w:sz w:val="20"/>
                <w:szCs w:val="20"/>
                <w:lang w:val="en-US"/>
              </w:rPr>
            </w:pPr>
            <w:r w:rsidRPr="009627FD">
              <w:rPr>
                <w:sz w:val="20"/>
                <w:szCs w:val="20"/>
                <w:lang w:val="en-US"/>
              </w:rPr>
              <w:t>7.12±9.01</w:t>
            </w:r>
          </w:p>
        </w:tc>
        <w:tc>
          <w:tcPr>
            <w:tcW w:w="727" w:type="dxa"/>
          </w:tcPr>
          <w:p w14:paraId="78B8AC9D" w14:textId="41AFC027" w:rsidR="00B9512A" w:rsidRPr="009627FD" w:rsidRDefault="00B9512A" w:rsidP="00C66DF9">
            <w:pPr>
              <w:spacing w:line="360" w:lineRule="auto"/>
              <w:rPr>
                <w:sz w:val="20"/>
                <w:szCs w:val="20"/>
                <w:lang w:val="en-US"/>
              </w:rPr>
            </w:pPr>
            <w:r w:rsidRPr="009627FD">
              <w:rPr>
                <w:sz w:val="20"/>
                <w:szCs w:val="20"/>
                <w:lang w:val="en-US"/>
              </w:rPr>
              <w:t>0-39</w:t>
            </w:r>
          </w:p>
        </w:tc>
        <w:tc>
          <w:tcPr>
            <w:tcW w:w="1005" w:type="dxa"/>
          </w:tcPr>
          <w:p w14:paraId="215AFA02" w14:textId="19BD9A96" w:rsidR="00B9512A" w:rsidRPr="009627FD" w:rsidRDefault="00B9512A" w:rsidP="00C66DF9">
            <w:pPr>
              <w:spacing w:line="360" w:lineRule="auto"/>
              <w:rPr>
                <w:sz w:val="20"/>
                <w:szCs w:val="20"/>
                <w:lang w:val="en-US"/>
              </w:rPr>
            </w:pPr>
            <w:r w:rsidRPr="009627FD">
              <w:rPr>
                <w:sz w:val="20"/>
                <w:szCs w:val="20"/>
                <w:lang w:val="en-US"/>
              </w:rPr>
              <w:t>1.34</w:t>
            </w:r>
          </w:p>
        </w:tc>
        <w:tc>
          <w:tcPr>
            <w:tcW w:w="894" w:type="dxa"/>
          </w:tcPr>
          <w:p w14:paraId="4E241447" w14:textId="092C0ED7" w:rsidR="00B9512A" w:rsidRPr="009627FD" w:rsidRDefault="00B9512A" w:rsidP="00C66DF9">
            <w:pPr>
              <w:spacing w:line="360" w:lineRule="auto"/>
              <w:rPr>
                <w:sz w:val="20"/>
                <w:szCs w:val="20"/>
                <w:lang w:val="en-US"/>
              </w:rPr>
            </w:pPr>
            <w:r w:rsidRPr="009627FD">
              <w:rPr>
                <w:sz w:val="20"/>
                <w:szCs w:val="20"/>
                <w:lang w:val="en-US"/>
              </w:rPr>
              <w:t>.98</w:t>
            </w:r>
          </w:p>
        </w:tc>
        <w:tc>
          <w:tcPr>
            <w:tcW w:w="316" w:type="dxa"/>
          </w:tcPr>
          <w:p w14:paraId="1982F5BB" w14:textId="77777777" w:rsidR="00B9512A" w:rsidRPr="009627FD" w:rsidRDefault="00B9512A" w:rsidP="00C66DF9">
            <w:pPr>
              <w:spacing w:line="360" w:lineRule="auto"/>
              <w:rPr>
                <w:sz w:val="20"/>
                <w:szCs w:val="20"/>
                <w:lang w:val="en-US"/>
              </w:rPr>
            </w:pPr>
          </w:p>
        </w:tc>
        <w:tc>
          <w:tcPr>
            <w:tcW w:w="766" w:type="dxa"/>
          </w:tcPr>
          <w:p w14:paraId="46BC5B76" w14:textId="20D7FFF4" w:rsidR="00B9512A" w:rsidRPr="009627FD" w:rsidRDefault="00B9512A" w:rsidP="00C66DF9">
            <w:pPr>
              <w:spacing w:line="360" w:lineRule="auto"/>
              <w:rPr>
                <w:sz w:val="20"/>
                <w:szCs w:val="20"/>
                <w:lang w:val="en-US"/>
              </w:rPr>
            </w:pPr>
          </w:p>
        </w:tc>
        <w:tc>
          <w:tcPr>
            <w:tcW w:w="787" w:type="dxa"/>
          </w:tcPr>
          <w:p w14:paraId="16E3FB26" w14:textId="5D98B749" w:rsidR="00B9512A" w:rsidRPr="009627FD" w:rsidRDefault="00B9512A" w:rsidP="00C66DF9">
            <w:pPr>
              <w:spacing w:line="360" w:lineRule="auto"/>
              <w:rPr>
                <w:sz w:val="20"/>
                <w:szCs w:val="20"/>
                <w:lang w:val="en-US"/>
              </w:rPr>
            </w:pPr>
          </w:p>
        </w:tc>
        <w:tc>
          <w:tcPr>
            <w:tcW w:w="766" w:type="dxa"/>
          </w:tcPr>
          <w:p w14:paraId="78B01F66" w14:textId="5F714153" w:rsidR="00B9512A" w:rsidRPr="009627FD" w:rsidRDefault="00B9512A" w:rsidP="00C66DF9">
            <w:pPr>
              <w:spacing w:line="360" w:lineRule="auto"/>
              <w:rPr>
                <w:sz w:val="20"/>
                <w:szCs w:val="20"/>
                <w:lang w:val="en-US"/>
              </w:rPr>
            </w:pPr>
          </w:p>
        </w:tc>
        <w:tc>
          <w:tcPr>
            <w:tcW w:w="651" w:type="dxa"/>
          </w:tcPr>
          <w:p w14:paraId="21BEB0FF" w14:textId="2029A51D" w:rsidR="00B9512A" w:rsidRPr="009627FD" w:rsidRDefault="00B9512A" w:rsidP="00C66DF9">
            <w:pPr>
              <w:spacing w:line="360" w:lineRule="auto"/>
              <w:rPr>
                <w:sz w:val="20"/>
                <w:szCs w:val="20"/>
                <w:lang w:val="en-US"/>
              </w:rPr>
            </w:pPr>
          </w:p>
        </w:tc>
        <w:tc>
          <w:tcPr>
            <w:tcW w:w="851" w:type="dxa"/>
          </w:tcPr>
          <w:p w14:paraId="1AE9C3BF" w14:textId="7315ADEF" w:rsidR="00B9512A" w:rsidRPr="009627FD" w:rsidRDefault="00B9512A" w:rsidP="00C66DF9">
            <w:pPr>
              <w:spacing w:line="360" w:lineRule="auto"/>
              <w:rPr>
                <w:sz w:val="20"/>
                <w:szCs w:val="20"/>
                <w:lang w:val="en-US"/>
              </w:rPr>
            </w:pPr>
          </w:p>
        </w:tc>
        <w:tc>
          <w:tcPr>
            <w:tcW w:w="850" w:type="dxa"/>
          </w:tcPr>
          <w:p w14:paraId="524D6BB5" w14:textId="76AE61C5" w:rsidR="00B9512A" w:rsidRPr="009627FD" w:rsidRDefault="00B9512A" w:rsidP="00C66DF9">
            <w:pPr>
              <w:spacing w:line="360" w:lineRule="auto"/>
              <w:rPr>
                <w:sz w:val="20"/>
                <w:szCs w:val="20"/>
                <w:lang w:val="en-US"/>
              </w:rPr>
            </w:pPr>
          </w:p>
        </w:tc>
        <w:tc>
          <w:tcPr>
            <w:tcW w:w="851" w:type="dxa"/>
          </w:tcPr>
          <w:p w14:paraId="5DE457CA" w14:textId="066B028C" w:rsidR="00B9512A" w:rsidRPr="009627FD" w:rsidRDefault="00B9512A" w:rsidP="00C66DF9">
            <w:pPr>
              <w:spacing w:line="360" w:lineRule="auto"/>
              <w:rPr>
                <w:sz w:val="20"/>
                <w:szCs w:val="20"/>
                <w:lang w:val="en-US"/>
              </w:rPr>
            </w:pPr>
          </w:p>
        </w:tc>
        <w:tc>
          <w:tcPr>
            <w:tcW w:w="850" w:type="dxa"/>
          </w:tcPr>
          <w:p w14:paraId="17F6A02D" w14:textId="66336CDD" w:rsidR="00B9512A" w:rsidRPr="009627FD" w:rsidRDefault="00B9512A" w:rsidP="00C66DF9">
            <w:pPr>
              <w:spacing w:line="360" w:lineRule="auto"/>
              <w:rPr>
                <w:sz w:val="20"/>
                <w:szCs w:val="20"/>
                <w:lang w:val="en-US"/>
              </w:rPr>
            </w:pPr>
          </w:p>
        </w:tc>
        <w:tc>
          <w:tcPr>
            <w:tcW w:w="851" w:type="dxa"/>
          </w:tcPr>
          <w:p w14:paraId="6BEE3F52" w14:textId="6B32D3DC" w:rsidR="00B9512A" w:rsidRPr="009627FD" w:rsidRDefault="00B9512A" w:rsidP="00C66DF9">
            <w:pPr>
              <w:spacing w:line="360" w:lineRule="auto"/>
              <w:rPr>
                <w:sz w:val="20"/>
                <w:szCs w:val="20"/>
                <w:lang w:val="en-US"/>
              </w:rPr>
            </w:pPr>
            <w:r w:rsidRPr="009627FD">
              <w:rPr>
                <w:sz w:val="20"/>
                <w:szCs w:val="20"/>
                <w:lang w:val="en-US"/>
              </w:rPr>
              <w:t>1</w:t>
            </w:r>
          </w:p>
        </w:tc>
        <w:tc>
          <w:tcPr>
            <w:tcW w:w="850" w:type="dxa"/>
          </w:tcPr>
          <w:p w14:paraId="4A8D1F06" w14:textId="3167888C" w:rsidR="00B9512A" w:rsidRPr="009627FD" w:rsidRDefault="00B9512A" w:rsidP="00C66DF9">
            <w:pPr>
              <w:spacing w:line="360" w:lineRule="auto"/>
              <w:rPr>
                <w:sz w:val="20"/>
                <w:szCs w:val="20"/>
                <w:lang w:val="en-US"/>
              </w:rPr>
            </w:pPr>
            <w:r w:rsidRPr="009627FD">
              <w:rPr>
                <w:sz w:val="20"/>
                <w:szCs w:val="20"/>
                <w:lang w:val="en-US"/>
              </w:rPr>
              <w:t>.427**</w:t>
            </w:r>
          </w:p>
        </w:tc>
        <w:tc>
          <w:tcPr>
            <w:tcW w:w="851" w:type="dxa"/>
          </w:tcPr>
          <w:p w14:paraId="67529030" w14:textId="29E052E6" w:rsidR="00B9512A" w:rsidRPr="009627FD" w:rsidRDefault="00B9512A" w:rsidP="00C66DF9">
            <w:pPr>
              <w:spacing w:line="360" w:lineRule="auto"/>
              <w:rPr>
                <w:sz w:val="20"/>
                <w:szCs w:val="20"/>
                <w:lang w:val="en-US"/>
              </w:rPr>
            </w:pPr>
            <w:r w:rsidRPr="009627FD">
              <w:rPr>
                <w:sz w:val="20"/>
                <w:szCs w:val="20"/>
                <w:lang w:val="en-US"/>
              </w:rPr>
              <w:t>.313**</w:t>
            </w:r>
          </w:p>
        </w:tc>
        <w:tc>
          <w:tcPr>
            <w:tcW w:w="850" w:type="dxa"/>
          </w:tcPr>
          <w:p w14:paraId="445F7B70" w14:textId="7898661C" w:rsidR="00B9512A" w:rsidRPr="009627FD" w:rsidRDefault="00B9512A" w:rsidP="00C66DF9">
            <w:pPr>
              <w:spacing w:line="360" w:lineRule="auto"/>
              <w:rPr>
                <w:sz w:val="20"/>
                <w:szCs w:val="20"/>
                <w:lang w:val="en-US"/>
              </w:rPr>
            </w:pPr>
            <w:r w:rsidRPr="009627FD">
              <w:rPr>
                <w:sz w:val="20"/>
                <w:szCs w:val="20"/>
                <w:lang w:val="en-US"/>
              </w:rPr>
              <w:t>.215**</w:t>
            </w:r>
          </w:p>
        </w:tc>
      </w:tr>
      <w:tr w:rsidR="00A53F56" w:rsidRPr="009627FD" w14:paraId="2783E12C" w14:textId="1E0F458B" w:rsidTr="002D38A9">
        <w:tc>
          <w:tcPr>
            <w:tcW w:w="445" w:type="dxa"/>
          </w:tcPr>
          <w:p w14:paraId="3A730AFE" w14:textId="091FDF6C" w:rsidR="00B9512A" w:rsidRPr="009627FD" w:rsidRDefault="00B9512A" w:rsidP="00C66DF9">
            <w:pPr>
              <w:spacing w:line="360" w:lineRule="auto"/>
              <w:rPr>
                <w:sz w:val="20"/>
                <w:szCs w:val="20"/>
                <w:lang w:val="en-US"/>
              </w:rPr>
            </w:pPr>
            <w:r w:rsidRPr="009627FD">
              <w:rPr>
                <w:sz w:val="20"/>
                <w:szCs w:val="20"/>
                <w:lang w:val="en-US"/>
              </w:rPr>
              <w:t>11</w:t>
            </w:r>
          </w:p>
        </w:tc>
        <w:tc>
          <w:tcPr>
            <w:tcW w:w="1678" w:type="dxa"/>
          </w:tcPr>
          <w:p w14:paraId="6A79879D" w14:textId="6BDD1EA1" w:rsidR="00B9512A" w:rsidRPr="009627FD" w:rsidRDefault="00B9512A" w:rsidP="00C66DF9">
            <w:pPr>
              <w:spacing w:line="360" w:lineRule="auto"/>
              <w:rPr>
                <w:sz w:val="20"/>
                <w:szCs w:val="20"/>
                <w:lang w:val="en-US"/>
              </w:rPr>
            </w:pPr>
            <w:r w:rsidRPr="009627FD">
              <w:rPr>
                <w:sz w:val="20"/>
                <w:szCs w:val="20"/>
                <w:lang w:val="en-US"/>
              </w:rPr>
              <w:t>CAS</w:t>
            </w:r>
          </w:p>
        </w:tc>
        <w:tc>
          <w:tcPr>
            <w:tcW w:w="1226" w:type="dxa"/>
          </w:tcPr>
          <w:p w14:paraId="53548DF7" w14:textId="7B289A76" w:rsidR="00B9512A" w:rsidRPr="009627FD" w:rsidRDefault="00B9512A" w:rsidP="00C66DF9">
            <w:pPr>
              <w:spacing w:line="360" w:lineRule="auto"/>
              <w:rPr>
                <w:sz w:val="20"/>
                <w:szCs w:val="20"/>
                <w:lang w:val="en-US"/>
              </w:rPr>
            </w:pPr>
            <w:r w:rsidRPr="009627FD">
              <w:rPr>
                <w:sz w:val="20"/>
                <w:szCs w:val="20"/>
                <w:lang w:val="en-US"/>
              </w:rPr>
              <w:t>3.94±17.01</w:t>
            </w:r>
          </w:p>
        </w:tc>
        <w:tc>
          <w:tcPr>
            <w:tcW w:w="727" w:type="dxa"/>
          </w:tcPr>
          <w:p w14:paraId="53AB7795" w14:textId="0E6B6ECA" w:rsidR="00B9512A" w:rsidRPr="009627FD" w:rsidRDefault="00B9512A" w:rsidP="00C66DF9">
            <w:pPr>
              <w:spacing w:line="360" w:lineRule="auto"/>
              <w:rPr>
                <w:sz w:val="20"/>
                <w:szCs w:val="20"/>
                <w:lang w:val="en-US"/>
              </w:rPr>
            </w:pPr>
            <w:r w:rsidRPr="009627FD">
              <w:rPr>
                <w:sz w:val="20"/>
                <w:szCs w:val="20"/>
                <w:lang w:val="en-US"/>
              </w:rPr>
              <w:t>0-20</w:t>
            </w:r>
          </w:p>
        </w:tc>
        <w:tc>
          <w:tcPr>
            <w:tcW w:w="1005" w:type="dxa"/>
          </w:tcPr>
          <w:p w14:paraId="7207D3FF" w14:textId="796A57E3" w:rsidR="00B9512A" w:rsidRPr="009627FD" w:rsidRDefault="00B9512A" w:rsidP="00C66DF9">
            <w:pPr>
              <w:spacing w:line="360" w:lineRule="auto"/>
              <w:rPr>
                <w:sz w:val="20"/>
                <w:szCs w:val="20"/>
                <w:lang w:val="en-US"/>
              </w:rPr>
            </w:pPr>
            <w:r w:rsidRPr="009627FD">
              <w:rPr>
                <w:sz w:val="20"/>
                <w:szCs w:val="20"/>
                <w:lang w:val="en-US"/>
              </w:rPr>
              <w:t>1.27</w:t>
            </w:r>
          </w:p>
        </w:tc>
        <w:tc>
          <w:tcPr>
            <w:tcW w:w="894" w:type="dxa"/>
          </w:tcPr>
          <w:p w14:paraId="40DBDD61" w14:textId="0E13F437" w:rsidR="00B9512A" w:rsidRPr="009627FD" w:rsidRDefault="00B9512A" w:rsidP="00C66DF9">
            <w:pPr>
              <w:spacing w:line="360" w:lineRule="auto"/>
              <w:rPr>
                <w:sz w:val="20"/>
                <w:szCs w:val="20"/>
                <w:lang w:val="en-US"/>
              </w:rPr>
            </w:pPr>
            <w:r w:rsidRPr="009627FD">
              <w:rPr>
                <w:sz w:val="20"/>
                <w:szCs w:val="20"/>
                <w:lang w:val="en-US"/>
              </w:rPr>
              <w:t>1.23</w:t>
            </w:r>
          </w:p>
        </w:tc>
        <w:tc>
          <w:tcPr>
            <w:tcW w:w="316" w:type="dxa"/>
          </w:tcPr>
          <w:p w14:paraId="0741D21D" w14:textId="77777777" w:rsidR="00B9512A" w:rsidRPr="009627FD" w:rsidRDefault="00B9512A" w:rsidP="00C66DF9">
            <w:pPr>
              <w:spacing w:line="360" w:lineRule="auto"/>
              <w:rPr>
                <w:sz w:val="20"/>
                <w:szCs w:val="20"/>
                <w:lang w:val="en-US"/>
              </w:rPr>
            </w:pPr>
          </w:p>
        </w:tc>
        <w:tc>
          <w:tcPr>
            <w:tcW w:w="766" w:type="dxa"/>
          </w:tcPr>
          <w:p w14:paraId="7DA3F3DA" w14:textId="5019C25A" w:rsidR="00B9512A" w:rsidRPr="009627FD" w:rsidRDefault="00B9512A" w:rsidP="00C66DF9">
            <w:pPr>
              <w:spacing w:line="360" w:lineRule="auto"/>
              <w:rPr>
                <w:sz w:val="20"/>
                <w:szCs w:val="20"/>
                <w:lang w:val="en-US"/>
              </w:rPr>
            </w:pPr>
          </w:p>
        </w:tc>
        <w:tc>
          <w:tcPr>
            <w:tcW w:w="787" w:type="dxa"/>
          </w:tcPr>
          <w:p w14:paraId="3DCDB4E4" w14:textId="430DA5F1" w:rsidR="00B9512A" w:rsidRPr="009627FD" w:rsidRDefault="00B9512A" w:rsidP="00C66DF9">
            <w:pPr>
              <w:spacing w:line="360" w:lineRule="auto"/>
              <w:rPr>
                <w:sz w:val="20"/>
                <w:szCs w:val="20"/>
                <w:lang w:val="en-US"/>
              </w:rPr>
            </w:pPr>
          </w:p>
        </w:tc>
        <w:tc>
          <w:tcPr>
            <w:tcW w:w="766" w:type="dxa"/>
          </w:tcPr>
          <w:p w14:paraId="124A471F" w14:textId="4326AD28" w:rsidR="00B9512A" w:rsidRPr="009627FD" w:rsidRDefault="00B9512A" w:rsidP="00C66DF9">
            <w:pPr>
              <w:spacing w:line="360" w:lineRule="auto"/>
              <w:rPr>
                <w:sz w:val="20"/>
                <w:szCs w:val="20"/>
                <w:lang w:val="en-US"/>
              </w:rPr>
            </w:pPr>
          </w:p>
        </w:tc>
        <w:tc>
          <w:tcPr>
            <w:tcW w:w="651" w:type="dxa"/>
          </w:tcPr>
          <w:p w14:paraId="25DCAF34" w14:textId="17B19267" w:rsidR="00B9512A" w:rsidRPr="009627FD" w:rsidRDefault="00B9512A" w:rsidP="00C66DF9">
            <w:pPr>
              <w:spacing w:line="360" w:lineRule="auto"/>
              <w:rPr>
                <w:sz w:val="20"/>
                <w:szCs w:val="20"/>
                <w:lang w:val="en-US"/>
              </w:rPr>
            </w:pPr>
          </w:p>
        </w:tc>
        <w:tc>
          <w:tcPr>
            <w:tcW w:w="851" w:type="dxa"/>
          </w:tcPr>
          <w:p w14:paraId="4FB84B21" w14:textId="2B98F430" w:rsidR="00B9512A" w:rsidRPr="009627FD" w:rsidRDefault="00B9512A" w:rsidP="00C66DF9">
            <w:pPr>
              <w:spacing w:line="360" w:lineRule="auto"/>
              <w:rPr>
                <w:sz w:val="20"/>
                <w:szCs w:val="20"/>
                <w:lang w:val="en-US"/>
              </w:rPr>
            </w:pPr>
          </w:p>
        </w:tc>
        <w:tc>
          <w:tcPr>
            <w:tcW w:w="850" w:type="dxa"/>
          </w:tcPr>
          <w:p w14:paraId="032D937B" w14:textId="15072F8F" w:rsidR="00B9512A" w:rsidRPr="009627FD" w:rsidRDefault="00B9512A" w:rsidP="00C66DF9">
            <w:pPr>
              <w:spacing w:line="360" w:lineRule="auto"/>
              <w:rPr>
                <w:sz w:val="20"/>
                <w:szCs w:val="20"/>
                <w:lang w:val="en-US"/>
              </w:rPr>
            </w:pPr>
          </w:p>
        </w:tc>
        <w:tc>
          <w:tcPr>
            <w:tcW w:w="851" w:type="dxa"/>
          </w:tcPr>
          <w:p w14:paraId="1749FDF5" w14:textId="7F29D717" w:rsidR="00B9512A" w:rsidRPr="009627FD" w:rsidRDefault="00B9512A" w:rsidP="00C66DF9">
            <w:pPr>
              <w:spacing w:line="360" w:lineRule="auto"/>
              <w:rPr>
                <w:sz w:val="20"/>
                <w:szCs w:val="20"/>
                <w:lang w:val="en-US"/>
              </w:rPr>
            </w:pPr>
          </w:p>
        </w:tc>
        <w:tc>
          <w:tcPr>
            <w:tcW w:w="850" w:type="dxa"/>
          </w:tcPr>
          <w:p w14:paraId="1AAEC757" w14:textId="1C08C3BE" w:rsidR="00B9512A" w:rsidRPr="009627FD" w:rsidRDefault="00B9512A" w:rsidP="00C66DF9">
            <w:pPr>
              <w:spacing w:line="360" w:lineRule="auto"/>
              <w:rPr>
                <w:sz w:val="20"/>
                <w:szCs w:val="20"/>
                <w:lang w:val="en-US"/>
              </w:rPr>
            </w:pPr>
          </w:p>
        </w:tc>
        <w:tc>
          <w:tcPr>
            <w:tcW w:w="851" w:type="dxa"/>
          </w:tcPr>
          <w:p w14:paraId="52DFD6AA" w14:textId="6B6B9E8F" w:rsidR="00B9512A" w:rsidRPr="009627FD" w:rsidRDefault="00B9512A" w:rsidP="00C66DF9">
            <w:pPr>
              <w:spacing w:line="360" w:lineRule="auto"/>
              <w:rPr>
                <w:sz w:val="20"/>
                <w:szCs w:val="20"/>
                <w:lang w:val="en-US"/>
              </w:rPr>
            </w:pPr>
          </w:p>
        </w:tc>
        <w:tc>
          <w:tcPr>
            <w:tcW w:w="850" w:type="dxa"/>
          </w:tcPr>
          <w:p w14:paraId="53D7E181" w14:textId="2E000C2D" w:rsidR="00B9512A" w:rsidRPr="009627FD" w:rsidRDefault="00B9512A" w:rsidP="00C66DF9">
            <w:pPr>
              <w:spacing w:line="360" w:lineRule="auto"/>
              <w:rPr>
                <w:sz w:val="20"/>
                <w:szCs w:val="20"/>
                <w:lang w:val="en-US"/>
              </w:rPr>
            </w:pPr>
            <w:r w:rsidRPr="009627FD">
              <w:rPr>
                <w:sz w:val="20"/>
                <w:szCs w:val="20"/>
                <w:lang w:val="en-US"/>
              </w:rPr>
              <w:t>1</w:t>
            </w:r>
          </w:p>
        </w:tc>
        <w:tc>
          <w:tcPr>
            <w:tcW w:w="851" w:type="dxa"/>
          </w:tcPr>
          <w:p w14:paraId="72B97B35" w14:textId="1DD917A6" w:rsidR="00B9512A" w:rsidRPr="009627FD" w:rsidRDefault="00B9512A" w:rsidP="00C66DF9">
            <w:pPr>
              <w:spacing w:line="360" w:lineRule="auto"/>
              <w:rPr>
                <w:sz w:val="20"/>
                <w:szCs w:val="20"/>
                <w:lang w:val="en-US"/>
              </w:rPr>
            </w:pPr>
            <w:r w:rsidRPr="009627FD">
              <w:rPr>
                <w:sz w:val="20"/>
                <w:szCs w:val="20"/>
                <w:lang w:val="en-US"/>
              </w:rPr>
              <w:t>.602**</w:t>
            </w:r>
          </w:p>
        </w:tc>
        <w:tc>
          <w:tcPr>
            <w:tcW w:w="850" w:type="dxa"/>
          </w:tcPr>
          <w:p w14:paraId="4AEBA569" w14:textId="0992270D" w:rsidR="00B9512A" w:rsidRPr="009627FD" w:rsidRDefault="00B9512A" w:rsidP="00C66DF9">
            <w:pPr>
              <w:spacing w:line="360" w:lineRule="auto"/>
              <w:rPr>
                <w:sz w:val="20"/>
                <w:szCs w:val="20"/>
                <w:lang w:val="en-US"/>
              </w:rPr>
            </w:pPr>
            <w:r w:rsidRPr="009627FD">
              <w:rPr>
                <w:sz w:val="20"/>
                <w:szCs w:val="20"/>
                <w:lang w:val="en-US"/>
              </w:rPr>
              <w:t>.458**</w:t>
            </w:r>
          </w:p>
        </w:tc>
      </w:tr>
      <w:tr w:rsidR="00A53F56" w:rsidRPr="009627FD" w14:paraId="3D057520" w14:textId="4D3584A9" w:rsidTr="002D38A9">
        <w:tc>
          <w:tcPr>
            <w:tcW w:w="445" w:type="dxa"/>
          </w:tcPr>
          <w:p w14:paraId="096210A2" w14:textId="69CD3AF7" w:rsidR="00B9512A" w:rsidRPr="009627FD" w:rsidRDefault="00B9512A" w:rsidP="00D572AD">
            <w:pPr>
              <w:spacing w:line="360" w:lineRule="auto"/>
              <w:rPr>
                <w:sz w:val="20"/>
                <w:szCs w:val="20"/>
                <w:lang w:val="en-US"/>
              </w:rPr>
            </w:pPr>
            <w:r w:rsidRPr="009627FD">
              <w:rPr>
                <w:sz w:val="20"/>
                <w:szCs w:val="20"/>
                <w:lang w:val="en-US"/>
              </w:rPr>
              <w:t>12</w:t>
            </w:r>
          </w:p>
        </w:tc>
        <w:tc>
          <w:tcPr>
            <w:tcW w:w="1678" w:type="dxa"/>
          </w:tcPr>
          <w:p w14:paraId="1224BA72" w14:textId="2811C37F" w:rsidR="00B9512A" w:rsidRPr="009627FD" w:rsidRDefault="00B9512A" w:rsidP="00D572AD">
            <w:pPr>
              <w:spacing w:line="360" w:lineRule="auto"/>
              <w:rPr>
                <w:sz w:val="20"/>
                <w:szCs w:val="20"/>
                <w:lang w:val="en-US"/>
              </w:rPr>
            </w:pPr>
            <w:r w:rsidRPr="009627FD">
              <w:rPr>
                <w:sz w:val="20"/>
                <w:szCs w:val="20"/>
                <w:lang w:val="en-US"/>
              </w:rPr>
              <w:t>C-19ASS-P</w:t>
            </w:r>
            <w:r w:rsidRPr="009627FD" w:rsidDel="00F75913">
              <w:rPr>
                <w:sz w:val="20"/>
                <w:szCs w:val="20"/>
                <w:lang w:val="en-US"/>
              </w:rPr>
              <w:t xml:space="preserve"> </w:t>
            </w:r>
          </w:p>
        </w:tc>
        <w:tc>
          <w:tcPr>
            <w:tcW w:w="1226" w:type="dxa"/>
          </w:tcPr>
          <w:p w14:paraId="2611659B" w14:textId="23E7AB9E" w:rsidR="00B9512A" w:rsidRPr="009627FD" w:rsidRDefault="00B9512A" w:rsidP="00D572AD">
            <w:pPr>
              <w:spacing w:line="360" w:lineRule="auto"/>
              <w:rPr>
                <w:sz w:val="20"/>
                <w:szCs w:val="20"/>
                <w:lang w:val="en-US"/>
              </w:rPr>
            </w:pPr>
            <w:r w:rsidRPr="009627FD">
              <w:rPr>
                <w:sz w:val="20"/>
                <w:szCs w:val="20"/>
                <w:lang w:val="en-US"/>
              </w:rPr>
              <w:t>9.78±31.78</w:t>
            </w:r>
          </w:p>
        </w:tc>
        <w:tc>
          <w:tcPr>
            <w:tcW w:w="727" w:type="dxa"/>
          </w:tcPr>
          <w:p w14:paraId="44B1FAC5" w14:textId="4A85EDF6" w:rsidR="00B9512A" w:rsidRPr="009627FD" w:rsidRDefault="00B9512A" w:rsidP="00D572AD">
            <w:pPr>
              <w:spacing w:line="360" w:lineRule="auto"/>
              <w:rPr>
                <w:sz w:val="20"/>
                <w:szCs w:val="20"/>
                <w:lang w:val="en-US"/>
              </w:rPr>
            </w:pPr>
            <w:r w:rsidRPr="009627FD">
              <w:rPr>
                <w:sz w:val="20"/>
                <w:szCs w:val="20"/>
                <w:lang w:val="en-US"/>
              </w:rPr>
              <w:t>0-24</w:t>
            </w:r>
          </w:p>
        </w:tc>
        <w:tc>
          <w:tcPr>
            <w:tcW w:w="1005" w:type="dxa"/>
          </w:tcPr>
          <w:p w14:paraId="67006441" w14:textId="637DE324" w:rsidR="00B9512A" w:rsidRPr="009627FD" w:rsidRDefault="00B9512A" w:rsidP="00D572AD">
            <w:pPr>
              <w:spacing w:line="360" w:lineRule="auto"/>
              <w:rPr>
                <w:sz w:val="20"/>
                <w:szCs w:val="20"/>
                <w:lang w:val="en-US"/>
              </w:rPr>
            </w:pPr>
            <w:r w:rsidRPr="009627FD">
              <w:rPr>
                <w:sz w:val="20"/>
                <w:szCs w:val="20"/>
                <w:lang w:val="en-US"/>
              </w:rPr>
              <w:t>.35</w:t>
            </w:r>
          </w:p>
        </w:tc>
        <w:tc>
          <w:tcPr>
            <w:tcW w:w="894" w:type="dxa"/>
          </w:tcPr>
          <w:p w14:paraId="70C7D5C3" w14:textId="6F7FB4DE" w:rsidR="00B9512A" w:rsidRPr="009627FD" w:rsidRDefault="00B9512A" w:rsidP="00D572AD">
            <w:pPr>
              <w:spacing w:line="360" w:lineRule="auto"/>
              <w:rPr>
                <w:sz w:val="20"/>
                <w:szCs w:val="20"/>
                <w:lang w:val="en-US"/>
              </w:rPr>
            </w:pPr>
            <w:r w:rsidRPr="009627FD">
              <w:rPr>
                <w:sz w:val="20"/>
                <w:szCs w:val="20"/>
                <w:lang w:val="en-US"/>
              </w:rPr>
              <w:t>-.64</w:t>
            </w:r>
          </w:p>
        </w:tc>
        <w:tc>
          <w:tcPr>
            <w:tcW w:w="316" w:type="dxa"/>
          </w:tcPr>
          <w:p w14:paraId="6E741D24" w14:textId="77777777" w:rsidR="00B9512A" w:rsidRPr="009627FD" w:rsidRDefault="00B9512A" w:rsidP="00D572AD">
            <w:pPr>
              <w:spacing w:line="360" w:lineRule="auto"/>
              <w:rPr>
                <w:sz w:val="20"/>
                <w:szCs w:val="20"/>
                <w:lang w:val="en-US"/>
              </w:rPr>
            </w:pPr>
          </w:p>
        </w:tc>
        <w:tc>
          <w:tcPr>
            <w:tcW w:w="766" w:type="dxa"/>
          </w:tcPr>
          <w:p w14:paraId="3CC920BD" w14:textId="032646BB" w:rsidR="00B9512A" w:rsidRPr="009627FD" w:rsidRDefault="00B9512A" w:rsidP="00D572AD">
            <w:pPr>
              <w:spacing w:line="360" w:lineRule="auto"/>
              <w:rPr>
                <w:sz w:val="20"/>
                <w:szCs w:val="20"/>
                <w:lang w:val="en-US"/>
              </w:rPr>
            </w:pPr>
          </w:p>
        </w:tc>
        <w:tc>
          <w:tcPr>
            <w:tcW w:w="787" w:type="dxa"/>
          </w:tcPr>
          <w:p w14:paraId="28166454" w14:textId="15CEE237" w:rsidR="00B9512A" w:rsidRPr="009627FD" w:rsidRDefault="00B9512A" w:rsidP="00D572AD">
            <w:pPr>
              <w:spacing w:line="360" w:lineRule="auto"/>
              <w:rPr>
                <w:sz w:val="20"/>
                <w:szCs w:val="20"/>
                <w:lang w:val="en-US"/>
              </w:rPr>
            </w:pPr>
          </w:p>
        </w:tc>
        <w:tc>
          <w:tcPr>
            <w:tcW w:w="766" w:type="dxa"/>
          </w:tcPr>
          <w:p w14:paraId="3156A368" w14:textId="17A1751C" w:rsidR="00B9512A" w:rsidRPr="009627FD" w:rsidRDefault="00B9512A" w:rsidP="00D572AD">
            <w:pPr>
              <w:spacing w:line="360" w:lineRule="auto"/>
              <w:rPr>
                <w:sz w:val="20"/>
                <w:szCs w:val="20"/>
                <w:lang w:val="en-US"/>
              </w:rPr>
            </w:pPr>
          </w:p>
        </w:tc>
        <w:tc>
          <w:tcPr>
            <w:tcW w:w="651" w:type="dxa"/>
          </w:tcPr>
          <w:p w14:paraId="38342CBB" w14:textId="46973199" w:rsidR="00B9512A" w:rsidRPr="009627FD" w:rsidRDefault="00B9512A" w:rsidP="00D572AD">
            <w:pPr>
              <w:spacing w:line="360" w:lineRule="auto"/>
              <w:rPr>
                <w:sz w:val="20"/>
                <w:szCs w:val="20"/>
                <w:lang w:val="en-US"/>
              </w:rPr>
            </w:pPr>
          </w:p>
        </w:tc>
        <w:tc>
          <w:tcPr>
            <w:tcW w:w="851" w:type="dxa"/>
          </w:tcPr>
          <w:p w14:paraId="2FD48454" w14:textId="1E3A2899" w:rsidR="00B9512A" w:rsidRPr="009627FD" w:rsidRDefault="00B9512A" w:rsidP="00D572AD">
            <w:pPr>
              <w:spacing w:line="360" w:lineRule="auto"/>
              <w:rPr>
                <w:sz w:val="20"/>
                <w:szCs w:val="20"/>
                <w:lang w:val="en-US"/>
              </w:rPr>
            </w:pPr>
          </w:p>
        </w:tc>
        <w:tc>
          <w:tcPr>
            <w:tcW w:w="850" w:type="dxa"/>
          </w:tcPr>
          <w:p w14:paraId="668CB241" w14:textId="6C270415" w:rsidR="00B9512A" w:rsidRPr="009627FD" w:rsidRDefault="00B9512A" w:rsidP="00D572AD">
            <w:pPr>
              <w:spacing w:line="360" w:lineRule="auto"/>
              <w:rPr>
                <w:sz w:val="20"/>
                <w:szCs w:val="20"/>
                <w:lang w:val="en-US"/>
              </w:rPr>
            </w:pPr>
          </w:p>
        </w:tc>
        <w:tc>
          <w:tcPr>
            <w:tcW w:w="851" w:type="dxa"/>
          </w:tcPr>
          <w:p w14:paraId="7FAC3076" w14:textId="067F8E8F" w:rsidR="00B9512A" w:rsidRPr="009627FD" w:rsidRDefault="00B9512A" w:rsidP="00D572AD">
            <w:pPr>
              <w:spacing w:line="360" w:lineRule="auto"/>
              <w:rPr>
                <w:sz w:val="20"/>
                <w:szCs w:val="20"/>
                <w:lang w:val="en-US"/>
              </w:rPr>
            </w:pPr>
          </w:p>
        </w:tc>
        <w:tc>
          <w:tcPr>
            <w:tcW w:w="850" w:type="dxa"/>
          </w:tcPr>
          <w:p w14:paraId="3ECA2F31" w14:textId="0CA060BF" w:rsidR="00B9512A" w:rsidRPr="009627FD" w:rsidRDefault="00B9512A" w:rsidP="00D572AD">
            <w:pPr>
              <w:spacing w:line="360" w:lineRule="auto"/>
              <w:rPr>
                <w:sz w:val="20"/>
                <w:szCs w:val="20"/>
                <w:lang w:val="en-US"/>
              </w:rPr>
            </w:pPr>
          </w:p>
        </w:tc>
        <w:tc>
          <w:tcPr>
            <w:tcW w:w="851" w:type="dxa"/>
          </w:tcPr>
          <w:p w14:paraId="2663BDA4" w14:textId="3E2223F4" w:rsidR="00B9512A" w:rsidRPr="009627FD" w:rsidRDefault="00B9512A" w:rsidP="00D572AD">
            <w:pPr>
              <w:spacing w:line="360" w:lineRule="auto"/>
              <w:rPr>
                <w:sz w:val="20"/>
                <w:szCs w:val="20"/>
                <w:lang w:val="en-US"/>
              </w:rPr>
            </w:pPr>
          </w:p>
        </w:tc>
        <w:tc>
          <w:tcPr>
            <w:tcW w:w="850" w:type="dxa"/>
          </w:tcPr>
          <w:p w14:paraId="525D1DA5" w14:textId="703B1A10" w:rsidR="00B9512A" w:rsidRPr="009627FD" w:rsidRDefault="00B9512A" w:rsidP="00D572AD">
            <w:pPr>
              <w:spacing w:line="360" w:lineRule="auto"/>
              <w:rPr>
                <w:sz w:val="20"/>
                <w:szCs w:val="20"/>
                <w:lang w:val="en-US"/>
              </w:rPr>
            </w:pPr>
          </w:p>
        </w:tc>
        <w:tc>
          <w:tcPr>
            <w:tcW w:w="851" w:type="dxa"/>
          </w:tcPr>
          <w:p w14:paraId="54556CAB" w14:textId="2C6D09D5" w:rsidR="00B9512A" w:rsidRPr="009627FD" w:rsidRDefault="00B9512A" w:rsidP="00D572AD">
            <w:pPr>
              <w:spacing w:line="360" w:lineRule="auto"/>
              <w:rPr>
                <w:sz w:val="20"/>
                <w:szCs w:val="20"/>
                <w:lang w:val="en-US"/>
              </w:rPr>
            </w:pPr>
            <w:r w:rsidRPr="009627FD">
              <w:rPr>
                <w:sz w:val="20"/>
                <w:szCs w:val="20"/>
                <w:lang w:val="en-US"/>
              </w:rPr>
              <w:t>1</w:t>
            </w:r>
          </w:p>
        </w:tc>
        <w:tc>
          <w:tcPr>
            <w:tcW w:w="850" w:type="dxa"/>
          </w:tcPr>
          <w:p w14:paraId="192F273B" w14:textId="2CBE3F5B" w:rsidR="00B9512A" w:rsidRPr="009627FD" w:rsidRDefault="00B9512A" w:rsidP="00D572AD">
            <w:pPr>
              <w:spacing w:line="360" w:lineRule="auto"/>
              <w:rPr>
                <w:sz w:val="20"/>
                <w:szCs w:val="20"/>
                <w:lang w:val="en-US"/>
              </w:rPr>
            </w:pPr>
            <w:r w:rsidRPr="009627FD">
              <w:rPr>
                <w:sz w:val="20"/>
                <w:szCs w:val="20"/>
                <w:lang w:val="en-US"/>
              </w:rPr>
              <w:t>.634**</w:t>
            </w:r>
          </w:p>
        </w:tc>
      </w:tr>
      <w:tr w:rsidR="00A53F56" w:rsidRPr="009627FD" w14:paraId="40C4F7F8" w14:textId="4100C21F" w:rsidTr="002D38A9">
        <w:tc>
          <w:tcPr>
            <w:tcW w:w="445" w:type="dxa"/>
            <w:tcBorders>
              <w:bottom w:val="single" w:sz="4" w:space="0" w:color="auto"/>
            </w:tcBorders>
          </w:tcPr>
          <w:p w14:paraId="156B1801" w14:textId="53836C00" w:rsidR="00B9512A" w:rsidRPr="009627FD" w:rsidRDefault="00B9512A" w:rsidP="00C66DF9">
            <w:pPr>
              <w:spacing w:line="360" w:lineRule="auto"/>
              <w:rPr>
                <w:sz w:val="20"/>
                <w:szCs w:val="20"/>
                <w:lang w:val="en-US"/>
              </w:rPr>
            </w:pPr>
            <w:r w:rsidRPr="009627FD">
              <w:rPr>
                <w:sz w:val="20"/>
                <w:szCs w:val="20"/>
                <w:lang w:val="en-US"/>
              </w:rPr>
              <w:t>13</w:t>
            </w:r>
          </w:p>
        </w:tc>
        <w:tc>
          <w:tcPr>
            <w:tcW w:w="1678" w:type="dxa"/>
            <w:tcBorders>
              <w:bottom w:val="single" w:sz="4" w:space="0" w:color="auto"/>
            </w:tcBorders>
          </w:tcPr>
          <w:p w14:paraId="4884ADDD" w14:textId="27256380" w:rsidR="00B9512A" w:rsidRPr="009627FD" w:rsidRDefault="00B9512A" w:rsidP="00C66DF9">
            <w:pPr>
              <w:spacing w:line="360" w:lineRule="auto"/>
              <w:rPr>
                <w:sz w:val="20"/>
                <w:szCs w:val="20"/>
                <w:lang w:val="en-US"/>
              </w:rPr>
            </w:pPr>
            <w:r w:rsidRPr="009627FD">
              <w:rPr>
                <w:sz w:val="20"/>
                <w:szCs w:val="20"/>
                <w:lang w:val="en-US"/>
              </w:rPr>
              <w:t>C-19ASS-A</w:t>
            </w:r>
            <w:r w:rsidRPr="009627FD" w:rsidDel="00F75913">
              <w:rPr>
                <w:sz w:val="20"/>
                <w:szCs w:val="20"/>
                <w:lang w:val="en-US"/>
              </w:rPr>
              <w:t xml:space="preserve"> </w:t>
            </w:r>
          </w:p>
        </w:tc>
        <w:tc>
          <w:tcPr>
            <w:tcW w:w="1226" w:type="dxa"/>
            <w:tcBorders>
              <w:bottom w:val="single" w:sz="4" w:space="0" w:color="auto"/>
            </w:tcBorders>
          </w:tcPr>
          <w:p w14:paraId="250EC669" w14:textId="31A20B7D" w:rsidR="00B9512A" w:rsidRPr="009627FD" w:rsidRDefault="00B9512A" w:rsidP="00C66DF9">
            <w:pPr>
              <w:spacing w:line="360" w:lineRule="auto"/>
              <w:rPr>
                <w:sz w:val="20"/>
                <w:szCs w:val="20"/>
                <w:lang w:val="en-US"/>
              </w:rPr>
            </w:pPr>
            <w:r w:rsidRPr="009627FD">
              <w:rPr>
                <w:sz w:val="20"/>
                <w:szCs w:val="20"/>
                <w:lang w:val="en-US"/>
              </w:rPr>
              <w:t>6.10±14.62</w:t>
            </w:r>
          </w:p>
        </w:tc>
        <w:tc>
          <w:tcPr>
            <w:tcW w:w="727" w:type="dxa"/>
            <w:tcBorders>
              <w:bottom w:val="single" w:sz="4" w:space="0" w:color="auto"/>
            </w:tcBorders>
          </w:tcPr>
          <w:p w14:paraId="1E8E3898" w14:textId="0F06C126" w:rsidR="00B9512A" w:rsidRPr="009627FD" w:rsidRDefault="00B9512A" w:rsidP="00C66DF9">
            <w:pPr>
              <w:spacing w:line="360" w:lineRule="auto"/>
              <w:rPr>
                <w:sz w:val="20"/>
                <w:szCs w:val="20"/>
                <w:lang w:val="en-US"/>
              </w:rPr>
            </w:pPr>
            <w:r w:rsidRPr="009627FD">
              <w:rPr>
                <w:sz w:val="20"/>
                <w:szCs w:val="20"/>
                <w:lang w:val="en-US"/>
              </w:rPr>
              <w:t>0-12</w:t>
            </w:r>
          </w:p>
        </w:tc>
        <w:tc>
          <w:tcPr>
            <w:tcW w:w="1005" w:type="dxa"/>
            <w:tcBorders>
              <w:bottom w:val="single" w:sz="4" w:space="0" w:color="auto"/>
            </w:tcBorders>
          </w:tcPr>
          <w:p w14:paraId="6C6638A2" w14:textId="23987B52" w:rsidR="00B9512A" w:rsidRPr="009627FD" w:rsidRDefault="00B9512A" w:rsidP="00C66DF9">
            <w:pPr>
              <w:spacing w:line="360" w:lineRule="auto"/>
              <w:rPr>
                <w:sz w:val="20"/>
                <w:szCs w:val="20"/>
                <w:lang w:val="en-US"/>
              </w:rPr>
            </w:pPr>
            <w:r w:rsidRPr="009627FD">
              <w:rPr>
                <w:sz w:val="20"/>
                <w:szCs w:val="20"/>
                <w:lang w:val="en-US"/>
              </w:rPr>
              <w:t>-.03</w:t>
            </w:r>
          </w:p>
        </w:tc>
        <w:tc>
          <w:tcPr>
            <w:tcW w:w="894" w:type="dxa"/>
            <w:tcBorders>
              <w:bottom w:val="single" w:sz="4" w:space="0" w:color="auto"/>
            </w:tcBorders>
          </w:tcPr>
          <w:p w14:paraId="642F47C2" w14:textId="0112F97D" w:rsidR="00B9512A" w:rsidRPr="009627FD" w:rsidRDefault="00B9512A" w:rsidP="00C66DF9">
            <w:pPr>
              <w:spacing w:line="360" w:lineRule="auto"/>
              <w:rPr>
                <w:sz w:val="20"/>
                <w:szCs w:val="20"/>
                <w:lang w:val="en-US"/>
              </w:rPr>
            </w:pPr>
            <w:r w:rsidRPr="009627FD">
              <w:rPr>
                <w:sz w:val="20"/>
                <w:szCs w:val="20"/>
                <w:lang w:val="en-US"/>
              </w:rPr>
              <w:t>-1.21</w:t>
            </w:r>
          </w:p>
        </w:tc>
        <w:tc>
          <w:tcPr>
            <w:tcW w:w="316" w:type="dxa"/>
            <w:tcBorders>
              <w:bottom w:val="single" w:sz="4" w:space="0" w:color="auto"/>
            </w:tcBorders>
          </w:tcPr>
          <w:p w14:paraId="40C86F4C" w14:textId="77777777" w:rsidR="00B9512A" w:rsidRPr="009627FD" w:rsidRDefault="00B9512A" w:rsidP="00C66DF9">
            <w:pPr>
              <w:spacing w:line="360" w:lineRule="auto"/>
              <w:rPr>
                <w:sz w:val="20"/>
                <w:szCs w:val="20"/>
                <w:lang w:val="en-US"/>
              </w:rPr>
            </w:pPr>
          </w:p>
        </w:tc>
        <w:tc>
          <w:tcPr>
            <w:tcW w:w="766" w:type="dxa"/>
            <w:tcBorders>
              <w:bottom w:val="single" w:sz="4" w:space="0" w:color="auto"/>
            </w:tcBorders>
          </w:tcPr>
          <w:p w14:paraId="288C65B0" w14:textId="778EEA89" w:rsidR="00B9512A" w:rsidRPr="009627FD" w:rsidRDefault="00B9512A" w:rsidP="00C66DF9">
            <w:pPr>
              <w:spacing w:line="360" w:lineRule="auto"/>
              <w:rPr>
                <w:sz w:val="20"/>
                <w:szCs w:val="20"/>
                <w:lang w:val="en-US"/>
              </w:rPr>
            </w:pPr>
          </w:p>
        </w:tc>
        <w:tc>
          <w:tcPr>
            <w:tcW w:w="787" w:type="dxa"/>
            <w:tcBorders>
              <w:bottom w:val="single" w:sz="4" w:space="0" w:color="auto"/>
            </w:tcBorders>
          </w:tcPr>
          <w:p w14:paraId="5286E099" w14:textId="0AF9B473" w:rsidR="00B9512A" w:rsidRPr="009627FD" w:rsidRDefault="00B9512A" w:rsidP="00C66DF9">
            <w:pPr>
              <w:spacing w:line="360" w:lineRule="auto"/>
              <w:rPr>
                <w:sz w:val="20"/>
                <w:szCs w:val="20"/>
                <w:lang w:val="en-US"/>
              </w:rPr>
            </w:pPr>
          </w:p>
        </w:tc>
        <w:tc>
          <w:tcPr>
            <w:tcW w:w="766" w:type="dxa"/>
            <w:tcBorders>
              <w:bottom w:val="single" w:sz="4" w:space="0" w:color="auto"/>
            </w:tcBorders>
          </w:tcPr>
          <w:p w14:paraId="7DF98BCD" w14:textId="7E13A3FB" w:rsidR="00B9512A" w:rsidRPr="009627FD" w:rsidRDefault="00B9512A" w:rsidP="00C66DF9">
            <w:pPr>
              <w:spacing w:line="360" w:lineRule="auto"/>
              <w:rPr>
                <w:sz w:val="20"/>
                <w:szCs w:val="20"/>
                <w:lang w:val="en-US"/>
              </w:rPr>
            </w:pPr>
          </w:p>
        </w:tc>
        <w:tc>
          <w:tcPr>
            <w:tcW w:w="651" w:type="dxa"/>
            <w:tcBorders>
              <w:bottom w:val="single" w:sz="4" w:space="0" w:color="auto"/>
            </w:tcBorders>
          </w:tcPr>
          <w:p w14:paraId="01C4214C" w14:textId="63C7AB0A" w:rsidR="00B9512A" w:rsidRPr="009627FD" w:rsidRDefault="00B9512A" w:rsidP="00C66DF9">
            <w:pPr>
              <w:spacing w:line="360" w:lineRule="auto"/>
              <w:rPr>
                <w:sz w:val="20"/>
                <w:szCs w:val="20"/>
                <w:lang w:val="en-US"/>
              </w:rPr>
            </w:pPr>
          </w:p>
        </w:tc>
        <w:tc>
          <w:tcPr>
            <w:tcW w:w="851" w:type="dxa"/>
            <w:tcBorders>
              <w:bottom w:val="single" w:sz="4" w:space="0" w:color="auto"/>
            </w:tcBorders>
          </w:tcPr>
          <w:p w14:paraId="274DDF7E" w14:textId="44A4CFC9" w:rsidR="00B9512A" w:rsidRPr="009627FD" w:rsidRDefault="00B9512A" w:rsidP="00C66DF9">
            <w:pPr>
              <w:spacing w:line="360" w:lineRule="auto"/>
              <w:rPr>
                <w:sz w:val="20"/>
                <w:szCs w:val="20"/>
                <w:lang w:val="en-US"/>
              </w:rPr>
            </w:pPr>
          </w:p>
        </w:tc>
        <w:tc>
          <w:tcPr>
            <w:tcW w:w="850" w:type="dxa"/>
            <w:tcBorders>
              <w:bottom w:val="single" w:sz="4" w:space="0" w:color="auto"/>
            </w:tcBorders>
          </w:tcPr>
          <w:p w14:paraId="03869C4A" w14:textId="06E5572C" w:rsidR="00B9512A" w:rsidRPr="009627FD" w:rsidRDefault="00B9512A" w:rsidP="00C66DF9">
            <w:pPr>
              <w:spacing w:line="360" w:lineRule="auto"/>
              <w:rPr>
                <w:sz w:val="20"/>
                <w:szCs w:val="20"/>
                <w:lang w:val="en-US"/>
              </w:rPr>
            </w:pPr>
          </w:p>
        </w:tc>
        <w:tc>
          <w:tcPr>
            <w:tcW w:w="851" w:type="dxa"/>
            <w:tcBorders>
              <w:bottom w:val="single" w:sz="4" w:space="0" w:color="auto"/>
            </w:tcBorders>
          </w:tcPr>
          <w:p w14:paraId="30AB690B" w14:textId="3E9F6230" w:rsidR="00B9512A" w:rsidRPr="009627FD" w:rsidRDefault="00B9512A" w:rsidP="00C66DF9">
            <w:pPr>
              <w:spacing w:line="360" w:lineRule="auto"/>
              <w:rPr>
                <w:sz w:val="20"/>
                <w:szCs w:val="20"/>
                <w:lang w:val="en-US"/>
              </w:rPr>
            </w:pPr>
          </w:p>
        </w:tc>
        <w:tc>
          <w:tcPr>
            <w:tcW w:w="850" w:type="dxa"/>
            <w:tcBorders>
              <w:bottom w:val="single" w:sz="4" w:space="0" w:color="auto"/>
            </w:tcBorders>
          </w:tcPr>
          <w:p w14:paraId="135B5771" w14:textId="0BCC1E19" w:rsidR="00B9512A" w:rsidRPr="009627FD" w:rsidRDefault="00B9512A" w:rsidP="00C66DF9">
            <w:pPr>
              <w:spacing w:line="360" w:lineRule="auto"/>
              <w:rPr>
                <w:sz w:val="20"/>
                <w:szCs w:val="20"/>
                <w:lang w:val="en-US"/>
              </w:rPr>
            </w:pPr>
          </w:p>
        </w:tc>
        <w:tc>
          <w:tcPr>
            <w:tcW w:w="851" w:type="dxa"/>
            <w:tcBorders>
              <w:bottom w:val="single" w:sz="4" w:space="0" w:color="auto"/>
            </w:tcBorders>
          </w:tcPr>
          <w:p w14:paraId="4EE1625F" w14:textId="6D8145B0" w:rsidR="00B9512A" w:rsidRPr="009627FD" w:rsidRDefault="00B9512A" w:rsidP="00C66DF9">
            <w:pPr>
              <w:spacing w:line="360" w:lineRule="auto"/>
              <w:rPr>
                <w:sz w:val="20"/>
                <w:szCs w:val="20"/>
                <w:lang w:val="en-US"/>
              </w:rPr>
            </w:pPr>
          </w:p>
        </w:tc>
        <w:tc>
          <w:tcPr>
            <w:tcW w:w="850" w:type="dxa"/>
            <w:tcBorders>
              <w:bottom w:val="single" w:sz="4" w:space="0" w:color="auto"/>
            </w:tcBorders>
          </w:tcPr>
          <w:p w14:paraId="1C0A8995" w14:textId="5B6F10B9" w:rsidR="00B9512A" w:rsidRPr="009627FD" w:rsidRDefault="00B9512A" w:rsidP="00C66DF9">
            <w:pPr>
              <w:spacing w:line="360" w:lineRule="auto"/>
              <w:rPr>
                <w:sz w:val="20"/>
                <w:szCs w:val="20"/>
                <w:lang w:val="en-US"/>
              </w:rPr>
            </w:pPr>
          </w:p>
        </w:tc>
        <w:tc>
          <w:tcPr>
            <w:tcW w:w="851" w:type="dxa"/>
            <w:tcBorders>
              <w:bottom w:val="single" w:sz="4" w:space="0" w:color="auto"/>
            </w:tcBorders>
          </w:tcPr>
          <w:p w14:paraId="0BF1F8E5" w14:textId="77777777" w:rsidR="00B9512A" w:rsidRPr="009627FD" w:rsidRDefault="00B9512A" w:rsidP="00C66DF9">
            <w:pPr>
              <w:spacing w:line="360" w:lineRule="auto"/>
              <w:rPr>
                <w:sz w:val="20"/>
                <w:szCs w:val="20"/>
                <w:lang w:val="en-US"/>
              </w:rPr>
            </w:pPr>
          </w:p>
        </w:tc>
        <w:tc>
          <w:tcPr>
            <w:tcW w:w="850" w:type="dxa"/>
            <w:tcBorders>
              <w:bottom w:val="single" w:sz="4" w:space="0" w:color="auto"/>
            </w:tcBorders>
          </w:tcPr>
          <w:p w14:paraId="5524083C" w14:textId="21DB0914" w:rsidR="00B9512A" w:rsidRPr="009627FD" w:rsidRDefault="00B9512A" w:rsidP="00C66DF9">
            <w:pPr>
              <w:spacing w:line="360" w:lineRule="auto"/>
              <w:rPr>
                <w:sz w:val="20"/>
                <w:szCs w:val="20"/>
                <w:lang w:val="en-US"/>
              </w:rPr>
            </w:pPr>
            <w:r w:rsidRPr="009627FD">
              <w:rPr>
                <w:sz w:val="20"/>
                <w:szCs w:val="20"/>
                <w:lang w:val="en-US"/>
              </w:rPr>
              <w:t>1</w:t>
            </w:r>
          </w:p>
        </w:tc>
      </w:tr>
    </w:tbl>
    <w:p w14:paraId="107908E4" w14:textId="26F63C43" w:rsidR="00580BDB" w:rsidRPr="009627FD" w:rsidRDefault="00C146A6" w:rsidP="00773610">
      <w:pPr>
        <w:jc w:val="both"/>
        <w:rPr>
          <w:lang w:val="en-US"/>
        </w:rPr>
        <w:sectPr w:rsidR="00580BDB" w:rsidRPr="009627FD" w:rsidSect="002D79F3">
          <w:pgSz w:w="16840" w:h="11900" w:orient="landscape"/>
          <w:pgMar w:top="851" w:right="1134" w:bottom="851" w:left="1417" w:header="708" w:footer="708" w:gutter="0"/>
          <w:cols w:space="708"/>
          <w:docGrid w:linePitch="360"/>
        </w:sectPr>
      </w:pPr>
      <w:r w:rsidRPr="009627FD">
        <w:rPr>
          <w:lang w:val="en-US"/>
        </w:rPr>
        <w:t>Note</w:t>
      </w:r>
      <w:r w:rsidR="009B50DA" w:rsidRPr="009627FD">
        <w:rPr>
          <w:lang w:val="en-US"/>
        </w:rPr>
        <w:t>s</w:t>
      </w:r>
      <w:r w:rsidRPr="009627FD">
        <w:rPr>
          <w:lang w:val="en-US"/>
        </w:rPr>
        <w:t xml:space="preserve">: </w:t>
      </w:r>
      <w:r w:rsidR="006E3309" w:rsidRPr="009627FD">
        <w:rPr>
          <w:lang w:val="en-US"/>
        </w:rPr>
        <w:t>n</w:t>
      </w:r>
      <w:r w:rsidR="009B50DA" w:rsidRPr="009627FD">
        <w:rPr>
          <w:lang w:val="en-US"/>
        </w:rPr>
        <w:t xml:space="preserve">=484; *p&lt;0.05; **p&lt;0.001; </w:t>
      </w:r>
      <w:r w:rsidR="00AB6BCB" w:rsidRPr="009627FD">
        <w:rPr>
          <w:lang w:val="en-US"/>
        </w:rPr>
        <w:t xml:space="preserve">BFI-10-Agr = Big Five Inventory-10-Agreeableness; BFI-10-Con = Big Five Inventory-10- Conscientiousness; BFI-10-Emo stab = Big Five Inventory-10-Emotional stability; BFI-10-Ext = Big Five Inventory-10-Extraversion; BFI-10-Ope = Big Five Inventory-10-Openness; FCV-19 = Fear of </w:t>
      </w:r>
      <w:r w:rsidR="00580BDB" w:rsidRPr="009627FD">
        <w:rPr>
          <w:lang w:val="en-US"/>
        </w:rPr>
        <w:t>COVID</w:t>
      </w:r>
      <w:r w:rsidR="008746AA" w:rsidRPr="009627FD">
        <w:rPr>
          <w:lang w:val="en-US"/>
        </w:rPr>
        <w:t>-</w:t>
      </w:r>
      <w:r w:rsidR="00AB6BCB" w:rsidRPr="009627FD">
        <w:rPr>
          <w:lang w:val="en-US"/>
        </w:rPr>
        <w:t>19</w:t>
      </w:r>
      <w:r w:rsidR="00580BDB" w:rsidRPr="009627FD">
        <w:rPr>
          <w:lang w:val="en-US"/>
        </w:rPr>
        <w:t xml:space="preserve"> Scale</w:t>
      </w:r>
      <w:r w:rsidR="00AB6BCB" w:rsidRPr="009627FD">
        <w:rPr>
          <w:lang w:val="en-US"/>
        </w:rPr>
        <w:t>; HAQ = Health Anxiety Questionnaire; PHQ-9=Patient Health Questionnaire 9; GAD-7= Generalized Anxiety Disorder 7; WSAS = Work and Social Adjustment Scale; CAS = Coronavirus Anxiety Scale; C-19ASS-P = COVID-19 Anxiety Syndrome S</w:t>
      </w:r>
      <w:r w:rsidR="00773610" w:rsidRPr="009627FD">
        <w:rPr>
          <w:lang w:val="en-US"/>
        </w:rPr>
        <w:t>cale-Perseveration; C-19ASS-A =</w:t>
      </w:r>
      <w:r w:rsidR="002D38A9" w:rsidRPr="009627FD">
        <w:rPr>
          <w:lang w:val="en-US"/>
        </w:rPr>
        <w:t>COVID-19 Anxiety Syndrome Scale-Avoidance.</w:t>
      </w:r>
    </w:p>
    <w:p w14:paraId="45D43E92" w14:textId="16E662BA" w:rsidR="00D53AF9" w:rsidRPr="009627FD" w:rsidRDefault="00D53AF9" w:rsidP="00D53AF9">
      <w:pPr>
        <w:rPr>
          <w:lang w:val="en-US"/>
        </w:rPr>
      </w:pPr>
      <w:r w:rsidRPr="009627FD">
        <w:rPr>
          <w:b/>
          <w:lang w:val="en-US"/>
        </w:rPr>
        <w:lastRenderedPageBreak/>
        <w:t xml:space="preserve">Table 4. </w:t>
      </w:r>
      <w:r w:rsidRPr="009627FD">
        <w:rPr>
          <w:lang w:val="en-US"/>
        </w:rPr>
        <w:t xml:space="preserve">Hierarchical regression </w:t>
      </w:r>
      <w:r w:rsidR="002D79F3" w:rsidRPr="009627FD">
        <w:rPr>
          <w:lang w:val="en-US"/>
        </w:rPr>
        <w:t>analyses</w:t>
      </w:r>
      <w:r w:rsidRPr="009627FD">
        <w:rPr>
          <w:lang w:val="en-US"/>
        </w:rPr>
        <w:t xml:space="preserve"> predicting Coronavirus Anxiety Scale (CAS) scores</w:t>
      </w:r>
    </w:p>
    <w:tbl>
      <w:tblPr>
        <w:tblStyle w:val="TableGrid"/>
        <w:tblW w:w="1566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903"/>
        <w:gridCol w:w="1134"/>
        <w:gridCol w:w="903"/>
        <w:gridCol w:w="1134"/>
        <w:gridCol w:w="567"/>
        <w:gridCol w:w="708"/>
        <w:gridCol w:w="1134"/>
        <w:gridCol w:w="851"/>
        <w:gridCol w:w="1559"/>
        <w:gridCol w:w="1418"/>
      </w:tblGrid>
      <w:tr w:rsidR="00536753" w:rsidRPr="009627FD" w14:paraId="23432EE7" w14:textId="77777777" w:rsidTr="00CB2744">
        <w:trPr>
          <w:trHeight w:val="298"/>
        </w:trPr>
        <w:tc>
          <w:tcPr>
            <w:tcW w:w="5353" w:type="dxa"/>
            <w:vMerge w:val="restart"/>
            <w:tcBorders>
              <w:top w:val="single" w:sz="4" w:space="0" w:color="auto"/>
              <w:bottom w:val="single" w:sz="4" w:space="0" w:color="auto"/>
            </w:tcBorders>
            <w:vAlign w:val="center"/>
          </w:tcPr>
          <w:p w14:paraId="2B7400AC" w14:textId="77777777" w:rsidR="00536753" w:rsidRPr="009627FD" w:rsidRDefault="00536753" w:rsidP="00CB2744">
            <w:pPr>
              <w:contextualSpacing/>
              <w:rPr>
                <w:lang w:val="en-US"/>
              </w:rPr>
            </w:pPr>
            <w:r w:rsidRPr="009627FD">
              <w:rPr>
                <w:lang w:val="en-US"/>
              </w:rPr>
              <w:t>Predictor</w:t>
            </w:r>
          </w:p>
        </w:tc>
        <w:tc>
          <w:tcPr>
            <w:tcW w:w="903" w:type="dxa"/>
            <w:vMerge w:val="restart"/>
            <w:tcBorders>
              <w:top w:val="single" w:sz="4" w:space="0" w:color="auto"/>
              <w:bottom w:val="single" w:sz="4" w:space="0" w:color="auto"/>
            </w:tcBorders>
            <w:vAlign w:val="center"/>
          </w:tcPr>
          <w:p w14:paraId="1C4A8C65" w14:textId="77777777" w:rsidR="00536753" w:rsidRPr="009627FD" w:rsidRDefault="00536753" w:rsidP="00CB2744">
            <w:pPr>
              <w:contextualSpacing/>
              <w:jc w:val="center"/>
              <w:rPr>
                <w:lang w:val="en-US"/>
              </w:rPr>
            </w:pPr>
            <w:r w:rsidRPr="009627FD">
              <w:rPr>
                <w:lang w:val="en-US"/>
              </w:rPr>
              <w:t>B</w:t>
            </w:r>
          </w:p>
        </w:tc>
        <w:tc>
          <w:tcPr>
            <w:tcW w:w="1134" w:type="dxa"/>
            <w:vMerge w:val="restart"/>
            <w:tcBorders>
              <w:top w:val="single" w:sz="4" w:space="0" w:color="auto"/>
              <w:bottom w:val="single" w:sz="4" w:space="0" w:color="auto"/>
            </w:tcBorders>
            <w:vAlign w:val="center"/>
          </w:tcPr>
          <w:p w14:paraId="72F8C439" w14:textId="77777777" w:rsidR="00536753" w:rsidRPr="009627FD" w:rsidRDefault="00536753" w:rsidP="00CB2744">
            <w:pPr>
              <w:contextualSpacing/>
              <w:jc w:val="center"/>
              <w:rPr>
                <w:lang w:val="en-US"/>
              </w:rPr>
            </w:pPr>
            <w:r w:rsidRPr="009627FD">
              <w:rPr>
                <w:lang w:val="en-US"/>
              </w:rPr>
              <w:t>Std. Error</w:t>
            </w:r>
          </w:p>
        </w:tc>
        <w:tc>
          <w:tcPr>
            <w:tcW w:w="903" w:type="dxa"/>
            <w:vMerge w:val="restart"/>
            <w:tcBorders>
              <w:top w:val="single" w:sz="4" w:space="0" w:color="auto"/>
              <w:bottom w:val="single" w:sz="4" w:space="0" w:color="auto"/>
            </w:tcBorders>
            <w:vAlign w:val="center"/>
          </w:tcPr>
          <w:p w14:paraId="4C8CAE20" w14:textId="77777777" w:rsidR="00536753" w:rsidRPr="009627FD" w:rsidRDefault="00536753" w:rsidP="00CB2744">
            <w:pPr>
              <w:contextualSpacing/>
              <w:jc w:val="center"/>
              <w:rPr>
                <w:lang w:val="en-US"/>
              </w:rPr>
            </w:pPr>
            <w:r w:rsidRPr="009627FD">
              <w:rPr>
                <w:lang w:val="en-US"/>
              </w:rPr>
              <w:t>β</w:t>
            </w:r>
          </w:p>
        </w:tc>
        <w:tc>
          <w:tcPr>
            <w:tcW w:w="1134" w:type="dxa"/>
            <w:vMerge w:val="restart"/>
            <w:tcBorders>
              <w:top w:val="single" w:sz="4" w:space="0" w:color="auto"/>
              <w:bottom w:val="single" w:sz="4" w:space="0" w:color="auto"/>
            </w:tcBorders>
            <w:vAlign w:val="center"/>
          </w:tcPr>
          <w:p w14:paraId="4C00DF5C" w14:textId="77777777" w:rsidR="00536753" w:rsidRPr="009627FD" w:rsidRDefault="00536753" w:rsidP="00CB2744">
            <w:pPr>
              <w:contextualSpacing/>
              <w:jc w:val="center"/>
              <w:rPr>
                <w:lang w:val="en-US"/>
              </w:rPr>
            </w:pPr>
            <w:r w:rsidRPr="009627FD">
              <w:rPr>
                <w:lang w:val="en-US"/>
              </w:rPr>
              <w:t>t</w:t>
            </w:r>
          </w:p>
        </w:tc>
        <w:tc>
          <w:tcPr>
            <w:tcW w:w="567" w:type="dxa"/>
            <w:vMerge w:val="restart"/>
            <w:tcBorders>
              <w:top w:val="single" w:sz="4" w:space="0" w:color="auto"/>
            </w:tcBorders>
            <w:vAlign w:val="center"/>
          </w:tcPr>
          <w:p w14:paraId="5885AF2D" w14:textId="77777777" w:rsidR="00536753" w:rsidRPr="009627FD" w:rsidRDefault="00536753" w:rsidP="00CB2744">
            <w:pPr>
              <w:contextualSpacing/>
              <w:jc w:val="center"/>
              <w:rPr>
                <w:lang w:val="en-US"/>
              </w:rPr>
            </w:pPr>
            <w:r w:rsidRPr="009627FD">
              <w:rPr>
                <w:lang w:val="en-US"/>
              </w:rPr>
              <w:t>R</w:t>
            </w:r>
          </w:p>
        </w:tc>
        <w:tc>
          <w:tcPr>
            <w:tcW w:w="708" w:type="dxa"/>
            <w:vMerge w:val="restart"/>
            <w:tcBorders>
              <w:top w:val="single" w:sz="4" w:space="0" w:color="auto"/>
              <w:bottom w:val="single" w:sz="4" w:space="0" w:color="auto"/>
            </w:tcBorders>
            <w:vAlign w:val="center"/>
          </w:tcPr>
          <w:p w14:paraId="1B9E3AA0" w14:textId="77777777" w:rsidR="00536753" w:rsidRPr="009627FD" w:rsidRDefault="00536753" w:rsidP="00CB2744">
            <w:pPr>
              <w:contextualSpacing/>
              <w:jc w:val="center"/>
              <w:rPr>
                <w:lang w:val="en-US"/>
              </w:rPr>
            </w:pPr>
            <w:r w:rsidRPr="009627FD">
              <w:rPr>
                <w:lang w:val="en-US"/>
              </w:rPr>
              <w:t>R</w:t>
            </w:r>
            <w:r w:rsidRPr="009627FD">
              <w:rPr>
                <w:vertAlign w:val="superscript"/>
                <w:lang w:val="en-US"/>
              </w:rPr>
              <w:t>2</w:t>
            </w:r>
          </w:p>
        </w:tc>
        <w:tc>
          <w:tcPr>
            <w:tcW w:w="1134" w:type="dxa"/>
            <w:vMerge w:val="restart"/>
            <w:tcBorders>
              <w:top w:val="single" w:sz="4" w:space="0" w:color="auto"/>
              <w:bottom w:val="single" w:sz="4" w:space="0" w:color="auto"/>
            </w:tcBorders>
          </w:tcPr>
          <w:p w14:paraId="203BC778" w14:textId="77777777" w:rsidR="00536753" w:rsidRPr="009627FD" w:rsidRDefault="00536753" w:rsidP="00CB2744">
            <w:pPr>
              <w:contextualSpacing/>
              <w:jc w:val="center"/>
              <w:rPr>
                <w:lang w:val="en-US"/>
              </w:rPr>
            </w:pPr>
            <w:r w:rsidRPr="009627FD">
              <w:rPr>
                <w:lang w:val="en-US"/>
              </w:rPr>
              <w:t>Adjusted R</w:t>
            </w:r>
            <w:r w:rsidRPr="009627FD">
              <w:rPr>
                <w:vertAlign w:val="superscript"/>
                <w:lang w:val="en-US"/>
              </w:rPr>
              <w:t>2</w:t>
            </w:r>
          </w:p>
        </w:tc>
        <w:tc>
          <w:tcPr>
            <w:tcW w:w="851" w:type="dxa"/>
            <w:vMerge w:val="restart"/>
            <w:tcBorders>
              <w:top w:val="single" w:sz="4" w:space="0" w:color="auto"/>
              <w:bottom w:val="single" w:sz="4" w:space="0" w:color="auto"/>
            </w:tcBorders>
          </w:tcPr>
          <w:p w14:paraId="30601B0A" w14:textId="77777777" w:rsidR="00536753" w:rsidRPr="009627FD" w:rsidRDefault="00536753" w:rsidP="00CB2744">
            <w:pPr>
              <w:contextualSpacing/>
              <w:jc w:val="center"/>
              <w:rPr>
                <w:lang w:val="en-US"/>
              </w:rPr>
            </w:pPr>
            <w:r w:rsidRPr="009627FD">
              <w:rPr>
                <w:lang w:val="en-US"/>
              </w:rPr>
              <w:t>ΔR</w:t>
            </w:r>
            <w:r w:rsidRPr="009627FD">
              <w:rPr>
                <w:vertAlign w:val="superscript"/>
                <w:lang w:val="en-US"/>
              </w:rPr>
              <w:t>2</w:t>
            </w:r>
          </w:p>
        </w:tc>
        <w:tc>
          <w:tcPr>
            <w:tcW w:w="2977" w:type="dxa"/>
            <w:gridSpan w:val="2"/>
            <w:tcBorders>
              <w:top w:val="single" w:sz="4" w:space="0" w:color="auto"/>
              <w:bottom w:val="single" w:sz="4" w:space="0" w:color="auto"/>
            </w:tcBorders>
          </w:tcPr>
          <w:p w14:paraId="71FA1D4E" w14:textId="77777777" w:rsidR="00536753" w:rsidRPr="009627FD" w:rsidRDefault="00536753" w:rsidP="00CB2744">
            <w:pPr>
              <w:contextualSpacing/>
              <w:jc w:val="center"/>
              <w:rPr>
                <w:lang w:val="en-US"/>
              </w:rPr>
            </w:pPr>
            <w:r w:rsidRPr="009627FD">
              <w:rPr>
                <w:lang w:val="en-US"/>
              </w:rPr>
              <w:t>95% Confidence interval for B</w:t>
            </w:r>
          </w:p>
        </w:tc>
      </w:tr>
      <w:tr w:rsidR="00536753" w:rsidRPr="009627FD" w14:paraId="4787F150" w14:textId="77777777" w:rsidTr="00CB2744">
        <w:trPr>
          <w:trHeight w:val="297"/>
        </w:trPr>
        <w:tc>
          <w:tcPr>
            <w:tcW w:w="5353" w:type="dxa"/>
            <w:vMerge/>
            <w:tcBorders>
              <w:top w:val="single" w:sz="4" w:space="0" w:color="auto"/>
              <w:bottom w:val="single" w:sz="4" w:space="0" w:color="auto"/>
            </w:tcBorders>
          </w:tcPr>
          <w:p w14:paraId="636B073E" w14:textId="77777777" w:rsidR="00536753" w:rsidRPr="009627FD" w:rsidRDefault="00536753" w:rsidP="00CB2744">
            <w:pPr>
              <w:contextualSpacing/>
              <w:jc w:val="center"/>
              <w:rPr>
                <w:lang w:val="en-US"/>
              </w:rPr>
            </w:pPr>
          </w:p>
        </w:tc>
        <w:tc>
          <w:tcPr>
            <w:tcW w:w="903" w:type="dxa"/>
            <w:vMerge/>
            <w:tcBorders>
              <w:top w:val="single" w:sz="4" w:space="0" w:color="auto"/>
              <w:bottom w:val="single" w:sz="4" w:space="0" w:color="auto"/>
            </w:tcBorders>
          </w:tcPr>
          <w:p w14:paraId="1C01BFA0" w14:textId="77777777" w:rsidR="00536753" w:rsidRPr="009627FD" w:rsidRDefault="00536753" w:rsidP="00CB2744">
            <w:pPr>
              <w:contextualSpacing/>
              <w:jc w:val="center"/>
              <w:rPr>
                <w:lang w:val="en-US"/>
              </w:rPr>
            </w:pPr>
          </w:p>
        </w:tc>
        <w:tc>
          <w:tcPr>
            <w:tcW w:w="1134" w:type="dxa"/>
            <w:vMerge/>
            <w:tcBorders>
              <w:top w:val="single" w:sz="4" w:space="0" w:color="auto"/>
              <w:bottom w:val="single" w:sz="4" w:space="0" w:color="auto"/>
            </w:tcBorders>
          </w:tcPr>
          <w:p w14:paraId="0A211866" w14:textId="77777777" w:rsidR="00536753" w:rsidRPr="009627FD" w:rsidRDefault="00536753" w:rsidP="00CB2744">
            <w:pPr>
              <w:contextualSpacing/>
              <w:jc w:val="center"/>
              <w:rPr>
                <w:lang w:val="en-US"/>
              </w:rPr>
            </w:pPr>
          </w:p>
        </w:tc>
        <w:tc>
          <w:tcPr>
            <w:tcW w:w="903" w:type="dxa"/>
            <w:vMerge/>
            <w:tcBorders>
              <w:top w:val="single" w:sz="4" w:space="0" w:color="auto"/>
              <w:bottom w:val="single" w:sz="4" w:space="0" w:color="auto"/>
            </w:tcBorders>
          </w:tcPr>
          <w:p w14:paraId="32B1A82B" w14:textId="77777777" w:rsidR="00536753" w:rsidRPr="009627FD" w:rsidRDefault="00536753" w:rsidP="00CB2744">
            <w:pPr>
              <w:contextualSpacing/>
              <w:jc w:val="center"/>
              <w:rPr>
                <w:lang w:val="en-US"/>
              </w:rPr>
            </w:pPr>
          </w:p>
        </w:tc>
        <w:tc>
          <w:tcPr>
            <w:tcW w:w="1134" w:type="dxa"/>
            <w:vMerge/>
            <w:tcBorders>
              <w:top w:val="single" w:sz="4" w:space="0" w:color="auto"/>
              <w:bottom w:val="single" w:sz="4" w:space="0" w:color="auto"/>
            </w:tcBorders>
          </w:tcPr>
          <w:p w14:paraId="648D4C6A" w14:textId="77777777" w:rsidR="00536753" w:rsidRPr="009627FD" w:rsidRDefault="00536753" w:rsidP="00CB2744">
            <w:pPr>
              <w:contextualSpacing/>
              <w:jc w:val="center"/>
              <w:rPr>
                <w:lang w:val="en-US"/>
              </w:rPr>
            </w:pPr>
          </w:p>
        </w:tc>
        <w:tc>
          <w:tcPr>
            <w:tcW w:w="567" w:type="dxa"/>
            <w:vMerge/>
            <w:tcBorders>
              <w:bottom w:val="single" w:sz="4" w:space="0" w:color="auto"/>
            </w:tcBorders>
          </w:tcPr>
          <w:p w14:paraId="1BB973B3" w14:textId="77777777" w:rsidR="00536753" w:rsidRPr="009627FD" w:rsidRDefault="00536753" w:rsidP="00CB2744">
            <w:pPr>
              <w:contextualSpacing/>
              <w:jc w:val="center"/>
              <w:rPr>
                <w:lang w:val="en-US"/>
              </w:rPr>
            </w:pPr>
          </w:p>
        </w:tc>
        <w:tc>
          <w:tcPr>
            <w:tcW w:w="708" w:type="dxa"/>
            <w:vMerge/>
            <w:tcBorders>
              <w:top w:val="single" w:sz="4" w:space="0" w:color="auto"/>
              <w:bottom w:val="single" w:sz="4" w:space="0" w:color="auto"/>
            </w:tcBorders>
          </w:tcPr>
          <w:p w14:paraId="349850CD" w14:textId="77777777" w:rsidR="00536753" w:rsidRPr="009627FD" w:rsidRDefault="00536753" w:rsidP="00CB2744">
            <w:pPr>
              <w:contextualSpacing/>
              <w:jc w:val="center"/>
              <w:rPr>
                <w:lang w:val="en-US"/>
              </w:rPr>
            </w:pPr>
          </w:p>
        </w:tc>
        <w:tc>
          <w:tcPr>
            <w:tcW w:w="1134" w:type="dxa"/>
            <w:vMerge/>
            <w:tcBorders>
              <w:top w:val="single" w:sz="4" w:space="0" w:color="auto"/>
              <w:bottom w:val="single" w:sz="4" w:space="0" w:color="auto"/>
            </w:tcBorders>
          </w:tcPr>
          <w:p w14:paraId="526099D8" w14:textId="77777777" w:rsidR="00536753" w:rsidRPr="009627FD" w:rsidRDefault="00536753" w:rsidP="00CB2744">
            <w:pPr>
              <w:contextualSpacing/>
              <w:jc w:val="center"/>
              <w:rPr>
                <w:lang w:val="en-US"/>
              </w:rPr>
            </w:pPr>
          </w:p>
        </w:tc>
        <w:tc>
          <w:tcPr>
            <w:tcW w:w="851" w:type="dxa"/>
            <w:vMerge/>
            <w:tcBorders>
              <w:top w:val="single" w:sz="4" w:space="0" w:color="auto"/>
              <w:bottom w:val="single" w:sz="4" w:space="0" w:color="auto"/>
            </w:tcBorders>
          </w:tcPr>
          <w:p w14:paraId="5EFAD759" w14:textId="77777777" w:rsidR="00536753" w:rsidRPr="009627FD" w:rsidRDefault="00536753" w:rsidP="00CB2744">
            <w:pPr>
              <w:contextualSpacing/>
              <w:jc w:val="center"/>
              <w:rPr>
                <w:lang w:val="en-US"/>
              </w:rPr>
            </w:pPr>
          </w:p>
        </w:tc>
        <w:tc>
          <w:tcPr>
            <w:tcW w:w="1559" w:type="dxa"/>
            <w:tcBorders>
              <w:top w:val="single" w:sz="4" w:space="0" w:color="auto"/>
              <w:bottom w:val="single" w:sz="4" w:space="0" w:color="auto"/>
            </w:tcBorders>
          </w:tcPr>
          <w:p w14:paraId="5824500A" w14:textId="77777777" w:rsidR="00536753" w:rsidRPr="009627FD" w:rsidRDefault="00536753" w:rsidP="00CB2744">
            <w:pPr>
              <w:contextualSpacing/>
              <w:jc w:val="center"/>
              <w:rPr>
                <w:lang w:val="en-US"/>
              </w:rPr>
            </w:pPr>
            <w:r w:rsidRPr="009627FD">
              <w:rPr>
                <w:lang w:val="en-US"/>
              </w:rPr>
              <w:t>Lower Bound</w:t>
            </w:r>
          </w:p>
        </w:tc>
        <w:tc>
          <w:tcPr>
            <w:tcW w:w="1418" w:type="dxa"/>
            <w:tcBorders>
              <w:top w:val="single" w:sz="4" w:space="0" w:color="auto"/>
              <w:bottom w:val="single" w:sz="4" w:space="0" w:color="auto"/>
            </w:tcBorders>
          </w:tcPr>
          <w:p w14:paraId="041F8041" w14:textId="77777777" w:rsidR="00536753" w:rsidRPr="009627FD" w:rsidRDefault="00536753" w:rsidP="00CB2744">
            <w:pPr>
              <w:contextualSpacing/>
              <w:jc w:val="center"/>
              <w:rPr>
                <w:lang w:val="en-US"/>
              </w:rPr>
            </w:pPr>
            <w:r w:rsidRPr="009627FD">
              <w:rPr>
                <w:lang w:val="en-US"/>
              </w:rPr>
              <w:t>Upper Bound</w:t>
            </w:r>
          </w:p>
        </w:tc>
      </w:tr>
      <w:tr w:rsidR="00536753" w:rsidRPr="009627FD" w14:paraId="223B28EC" w14:textId="77777777" w:rsidTr="00CB2744">
        <w:tc>
          <w:tcPr>
            <w:tcW w:w="5353" w:type="dxa"/>
            <w:tcBorders>
              <w:top w:val="single" w:sz="4" w:space="0" w:color="auto"/>
            </w:tcBorders>
          </w:tcPr>
          <w:p w14:paraId="454170A4" w14:textId="77777777" w:rsidR="00536753" w:rsidRPr="009627FD" w:rsidRDefault="00536753" w:rsidP="00CB2744">
            <w:pPr>
              <w:contextualSpacing/>
              <w:rPr>
                <w:lang w:val="en-US"/>
              </w:rPr>
            </w:pPr>
            <w:r w:rsidRPr="009627FD">
              <w:rPr>
                <w:lang w:val="en-US"/>
              </w:rPr>
              <w:t>Model</w:t>
            </w:r>
          </w:p>
        </w:tc>
        <w:tc>
          <w:tcPr>
            <w:tcW w:w="903" w:type="dxa"/>
            <w:tcBorders>
              <w:top w:val="single" w:sz="4" w:space="0" w:color="auto"/>
            </w:tcBorders>
          </w:tcPr>
          <w:p w14:paraId="7A8B109A" w14:textId="77777777" w:rsidR="00536753" w:rsidRPr="009627FD" w:rsidRDefault="00536753" w:rsidP="00CB2744">
            <w:pPr>
              <w:contextualSpacing/>
              <w:jc w:val="center"/>
              <w:rPr>
                <w:lang w:val="en-US"/>
              </w:rPr>
            </w:pPr>
          </w:p>
        </w:tc>
        <w:tc>
          <w:tcPr>
            <w:tcW w:w="1134" w:type="dxa"/>
            <w:tcBorders>
              <w:top w:val="single" w:sz="4" w:space="0" w:color="auto"/>
            </w:tcBorders>
          </w:tcPr>
          <w:p w14:paraId="4408D9A8" w14:textId="77777777" w:rsidR="00536753" w:rsidRPr="009627FD" w:rsidRDefault="00536753" w:rsidP="00CB2744">
            <w:pPr>
              <w:contextualSpacing/>
              <w:jc w:val="center"/>
              <w:rPr>
                <w:lang w:val="en-US"/>
              </w:rPr>
            </w:pPr>
          </w:p>
        </w:tc>
        <w:tc>
          <w:tcPr>
            <w:tcW w:w="903" w:type="dxa"/>
            <w:tcBorders>
              <w:top w:val="single" w:sz="4" w:space="0" w:color="auto"/>
            </w:tcBorders>
          </w:tcPr>
          <w:p w14:paraId="2292E9A9" w14:textId="77777777" w:rsidR="00536753" w:rsidRPr="009627FD" w:rsidRDefault="00536753" w:rsidP="00CB2744">
            <w:pPr>
              <w:contextualSpacing/>
              <w:jc w:val="center"/>
              <w:rPr>
                <w:lang w:val="en-US"/>
              </w:rPr>
            </w:pPr>
          </w:p>
        </w:tc>
        <w:tc>
          <w:tcPr>
            <w:tcW w:w="1134" w:type="dxa"/>
            <w:tcBorders>
              <w:top w:val="single" w:sz="4" w:space="0" w:color="auto"/>
            </w:tcBorders>
          </w:tcPr>
          <w:p w14:paraId="791AB3E2" w14:textId="77777777" w:rsidR="00536753" w:rsidRPr="009627FD" w:rsidRDefault="00536753" w:rsidP="00CB2744">
            <w:pPr>
              <w:contextualSpacing/>
              <w:jc w:val="center"/>
              <w:rPr>
                <w:lang w:val="en-US"/>
              </w:rPr>
            </w:pPr>
          </w:p>
        </w:tc>
        <w:tc>
          <w:tcPr>
            <w:tcW w:w="567" w:type="dxa"/>
            <w:tcBorders>
              <w:top w:val="single" w:sz="4" w:space="0" w:color="auto"/>
            </w:tcBorders>
          </w:tcPr>
          <w:p w14:paraId="1073EDD9" w14:textId="77777777" w:rsidR="00536753" w:rsidRPr="009627FD" w:rsidRDefault="00536753" w:rsidP="00CB2744">
            <w:pPr>
              <w:contextualSpacing/>
              <w:jc w:val="center"/>
              <w:rPr>
                <w:lang w:val="en-US"/>
              </w:rPr>
            </w:pPr>
          </w:p>
        </w:tc>
        <w:tc>
          <w:tcPr>
            <w:tcW w:w="708" w:type="dxa"/>
            <w:tcBorders>
              <w:top w:val="single" w:sz="4" w:space="0" w:color="auto"/>
            </w:tcBorders>
          </w:tcPr>
          <w:p w14:paraId="4A786457" w14:textId="77777777" w:rsidR="00536753" w:rsidRPr="009627FD" w:rsidRDefault="00536753" w:rsidP="00CB2744">
            <w:pPr>
              <w:contextualSpacing/>
              <w:jc w:val="center"/>
              <w:rPr>
                <w:lang w:val="en-US"/>
              </w:rPr>
            </w:pPr>
          </w:p>
        </w:tc>
        <w:tc>
          <w:tcPr>
            <w:tcW w:w="1134" w:type="dxa"/>
            <w:tcBorders>
              <w:top w:val="single" w:sz="4" w:space="0" w:color="auto"/>
            </w:tcBorders>
          </w:tcPr>
          <w:p w14:paraId="07AE3487" w14:textId="77777777" w:rsidR="00536753" w:rsidRPr="009627FD" w:rsidRDefault="00536753" w:rsidP="00CB2744">
            <w:pPr>
              <w:contextualSpacing/>
              <w:jc w:val="center"/>
              <w:rPr>
                <w:lang w:val="en-US"/>
              </w:rPr>
            </w:pPr>
          </w:p>
        </w:tc>
        <w:tc>
          <w:tcPr>
            <w:tcW w:w="851" w:type="dxa"/>
            <w:tcBorders>
              <w:top w:val="single" w:sz="4" w:space="0" w:color="auto"/>
            </w:tcBorders>
          </w:tcPr>
          <w:p w14:paraId="4121C721" w14:textId="77777777" w:rsidR="00536753" w:rsidRPr="009627FD" w:rsidRDefault="00536753" w:rsidP="00CB2744">
            <w:pPr>
              <w:contextualSpacing/>
              <w:jc w:val="center"/>
              <w:rPr>
                <w:lang w:val="en-US"/>
              </w:rPr>
            </w:pPr>
          </w:p>
        </w:tc>
        <w:tc>
          <w:tcPr>
            <w:tcW w:w="2977" w:type="dxa"/>
            <w:gridSpan w:val="2"/>
            <w:tcBorders>
              <w:top w:val="single" w:sz="4" w:space="0" w:color="auto"/>
            </w:tcBorders>
          </w:tcPr>
          <w:p w14:paraId="47E11DA5" w14:textId="77777777" w:rsidR="00536753" w:rsidRPr="009627FD" w:rsidRDefault="00536753" w:rsidP="00CB2744">
            <w:pPr>
              <w:contextualSpacing/>
              <w:jc w:val="center"/>
              <w:rPr>
                <w:lang w:val="en-US"/>
              </w:rPr>
            </w:pPr>
          </w:p>
        </w:tc>
      </w:tr>
      <w:tr w:rsidR="00536753" w:rsidRPr="009627FD" w14:paraId="5EF079BC" w14:textId="77777777" w:rsidTr="00CB2744">
        <w:tc>
          <w:tcPr>
            <w:tcW w:w="5353" w:type="dxa"/>
          </w:tcPr>
          <w:p w14:paraId="529DA160" w14:textId="77777777" w:rsidR="00536753" w:rsidRPr="009627FD" w:rsidRDefault="00536753" w:rsidP="00CB2744">
            <w:pPr>
              <w:contextualSpacing/>
              <w:rPr>
                <w:lang w:val="en-US"/>
              </w:rPr>
            </w:pPr>
            <w:r w:rsidRPr="009627FD">
              <w:rPr>
                <w:lang w:val="en-US"/>
              </w:rPr>
              <w:t>Step 1</w:t>
            </w:r>
          </w:p>
        </w:tc>
        <w:tc>
          <w:tcPr>
            <w:tcW w:w="903" w:type="dxa"/>
          </w:tcPr>
          <w:p w14:paraId="0444D032" w14:textId="77777777" w:rsidR="00536753" w:rsidRPr="009627FD" w:rsidRDefault="00536753" w:rsidP="00CB2744">
            <w:pPr>
              <w:contextualSpacing/>
              <w:jc w:val="center"/>
              <w:rPr>
                <w:lang w:val="en-US"/>
              </w:rPr>
            </w:pPr>
          </w:p>
        </w:tc>
        <w:tc>
          <w:tcPr>
            <w:tcW w:w="1134" w:type="dxa"/>
          </w:tcPr>
          <w:p w14:paraId="5EF3CC5A" w14:textId="77777777" w:rsidR="00536753" w:rsidRPr="009627FD" w:rsidRDefault="00536753" w:rsidP="00CB2744">
            <w:pPr>
              <w:contextualSpacing/>
              <w:jc w:val="center"/>
              <w:rPr>
                <w:lang w:val="en-US"/>
              </w:rPr>
            </w:pPr>
          </w:p>
        </w:tc>
        <w:tc>
          <w:tcPr>
            <w:tcW w:w="903" w:type="dxa"/>
          </w:tcPr>
          <w:p w14:paraId="49F38FC2" w14:textId="77777777" w:rsidR="00536753" w:rsidRPr="009627FD" w:rsidRDefault="00536753" w:rsidP="00CB2744">
            <w:pPr>
              <w:contextualSpacing/>
              <w:jc w:val="center"/>
              <w:rPr>
                <w:lang w:val="en-US"/>
              </w:rPr>
            </w:pPr>
          </w:p>
        </w:tc>
        <w:tc>
          <w:tcPr>
            <w:tcW w:w="1134" w:type="dxa"/>
          </w:tcPr>
          <w:p w14:paraId="1FDED102" w14:textId="77777777" w:rsidR="00536753" w:rsidRPr="009627FD" w:rsidRDefault="00536753" w:rsidP="00CB2744">
            <w:pPr>
              <w:contextualSpacing/>
              <w:jc w:val="center"/>
              <w:rPr>
                <w:lang w:val="en-US"/>
              </w:rPr>
            </w:pPr>
          </w:p>
        </w:tc>
        <w:tc>
          <w:tcPr>
            <w:tcW w:w="567" w:type="dxa"/>
          </w:tcPr>
          <w:p w14:paraId="4204F0CD" w14:textId="77777777" w:rsidR="00536753" w:rsidRPr="009627FD" w:rsidRDefault="00536753" w:rsidP="00CB2744">
            <w:pPr>
              <w:contextualSpacing/>
              <w:jc w:val="center"/>
              <w:rPr>
                <w:lang w:val="en-US"/>
              </w:rPr>
            </w:pPr>
            <w:r w:rsidRPr="009627FD">
              <w:rPr>
                <w:lang w:val="en-US"/>
              </w:rPr>
              <w:t>.22</w:t>
            </w:r>
          </w:p>
        </w:tc>
        <w:tc>
          <w:tcPr>
            <w:tcW w:w="708" w:type="dxa"/>
          </w:tcPr>
          <w:p w14:paraId="5296AF5B" w14:textId="77777777" w:rsidR="00536753" w:rsidRPr="009627FD" w:rsidRDefault="00536753" w:rsidP="00CB2744">
            <w:pPr>
              <w:contextualSpacing/>
              <w:jc w:val="center"/>
              <w:rPr>
                <w:lang w:val="en-US"/>
              </w:rPr>
            </w:pPr>
            <w:r w:rsidRPr="009627FD">
              <w:rPr>
                <w:lang w:val="en-US"/>
              </w:rPr>
              <w:t>.05</w:t>
            </w:r>
          </w:p>
        </w:tc>
        <w:tc>
          <w:tcPr>
            <w:tcW w:w="1134" w:type="dxa"/>
          </w:tcPr>
          <w:p w14:paraId="79D20973" w14:textId="77777777" w:rsidR="00536753" w:rsidRPr="009627FD" w:rsidRDefault="00536753" w:rsidP="00CB2744">
            <w:pPr>
              <w:contextualSpacing/>
              <w:jc w:val="center"/>
              <w:rPr>
                <w:lang w:val="en-US"/>
              </w:rPr>
            </w:pPr>
            <w:r w:rsidRPr="009627FD">
              <w:rPr>
                <w:lang w:val="en-US"/>
              </w:rPr>
              <w:t>.05</w:t>
            </w:r>
          </w:p>
        </w:tc>
        <w:tc>
          <w:tcPr>
            <w:tcW w:w="851" w:type="dxa"/>
          </w:tcPr>
          <w:p w14:paraId="09C1875A" w14:textId="77777777" w:rsidR="00536753" w:rsidRPr="009627FD" w:rsidRDefault="00536753" w:rsidP="00CB2744">
            <w:pPr>
              <w:contextualSpacing/>
              <w:jc w:val="center"/>
              <w:rPr>
                <w:lang w:val="en-US"/>
              </w:rPr>
            </w:pPr>
            <w:r w:rsidRPr="009627FD">
              <w:rPr>
                <w:lang w:val="en-US"/>
              </w:rPr>
              <w:t>.05**</w:t>
            </w:r>
          </w:p>
        </w:tc>
        <w:tc>
          <w:tcPr>
            <w:tcW w:w="1559" w:type="dxa"/>
          </w:tcPr>
          <w:p w14:paraId="607243DC" w14:textId="77777777" w:rsidR="00536753" w:rsidRPr="009627FD" w:rsidRDefault="00536753" w:rsidP="00CB2744">
            <w:pPr>
              <w:contextualSpacing/>
              <w:jc w:val="center"/>
              <w:rPr>
                <w:lang w:val="en-US"/>
              </w:rPr>
            </w:pPr>
          </w:p>
        </w:tc>
        <w:tc>
          <w:tcPr>
            <w:tcW w:w="1418" w:type="dxa"/>
          </w:tcPr>
          <w:p w14:paraId="1AA249A8" w14:textId="77777777" w:rsidR="00536753" w:rsidRPr="009627FD" w:rsidRDefault="00536753" w:rsidP="00CB2744">
            <w:pPr>
              <w:contextualSpacing/>
              <w:jc w:val="center"/>
              <w:rPr>
                <w:lang w:val="en-US"/>
              </w:rPr>
            </w:pPr>
          </w:p>
        </w:tc>
      </w:tr>
      <w:tr w:rsidR="00536753" w:rsidRPr="009627FD" w14:paraId="17421428" w14:textId="77777777" w:rsidTr="00CB2744">
        <w:tc>
          <w:tcPr>
            <w:tcW w:w="5353" w:type="dxa"/>
          </w:tcPr>
          <w:p w14:paraId="4A7B1AFB" w14:textId="77777777" w:rsidR="00536753" w:rsidRPr="009627FD" w:rsidRDefault="00536753" w:rsidP="00CB2744">
            <w:pPr>
              <w:contextualSpacing/>
              <w:rPr>
                <w:lang w:val="en-US"/>
              </w:rPr>
            </w:pPr>
            <w:r w:rsidRPr="009627FD">
              <w:rPr>
                <w:lang w:val="en-US"/>
              </w:rPr>
              <w:t>Age</w:t>
            </w:r>
          </w:p>
        </w:tc>
        <w:tc>
          <w:tcPr>
            <w:tcW w:w="903" w:type="dxa"/>
          </w:tcPr>
          <w:p w14:paraId="6FC6E86C" w14:textId="77777777" w:rsidR="00536753" w:rsidRPr="009627FD" w:rsidRDefault="00536753" w:rsidP="00CB2744">
            <w:pPr>
              <w:contextualSpacing/>
              <w:jc w:val="center"/>
              <w:rPr>
                <w:lang w:val="en-US"/>
              </w:rPr>
            </w:pPr>
            <w:r w:rsidRPr="009627FD">
              <w:rPr>
                <w:lang w:val="en-US"/>
              </w:rPr>
              <w:t>-.04</w:t>
            </w:r>
          </w:p>
        </w:tc>
        <w:tc>
          <w:tcPr>
            <w:tcW w:w="1134" w:type="dxa"/>
          </w:tcPr>
          <w:p w14:paraId="3CCF5DE3" w14:textId="77777777" w:rsidR="00536753" w:rsidRPr="009627FD" w:rsidRDefault="00536753" w:rsidP="00CB2744">
            <w:pPr>
              <w:contextualSpacing/>
              <w:jc w:val="center"/>
              <w:rPr>
                <w:lang w:val="en-US"/>
              </w:rPr>
            </w:pPr>
            <w:r w:rsidRPr="009627FD">
              <w:rPr>
                <w:lang w:val="en-US"/>
              </w:rPr>
              <w:t>.01</w:t>
            </w:r>
          </w:p>
        </w:tc>
        <w:tc>
          <w:tcPr>
            <w:tcW w:w="903" w:type="dxa"/>
          </w:tcPr>
          <w:p w14:paraId="7A51A19B" w14:textId="77777777" w:rsidR="00536753" w:rsidRPr="009627FD" w:rsidRDefault="00536753" w:rsidP="00CB2744">
            <w:pPr>
              <w:contextualSpacing/>
              <w:jc w:val="center"/>
              <w:rPr>
                <w:lang w:val="en-US"/>
              </w:rPr>
            </w:pPr>
            <w:r w:rsidRPr="009627FD">
              <w:rPr>
                <w:lang w:val="en-US"/>
              </w:rPr>
              <w:t>-.12**</w:t>
            </w:r>
          </w:p>
        </w:tc>
        <w:tc>
          <w:tcPr>
            <w:tcW w:w="1134" w:type="dxa"/>
          </w:tcPr>
          <w:p w14:paraId="28B1B6D7" w14:textId="77777777" w:rsidR="00536753" w:rsidRPr="009627FD" w:rsidRDefault="00536753" w:rsidP="00CB2744">
            <w:pPr>
              <w:contextualSpacing/>
              <w:jc w:val="center"/>
              <w:rPr>
                <w:lang w:val="en-US"/>
              </w:rPr>
            </w:pPr>
            <w:r w:rsidRPr="009627FD">
              <w:rPr>
                <w:lang w:val="en-US"/>
              </w:rPr>
              <w:t>-2.73</w:t>
            </w:r>
          </w:p>
        </w:tc>
        <w:tc>
          <w:tcPr>
            <w:tcW w:w="567" w:type="dxa"/>
          </w:tcPr>
          <w:p w14:paraId="44C00F93" w14:textId="77777777" w:rsidR="00536753" w:rsidRPr="009627FD" w:rsidRDefault="00536753" w:rsidP="00CB2744">
            <w:pPr>
              <w:contextualSpacing/>
              <w:jc w:val="center"/>
              <w:rPr>
                <w:lang w:val="en-US"/>
              </w:rPr>
            </w:pPr>
          </w:p>
        </w:tc>
        <w:tc>
          <w:tcPr>
            <w:tcW w:w="708" w:type="dxa"/>
          </w:tcPr>
          <w:p w14:paraId="17226075" w14:textId="77777777" w:rsidR="00536753" w:rsidRPr="009627FD" w:rsidRDefault="00536753" w:rsidP="00CB2744">
            <w:pPr>
              <w:contextualSpacing/>
              <w:jc w:val="center"/>
              <w:rPr>
                <w:lang w:val="en-US"/>
              </w:rPr>
            </w:pPr>
          </w:p>
        </w:tc>
        <w:tc>
          <w:tcPr>
            <w:tcW w:w="1134" w:type="dxa"/>
          </w:tcPr>
          <w:p w14:paraId="1CDB2B1E" w14:textId="77777777" w:rsidR="00536753" w:rsidRPr="009627FD" w:rsidRDefault="00536753" w:rsidP="00CB2744">
            <w:pPr>
              <w:contextualSpacing/>
              <w:jc w:val="center"/>
              <w:rPr>
                <w:lang w:val="en-US"/>
              </w:rPr>
            </w:pPr>
          </w:p>
        </w:tc>
        <w:tc>
          <w:tcPr>
            <w:tcW w:w="851" w:type="dxa"/>
          </w:tcPr>
          <w:p w14:paraId="1F11E3BC" w14:textId="77777777" w:rsidR="00536753" w:rsidRPr="009627FD" w:rsidRDefault="00536753" w:rsidP="00CB2744">
            <w:pPr>
              <w:contextualSpacing/>
              <w:jc w:val="center"/>
              <w:rPr>
                <w:lang w:val="en-US"/>
              </w:rPr>
            </w:pPr>
          </w:p>
        </w:tc>
        <w:tc>
          <w:tcPr>
            <w:tcW w:w="1559" w:type="dxa"/>
          </w:tcPr>
          <w:p w14:paraId="0C5A61DE" w14:textId="77777777" w:rsidR="00536753" w:rsidRPr="009627FD" w:rsidRDefault="00536753" w:rsidP="00CB2744">
            <w:pPr>
              <w:contextualSpacing/>
              <w:jc w:val="center"/>
              <w:rPr>
                <w:lang w:val="en-US"/>
              </w:rPr>
            </w:pPr>
            <w:r w:rsidRPr="009627FD">
              <w:rPr>
                <w:lang w:val="en-US"/>
              </w:rPr>
              <w:t>-.07</w:t>
            </w:r>
          </w:p>
        </w:tc>
        <w:tc>
          <w:tcPr>
            <w:tcW w:w="1418" w:type="dxa"/>
          </w:tcPr>
          <w:p w14:paraId="02692877" w14:textId="77777777" w:rsidR="00536753" w:rsidRPr="009627FD" w:rsidRDefault="00536753" w:rsidP="00CB2744">
            <w:pPr>
              <w:contextualSpacing/>
              <w:jc w:val="center"/>
              <w:rPr>
                <w:lang w:val="en-US"/>
              </w:rPr>
            </w:pPr>
            <w:r w:rsidRPr="009627FD">
              <w:rPr>
                <w:lang w:val="en-US"/>
              </w:rPr>
              <w:t>-.01</w:t>
            </w:r>
          </w:p>
        </w:tc>
      </w:tr>
      <w:tr w:rsidR="00536753" w:rsidRPr="009627FD" w14:paraId="6EF560E5" w14:textId="77777777" w:rsidTr="00CB2744">
        <w:tc>
          <w:tcPr>
            <w:tcW w:w="5353" w:type="dxa"/>
            <w:tcBorders>
              <w:bottom w:val="single" w:sz="4" w:space="0" w:color="auto"/>
            </w:tcBorders>
          </w:tcPr>
          <w:p w14:paraId="5D0BFB7A" w14:textId="77777777" w:rsidR="00536753" w:rsidRPr="009627FD" w:rsidRDefault="00536753" w:rsidP="00CB2744">
            <w:pPr>
              <w:contextualSpacing/>
              <w:rPr>
                <w:lang w:val="en-US"/>
              </w:rPr>
            </w:pPr>
            <w:r w:rsidRPr="009627FD">
              <w:rPr>
                <w:lang w:val="en-US"/>
              </w:rPr>
              <w:t>Gender</w:t>
            </w:r>
          </w:p>
        </w:tc>
        <w:tc>
          <w:tcPr>
            <w:tcW w:w="903" w:type="dxa"/>
            <w:tcBorders>
              <w:bottom w:val="single" w:sz="4" w:space="0" w:color="auto"/>
            </w:tcBorders>
          </w:tcPr>
          <w:p w14:paraId="2FBB69F6" w14:textId="77777777" w:rsidR="00536753" w:rsidRPr="009627FD" w:rsidRDefault="00536753" w:rsidP="00CB2744">
            <w:pPr>
              <w:contextualSpacing/>
              <w:jc w:val="center"/>
              <w:rPr>
                <w:lang w:val="en-US"/>
              </w:rPr>
            </w:pPr>
            <w:r w:rsidRPr="009627FD">
              <w:rPr>
                <w:lang w:val="en-US"/>
              </w:rPr>
              <w:t>1. 18</w:t>
            </w:r>
          </w:p>
        </w:tc>
        <w:tc>
          <w:tcPr>
            <w:tcW w:w="1134" w:type="dxa"/>
            <w:tcBorders>
              <w:bottom w:val="single" w:sz="4" w:space="0" w:color="auto"/>
            </w:tcBorders>
          </w:tcPr>
          <w:p w14:paraId="43DCD8C2" w14:textId="77777777" w:rsidR="00536753" w:rsidRPr="009627FD" w:rsidRDefault="00536753" w:rsidP="00CB2744">
            <w:pPr>
              <w:contextualSpacing/>
              <w:jc w:val="center"/>
              <w:rPr>
                <w:lang w:val="en-US"/>
              </w:rPr>
            </w:pPr>
            <w:r w:rsidRPr="009627FD">
              <w:rPr>
                <w:lang w:val="en-US"/>
              </w:rPr>
              <w:t>.42</w:t>
            </w:r>
          </w:p>
        </w:tc>
        <w:tc>
          <w:tcPr>
            <w:tcW w:w="903" w:type="dxa"/>
            <w:tcBorders>
              <w:bottom w:val="single" w:sz="4" w:space="0" w:color="auto"/>
            </w:tcBorders>
          </w:tcPr>
          <w:p w14:paraId="0A7474E1" w14:textId="77777777" w:rsidR="00536753" w:rsidRPr="009627FD" w:rsidRDefault="00536753" w:rsidP="00CB2744">
            <w:pPr>
              <w:contextualSpacing/>
              <w:jc w:val="center"/>
              <w:rPr>
                <w:lang w:val="en-US"/>
              </w:rPr>
            </w:pPr>
            <w:r w:rsidRPr="009627FD">
              <w:rPr>
                <w:lang w:val="en-US"/>
              </w:rPr>
              <w:t>.19**</w:t>
            </w:r>
          </w:p>
        </w:tc>
        <w:tc>
          <w:tcPr>
            <w:tcW w:w="1134" w:type="dxa"/>
            <w:tcBorders>
              <w:bottom w:val="single" w:sz="4" w:space="0" w:color="auto"/>
            </w:tcBorders>
          </w:tcPr>
          <w:p w14:paraId="30B48C85" w14:textId="77777777" w:rsidR="00536753" w:rsidRPr="009627FD" w:rsidRDefault="00536753" w:rsidP="00CB2744">
            <w:pPr>
              <w:contextualSpacing/>
              <w:jc w:val="center"/>
              <w:rPr>
                <w:lang w:val="en-US"/>
              </w:rPr>
            </w:pPr>
            <w:r w:rsidRPr="009627FD">
              <w:rPr>
                <w:lang w:val="en-US"/>
              </w:rPr>
              <w:t>4.26</w:t>
            </w:r>
          </w:p>
        </w:tc>
        <w:tc>
          <w:tcPr>
            <w:tcW w:w="567" w:type="dxa"/>
            <w:tcBorders>
              <w:bottom w:val="single" w:sz="4" w:space="0" w:color="auto"/>
            </w:tcBorders>
          </w:tcPr>
          <w:p w14:paraId="197F8750" w14:textId="77777777" w:rsidR="00536753" w:rsidRPr="009627FD" w:rsidRDefault="00536753" w:rsidP="00CB2744">
            <w:pPr>
              <w:contextualSpacing/>
              <w:jc w:val="center"/>
              <w:rPr>
                <w:lang w:val="en-US"/>
              </w:rPr>
            </w:pPr>
          </w:p>
        </w:tc>
        <w:tc>
          <w:tcPr>
            <w:tcW w:w="708" w:type="dxa"/>
            <w:tcBorders>
              <w:bottom w:val="single" w:sz="4" w:space="0" w:color="auto"/>
            </w:tcBorders>
          </w:tcPr>
          <w:p w14:paraId="4C76B5FE" w14:textId="77777777" w:rsidR="00536753" w:rsidRPr="009627FD" w:rsidRDefault="00536753" w:rsidP="00CB2744">
            <w:pPr>
              <w:contextualSpacing/>
              <w:jc w:val="center"/>
              <w:rPr>
                <w:lang w:val="en-US"/>
              </w:rPr>
            </w:pPr>
          </w:p>
        </w:tc>
        <w:tc>
          <w:tcPr>
            <w:tcW w:w="1134" w:type="dxa"/>
            <w:tcBorders>
              <w:bottom w:val="single" w:sz="4" w:space="0" w:color="auto"/>
            </w:tcBorders>
          </w:tcPr>
          <w:p w14:paraId="0130B861" w14:textId="77777777" w:rsidR="00536753" w:rsidRPr="009627FD" w:rsidRDefault="00536753" w:rsidP="00CB2744">
            <w:pPr>
              <w:contextualSpacing/>
              <w:jc w:val="center"/>
              <w:rPr>
                <w:lang w:val="en-US"/>
              </w:rPr>
            </w:pPr>
          </w:p>
        </w:tc>
        <w:tc>
          <w:tcPr>
            <w:tcW w:w="851" w:type="dxa"/>
            <w:tcBorders>
              <w:bottom w:val="single" w:sz="4" w:space="0" w:color="auto"/>
            </w:tcBorders>
          </w:tcPr>
          <w:p w14:paraId="451E1251" w14:textId="77777777" w:rsidR="00536753" w:rsidRPr="009627FD" w:rsidRDefault="00536753" w:rsidP="00CB2744">
            <w:pPr>
              <w:contextualSpacing/>
              <w:jc w:val="center"/>
              <w:rPr>
                <w:lang w:val="en-US"/>
              </w:rPr>
            </w:pPr>
          </w:p>
        </w:tc>
        <w:tc>
          <w:tcPr>
            <w:tcW w:w="1559" w:type="dxa"/>
            <w:tcBorders>
              <w:bottom w:val="single" w:sz="4" w:space="0" w:color="auto"/>
            </w:tcBorders>
          </w:tcPr>
          <w:p w14:paraId="2DB1864B" w14:textId="77777777" w:rsidR="00536753" w:rsidRPr="009627FD" w:rsidRDefault="00536753" w:rsidP="00CB2744">
            <w:pPr>
              <w:contextualSpacing/>
              <w:jc w:val="center"/>
              <w:rPr>
                <w:lang w:val="en-US"/>
              </w:rPr>
            </w:pPr>
            <w:r w:rsidRPr="009627FD">
              <w:rPr>
                <w:lang w:val="en-US"/>
              </w:rPr>
              <w:t>.98</w:t>
            </w:r>
          </w:p>
        </w:tc>
        <w:tc>
          <w:tcPr>
            <w:tcW w:w="1418" w:type="dxa"/>
            <w:tcBorders>
              <w:bottom w:val="single" w:sz="4" w:space="0" w:color="auto"/>
            </w:tcBorders>
          </w:tcPr>
          <w:p w14:paraId="0E79BA86" w14:textId="77777777" w:rsidR="00536753" w:rsidRPr="009627FD" w:rsidRDefault="00536753" w:rsidP="00CB2744">
            <w:pPr>
              <w:contextualSpacing/>
              <w:jc w:val="center"/>
              <w:rPr>
                <w:lang w:val="en-US"/>
              </w:rPr>
            </w:pPr>
            <w:r w:rsidRPr="009627FD">
              <w:rPr>
                <w:lang w:val="en-US"/>
              </w:rPr>
              <w:t>2.65</w:t>
            </w:r>
          </w:p>
        </w:tc>
      </w:tr>
      <w:tr w:rsidR="00536753" w:rsidRPr="009627FD" w14:paraId="5A4750D7" w14:textId="77777777" w:rsidTr="00CB2744">
        <w:tc>
          <w:tcPr>
            <w:tcW w:w="5353" w:type="dxa"/>
            <w:tcBorders>
              <w:top w:val="single" w:sz="4" w:space="0" w:color="auto"/>
            </w:tcBorders>
          </w:tcPr>
          <w:p w14:paraId="56933690" w14:textId="77777777" w:rsidR="00536753" w:rsidRPr="009627FD" w:rsidRDefault="00536753" w:rsidP="00CB2744">
            <w:pPr>
              <w:contextualSpacing/>
              <w:rPr>
                <w:lang w:val="en-US"/>
              </w:rPr>
            </w:pPr>
            <w:r w:rsidRPr="009627FD">
              <w:rPr>
                <w:lang w:val="en-US"/>
              </w:rPr>
              <w:t>Step 2</w:t>
            </w:r>
          </w:p>
        </w:tc>
        <w:tc>
          <w:tcPr>
            <w:tcW w:w="903" w:type="dxa"/>
            <w:tcBorders>
              <w:top w:val="single" w:sz="4" w:space="0" w:color="auto"/>
            </w:tcBorders>
          </w:tcPr>
          <w:p w14:paraId="68A11870" w14:textId="77777777" w:rsidR="00536753" w:rsidRPr="009627FD" w:rsidRDefault="00536753" w:rsidP="00CB2744">
            <w:pPr>
              <w:contextualSpacing/>
              <w:jc w:val="center"/>
              <w:rPr>
                <w:lang w:val="en-US"/>
              </w:rPr>
            </w:pPr>
          </w:p>
        </w:tc>
        <w:tc>
          <w:tcPr>
            <w:tcW w:w="1134" w:type="dxa"/>
            <w:tcBorders>
              <w:top w:val="single" w:sz="4" w:space="0" w:color="auto"/>
            </w:tcBorders>
          </w:tcPr>
          <w:p w14:paraId="073370A2" w14:textId="77777777" w:rsidR="00536753" w:rsidRPr="009627FD" w:rsidRDefault="00536753" w:rsidP="00CB2744">
            <w:pPr>
              <w:contextualSpacing/>
              <w:jc w:val="center"/>
              <w:rPr>
                <w:lang w:val="en-US"/>
              </w:rPr>
            </w:pPr>
          </w:p>
        </w:tc>
        <w:tc>
          <w:tcPr>
            <w:tcW w:w="903" w:type="dxa"/>
            <w:tcBorders>
              <w:top w:val="single" w:sz="4" w:space="0" w:color="auto"/>
            </w:tcBorders>
          </w:tcPr>
          <w:p w14:paraId="5B74B890" w14:textId="77777777" w:rsidR="00536753" w:rsidRPr="009627FD" w:rsidRDefault="00536753" w:rsidP="00CB2744">
            <w:pPr>
              <w:contextualSpacing/>
              <w:jc w:val="center"/>
              <w:rPr>
                <w:lang w:val="en-US"/>
              </w:rPr>
            </w:pPr>
          </w:p>
        </w:tc>
        <w:tc>
          <w:tcPr>
            <w:tcW w:w="1134" w:type="dxa"/>
            <w:tcBorders>
              <w:top w:val="single" w:sz="4" w:space="0" w:color="auto"/>
            </w:tcBorders>
          </w:tcPr>
          <w:p w14:paraId="27D9519E" w14:textId="77777777" w:rsidR="00536753" w:rsidRPr="009627FD" w:rsidRDefault="00536753" w:rsidP="00CB2744">
            <w:pPr>
              <w:contextualSpacing/>
              <w:jc w:val="center"/>
              <w:rPr>
                <w:lang w:val="en-US"/>
              </w:rPr>
            </w:pPr>
          </w:p>
        </w:tc>
        <w:tc>
          <w:tcPr>
            <w:tcW w:w="567" w:type="dxa"/>
            <w:tcBorders>
              <w:top w:val="single" w:sz="4" w:space="0" w:color="auto"/>
            </w:tcBorders>
          </w:tcPr>
          <w:p w14:paraId="571CE40D" w14:textId="77777777" w:rsidR="00536753" w:rsidRPr="009627FD" w:rsidRDefault="00536753" w:rsidP="00CB2744">
            <w:pPr>
              <w:contextualSpacing/>
              <w:jc w:val="center"/>
              <w:rPr>
                <w:lang w:val="en-US"/>
              </w:rPr>
            </w:pPr>
            <w:r w:rsidRPr="009627FD">
              <w:rPr>
                <w:lang w:val="en-US"/>
              </w:rPr>
              <w:t>.44</w:t>
            </w:r>
          </w:p>
        </w:tc>
        <w:tc>
          <w:tcPr>
            <w:tcW w:w="708" w:type="dxa"/>
            <w:tcBorders>
              <w:top w:val="single" w:sz="4" w:space="0" w:color="auto"/>
            </w:tcBorders>
          </w:tcPr>
          <w:p w14:paraId="0A65B5C5" w14:textId="77777777" w:rsidR="00536753" w:rsidRPr="009627FD" w:rsidRDefault="00536753" w:rsidP="00CB2744">
            <w:pPr>
              <w:contextualSpacing/>
              <w:jc w:val="center"/>
              <w:rPr>
                <w:lang w:val="en-US"/>
              </w:rPr>
            </w:pPr>
            <w:r w:rsidRPr="009627FD">
              <w:rPr>
                <w:lang w:val="en-US"/>
              </w:rPr>
              <w:t>.20</w:t>
            </w:r>
          </w:p>
        </w:tc>
        <w:tc>
          <w:tcPr>
            <w:tcW w:w="1134" w:type="dxa"/>
            <w:tcBorders>
              <w:top w:val="single" w:sz="4" w:space="0" w:color="auto"/>
            </w:tcBorders>
          </w:tcPr>
          <w:p w14:paraId="7AFB0162" w14:textId="77777777" w:rsidR="00536753" w:rsidRPr="009627FD" w:rsidRDefault="00536753" w:rsidP="00CB2744">
            <w:pPr>
              <w:contextualSpacing/>
              <w:jc w:val="center"/>
              <w:rPr>
                <w:lang w:val="en-US"/>
              </w:rPr>
            </w:pPr>
            <w:r w:rsidRPr="009627FD">
              <w:rPr>
                <w:lang w:val="en-US"/>
              </w:rPr>
              <w:t>.19</w:t>
            </w:r>
          </w:p>
        </w:tc>
        <w:tc>
          <w:tcPr>
            <w:tcW w:w="851" w:type="dxa"/>
            <w:tcBorders>
              <w:top w:val="single" w:sz="4" w:space="0" w:color="auto"/>
            </w:tcBorders>
          </w:tcPr>
          <w:p w14:paraId="0A70FCFF" w14:textId="77777777" w:rsidR="00536753" w:rsidRPr="009627FD" w:rsidRDefault="00536753" w:rsidP="00CB2744">
            <w:pPr>
              <w:contextualSpacing/>
              <w:jc w:val="center"/>
              <w:rPr>
                <w:lang w:val="en-US"/>
              </w:rPr>
            </w:pPr>
            <w:r w:rsidRPr="009627FD">
              <w:rPr>
                <w:lang w:val="en-US"/>
              </w:rPr>
              <w:t>.15**</w:t>
            </w:r>
          </w:p>
        </w:tc>
        <w:tc>
          <w:tcPr>
            <w:tcW w:w="1559" w:type="dxa"/>
            <w:tcBorders>
              <w:top w:val="single" w:sz="4" w:space="0" w:color="auto"/>
            </w:tcBorders>
          </w:tcPr>
          <w:p w14:paraId="2BA687CC" w14:textId="77777777" w:rsidR="00536753" w:rsidRPr="009627FD" w:rsidRDefault="00536753" w:rsidP="00CB2744">
            <w:pPr>
              <w:contextualSpacing/>
              <w:jc w:val="center"/>
              <w:rPr>
                <w:lang w:val="en-US"/>
              </w:rPr>
            </w:pPr>
          </w:p>
        </w:tc>
        <w:tc>
          <w:tcPr>
            <w:tcW w:w="1418" w:type="dxa"/>
            <w:tcBorders>
              <w:top w:val="single" w:sz="4" w:space="0" w:color="auto"/>
            </w:tcBorders>
          </w:tcPr>
          <w:p w14:paraId="2EB469B0" w14:textId="77777777" w:rsidR="00536753" w:rsidRPr="009627FD" w:rsidRDefault="00536753" w:rsidP="00CB2744">
            <w:pPr>
              <w:contextualSpacing/>
              <w:jc w:val="center"/>
              <w:rPr>
                <w:lang w:val="en-US"/>
              </w:rPr>
            </w:pPr>
          </w:p>
        </w:tc>
      </w:tr>
      <w:tr w:rsidR="00536753" w:rsidRPr="009627FD" w14:paraId="754BEF31" w14:textId="77777777" w:rsidTr="00CB2744">
        <w:tc>
          <w:tcPr>
            <w:tcW w:w="5353" w:type="dxa"/>
          </w:tcPr>
          <w:p w14:paraId="7CF52204" w14:textId="77777777" w:rsidR="00536753" w:rsidRPr="009627FD" w:rsidRDefault="00536753" w:rsidP="00CB2744">
            <w:pPr>
              <w:contextualSpacing/>
              <w:rPr>
                <w:lang w:val="en-US"/>
              </w:rPr>
            </w:pPr>
            <w:r w:rsidRPr="009627FD">
              <w:rPr>
                <w:lang w:val="en-US"/>
              </w:rPr>
              <w:t>Age</w:t>
            </w:r>
          </w:p>
        </w:tc>
        <w:tc>
          <w:tcPr>
            <w:tcW w:w="903" w:type="dxa"/>
          </w:tcPr>
          <w:p w14:paraId="6326F274" w14:textId="77777777" w:rsidR="00536753" w:rsidRPr="009627FD" w:rsidRDefault="00536753" w:rsidP="00CB2744">
            <w:pPr>
              <w:contextualSpacing/>
              <w:jc w:val="center"/>
              <w:rPr>
                <w:lang w:val="en-US"/>
              </w:rPr>
            </w:pPr>
            <w:r w:rsidRPr="009627FD">
              <w:rPr>
                <w:lang w:val="en-US"/>
              </w:rPr>
              <w:t>-.004</w:t>
            </w:r>
          </w:p>
        </w:tc>
        <w:tc>
          <w:tcPr>
            <w:tcW w:w="1134" w:type="dxa"/>
          </w:tcPr>
          <w:p w14:paraId="683047D8" w14:textId="77777777" w:rsidR="00536753" w:rsidRPr="009627FD" w:rsidRDefault="00536753" w:rsidP="00CB2744">
            <w:pPr>
              <w:contextualSpacing/>
              <w:jc w:val="center"/>
              <w:rPr>
                <w:lang w:val="en-US"/>
              </w:rPr>
            </w:pPr>
            <w:r w:rsidRPr="009627FD">
              <w:rPr>
                <w:lang w:val="en-US"/>
              </w:rPr>
              <w:t>.01</w:t>
            </w:r>
          </w:p>
        </w:tc>
        <w:tc>
          <w:tcPr>
            <w:tcW w:w="903" w:type="dxa"/>
          </w:tcPr>
          <w:p w14:paraId="1F412567" w14:textId="77777777" w:rsidR="00536753" w:rsidRPr="009627FD" w:rsidRDefault="00536753" w:rsidP="00CB2744">
            <w:pPr>
              <w:contextualSpacing/>
              <w:jc w:val="center"/>
              <w:rPr>
                <w:lang w:val="en-US"/>
              </w:rPr>
            </w:pPr>
            <w:r w:rsidRPr="009627FD">
              <w:rPr>
                <w:lang w:val="en-US"/>
              </w:rPr>
              <w:t>-.01</w:t>
            </w:r>
          </w:p>
        </w:tc>
        <w:tc>
          <w:tcPr>
            <w:tcW w:w="1134" w:type="dxa"/>
          </w:tcPr>
          <w:p w14:paraId="2144A488" w14:textId="77777777" w:rsidR="00536753" w:rsidRPr="009627FD" w:rsidRDefault="00536753" w:rsidP="00CB2744">
            <w:pPr>
              <w:contextualSpacing/>
              <w:jc w:val="center"/>
              <w:rPr>
                <w:lang w:val="en-US"/>
              </w:rPr>
            </w:pPr>
            <w:r w:rsidRPr="009627FD">
              <w:rPr>
                <w:lang w:val="en-US"/>
              </w:rPr>
              <w:t>-.27</w:t>
            </w:r>
          </w:p>
        </w:tc>
        <w:tc>
          <w:tcPr>
            <w:tcW w:w="567" w:type="dxa"/>
          </w:tcPr>
          <w:p w14:paraId="6168AD27" w14:textId="77777777" w:rsidR="00536753" w:rsidRPr="009627FD" w:rsidRDefault="00536753" w:rsidP="00CB2744">
            <w:pPr>
              <w:contextualSpacing/>
              <w:jc w:val="center"/>
              <w:rPr>
                <w:lang w:val="en-US"/>
              </w:rPr>
            </w:pPr>
          </w:p>
        </w:tc>
        <w:tc>
          <w:tcPr>
            <w:tcW w:w="708" w:type="dxa"/>
          </w:tcPr>
          <w:p w14:paraId="07C79068" w14:textId="77777777" w:rsidR="00536753" w:rsidRPr="009627FD" w:rsidRDefault="00536753" w:rsidP="00CB2744">
            <w:pPr>
              <w:contextualSpacing/>
              <w:jc w:val="center"/>
              <w:rPr>
                <w:lang w:val="en-US"/>
              </w:rPr>
            </w:pPr>
          </w:p>
        </w:tc>
        <w:tc>
          <w:tcPr>
            <w:tcW w:w="1134" w:type="dxa"/>
          </w:tcPr>
          <w:p w14:paraId="0DFB9417" w14:textId="77777777" w:rsidR="00536753" w:rsidRPr="009627FD" w:rsidRDefault="00536753" w:rsidP="00CB2744">
            <w:pPr>
              <w:contextualSpacing/>
              <w:jc w:val="center"/>
              <w:rPr>
                <w:lang w:val="en-US"/>
              </w:rPr>
            </w:pPr>
          </w:p>
        </w:tc>
        <w:tc>
          <w:tcPr>
            <w:tcW w:w="851" w:type="dxa"/>
          </w:tcPr>
          <w:p w14:paraId="076CF393" w14:textId="77777777" w:rsidR="00536753" w:rsidRPr="009627FD" w:rsidRDefault="00536753" w:rsidP="00CB2744">
            <w:pPr>
              <w:contextualSpacing/>
              <w:jc w:val="center"/>
              <w:rPr>
                <w:lang w:val="en-US"/>
              </w:rPr>
            </w:pPr>
          </w:p>
        </w:tc>
        <w:tc>
          <w:tcPr>
            <w:tcW w:w="1559" w:type="dxa"/>
          </w:tcPr>
          <w:p w14:paraId="79C9113C" w14:textId="77777777" w:rsidR="00536753" w:rsidRPr="009627FD" w:rsidRDefault="00536753" w:rsidP="00CB2744">
            <w:pPr>
              <w:contextualSpacing/>
              <w:jc w:val="center"/>
              <w:rPr>
                <w:lang w:val="en-US"/>
              </w:rPr>
            </w:pPr>
            <w:r w:rsidRPr="009627FD">
              <w:rPr>
                <w:lang w:val="en-US"/>
              </w:rPr>
              <w:t>-.03</w:t>
            </w:r>
          </w:p>
        </w:tc>
        <w:tc>
          <w:tcPr>
            <w:tcW w:w="1418" w:type="dxa"/>
          </w:tcPr>
          <w:p w14:paraId="31A72BE6" w14:textId="77777777" w:rsidR="00536753" w:rsidRPr="009627FD" w:rsidRDefault="00536753" w:rsidP="00CB2744">
            <w:pPr>
              <w:contextualSpacing/>
              <w:jc w:val="center"/>
              <w:rPr>
                <w:lang w:val="en-US"/>
              </w:rPr>
            </w:pPr>
            <w:r w:rsidRPr="009627FD">
              <w:rPr>
                <w:lang w:val="en-US"/>
              </w:rPr>
              <w:t>.02</w:t>
            </w:r>
          </w:p>
        </w:tc>
      </w:tr>
      <w:tr w:rsidR="00536753" w:rsidRPr="009627FD" w14:paraId="3BDAB39C" w14:textId="77777777" w:rsidTr="00CB2744">
        <w:tc>
          <w:tcPr>
            <w:tcW w:w="5353" w:type="dxa"/>
          </w:tcPr>
          <w:p w14:paraId="7D24266E" w14:textId="77777777" w:rsidR="00536753" w:rsidRPr="009627FD" w:rsidRDefault="00536753" w:rsidP="00CB2744">
            <w:pPr>
              <w:contextualSpacing/>
              <w:rPr>
                <w:lang w:val="en-US"/>
              </w:rPr>
            </w:pPr>
            <w:r w:rsidRPr="009627FD">
              <w:rPr>
                <w:lang w:val="en-US"/>
              </w:rPr>
              <w:t>Gender</w:t>
            </w:r>
          </w:p>
        </w:tc>
        <w:tc>
          <w:tcPr>
            <w:tcW w:w="903" w:type="dxa"/>
          </w:tcPr>
          <w:p w14:paraId="6EE33F12" w14:textId="77777777" w:rsidR="00536753" w:rsidRPr="009627FD" w:rsidRDefault="00536753" w:rsidP="00CB2744">
            <w:pPr>
              <w:contextualSpacing/>
              <w:jc w:val="center"/>
              <w:rPr>
                <w:lang w:val="en-US"/>
              </w:rPr>
            </w:pPr>
            <w:r w:rsidRPr="009627FD">
              <w:rPr>
                <w:lang w:val="en-US"/>
              </w:rPr>
              <w:t>1.38</w:t>
            </w:r>
          </w:p>
        </w:tc>
        <w:tc>
          <w:tcPr>
            <w:tcW w:w="1134" w:type="dxa"/>
          </w:tcPr>
          <w:p w14:paraId="1EF79226" w14:textId="77777777" w:rsidR="00536753" w:rsidRPr="009627FD" w:rsidRDefault="00536753" w:rsidP="00CB2744">
            <w:pPr>
              <w:contextualSpacing/>
              <w:jc w:val="center"/>
              <w:rPr>
                <w:lang w:val="en-US"/>
              </w:rPr>
            </w:pPr>
            <w:r w:rsidRPr="009627FD">
              <w:rPr>
                <w:lang w:val="en-US"/>
              </w:rPr>
              <w:t>.40</w:t>
            </w:r>
          </w:p>
        </w:tc>
        <w:tc>
          <w:tcPr>
            <w:tcW w:w="903" w:type="dxa"/>
          </w:tcPr>
          <w:p w14:paraId="1AAE71FB" w14:textId="77777777" w:rsidR="00536753" w:rsidRPr="009627FD" w:rsidRDefault="00536753" w:rsidP="00CB2744">
            <w:pPr>
              <w:contextualSpacing/>
              <w:jc w:val="center"/>
              <w:rPr>
                <w:lang w:val="en-US"/>
              </w:rPr>
            </w:pPr>
            <w:r w:rsidRPr="009627FD">
              <w:rPr>
                <w:lang w:val="en-US"/>
              </w:rPr>
              <w:t>.14**</w:t>
            </w:r>
          </w:p>
        </w:tc>
        <w:tc>
          <w:tcPr>
            <w:tcW w:w="1134" w:type="dxa"/>
          </w:tcPr>
          <w:p w14:paraId="31576A2C" w14:textId="77777777" w:rsidR="00536753" w:rsidRPr="009627FD" w:rsidRDefault="00536753" w:rsidP="00CB2744">
            <w:pPr>
              <w:contextualSpacing/>
              <w:jc w:val="center"/>
              <w:rPr>
                <w:lang w:val="en-US"/>
              </w:rPr>
            </w:pPr>
            <w:r w:rsidRPr="009627FD">
              <w:rPr>
                <w:lang w:val="en-US"/>
              </w:rPr>
              <w:t>3.46</w:t>
            </w:r>
          </w:p>
        </w:tc>
        <w:tc>
          <w:tcPr>
            <w:tcW w:w="567" w:type="dxa"/>
          </w:tcPr>
          <w:p w14:paraId="0190F879" w14:textId="77777777" w:rsidR="00536753" w:rsidRPr="009627FD" w:rsidRDefault="00536753" w:rsidP="00CB2744">
            <w:pPr>
              <w:contextualSpacing/>
              <w:jc w:val="center"/>
              <w:rPr>
                <w:lang w:val="en-US"/>
              </w:rPr>
            </w:pPr>
          </w:p>
        </w:tc>
        <w:tc>
          <w:tcPr>
            <w:tcW w:w="708" w:type="dxa"/>
          </w:tcPr>
          <w:p w14:paraId="3198EF4F" w14:textId="77777777" w:rsidR="00536753" w:rsidRPr="009627FD" w:rsidRDefault="00536753" w:rsidP="00CB2744">
            <w:pPr>
              <w:contextualSpacing/>
              <w:jc w:val="center"/>
              <w:rPr>
                <w:lang w:val="en-US"/>
              </w:rPr>
            </w:pPr>
          </w:p>
        </w:tc>
        <w:tc>
          <w:tcPr>
            <w:tcW w:w="1134" w:type="dxa"/>
          </w:tcPr>
          <w:p w14:paraId="532169C3" w14:textId="77777777" w:rsidR="00536753" w:rsidRPr="009627FD" w:rsidRDefault="00536753" w:rsidP="00CB2744">
            <w:pPr>
              <w:contextualSpacing/>
              <w:jc w:val="center"/>
              <w:rPr>
                <w:lang w:val="en-US"/>
              </w:rPr>
            </w:pPr>
          </w:p>
        </w:tc>
        <w:tc>
          <w:tcPr>
            <w:tcW w:w="851" w:type="dxa"/>
          </w:tcPr>
          <w:p w14:paraId="43E34ECB" w14:textId="77777777" w:rsidR="00536753" w:rsidRPr="009627FD" w:rsidRDefault="00536753" w:rsidP="00CB2744">
            <w:pPr>
              <w:contextualSpacing/>
              <w:jc w:val="center"/>
              <w:rPr>
                <w:lang w:val="en-US"/>
              </w:rPr>
            </w:pPr>
          </w:p>
        </w:tc>
        <w:tc>
          <w:tcPr>
            <w:tcW w:w="1559" w:type="dxa"/>
          </w:tcPr>
          <w:p w14:paraId="0252A7F4" w14:textId="77777777" w:rsidR="00536753" w:rsidRPr="009627FD" w:rsidRDefault="00536753" w:rsidP="00CB2744">
            <w:pPr>
              <w:contextualSpacing/>
              <w:jc w:val="center"/>
              <w:rPr>
                <w:lang w:val="en-US"/>
              </w:rPr>
            </w:pPr>
            <w:r w:rsidRPr="009627FD">
              <w:rPr>
                <w:lang w:val="en-US"/>
              </w:rPr>
              <w:t>.60</w:t>
            </w:r>
          </w:p>
        </w:tc>
        <w:tc>
          <w:tcPr>
            <w:tcW w:w="1418" w:type="dxa"/>
          </w:tcPr>
          <w:p w14:paraId="3801E5D3" w14:textId="77777777" w:rsidR="00536753" w:rsidRPr="009627FD" w:rsidRDefault="00536753" w:rsidP="00CB2744">
            <w:pPr>
              <w:contextualSpacing/>
              <w:jc w:val="center"/>
              <w:rPr>
                <w:lang w:val="en-US"/>
              </w:rPr>
            </w:pPr>
            <w:r w:rsidRPr="009627FD">
              <w:rPr>
                <w:lang w:val="en-US"/>
              </w:rPr>
              <w:t>2.17</w:t>
            </w:r>
          </w:p>
        </w:tc>
      </w:tr>
      <w:tr w:rsidR="00536753" w:rsidRPr="009627FD" w14:paraId="0EADD34D" w14:textId="77777777" w:rsidTr="00CB2744">
        <w:tc>
          <w:tcPr>
            <w:tcW w:w="5353" w:type="dxa"/>
          </w:tcPr>
          <w:p w14:paraId="50293DFD" w14:textId="77777777" w:rsidR="00536753" w:rsidRPr="009627FD" w:rsidRDefault="00536753" w:rsidP="00CB2744">
            <w:pPr>
              <w:contextualSpacing/>
              <w:rPr>
                <w:lang w:val="en-US"/>
              </w:rPr>
            </w:pPr>
            <w:r w:rsidRPr="009627FD">
              <w:rPr>
                <w:lang w:val="en-US"/>
              </w:rPr>
              <w:t>BFI-10-Agreeableness</w:t>
            </w:r>
          </w:p>
        </w:tc>
        <w:tc>
          <w:tcPr>
            <w:tcW w:w="903" w:type="dxa"/>
          </w:tcPr>
          <w:p w14:paraId="593BF657" w14:textId="77777777" w:rsidR="00536753" w:rsidRPr="009627FD" w:rsidRDefault="00536753" w:rsidP="00CB2744">
            <w:pPr>
              <w:contextualSpacing/>
              <w:jc w:val="center"/>
              <w:rPr>
                <w:lang w:val="en-US"/>
              </w:rPr>
            </w:pPr>
            <w:r w:rsidRPr="009627FD">
              <w:rPr>
                <w:lang w:val="en-US"/>
              </w:rPr>
              <w:t>-.03</w:t>
            </w:r>
          </w:p>
        </w:tc>
        <w:tc>
          <w:tcPr>
            <w:tcW w:w="1134" w:type="dxa"/>
          </w:tcPr>
          <w:p w14:paraId="6C6642DE" w14:textId="77777777" w:rsidR="00536753" w:rsidRPr="009627FD" w:rsidRDefault="00536753" w:rsidP="00CB2744">
            <w:pPr>
              <w:contextualSpacing/>
              <w:jc w:val="center"/>
              <w:rPr>
                <w:lang w:val="en-US"/>
              </w:rPr>
            </w:pPr>
            <w:r w:rsidRPr="009627FD">
              <w:rPr>
                <w:lang w:val="en-US"/>
              </w:rPr>
              <w:t>.10</w:t>
            </w:r>
          </w:p>
        </w:tc>
        <w:tc>
          <w:tcPr>
            <w:tcW w:w="903" w:type="dxa"/>
          </w:tcPr>
          <w:p w14:paraId="2A2021A1" w14:textId="77777777" w:rsidR="00536753" w:rsidRPr="009627FD" w:rsidRDefault="00536753" w:rsidP="00CB2744">
            <w:pPr>
              <w:contextualSpacing/>
              <w:jc w:val="center"/>
              <w:rPr>
                <w:lang w:val="en-US"/>
              </w:rPr>
            </w:pPr>
            <w:r w:rsidRPr="009627FD">
              <w:rPr>
                <w:lang w:val="en-US"/>
              </w:rPr>
              <w:t>-.01</w:t>
            </w:r>
          </w:p>
        </w:tc>
        <w:tc>
          <w:tcPr>
            <w:tcW w:w="1134" w:type="dxa"/>
          </w:tcPr>
          <w:p w14:paraId="2DB6F561" w14:textId="77777777" w:rsidR="00536753" w:rsidRPr="009627FD" w:rsidRDefault="00536753" w:rsidP="00CB2744">
            <w:pPr>
              <w:contextualSpacing/>
              <w:jc w:val="center"/>
              <w:rPr>
                <w:lang w:val="en-US"/>
              </w:rPr>
            </w:pPr>
            <w:r w:rsidRPr="009627FD">
              <w:rPr>
                <w:lang w:val="en-US"/>
              </w:rPr>
              <w:t>-.27</w:t>
            </w:r>
          </w:p>
        </w:tc>
        <w:tc>
          <w:tcPr>
            <w:tcW w:w="567" w:type="dxa"/>
          </w:tcPr>
          <w:p w14:paraId="5EF0668C" w14:textId="77777777" w:rsidR="00536753" w:rsidRPr="009627FD" w:rsidRDefault="00536753" w:rsidP="00CB2744">
            <w:pPr>
              <w:contextualSpacing/>
              <w:jc w:val="center"/>
              <w:rPr>
                <w:lang w:val="en-US"/>
              </w:rPr>
            </w:pPr>
          </w:p>
        </w:tc>
        <w:tc>
          <w:tcPr>
            <w:tcW w:w="708" w:type="dxa"/>
          </w:tcPr>
          <w:p w14:paraId="479B00AB" w14:textId="77777777" w:rsidR="00536753" w:rsidRPr="009627FD" w:rsidRDefault="00536753" w:rsidP="00CB2744">
            <w:pPr>
              <w:contextualSpacing/>
              <w:jc w:val="center"/>
              <w:rPr>
                <w:lang w:val="en-US"/>
              </w:rPr>
            </w:pPr>
          </w:p>
        </w:tc>
        <w:tc>
          <w:tcPr>
            <w:tcW w:w="1134" w:type="dxa"/>
          </w:tcPr>
          <w:p w14:paraId="20758AF9" w14:textId="77777777" w:rsidR="00536753" w:rsidRPr="009627FD" w:rsidRDefault="00536753" w:rsidP="00CB2744">
            <w:pPr>
              <w:contextualSpacing/>
              <w:jc w:val="center"/>
              <w:rPr>
                <w:lang w:val="en-US"/>
              </w:rPr>
            </w:pPr>
          </w:p>
        </w:tc>
        <w:tc>
          <w:tcPr>
            <w:tcW w:w="851" w:type="dxa"/>
          </w:tcPr>
          <w:p w14:paraId="586126AE" w14:textId="77777777" w:rsidR="00536753" w:rsidRPr="009627FD" w:rsidRDefault="00536753" w:rsidP="00CB2744">
            <w:pPr>
              <w:contextualSpacing/>
              <w:jc w:val="center"/>
              <w:rPr>
                <w:lang w:val="en-US"/>
              </w:rPr>
            </w:pPr>
          </w:p>
        </w:tc>
        <w:tc>
          <w:tcPr>
            <w:tcW w:w="1559" w:type="dxa"/>
          </w:tcPr>
          <w:p w14:paraId="2215D234" w14:textId="77777777" w:rsidR="00536753" w:rsidRPr="009627FD" w:rsidRDefault="00536753" w:rsidP="00CB2744">
            <w:pPr>
              <w:contextualSpacing/>
              <w:jc w:val="center"/>
              <w:rPr>
                <w:lang w:val="en-US"/>
              </w:rPr>
            </w:pPr>
            <w:r w:rsidRPr="009627FD">
              <w:rPr>
                <w:lang w:val="en-US"/>
              </w:rPr>
              <w:t>-.23</w:t>
            </w:r>
          </w:p>
        </w:tc>
        <w:tc>
          <w:tcPr>
            <w:tcW w:w="1418" w:type="dxa"/>
          </w:tcPr>
          <w:p w14:paraId="3A2DEB6F" w14:textId="77777777" w:rsidR="00536753" w:rsidRPr="009627FD" w:rsidRDefault="00536753" w:rsidP="00CB2744">
            <w:pPr>
              <w:contextualSpacing/>
              <w:jc w:val="center"/>
              <w:rPr>
                <w:lang w:val="en-US"/>
              </w:rPr>
            </w:pPr>
            <w:r w:rsidRPr="009627FD">
              <w:rPr>
                <w:lang w:val="en-US"/>
              </w:rPr>
              <w:t>.17</w:t>
            </w:r>
          </w:p>
        </w:tc>
      </w:tr>
      <w:tr w:rsidR="00536753" w:rsidRPr="009627FD" w14:paraId="488D67A7" w14:textId="77777777" w:rsidTr="00CB2744">
        <w:tc>
          <w:tcPr>
            <w:tcW w:w="5353" w:type="dxa"/>
          </w:tcPr>
          <w:p w14:paraId="3D8FD982" w14:textId="77777777" w:rsidR="00536753" w:rsidRPr="009627FD" w:rsidRDefault="00536753" w:rsidP="00CB2744">
            <w:pPr>
              <w:contextualSpacing/>
              <w:rPr>
                <w:lang w:val="en-US"/>
              </w:rPr>
            </w:pPr>
            <w:r w:rsidRPr="009627FD">
              <w:rPr>
                <w:lang w:val="en-US"/>
              </w:rPr>
              <w:t>BFI-10-Conscientiousness</w:t>
            </w:r>
          </w:p>
        </w:tc>
        <w:tc>
          <w:tcPr>
            <w:tcW w:w="903" w:type="dxa"/>
          </w:tcPr>
          <w:p w14:paraId="52983454" w14:textId="77777777" w:rsidR="00536753" w:rsidRPr="009627FD" w:rsidRDefault="00536753" w:rsidP="00CB2744">
            <w:pPr>
              <w:contextualSpacing/>
              <w:jc w:val="center"/>
              <w:rPr>
                <w:lang w:val="en-US"/>
              </w:rPr>
            </w:pPr>
            <w:r w:rsidRPr="009627FD">
              <w:rPr>
                <w:lang w:val="en-US"/>
              </w:rPr>
              <w:t>-.07</w:t>
            </w:r>
          </w:p>
        </w:tc>
        <w:tc>
          <w:tcPr>
            <w:tcW w:w="1134" w:type="dxa"/>
          </w:tcPr>
          <w:p w14:paraId="341C6E22" w14:textId="77777777" w:rsidR="00536753" w:rsidRPr="009627FD" w:rsidRDefault="00536753" w:rsidP="00CB2744">
            <w:pPr>
              <w:contextualSpacing/>
              <w:jc w:val="center"/>
              <w:rPr>
                <w:lang w:val="en-US"/>
              </w:rPr>
            </w:pPr>
            <w:r w:rsidRPr="009627FD">
              <w:rPr>
                <w:lang w:val="en-US"/>
              </w:rPr>
              <w:t>.11</w:t>
            </w:r>
          </w:p>
        </w:tc>
        <w:tc>
          <w:tcPr>
            <w:tcW w:w="903" w:type="dxa"/>
          </w:tcPr>
          <w:p w14:paraId="41B9CC3E" w14:textId="77777777" w:rsidR="00536753" w:rsidRPr="009627FD" w:rsidRDefault="00536753" w:rsidP="00CB2744">
            <w:pPr>
              <w:contextualSpacing/>
              <w:jc w:val="center"/>
              <w:rPr>
                <w:lang w:val="en-US"/>
              </w:rPr>
            </w:pPr>
            <w:r w:rsidRPr="009627FD">
              <w:rPr>
                <w:lang w:val="en-US"/>
              </w:rPr>
              <w:t>-.03</w:t>
            </w:r>
          </w:p>
        </w:tc>
        <w:tc>
          <w:tcPr>
            <w:tcW w:w="1134" w:type="dxa"/>
          </w:tcPr>
          <w:p w14:paraId="0FDD41B7" w14:textId="77777777" w:rsidR="00536753" w:rsidRPr="009627FD" w:rsidRDefault="00536753" w:rsidP="00CB2744">
            <w:pPr>
              <w:contextualSpacing/>
              <w:jc w:val="center"/>
              <w:rPr>
                <w:lang w:val="en-US"/>
              </w:rPr>
            </w:pPr>
            <w:r w:rsidRPr="009627FD">
              <w:rPr>
                <w:lang w:val="en-US"/>
              </w:rPr>
              <w:t>-.66</w:t>
            </w:r>
          </w:p>
        </w:tc>
        <w:tc>
          <w:tcPr>
            <w:tcW w:w="567" w:type="dxa"/>
          </w:tcPr>
          <w:p w14:paraId="362EBF21" w14:textId="77777777" w:rsidR="00536753" w:rsidRPr="009627FD" w:rsidRDefault="00536753" w:rsidP="00CB2744">
            <w:pPr>
              <w:contextualSpacing/>
              <w:jc w:val="center"/>
              <w:rPr>
                <w:lang w:val="en-US"/>
              </w:rPr>
            </w:pPr>
          </w:p>
        </w:tc>
        <w:tc>
          <w:tcPr>
            <w:tcW w:w="708" w:type="dxa"/>
          </w:tcPr>
          <w:p w14:paraId="3A6730ED" w14:textId="77777777" w:rsidR="00536753" w:rsidRPr="009627FD" w:rsidRDefault="00536753" w:rsidP="00CB2744">
            <w:pPr>
              <w:contextualSpacing/>
              <w:jc w:val="center"/>
              <w:rPr>
                <w:lang w:val="en-US"/>
              </w:rPr>
            </w:pPr>
          </w:p>
        </w:tc>
        <w:tc>
          <w:tcPr>
            <w:tcW w:w="1134" w:type="dxa"/>
          </w:tcPr>
          <w:p w14:paraId="23CCC912" w14:textId="77777777" w:rsidR="00536753" w:rsidRPr="009627FD" w:rsidRDefault="00536753" w:rsidP="00CB2744">
            <w:pPr>
              <w:contextualSpacing/>
              <w:jc w:val="center"/>
              <w:rPr>
                <w:lang w:val="en-US"/>
              </w:rPr>
            </w:pPr>
          </w:p>
        </w:tc>
        <w:tc>
          <w:tcPr>
            <w:tcW w:w="851" w:type="dxa"/>
          </w:tcPr>
          <w:p w14:paraId="024A6A45" w14:textId="77777777" w:rsidR="00536753" w:rsidRPr="009627FD" w:rsidRDefault="00536753" w:rsidP="00CB2744">
            <w:pPr>
              <w:contextualSpacing/>
              <w:jc w:val="center"/>
              <w:rPr>
                <w:lang w:val="en-US"/>
              </w:rPr>
            </w:pPr>
          </w:p>
        </w:tc>
        <w:tc>
          <w:tcPr>
            <w:tcW w:w="1559" w:type="dxa"/>
          </w:tcPr>
          <w:p w14:paraId="7BDB8B6A" w14:textId="77777777" w:rsidR="00536753" w:rsidRPr="009627FD" w:rsidRDefault="00536753" w:rsidP="00CB2744">
            <w:pPr>
              <w:contextualSpacing/>
              <w:jc w:val="center"/>
              <w:rPr>
                <w:lang w:val="en-US"/>
              </w:rPr>
            </w:pPr>
            <w:r w:rsidRPr="009627FD">
              <w:rPr>
                <w:lang w:val="en-US"/>
              </w:rPr>
              <w:t>-.29</w:t>
            </w:r>
          </w:p>
        </w:tc>
        <w:tc>
          <w:tcPr>
            <w:tcW w:w="1418" w:type="dxa"/>
          </w:tcPr>
          <w:p w14:paraId="3080641D" w14:textId="77777777" w:rsidR="00536753" w:rsidRPr="009627FD" w:rsidRDefault="00536753" w:rsidP="00CB2744">
            <w:pPr>
              <w:contextualSpacing/>
              <w:jc w:val="center"/>
              <w:rPr>
                <w:lang w:val="en-US"/>
              </w:rPr>
            </w:pPr>
            <w:r w:rsidRPr="009627FD">
              <w:rPr>
                <w:lang w:val="en-US"/>
              </w:rPr>
              <w:t>.15</w:t>
            </w:r>
          </w:p>
        </w:tc>
      </w:tr>
      <w:tr w:rsidR="00536753" w:rsidRPr="009627FD" w14:paraId="05674B11" w14:textId="77777777" w:rsidTr="00CB2744">
        <w:tc>
          <w:tcPr>
            <w:tcW w:w="5353" w:type="dxa"/>
            <w:tcBorders>
              <w:bottom w:val="single" w:sz="4" w:space="0" w:color="auto"/>
            </w:tcBorders>
          </w:tcPr>
          <w:p w14:paraId="73CE5791" w14:textId="77777777" w:rsidR="00536753" w:rsidRPr="009627FD" w:rsidRDefault="00536753" w:rsidP="00CB2744">
            <w:pPr>
              <w:contextualSpacing/>
              <w:rPr>
                <w:lang w:val="en-US"/>
              </w:rPr>
            </w:pPr>
            <w:r w:rsidRPr="009627FD">
              <w:rPr>
                <w:lang w:val="en-US"/>
              </w:rPr>
              <w:t>BFI-10-Emotional stability</w:t>
            </w:r>
          </w:p>
        </w:tc>
        <w:tc>
          <w:tcPr>
            <w:tcW w:w="903" w:type="dxa"/>
            <w:tcBorders>
              <w:bottom w:val="single" w:sz="4" w:space="0" w:color="auto"/>
            </w:tcBorders>
          </w:tcPr>
          <w:p w14:paraId="4E025714" w14:textId="77777777" w:rsidR="00536753" w:rsidRPr="009627FD" w:rsidRDefault="00536753" w:rsidP="00CB2744">
            <w:pPr>
              <w:contextualSpacing/>
              <w:jc w:val="center"/>
              <w:rPr>
                <w:lang w:val="en-US"/>
              </w:rPr>
            </w:pPr>
            <w:r w:rsidRPr="009627FD">
              <w:rPr>
                <w:lang w:val="en-US"/>
              </w:rPr>
              <w:t>-.68</w:t>
            </w:r>
          </w:p>
        </w:tc>
        <w:tc>
          <w:tcPr>
            <w:tcW w:w="1134" w:type="dxa"/>
            <w:tcBorders>
              <w:bottom w:val="single" w:sz="4" w:space="0" w:color="auto"/>
            </w:tcBorders>
          </w:tcPr>
          <w:p w14:paraId="4AD3686A" w14:textId="77777777" w:rsidR="00536753" w:rsidRPr="009627FD" w:rsidRDefault="00536753" w:rsidP="00CB2744">
            <w:pPr>
              <w:contextualSpacing/>
              <w:jc w:val="center"/>
              <w:rPr>
                <w:lang w:val="en-US"/>
              </w:rPr>
            </w:pPr>
            <w:r w:rsidRPr="009627FD">
              <w:rPr>
                <w:lang w:val="en-US"/>
              </w:rPr>
              <w:t>.08</w:t>
            </w:r>
          </w:p>
        </w:tc>
        <w:tc>
          <w:tcPr>
            <w:tcW w:w="903" w:type="dxa"/>
            <w:tcBorders>
              <w:bottom w:val="single" w:sz="4" w:space="0" w:color="auto"/>
            </w:tcBorders>
          </w:tcPr>
          <w:p w14:paraId="2B5995A8" w14:textId="77777777" w:rsidR="00536753" w:rsidRPr="009627FD" w:rsidRDefault="00536753" w:rsidP="00CB2744">
            <w:pPr>
              <w:contextualSpacing/>
              <w:jc w:val="center"/>
              <w:rPr>
                <w:lang w:val="en-US"/>
              </w:rPr>
            </w:pPr>
            <w:r w:rsidRPr="009627FD">
              <w:rPr>
                <w:lang w:val="en-US"/>
              </w:rPr>
              <w:t>-.39**</w:t>
            </w:r>
          </w:p>
        </w:tc>
        <w:tc>
          <w:tcPr>
            <w:tcW w:w="1134" w:type="dxa"/>
            <w:tcBorders>
              <w:bottom w:val="single" w:sz="4" w:space="0" w:color="auto"/>
            </w:tcBorders>
          </w:tcPr>
          <w:p w14:paraId="26CF1E22" w14:textId="77777777" w:rsidR="00536753" w:rsidRPr="009627FD" w:rsidRDefault="00536753" w:rsidP="00CB2744">
            <w:pPr>
              <w:contextualSpacing/>
              <w:jc w:val="center"/>
              <w:rPr>
                <w:lang w:val="en-US"/>
              </w:rPr>
            </w:pPr>
            <w:r w:rsidRPr="009627FD">
              <w:rPr>
                <w:lang w:val="en-US"/>
              </w:rPr>
              <w:t>-8.59</w:t>
            </w:r>
          </w:p>
        </w:tc>
        <w:tc>
          <w:tcPr>
            <w:tcW w:w="567" w:type="dxa"/>
            <w:tcBorders>
              <w:bottom w:val="single" w:sz="4" w:space="0" w:color="auto"/>
            </w:tcBorders>
          </w:tcPr>
          <w:p w14:paraId="72C3B87E" w14:textId="77777777" w:rsidR="00536753" w:rsidRPr="009627FD" w:rsidRDefault="00536753" w:rsidP="00CB2744">
            <w:pPr>
              <w:contextualSpacing/>
              <w:jc w:val="center"/>
              <w:rPr>
                <w:lang w:val="en-US"/>
              </w:rPr>
            </w:pPr>
          </w:p>
        </w:tc>
        <w:tc>
          <w:tcPr>
            <w:tcW w:w="708" w:type="dxa"/>
            <w:tcBorders>
              <w:bottom w:val="single" w:sz="4" w:space="0" w:color="auto"/>
            </w:tcBorders>
          </w:tcPr>
          <w:p w14:paraId="5989B82D" w14:textId="77777777" w:rsidR="00536753" w:rsidRPr="009627FD" w:rsidRDefault="00536753" w:rsidP="00CB2744">
            <w:pPr>
              <w:contextualSpacing/>
              <w:jc w:val="center"/>
              <w:rPr>
                <w:lang w:val="en-US"/>
              </w:rPr>
            </w:pPr>
          </w:p>
        </w:tc>
        <w:tc>
          <w:tcPr>
            <w:tcW w:w="1134" w:type="dxa"/>
            <w:tcBorders>
              <w:bottom w:val="single" w:sz="4" w:space="0" w:color="auto"/>
            </w:tcBorders>
          </w:tcPr>
          <w:p w14:paraId="136B80AD" w14:textId="77777777" w:rsidR="00536753" w:rsidRPr="009627FD" w:rsidRDefault="00536753" w:rsidP="00CB2744">
            <w:pPr>
              <w:contextualSpacing/>
              <w:jc w:val="center"/>
              <w:rPr>
                <w:lang w:val="en-US"/>
              </w:rPr>
            </w:pPr>
          </w:p>
        </w:tc>
        <w:tc>
          <w:tcPr>
            <w:tcW w:w="851" w:type="dxa"/>
            <w:tcBorders>
              <w:bottom w:val="single" w:sz="4" w:space="0" w:color="auto"/>
            </w:tcBorders>
          </w:tcPr>
          <w:p w14:paraId="1E3416A9" w14:textId="77777777" w:rsidR="00536753" w:rsidRPr="009627FD" w:rsidRDefault="00536753" w:rsidP="00CB2744">
            <w:pPr>
              <w:contextualSpacing/>
              <w:jc w:val="center"/>
              <w:rPr>
                <w:lang w:val="en-US"/>
              </w:rPr>
            </w:pPr>
          </w:p>
        </w:tc>
        <w:tc>
          <w:tcPr>
            <w:tcW w:w="1559" w:type="dxa"/>
            <w:tcBorders>
              <w:bottom w:val="single" w:sz="4" w:space="0" w:color="auto"/>
            </w:tcBorders>
          </w:tcPr>
          <w:p w14:paraId="4F561282" w14:textId="77777777" w:rsidR="00536753" w:rsidRPr="009627FD" w:rsidRDefault="00536753" w:rsidP="00CB2744">
            <w:pPr>
              <w:contextualSpacing/>
              <w:jc w:val="center"/>
              <w:rPr>
                <w:lang w:val="en-US"/>
              </w:rPr>
            </w:pPr>
            <w:r w:rsidRPr="009627FD">
              <w:rPr>
                <w:lang w:val="en-US"/>
              </w:rPr>
              <w:t>-.84</w:t>
            </w:r>
          </w:p>
        </w:tc>
        <w:tc>
          <w:tcPr>
            <w:tcW w:w="1418" w:type="dxa"/>
            <w:tcBorders>
              <w:bottom w:val="single" w:sz="4" w:space="0" w:color="auto"/>
            </w:tcBorders>
          </w:tcPr>
          <w:p w14:paraId="3410D926" w14:textId="77777777" w:rsidR="00536753" w:rsidRPr="009627FD" w:rsidRDefault="00536753" w:rsidP="00CB2744">
            <w:pPr>
              <w:contextualSpacing/>
              <w:jc w:val="center"/>
              <w:rPr>
                <w:lang w:val="en-US"/>
              </w:rPr>
            </w:pPr>
            <w:r w:rsidRPr="009627FD">
              <w:rPr>
                <w:lang w:val="en-US"/>
              </w:rPr>
              <w:t>-.53</w:t>
            </w:r>
          </w:p>
        </w:tc>
      </w:tr>
      <w:tr w:rsidR="00536753" w:rsidRPr="009627FD" w14:paraId="42C18BDE" w14:textId="77777777" w:rsidTr="00CB2744">
        <w:tc>
          <w:tcPr>
            <w:tcW w:w="5353" w:type="dxa"/>
            <w:tcBorders>
              <w:top w:val="single" w:sz="4" w:space="0" w:color="auto"/>
            </w:tcBorders>
          </w:tcPr>
          <w:p w14:paraId="66B790DB" w14:textId="77777777" w:rsidR="00536753" w:rsidRPr="009627FD" w:rsidRDefault="00536753" w:rsidP="00CB2744">
            <w:pPr>
              <w:contextualSpacing/>
              <w:rPr>
                <w:lang w:val="en-US"/>
              </w:rPr>
            </w:pPr>
            <w:r w:rsidRPr="009627FD">
              <w:rPr>
                <w:lang w:val="en-US"/>
              </w:rPr>
              <w:t>Step 3</w:t>
            </w:r>
          </w:p>
        </w:tc>
        <w:tc>
          <w:tcPr>
            <w:tcW w:w="903" w:type="dxa"/>
            <w:tcBorders>
              <w:top w:val="single" w:sz="4" w:space="0" w:color="auto"/>
            </w:tcBorders>
          </w:tcPr>
          <w:p w14:paraId="2B3D1EEA" w14:textId="77777777" w:rsidR="00536753" w:rsidRPr="009627FD" w:rsidRDefault="00536753" w:rsidP="00CB2744">
            <w:pPr>
              <w:contextualSpacing/>
              <w:jc w:val="center"/>
              <w:rPr>
                <w:lang w:val="en-US"/>
              </w:rPr>
            </w:pPr>
          </w:p>
        </w:tc>
        <w:tc>
          <w:tcPr>
            <w:tcW w:w="1134" w:type="dxa"/>
            <w:tcBorders>
              <w:top w:val="single" w:sz="4" w:space="0" w:color="auto"/>
            </w:tcBorders>
          </w:tcPr>
          <w:p w14:paraId="62D7CC6D" w14:textId="77777777" w:rsidR="00536753" w:rsidRPr="009627FD" w:rsidRDefault="00536753" w:rsidP="00CB2744">
            <w:pPr>
              <w:contextualSpacing/>
              <w:jc w:val="center"/>
              <w:rPr>
                <w:lang w:val="en-US"/>
              </w:rPr>
            </w:pPr>
          </w:p>
        </w:tc>
        <w:tc>
          <w:tcPr>
            <w:tcW w:w="903" w:type="dxa"/>
            <w:tcBorders>
              <w:top w:val="single" w:sz="4" w:space="0" w:color="auto"/>
            </w:tcBorders>
          </w:tcPr>
          <w:p w14:paraId="0BCA4E23" w14:textId="77777777" w:rsidR="00536753" w:rsidRPr="009627FD" w:rsidRDefault="00536753" w:rsidP="00CB2744">
            <w:pPr>
              <w:contextualSpacing/>
              <w:jc w:val="center"/>
              <w:rPr>
                <w:lang w:val="en-US"/>
              </w:rPr>
            </w:pPr>
          </w:p>
        </w:tc>
        <w:tc>
          <w:tcPr>
            <w:tcW w:w="1134" w:type="dxa"/>
            <w:tcBorders>
              <w:top w:val="single" w:sz="4" w:space="0" w:color="auto"/>
            </w:tcBorders>
          </w:tcPr>
          <w:p w14:paraId="6B2454B4" w14:textId="77777777" w:rsidR="00536753" w:rsidRPr="009627FD" w:rsidRDefault="00536753" w:rsidP="00CB2744">
            <w:pPr>
              <w:contextualSpacing/>
              <w:jc w:val="center"/>
              <w:rPr>
                <w:lang w:val="en-US"/>
              </w:rPr>
            </w:pPr>
          </w:p>
        </w:tc>
        <w:tc>
          <w:tcPr>
            <w:tcW w:w="567" w:type="dxa"/>
            <w:tcBorders>
              <w:top w:val="single" w:sz="4" w:space="0" w:color="auto"/>
            </w:tcBorders>
          </w:tcPr>
          <w:p w14:paraId="6BD25BDF" w14:textId="77777777" w:rsidR="00536753" w:rsidRPr="009627FD" w:rsidRDefault="00536753" w:rsidP="00CB2744">
            <w:pPr>
              <w:contextualSpacing/>
              <w:jc w:val="center"/>
              <w:rPr>
                <w:lang w:val="en-US"/>
              </w:rPr>
            </w:pPr>
            <w:r w:rsidRPr="009627FD">
              <w:rPr>
                <w:lang w:val="en-US"/>
              </w:rPr>
              <w:t>.49</w:t>
            </w:r>
          </w:p>
        </w:tc>
        <w:tc>
          <w:tcPr>
            <w:tcW w:w="708" w:type="dxa"/>
            <w:tcBorders>
              <w:top w:val="single" w:sz="4" w:space="0" w:color="auto"/>
            </w:tcBorders>
          </w:tcPr>
          <w:p w14:paraId="001B7C2B" w14:textId="77777777" w:rsidR="00536753" w:rsidRPr="009627FD" w:rsidRDefault="00536753" w:rsidP="00CB2744">
            <w:pPr>
              <w:contextualSpacing/>
              <w:jc w:val="center"/>
              <w:rPr>
                <w:lang w:val="en-US"/>
              </w:rPr>
            </w:pPr>
            <w:r w:rsidRPr="009627FD">
              <w:rPr>
                <w:lang w:val="en-US"/>
              </w:rPr>
              <w:t>.24</w:t>
            </w:r>
          </w:p>
        </w:tc>
        <w:tc>
          <w:tcPr>
            <w:tcW w:w="1134" w:type="dxa"/>
            <w:tcBorders>
              <w:top w:val="single" w:sz="4" w:space="0" w:color="auto"/>
            </w:tcBorders>
          </w:tcPr>
          <w:p w14:paraId="39771E5E" w14:textId="77777777" w:rsidR="00536753" w:rsidRPr="009627FD" w:rsidRDefault="00536753" w:rsidP="00CB2744">
            <w:pPr>
              <w:contextualSpacing/>
              <w:jc w:val="center"/>
              <w:rPr>
                <w:lang w:val="en-US"/>
              </w:rPr>
            </w:pPr>
            <w:r w:rsidRPr="009627FD">
              <w:rPr>
                <w:lang w:val="en-US"/>
              </w:rPr>
              <w:t>.23</w:t>
            </w:r>
          </w:p>
        </w:tc>
        <w:tc>
          <w:tcPr>
            <w:tcW w:w="851" w:type="dxa"/>
            <w:tcBorders>
              <w:top w:val="single" w:sz="4" w:space="0" w:color="auto"/>
            </w:tcBorders>
          </w:tcPr>
          <w:p w14:paraId="29D4BE17" w14:textId="77777777" w:rsidR="00536753" w:rsidRPr="009627FD" w:rsidRDefault="00536753" w:rsidP="00CB2744">
            <w:pPr>
              <w:contextualSpacing/>
              <w:jc w:val="center"/>
              <w:rPr>
                <w:lang w:val="en-US"/>
              </w:rPr>
            </w:pPr>
            <w:r w:rsidRPr="009627FD">
              <w:rPr>
                <w:lang w:val="en-US"/>
              </w:rPr>
              <w:t>.04**</w:t>
            </w:r>
          </w:p>
        </w:tc>
        <w:tc>
          <w:tcPr>
            <w:tcW w:w="1559" w:type="dxa"/>
            <w:tcBorders>
              <w:top w:val="single" w:sz="4" w:space="0" w:color="auto"/>
            </w:tcBorders>
          </w:tcPr>
          <w:p w14:paraId="618D3439" w14:textId="77777777" w:rsidR="00536753" w:rsidRPr="009627FD" w:rsidRDefault="00536753" w:rsidP="00CB2744">
            <w:pPr>
              <w:contextualSpacing/>
              <w:jc w:val="center"/>
              <w:rPr>
                <w:lang w:val="en-US"/>
              </w:rPr>
            </w:pPr>
          </w:p>
        </w:tc>
        <w:tc>
          <w:tcPr>
            <w:tcW w:w="1418" w:type="dxa"/>
            <w:tcBorders>
              <w:top w:val="single" w:sz="4" w:space="0" w:color="auto"/>
            </w:tcBorders>
          </w:tcPr>
          <w:p w14:paraId="01194D92" w14:textId="77777777" w:rsidR="00536753" w:rsidRPr="009627FD" w:rsidRDefault="00536753" w:rsidP="00CB2744">
            <w:pPr>
              <w:contextualSpacing/>
              <w:jc w:val="center"/>
              <w:rPr>
                <w:lang w:val="en-US"/>
              </w:rPr>
            </w:pPr>
          </w:p>
        </w:tc>
      </w:tr>
      <w:tr w:rsidR="00536753" w:rsidRPr="009627FD" w14:paraId="7CE38268" w14:textId="77777777" w:rsidTr="00CB2744">
        <w:tc>
          <w:tcPr>
            <w:tcW w:w="5353" w:type="dxa"/>
          </w:tcPr>
          <w:p w14:paraId="161F9579" w14:textId="77777777" w:rsidR="00536753" w:rsidRPr="009627FD" w:rsidRDefault="00536753" w:rsidP="00CB2744">
            <w:pPr>
              <w:contextualSpacing/>
              <w:rPr>
                <w:lang w:val="en-US"/>
              </w:rPr>
            </w:pPr>
            <w:r w:rsidRPr="009627FD">
              <w:rPr>
                <w:lang w:val="en-US"/>
              </w:rPr>
              <w:t>Age</w:t>
            </w:r>
          </w:p>
        </w:tc>
        <w:tc>
          <w:tcPr>
            <w:tcW w:w="903" w:type="dxa"/>
          </w:tcPr>
          <w:p w14:paraId="54B60F62" w14:textId="77777777" w:rsidR="00536753" w:rsidRPr="009627FD" w:rsidRDefault="00536753" w:rsidP="00CB2744">
            <w:pPr>
              <w:contextualSpacing/>
              <w:jc w:val="center"/>
              <w:rPr>
                <w:lang w:val="en-US"/>
              </w:rPr>
            </w:pPr>
            <w:r w:rsidRPr="009627FD">
              <w:rPr>
                <w:lang w:val="en-US"/>
              </w:rPr>
              <w:t>-.01</w:t>
            </w:r>
          </w:p>
        </w:tc>
        <w:tc>
          <w:tcPr>
            <w:tcW w:w="1134" w:type="dxa"/>
          </w:tcPr>
          <w:p w14:paraId="677906EE" w14:textId="77777777" w:rsidR="00536753" w:rsidRPr="009627FD" w:rsidRDefault="00536753" w:rsidP="00CB2744">
            <w:pPr>
              <w:contextualSpacing/>
              <w:jc w:val="center"/>
              <w:rPr>
                <w:lang w:val="en-US"/>
              </w:rPr>
            </w:pPr>
            <w:r w:rsidRPr="009627FD">
              <w:rPr>
                <w:lang w:val="en-US"/>
              </w:rPr>
              <w:t>.01</w:t>
            </w:r>
          </w:p>
        </w:tc>
        <w:tc>
          <w:tcPr>
            <w:tcW w:w="903" w:type="dxa"/>
          </w:tcPr>
          <w:p w14:paraId="290BBA9E" w14:textId="77777777" w:rsidR="00536753" w:rsidRPr="009627FD" w:rsidRDefault="00536753" w:rsidP="00CB2744">
            <w:pPr>
              <w:contextualSpacing/>
              <w:jc w:val="center"/>
              <w:rPr>
                <w:lang w:val="en-US"/>
              </w:rPr>
            </w:pPr>
            <w:r w:rsidRPr="009627FD">
              <w:rPr>
                <w:lang w:val="en-US"/>
              </w:rPr>
              <w:t>-.04</w:t>
            </w:r>
          </w:p>
        </w:tc>
        <w:tc>
          <w:tcPr>
            <w:tcW w:w="1134" w:type="dxa"/>
          </w:tcPr>
          <w:p w14:paraId="4203174A" w14:textId="77777777" w:rsidR="00536753" w:rsidRPr="009627FD" w:rsidRDefault="00536753" w:rsidP="00CB2744">
            <w:pPr>
              <w:contextualSpacing/>
              <w:jc w:val="center"/>
              <w:rPr>
                <w:lang w:val="en-US"/>
              </w:rPr>
            </w:pPr>
            <w:r w:rsidRPr="009627FD">
              <w:rPr>
                <w:lang w:val="en-US"/>
              </w:rPr>
              <w:t>-.97</w:t>
            </w:r>
          </w:p>
        </w:tc>
        <w:tc>
          <w:tcPr>
            <w:tcW w:w="567" w:type="dxa"/>
          </w:tcPr>
          <w:p w14:paraId="0BA14E33" w14:textId="77777777" w:rsidR="00536753" w:rsidRPr="009627FD" w:rsidRDefault="00536753" w:rsidP="00CB2744">
            <w:pPr>
              <w:contextualSpacing/>
              <w:jc w:val="center"/>
              <w:rPr>
                <w:lang w:val="en-US"/>
              </w:rPr>
            </w:pPr>
          </w:p>
        </w:tc>
        <w:tc>
          <w:tcPr>
            <w:tcW w:w="708" w:type="dxa"/>
          </w:tcPr>
          <w:p w14:paraId="4641A59C" w14:textId="77777777" w:rsidR="00536753" w:rsidRPr="009627FD" w:rsidRDefault="00536753" w:rsidP="00CB2744">
            <w:pPr>
              <w:contextualSpacing/>
              <w:jc w:val="center"/>
              <w:rPr>
                <w:lang w:val="en-US"/>
              </w:rPr>
            </w:pPr>
          </w:p>
        </w:tc>
        <w:tc>
          <w:tcPr>
            <w:tcW w:w="1134" w:type="dxa"/>
          </w:tcPr>
          <w:p w14:paraId="5F7B3C85" w14:textId="77777777" w:rsidR="00536753" w:rsidRPr="009627FD" w:rsidRDefault="00536753" w:rsidP="00CB2744">
            <w:pPr>
              <w:contextualSpacing/>
              <w:jc w:val="center"/>
              <w:rPr>
                <w:lang w:val="en-US"/>
              </w:rPr>
            </w:pPr>
          </w:p>
        </w:tc>
        <w:tc>
          <w:tcPr>
            <w:tcW w:w="851" w:type="dxa"/>
          </w:tcPr>
          <w:p w14:paraId="15CD94E8" w14:textId="77777777" w:rsidR="00536753" w:rsidRPr="009627FD" w:rsidRDefault="00536753" w:rsidP="00CB2744">
            <w:pPr>
              <w:contextualSpacing/>
              <w:jc w:val="center"/>
              <w:rPr>
                <w:lang w:val="en-US"/>
              </w:rPr>
            </w:pPr>
          </w:p>
        </w:tc>
        <w:tc>
          <w:tcPr>
            <w:tcW w:w="1559" w:type="dxa"/>
          </w:tcPr>
          <w:p w14:paraId="0AD652EA" w14:textId="77777777" w:rsidR="00536753" w:rsidRPr="009627FD" w:rsidRDefault="00536753" w:rsidP="00CB2744">
            <w:pPr>
              <w:contextualSpacing/>
              <w:jc w:val="center"/>
              <w:rPr>
                <w:lang w:val="en-US"/>
              </w:rPr>
            </w:pPr>
            <w:r w:rsidRPr="009627FD">
              <w:rPr>
                <w:lang w:val="en-US"/>
              </w:rPr>
              <w:t>-.04</w:t>
            </w:r>
          </w:p>
        </w:tc>
        <w:tc>
          <w:tcPr>
            <w:tcW w:w="1418" w:type="dxa"/>
          </w:tcPr>
          <w:p w14:paraId="5B378B2F" w14:textId="77777777" w:rsidR="00536753" w:rsidRPr="009627FD" w:rsidRDefault="00536753" w:rsidP="00CB2744">
            <w:pPr>
              <w:contextualSpacing/>
              <w:jc w:val="center"/>
              <w:rPr>
                <w:lang w:val="en-US"/>
              </w:rPr>
            </w:pPr>
            <w:r w:rsidRPr="009627FD">
              <w:rPr>
                <w:lang w:val="en-US"/>
              </w:rPr>
              <w:t>-.12</w:t>
            </w:r>
          </w:p>
        </w:tc>
      </w:tr>
      <w:tr w:rsidR="00536753" w:rsidRPr="009627FD" w14:paraId="4541BC89" w14:textId="77777777" w:rsidTr="00CB2744">
        <w:tc>
          <w:tcPr>
            <w:tcW w:w="5353" w:type="dxa"/>
          </w:tcPr>
          <w:p w14:paraId="3F0EC50B" w14:textId="77777777" w:rsidR="00536753" w:rsidRPr="009627FD" w:rsidRDefault="00536753" w:rsidP="00CB2744">
            <w:pPr>
              <w:contextualSpacing/>
              <w:rPr>
                <w:lang w:val="en-US"/>
              </w:rPr>
            </w:pPr>
            <w:r w:rsidRPr="009627FD">
              <w:rPr>
                <w:lang w:val="en-US"/>
              </w:rPr>
              <w:t>Gender</w:t>
            </w:r>
          </w:p>
        </w:tc>
        <w:tc>
          <w:tcPr>
            <w:tcW w:w="903" w:type="dxa"/>
          </w:tcPr>
          <w:p w14:paraId="34AA1B2D" w14:textId="77777777" w:rsidR="00536753" w:rsidRPr="009627FD" w:rsidRDefault="00536753" w:rsidP="00CB2744">
            <w:pPr>
              <w:contextualSpacing/>
              <w:jc w:val="center"/>
              <w:rPr>
                <w:lang w:val="en-US"/>
              </w:rPr>
            </w:pPr>
            <w:r w:rsidRPr="009627FD">
              <w:rPr>
                <w:lang w:val="en-US"/>
              </w:rPr>
              <w:t>1.39</w:t>
            </w:r>
          </w:p>
        </w:tc>
        <w:tc>
          <w:tcPr>
            <w:tcW w:w="1134" w:type="dxa"/>
          </w:tcPr>
          <w:p w14:paraId="7CE16190" w14:textId="77777777" w:rsidR="00536753" w:rsidRPr="009627FD" w:rsidRDefault="00536753" w:rsidP="00CB2744">
            <w:pPr>
              <w:contextualSpacing/>
              <w:jc w:val="center"/>
              <w:rPr>
                <w:lang w:val="en-US"/>
              </w:rPr>
            </w:pPr>
            <w:r w:rsidRPr="009627FD">
              <w:rPr>
                <w:lang w:val="en-US"/>
              </w:rPr>
              <w:t>.39</w:t>
            </w:r>
          </w:p>
        </w:tc>
        <w:tc>
          <w:tcPr>
            <w:tcW w:w="903" w:type="dxa"/>
          </w:tcPr>
          <w:p w14:paraId="6D68D7CE" w14:textId="77777777" w:rsidR="00536753" w:rsidRPr="009627FD" w:rsidRDefault="00536753" w:rsidP="00CB2744">
            <w:pPr>
              <w:contextualSpacing/>
              <w:jc w:val="center"/>
              <w:rPr>
                <w:lang w:val="en-US"/>
              </w:rPr>
            </w:pPr>
            <w:r w:rsidRPr="009627FD">
              <w:rPr>
                <w:lang w:val="en-US"/>
              </w:rPr>
              <w:t>.14**</w:t>
            </w:r>
          </w:p>
        </w:tc>
        <w:tc>
          <w:tcPr>
            <w:tcW w:w="1134" w:type="dxa"/>
          </w:tcPr>
          <w:p w14:paraId="6A2BFBD6" w14:textId="77777777" w:rsidR="00536753" w:rsidRPr="009627FD" w:rsidRDefault="00536753" w:rsidP="00CB2744">
            <w:pPr>
              <w:contextualSpacing/>
              <w:jc w:val="center"/>
              <w:rPr>
                <w:lang w:val="en-US"/>
              </w:rPr>
            </w:pPr>
            <w:r w:rsidRPr="009627FD">
              <w:rPr>
                <w:lang w:val="en-US"/>
              </w:rPr>
              <w:t>3.58</w:t>
            </w:r>
          </w:p>
        </w:tc>
        <w:tc>
          <w:tcPr>
            <w:tcW w:w="567" w:type="dxa"/>
          </w:tcPr>
          <w:p w14:paraId="34692047" w14:textId="77777777" w:rsidR="00536753" w:rsidRPr="009627FD" w:rsidRDefault="00536753" w:rsidP="00CB2744">
            <w:pPr>
              <w:contextualSpacing/>
              <w:jc w:val="center"/>
              <w:rPr>
                <w:lang w:val="en-US"/>
              </w:rPr>
            </w:pPr>
          </w:p>
        </w:tc>
        <w:tc>
          <w:tcPr>
            <w:tcW w:w="708" w:type="dxa"/>
          </w:tcPr>
          <w:p w14:paraId="40080DF9" w14:textId="77777777" w:rsidR="00536753" w:rsidRPr="009627FD" w:rsidRDefault="00536753" w:rsidP="00CB2744">
            <w:pPr>
              <w:contextualSpacing/>
              <w:jc w:val="center"/>
              <w:rPr>
                <w:lang w:val="en-US"/>
              </w:rPr>
            </w:pPr>
          </w:p>
        </w:tc>
        <w:tc>
          <w:tcPr>
            <w:tcW w:w="1134" w:type="dxa"/>
          </w:tcPr>
          <w:p w14:paraId="100CDC8E" w14:textId="77777777" w:rsidR="00536753" w:rsidRPr="009627FD" w:rsidRDefault="00536753" w:rsidP="00CB2744">
            <w:pPr>
              <w:contextualSpacing/>
              <w:jc w:val="center"/>
              <w:rPr>
                <w:lang w:val="en-US"/>
              </w:rPr>
            </w:pPr>
          </w:p>
        </w:tc>
        <w:tc>
          <w:tcPr>
            <w:tcW w:w="851" w:type="dxa"/>
          </w:tcPr>
          <w:p w14:paraId="5875F7EB" w14:textId="77777777" w:rsidR="00536753" w:rsidRPr="009627FD" w:rsidRDefault="00536753" w:rsidP="00CB2744">
            <w:pPr>
              <w:contextualSpacing/>
              <w:jc w:val="center"/>
              <w:rPr>
                <w:lang w:val="en-US"/>
              </w:rPr>
            </w:pPr>
          </w:p>
        </w:tc>
        <w:tc>
          <w:tcPr>
            <w:tcW w:w="1559" w:type="dxa"/>
          </w:tcPr>
          <w:p w14:paraId="40B4E563" w14:textId="77777777" w:rsidR="00536753" w:rsidRPr="009627FD" w:rsidRDefault="00536753" w:rsidP="00CB2744">
            <w:pPr>
              <w:contextualSpacing/>
              <w:jc w:val="center"/>
              <w:rPr>
                <w:lang w:val="en-US"/>
              </w:rPr>
            </w:pPr>
            <w:r w:rsidRPr="009627FD">
              <w:rPr>
                <w:lang w:val="en-US"/>
              </w:rPr>
              <w:t>.62</w:t>
            </w:r>
          </w:p>
        </w:tc>
        <w:tc>
          <w:tcPr>
            <w:tcW w:w="1418" w:type="dxa"/>
          </w:tcPr>
          <w:p w14:paraId="76D0D9D5" w14:textId="77777777" w:rsidR="00536753" w:rsidRPr="009627FD" w:rsidRDefault="00536753" w:rsidP="00CB2744">
            <w:pPr>
              <w:contextualSpacing/>
              <w:jc w:val="center"/>
              <w:rPr>
                <w:lang w:val="en-US"/>
              </w:rPr>
            </w:pPr>
            <w:r w:rsidRPr="009627FD">
              <w:rPr>
                <w:lang w:val="en-US"/>
              </w:rPr>
              <w:t>2.15</w:t>
            </w:r>
          </w:p>
        </w:tc>
      </w:tr>
      <w:tr w:rsidR="00536753" w:rsidRPr="009627FD" w14:paraId="7F632FE1" w14:textId="77777777" w:rsidTr="00CB2744">
        <w:tc>
          <w:tcPr>
            <w:tcW w:w="5353" w:type="dxa"/>
          </w:tcPr>
          <w:p w14:paraId="05EAACDD" w14:textId="77777777" w:rsidR="00536753" w:rsidRPr="009627FD" w:rsidRDefault="00536753" w:rsidP="00CB2744">
            <w:pPr>
              <w:contextualSpacing/>
              <w:rPr>
                <w:lang w:val="en-US"/>
              </w:rPr>
            </w:pPr>
            <w:r w:rsidRPr="009627FD">
              <w:rPr>
                <w:lang w:val="en-US"/>
              </w:rPr>
              <w:t>BFI-10-Agreeableness</w:t>
            </w:r>
          </w:p>
        </w:tc>
        <w:tc>
          <w:tcPr>
            <w:tcW w:w="903" w:type="dxa"/>
          </w:tcPr>
          <w:p w14:paraId="16F64CA4" w14:textId="77777777" w:rsidR="00536753" w:rsidRPr="009627FD" w:rsidRDefault="00536753" w:rsidP="00CB2744">
            <w:pPr>
              <w:contextualSpacing/>
              <w:jc w:val="center"/>
              <w:rPr>
                <w:lang w:val="en-US"/>
              </w:rPr>
            </w:pPr>
            <w:r w:rsidRPr="009627FD">
              <w:rPr>
                <w:lang w:val="en-US"/>
              </w:rPr>
              <w:t>-.03</w:t>
            </w:r>
          </w:p>
        </w:tc>
        <w:tc>
          <w:tcPr>
            <w:tcW w:w="1134" w:type="dxa"/>
          </w:tcPr>
          <w:p w14:paraId="01E6E575" w14:textId="77777777" w:rsidR="00536753" w:rsidRPr="009627FD" w:rsidRDefault="00536753" w:rsidP="00CB2744">
            <w:pPr>
              <w:contextualSpacing/>
              <w:jc w:val="center"/>
              <w:rPr>
                <w:lang w:val="en-US"/>
              </w:rPr>
            </w:pPr>
            <w:r w:rsidRPr="009627FD">
              <w:rPr>
                <w:lang w:val="en-US"/>
              </w:rPr>
              <w:t>.10</w:t>
            </w:r>
          </w:p>
        </w:tc>
        <w:tc>
          <w:tcPr>
            <w:tcW w:w="903" w:type="dxa"/>
          </w:tcPr>
          <w:p w14:paraId="11FD5D9F" w14:textId="77777777" w:rsidR="00536753" w:rsidRPr="009627FD" w:rsidRDefault="00536753" w:rsidP="00CB2744">
            <w:pPr>
              <w:contextualSpacing/>
              <w:jc w:val="center"/>
              <w:rPr>
                <w:lang w:val="en-US"/>
              </w:rPr>
            </w:pPr>
            <w:r w:rsidRPr="009627FD">
              <w:rPr>
                <w:lang w:val="en-US"/>
              </w:rPr>
              <w:t>-.01</w:t>
            </w:r>
          </w:p>
        </w:tc>
        <w:tc>
          <w:tcPr>
            <w:tcW w:w="1134" w:type="dxa"/>
          </w:tcPr>
          <w:p w14:paraId="3FFD655F" w14:textId="77777777" w:rsidR="00536753" w:rsidRPr="009627FD" w:rsidRDefault="00536753" w:rsidP="00CB2744">
            <w:pPr>
              <w:contextualSpacing/>
              <w:jc w:val="center"/>
              <w:rPr>
                <w:lang w:val="en-US"/>
              </w:rPr>
            </w:pPr>
            <w:r w:rsidRPr="009627FD">
              <w:rPr>
                <w:lang w:val="en-US"/>
              </w:rPr>
              <w:t>-.29</w:t>
            </w:r>
          </w:p>
        </w:tc>
        <w:tc>
          <w:tcPr>
            <w:tcW w:w="567" w:type="dxa"/>
          </w:tcPr>
          <w:p w14:paraId="7726B85D" w14:textId="77777777" w:rsidR="00536753" w:rsidRPr="009627FD" w:rsidRDefault="00536753" w:rsidP="00CB2744">
            <w:pPr>
              <w:contextualSpacing/>
              <w:jc w:val="center"/>
              <w:rPr>
                <w:lang w:val="en-US"/>
              </w:rPr>
            </w:pPr>
          </w:p>
        </w:tc>
        <w:tc>
          <w:tcPr>
            <w:tcW w:w="708" w:type="dxa"/>
          </w:tcPr>
          <w:p w14:paraId="237BB33C" w14:textId="77777777" w:rsidR="00536753" w:rsidRPr="009627FD" w:rsidRDefault="00536753" w:rsidP="00CB2744">
            <w:pPr>
              <w:contextualSpacing/>
              <w:jc w:val="center"/>
              <w:rPr>
                <w:lang w:val="en-US"/>
              </w:rPr>
            </w:pPr>
          </w:p>
        </w:tc>
        <w:tc>
          <w:tcPr>
            <w:tcW w:w="1134" w:type="dxa"/>
          </w:tcPr>
          <w:p w14:paraId="5B97CA8E" w14:textId="77777777" w:rsidR="00536753" w:rsidRPr="009627FD" w:rsidRDefault="00536753" w:rsidP="00CB2744">
            <w:pPr>
              <w:contextualSpacing/>
              <w:jc w:val="center"/>
              <w:rPr>
                <w:lang w:val="en-US"/>
              </w:rPr>
            </w:pPr>
          </w:p>
        </w:tc>
        <w:tc>
          <w:tcPr>
            <w:tcW w:w="851" w:type="dxa"/>
          </w:tcPr>
          <w:p w14:paraId="6942878B" w14:textId="77777777" w:rsidR="00536753" w:rsidRPr="009627FD" w:rsidRDefault="00536753" w:rsidP="00CB2744">
            <w:pPr>
              <w:contextualSpacing/>
              <w:jc w:val="center"/>
              <w:rPr>
                <w:lang w:val="en-US"/>
              </w:rPr>
            </w:pPr>
          </w:p>
        </w:tc>
        <w:tc>
          <w:tcPr>
            <w:tcW w:w="1559" w:type="dxa"/>
          </w:tcPr>
          <w:p w14:paraId="3856D728" w14:textId="77777777" w:rsidR="00536753" w:rsidRPr="009627FD" w:rsidRDefault="00536753" w:rsidP="00CB2744">
            <w:pPr>
              <w:contextualSpacing/>
              <w:jc w:val="center"/>
              <w:rPr>
                <w:lang w:val="en-US"/>
              </w:rPr>
            </w:pPr>
            <w:r w:rsidRPr="009627FD">
              <w:rPr>
                <w:lang w:val="en-US"/>
              </w:rPr>
              <w:t>-.22</w:t>
            </w:r>
          </w:p>
        </w:tc>
        <w:tc>
          <w:tcPr>
            <w:tcW w:w="1418" w:type="dxa"/>
          </w:tcPr>
          <w:p w14:paraId="7688F670" w14:textId="77777777" w:rsidR="00536753" w:rsidRPr="009627FD" w:rsidRDefault="00536753" w:rsidP="00CB2744">
            <w:pPr>
              <w:contextualSpacing/>
              <w:jc w:val="center"/>
              <w:rPr>
                <w:lang w:val="en-US"/>
              </w:rPr>
            </w:pPr>
            <w:r w:rsidRPr="009627FD">
              <w:rPr>
                <w:lang w:val="en-US"/>
              </w:rPr>
              <w:t>-.17</w:t>
            </w:r>
          </w:p>
        </w:tc>
      </w:tr>
      <w:tr w:rsidR="00536753" w:rsidRPr="009627FD" w14:paraId="5EDF3E73" w14:textId="77777777" w:rsidTr="00CB2744">
        <w:tc>
          <w:tcPr>
            <w:tcW w:w="5353" w:type="dxa"/>
          </w:tcPr>
          <w:p w14:paraId="1B30BB0F" w14:textId="77777777" w:rsidR="00536753" w:rsidRPr="009627FD" w:rsidRDefault="00536753" w:rsidP="00CB2744">
            <w:pPr>
              <w:contextualSpacing/>
              <w:rPr>
                <w:lang w:val="en-US"/>
              </w:rPr>
            </w:pPr>
            <w:r w:rsidRPr="009627FD">
              <w:rPr>
                <w:lang w:val="en-US"/>
              </w:rPr>
              <w:t>BFI-10-Conscientiousness</w:t>
            </w:r>
          </w:p>
        </w:tc>
        <w:tc>
          <w:tcPr>
            <w:tcW w:w="903" w:type="dxa"/>
          </w:tcPr>
          <w:p w14:paraId="3784ECB7" w14:textId="77777777" w:rsidR="00536753" w:rsidRPr="009627FD" w:rsidRDefault="00536753" w:rsidP="00CB2744">
            <w:pPr>
              <w:contextualSpacing/>
              <w:jc w:val="center"/>
              <w:rPr>
                <w:lang w:val="en-US"/>
              </w:rPr>
            </w:pPr>
            <w:r w:rsidRPr="009627FD">
              <w:rPr>
                <w:lang w:val="en-US"/>
              </w:rPr>
              <w:t>-.06</w:t>
            </w:r>
          </w:p>
        </w:tc>
        <w:tc>
          <w:tcPr>
            <w:tcW w:w="1134" w:type="dxa"/>
          </w:tcPr>
          <w:p w14:paraId="017A0027" w14:textId="77777777" w:rsidR="00536753" w:rsidRPr="009627FD" w:rsidRDefault="00536753" w:rsidP="00CB2744">
            <w:pPr>
              <w:contextualSpacing/>
              <w:jc w:val="center"/>
              <w:rPr>
                <w:lang w:val="en-US"/>
              </w:rPr>
            </w:pPr>
            <w:r w:rsidRPr="009627FD">
              <w:rPr>
                <w:lang w:val="en-US"/>
              </w:rPr>
              <w:t>.11</w:t>
            </w:r>
          </w:p>
        </w:tc>
        <w:tc>
          <w:tcPr>
            <w:tcW w:w="903" w:type="dxa"/>
          </w:tcPr>
          <w:p w14:paraId="40647936" w14:textId="77777777" w:rsidR="00536753" w:rsidRPr="009627FD" w:rsidRDefault="00536753" w:rsidP="00CB2744">
            <w:pPr>
              <w:contextualSpacing/>
              <w:jc w:val="center"/>
              <w:rPr>
                <w:lang w:val="en-US"/>
              </w:rPr>
            </w:pPr>
            <w:r w:rsidRPr="009627FD">
              <w:rPr>
                <w:lang w:val="en-US"/>
              </w:rPr>
              <w:t>-.03</w:t>
            </w:r>
          </w:p>
        </w:tc>
        <w:tc>
          <w:tcPr>
            <w:tcW w:w="1134" w:type="dxa"/>
          </w:tcPr>
          <w:p w14:paraId="698AEA6D" w14:textId="77777777" w:rsidR="00536753" w:rsidRPr="009627FD" w:rsidRDefault="00536753" w:rsidP="00CB2744">
            <w:pPr>
              <w:contextualSpacing/>
              <w:jc w:val="center"/>
              <w:rPr>
                <w:lang w:val="en-US"/>
              </w:rPr>
            </w:pPr>
            <w:r w:rsidRPr="009627FD">
              <w:rPr>
                <w:lang w:val="en-US"/>
              </w:rPr>
              <w:t>-.60</w:t>
            </w:r>
          </w:p>
        </w:tc>
        <w:tc>
          <w:tcPr>
            <w:tcW w:w="567" w:type="dxa"/>
          </w:tcPr>
          <w:p w14:paraId="11504CCA" w14:textId="77777777" w:rsidR="00536753" w:rsidRPr="009627FD" w:rsidRDefault="00536753" w:rsidP="00CB2744">
            <w:pPr>
              <w:contextualSpacing/>
              <w:jc w:val="center"/>
              <w:rPr>
                <w:lang w:val="en-US"/>
              </w:rPr>
            </w:pPr>
          </w:p>
        </w:tc>
        <w:tc>
          <w:tcPr>
            <w:tcW w:w="708" w:type="dxa"/>
          </w:tcPr>
          <w:p w14:paraId="509E9828" w14:textId="77777777" w:rsidR="00536753" w:rsidRPr="009627FD" w:rsidRDefault="00536753" w:rsidP="00CB2744">
            <w:pPr>
              <w:contextualSpacing/>
              <w:jc w:val="center"/>
              <w:rPr>
                <w:lang w:val="en-US"/>
              </w:rPr>
            </w:pPr>
          </w:p>
        </w:tc>
        <w:tc>
          <w:tcPr>
            <w:tcW w:w="1134" w:type="dxa"/>
          </w:tcPr>
          <w:p w14:paraId="6F4007E7" w14:textId="77777777" w:rsidR="00536753" w:rsidRPr="009627FD" w:rsidRDefault="00536753" w:rsidP="00CB2744">
            <w:pPr>
              <w:contextualSpacing/>
              <w:jc w:val="center"/>
              <w:rPr>
                <w:lang w:val="en-US"/>
              </w:rPr>
            </w:pPr>
          </w:p>
        </w:tc>
        <w:tc>
          <w:tcPr>
            <w:tcW w:w="851" w:type="dxa"/>
          </w:tcPr>
          <w:p w14:paraId="067C0CCD" w14:textId="77777777" w:rsidR="00536753" w:rsidRPr="009627FD" w:rsidRDefault="00536753" w:rsidP="00CB2744">
            <w:pPr>
              <w:contextualSpacing/>
              <w:jc w:val="center"/>
              <w:rPr>
                <w:lang w:val="en-US"/>
              </w:rPr>
            </w:pPr>
          </w:p>
        </w:tc>
        <w:tc>
          <w:tcPr>
            <w:tcW w:w="1559" w:type="dxa"/>
          </w:tcPr>
          <w:p w14:paraId="6003CCE4" w14:textId="77777777" w:rsidR="00536753" w:rsidRPr="009627FD" w:rsidRDefault="00536753" w:rsidP="00CB2744">
            <w:pPr>
              <w:contextualSpacing/>
              <w:jc w:val="center"/>
              <w:rPr>
                <w:lang w:val="en-US"/>
              </w:rPr>
            </w:pPr>
            <w:r w:rsidRPr="009627FD">
              <w:rPr>
                <w:lang w:val="en-US"/>
              </w:rPr>
              <w:t>-.28</w:t>
            </w:r>
          </w:p>
        </w:tc>
        <w:tc>
          <w:tcPr>
            <w:tcW w:w="1418" w:type="dxa"/>
          </w:tcPr>
          <w:p w14:paraId="0CD83E6B" w14:textId="77777777" w:rsidR="00536753" w:rsidRPr="009627FD" w:rsidRDefault="00536753" w:rsidP="00CB2744">
            <w:pPr>
              <w:contextualSpacing/>
              <w:jc w:val="center"/>
              <w:rPr>
                <w:lang w:val="en-US"/>
              </w:rPr>
            </w:pPr>
            <w:r w:rsidRPr="009627FD">
              <w:rPr>
                <w:lang w:val="en-US"/>
              </w:rPr>
              <w:t>.15</w:t>
            </w:r>
          </w:p>
        </w:tc>
      </w:tr>
      <w:tr w:rsidR="00536753" w:rsidRPr="009627FD" w14:paraId="1E2D81B6" w14:textId="77777777" w:rsidTr="00CB2744">
        <w:tc>
          <w:tcPr>
            <w:tcW w:w="5353" w:type="dxa"/>
          </w:tcPr>
          <w:p w14:paraId="356BA8BB" w14:textId="77777777" w:rsidR="00536753" w:rsidRPr="009627FD" w:rsidRDefault="00536753" w:rsidP="00CB2744">
            <w:pPr>
              <w:contextualSpacing/>
              <w:rPr>
                <w:lang w:val="en-US"/>
              </w:rPr>
            </w:pPr>
            <w:r w:rsidRPr="009627FD">
              <w:rPr>
                <w:lang w:val="en-US"/>
              </w:rPr>
              <w:t>BFI-10-Emotional stability</w:t>
            </w:r>
          </w:p>
        </w:tc>
        <w:tc>
          <w:tcPr>
            <w:tcW w:w="903" w:type="dxa"/>
          </w:tcPr>
          <w:p w14:paraId="7E34D76F" w14:textId="77777777" w:rsidR="00536753" w:rsidRPr="009627FD" w:rsidRDefault="00536753" w:rsidP="00CB2744">
            <w:pPr>
              <w:contextualSpacing/>
              <w:jc w:val="center"/>
              <w:rPr>
                <w:lang w:val="en-US"/>
              </w:rPr>
            </w:pPr>
            <w:r w:rsidRPr="009627FD">
              <w:rPr>
                <w:lang w:val="en-US"/>
              </w:rPr>
              <w:t>-.64</w:t>
            </w:r>
          </w:p>
        </w:tc>
        <w:tc>
          <w:tcPr>
            <w:tcW w:w="1134" w:type="dxa"/>
          </w:tcPr>
          <w:p w14:paraId="4C39C4CB" w14:textId="77777777" w:rsidR="00536753" w:rsidRPr="009627FD" w:rsidRDefault="00536753" w:rsidP="00CB2744">
            <w:pPr>
              <w:contextualSpacing/>
              <w:jc w:val="center"/>
              <w:rPr>
                <w:lang w:val="en-US"/>
              </w:rPr>
            </w:pPr>
            <w:r w:rsidRPr="009627FD">
              <w:rPr>
                <w:lang w:val="en-US"/>
              </w:rPr>
              <w:t>.08</w:t>
            </w:r>
          </w:p>
        </w:tc>
        <w:tc>
          <w:tcPr>
            <w:tcW w:w="903" w:type="dxa"/>
          </w:tcPr>
          <w:p w14:paraId="5F3F892B" w14:textId="77777777" w:rsidR="00536753" w:rsidRPr="009627FD" w:rsidRDefault="00536753" w:rsidP="00CB2744">
            <w:pPr>
              <w:contextualSpacing/>
              <w:jc w:val="center"/>
              <w:rPr>
                <w:lang w:val="en-US"/>
              </w:rPr>
            </w:pPr>
            <w:r w:rsidRPr="009627FD">
              <w:rPr>
                <w:lang w:val="en-US"/>
              </w:rPr>
              <w:t>-.36**</w:t>
            </w:r>
          </w:p>
        </w:tc>
        <w:tc>
          <w:tcPr>
            <w:tcW w:w="1134" w:type="dxa"/>
          </w:tcPr>
          <w:p w14:paraId="237E2644" w14:textId="77777777" w:rsidR="00536753" w:rsidRPr="009627FD" w:rsidRDefault="00536753" w:rsidP="00CB2744">
            <w:pPr>
              <w:contextualSpacing/>
              <w:jc w:val="center"/>
              <w:rPr>
                <w:lang w:val="en-US"/>
              </w:rPr>
            </w:pPr>
            <w:r w:rsidRPr="009627FD">
              <w:rPr>
                <w:lang w:val="en-US"/>
              </w:rPr>
              <w:t>-8.20</w:t>
            </w:r>
          </w:p>
        </w:tc>
        <w:tc>
          <w:tcPr>
            <w:tcW w:w="567" w:type="dxa"/>
          </w:tcPr>
          <w:p w14:paraId="398ECAE8" w14:textId="77777777" w:rsidR="00536753" w:rsidRPr="009627FD" w:rsidRDefault="00536753" w:rsidP="00CB2744">
            <w:pPr>
              <w:contextualSpacing/>
              <w:jc w:val="center"/>
              <w:rPr>
                <w:lang w:val="en-US"/>
              </w:rPr>
            </w:pPr>
          </w:p>
        </w:tc>
        <w:tc>
          <w:tcPr>
            <w:tcW w:w="708" w:type="dxa"/>
          </w:tcPr>
          <w:p w14:paraId="360AF5B5" w14:textId="77777777" w:rsidR="00536753" w:rsidRPr="009627FD" w:rsidRDefault="00536753" w:rsidP="00CB2744">
            <w:pPr>
              <w:contextualSpacing/>
              <w:jc w:val="center"/>
              <w:rPr>
                <w:lang w:val="en-US"/>
              </w:rPr>
            </w:pPr>
          </w:p>
        </w:tc>
        <w:tc>
          <w:tcPr>
            <w:tcW w:w="1134" w:type="dxa"/>
          </w:tcPr>
          <w:p w14:paraId="5D80E8E9" w14:textId="77777777" w:rsidR="00536753" w:rsidRPr="009627FD" w:rsidRDefault="00536753" w:rsidP="00CB2744">
            <w:pPr>
              <w:contextualSpacing/>
              <w:jc w:val="center"/>
              <w:rPr>
                <w:lang w:val="en-US"/>
              </w:rPr>
            </w:pPr>
          </w:p>
        </w:tc>
        <w:tc>
          <w:tcPr>
            <w:tcW w:w="851" w:type="dxa"/>
          </w:tcPr>
          <w:p w14:paraId="3574096A" w14:textId="77777777" w:rsidR="00536753" w:rsidRPr="009627FD" w:rsidRDefault="00536753" w:rsidP="00CB2744">
            <w:pPr>
              <w:contextualSpacing/>
              <w:jc w:val="center"/>
              <w:rPr>
                <w:lang w:val="en-US"/>
              </w:rPr>
            </w:pPr>
          </w:p>
        </w:tc>
        <w:tc>
          <w:tcPr>
            <w:tcW w:w="1559" w:type="dxa"/>
          </w:tcPr>
          <w:p w14:paraId="3F99E805" w14:textId="77777777" w:rsidR="00536753" w:rsidRPr="009627FD" w:rsidRDefault="00536753" w:rsidP="00CB2744">
            <w:pPr>
              <w:contextualSpacing/>
              <w:jc w:val="center"/>
              <w:rPr>
                <w:lang w:val="en-US"/>
              </w:rPr>
            </w:pPr>
            <w:r w:rsidRPr="009627FD">
              <w:rPr>
                <w:lang w:val="en-US"/>
              </w:rPr>
              <w:t>-.79</w:t>
            </w:r>
          </w:p>
        </w:tc>
        <w:tc>
          <w:tcPr>
            <w:tcW w:w="1418" w:type="dxa"/>
          </w:tcPr>
          <w:p w14:paraId="0E66F0B8" w14:textId="77777777" w:rsidR="00536753" w:rsidRPr="009627FD" w:rsidRDefault="00536753" w:rsidP="00CB2744">
            <w:pPr>
              <w:contextualSpacing/>
              <w:jc w:val="center"/>
              <w:rPr>
                <w:lang w:val="en-US"/>
              </w:rPr>
            </w:pPr>
            <w:r w:rsidRPr="009627FD">
              <w:rPr>
                <w:lang w:val="en-US"/>
              </w:rPr>
              <w:t>-.48</w:t>
            </w:r>
          </w:p>
        </w:tc>
      </w:tr>
      <w:tr w:rsidR="00536753" w:rsidRPr="009627FD" w14:paraId="324FF527" w14:textId="77777777" w:rsidTr="00CB2744">
        <w:tc>
          <w:tcPr>
            <w:tcW w:w="5353" w:type="dxa"/>
            <w:tcBorders>
              <w:bottom w:val="single" w:sz="4" w:space="0" w:color="auto"/>
            </w:tcBorders>
          </w:tcPr>
          <w:p w14:paraId="52D5E5CD" w14:textId="77777777" w:rsidR="00536753" w:rsidRPr="009627FD" w:rsidRDefault="00536753" w:rsidP="00CB2744">
            <w:pPr>
              <w:contextualSpacing/>
              <w:rPr>
                <w:lang w:val="en-US"/>
              </w:rPr>
            </w:pPr>
            <w:r w:rsidRPr="009627FD">
              <w:rPr>
                <w:lang w:val="en-US"/>
              </w:rPr>
              <w:t>Perception of vulnerability to COVID-19</w:t>
            </w:r>
          </w:p>
        </w:tc>
        <w:tc>
          <w:tcPr>
            <w:tcW w:w="903" w:type="dxa"/>
            <w:tcBorders>
              <w:bottom w:val="single" w:sz="4" w:space="0" w:color="auto"/>
            </w:tcBorders>
          </w:tcPr>
          <w:p w14:paraId="72DDDCA2" w14:textId="77777777" w:rsidR="00536753" w:rsidRPr="009627FD" w:rsidRDefault="00536753" w:rsidP="00CB2744">
            <w:pPr>
              <w:contextualSpacing/>
              <w:jc w:val="center"/>
              <w:rPr>
                <w:lang w:val="en-US"/>
              </w:rPr>
            </w:pPr>
            <w:r w:rsidRPr="009627FD">
              <w:rPr>
                <w:lang w:val="en-US"/>
              </w:rPr>
              <w:t>-1.78</w:t>
            </w:r>
          </w:p>
        </w:tc>
        <w:tc>
          <w:tcPr>
            <w:tcW w:w="1134" w:type="dxa"/>
            <w:tcBorders>
              <w:bottom w:val="single" w:sz="4" w:space="0" w:color="auto"/>
            </w:tcBorders>
          </w:tcPr>
          <w:p w14:paraId="44663A06" w14:textId="77777777" w:rsidR="00536753" w:rsidRPr="009627FD" w:rsidRDefault="00536753" w:rsidP="00CB2744">
            <w:pPr>
              <w:contextualSpacing/>
              <w:jc w:val="center"/>
              <w:rPr>
                <w:lang w:val="en-US"/>
              </w:rPr>
            </w:pPr>
            <w:r w:rsidRPr="009627FD">
              <w:rPr>
                <w:lang w:val="en-US"/>
              </w:rPr>
              <w:t>.33</w:t>
            </w:r>
          </w:p>
        </w:tc>
        <w:tc>
          <w:tcPr>
            <w:tcW w:w="903" w:type="dxa"/>
            <w:tcBorders>
              <w:bottom w:val="single" w:sz="4" w:space="0" w:color="auto"/>
            </w:tcBorders>
          </w:tcPr>
          <w:p w14:paraId="20CCC5BC" w14:textId="77777777" w:rsidR="00536753" w:rsidRPr="009627FD" w:rsidRDefault="00536753" w:rsidP="00CB2744">
            <w:pPr>
              <w:contextualSpacing/>
              <w:jc w:val="center"/>
              <w:rPr>
                <w:lang w:val="en-US"/>
              </w:rPr>
            </w:pPr>
            <w:r w:rsidRPr="009627FD">
              <w:rPr>
                <w:lang w:val="en-US"/>
              </w:rPr>
              <w:t>-.22**</w:t>
            </w:r>
          </w:p>
        </w:tc>
        <w:tc>
          <w:tcPr>
            <w:tcW w:w="1134" w:type="dxa"/>
            <w:tcBorders>
              <w:bottom w:val="single" w:sz="4" w:space="0" w:color="auto"/>
            </w:tcBorders>
          </w:tcPr>
          <w:p w14:paraId="6ACA70B2" w14:textId="77777777" w:rsidR="00536753" w:rsidRPr="009627FD" w:rsidRDefault="00536753" w:rsidP="00CB2744">
            <w:pPr>
              <w:contextualSpacing/>
              <w:jc w:val="center"/>
              <w:rPr>
                <w:lang w:val="en-US"/>
              </w:rPr>
            </w:pPr>
            <w:r w:rsidRPr="009627FD">
              <w:rPr>
                <w:lang w:val="en-US"/>
              </w:rPr>
              <w:t>-5.35</w:t>
            </w:r>
          </w:p>
        </w:tc>
        <w:tc>
          <w:tcPr>
            <w:tcW w:w="567" w:type="dxa"/>
            <w:tcBorders>
              <w:bottom w:val="single" w:sz="4" w:space="0" w:color="auto"/>
            </w:tcBorders>
          </w:tcPr>
          <w:p w14:paraId="73524DBA" w14:textId="77777777" w:rsidR="00536753" w:rsidRPr="009627FD" w:rsidRDefault="00536753" w:rsidP="00CB2744">
            <w:pPr>
              <w:contextualSpacing/>
              <w:jc w:val="center"/>
              <w:rPr>
                <w:lang w:val="en-US"/>
              </w:rPr>
            </w:pPr>
          </w:p>
        </w:tc>
        <w:tc>
          <w:tcPr>
            <w:tcW w:w="708" w:type="dxa"/>
            <w:tcBorders>
              <w:bottom w:val="single" w:sz="4" w:space="0" w:color="auto"/>
            </w:tcBorders>
          </w:tcPr>
          <w:p w14:paraId="377CDC85" w14:textId="77777777" w:rsidR="00536753" w:rsidRPr="009627FD" w:rsidRDefault="00536753" w:rsidP="00CB2744">
            <w:pPr>
              <w:contextualSpacing/>
              <w:jc w:val="center"/>
              <w:rPr>
                <w:lang w:val="en-US"/>
              </w:rPr>
            </w:pPr>
          </w:p>
        </w:tc>
        <w:tc>
          <w:tcPr>
            <w:tcW w:w="1134" w:type="dxa"/>
            <w:tcBorders>
              <w:bottom w:val="single" w:sz="4" w:space="0" w:color="auto"/>
            </w:tcBorders>
          </w:tcPr>
          <w:p w14:paraId="4C24AF36" w14:textId="77777777" w:rsidR="00536753" w:rsidRPr="009627FD" w:rsidRDefault="00536753" w:rsidP="00CB2744">
            <w:pPr>
              <w:contextualSpacing/>
              <w:jc w:val="center"/>
              <w:rPr>
                <w:lang w:val="en-US"/>
              </w:rPr>
            </w:pPr>
          </w:p>
        </w:tc>
        <w:tc>
          <w:tcPr>
            <w:tcW w:w="851" w:type="dxa"/>
            <w:tcBorders>
              <w:bottom w:val="single" w:sz="4" w:space="0" w:color="auto"/>
            </w:tcBorders>
          </w:tcPr>
          <w:p w14:paraId="36627CBD" w14:textId="77777777" w:rsidR="00536753" w:rsidRPr="009627FD" w:rsidRDefault="00536753" w:rsidP="00CB2744">
            <w:pPr>
              <w:contextualSpacing/>
              <w:jc w:val="center"/>
              <w:rPr>
                <w:lang w:val="en-US"/>
              </w:rPr>
            </w:pPr>
          </w:p>
        </w:tc>
        <w:tc>
          <w:tcPr>
            <w:tcW w:w="1559" w:type="dxa"/>
            <w:tcBorders>
              <w:bottom w:val="single" w:sz="4" w:space="0" w:color="auto"/>
            </w:tcBorders>
          </w:tcPr>
          <w:p w14:paraId="7B583B7E" w14:textId="77777777" w:rsidR="00536753" w:rsidRPr="009627FD" w:rsidRDefault="00536753" w:rsidP="00CB2744">
            <w:pPr>
              <w:contextualSpacing/>
              <w:jc w:val="center"/>
              <w:rPr>
                <w:lang w:val="en-US"/>
              </w:rPr>
            </w:pPr>
            <w:r w:rsidRPr="009627FD">
              <w:rPr>
                <w:lang w:val="en-US"/>
              </w:rPr>
              <w:t>-2.44</w:t>
            </w:r>
          </w:p>
        </w:tc>
        <w:tc>
          <w:tcPr>
            <w:tcW w:w="1418" w:type="dxa"/>
            <w:tcBorders>
              <w:bottom w:val="single" w:sz="4" w:space="0" w:color="auto"/>
            </w:tcBorders>
          </w:tcPr>
          <w:p w14:paraId="02EF5301" w14:textId="77777777" w:rsidR="00536753" w:rsidRPr="009627FD" w:rsidRDefault="00536753" w:rsidP="00CB2744">
            <w:pPr>
              <w:contextualSpacing/>
              <w:jc w:val="center"/>
              <w:rPr>
                <w:lang w:val="en-US"/>
              </w:rPr>
            </w:pPr>
            <w:r w:rsidRPr="009627FD">
              <w:rPr>
                <w:lang w:val="en-US"/>
              </w:rPr>
              <w:t>-1.13</w:t>
            </w:r>
          </w:p>
        </w:tc>
      </w:tr>
      <w:tr w:rsidR="00536753" w:rsidRPr="009627FD" w14:paraId="1E5CF373" w14:textId="77777777" w:rsidTr="00CB2744">
        <w:tc>
          <w:tcPr>
            <w:tcW w:w="5353" w:type="dxa"/>
            <w:tcBorders>
              <w:top w:val="single" w:sz="4" w:space="0" w:color="auto"/>
            </w:tcBorders>
          </w:tcPr>
          <w:p w14:paraId="407C9DF4" w14:textId="77777777" w:rsidR="00536753" w:rsidRPr="009627FD" w:rsidRDefault="00536753" w:rsidP="00CB2744">
            <w:pPr>
              <w:contextualSpacing/>
              <w:rPr>
                <w:lang w:val="en-US"/>
              </w:rPr>
            </w:pPr>
            <w:r w:rsidRPr="009627FD">
              <w:rPr>
                <w:lang w:val="en-US"/>
              </w:rPr>
              <w:t>Step 4</w:t>
            </w:r>
          </w:p>
        </w:tc>
        <w:tc>
          <w:tcPr>
            <w:tcW w:w="903" w:type="dxa"/>
            <w:tcBorders>
              <w:top w:val="single" w:sz="4" w:space="0" w:color="auto"/>
            </w:tcBorders>
          </w:tcPr>
          <w:p w14:paraId="07C480BF" w14:textId="77777777" w:rsidR="00536753" w:rsidRPr="009627FD" w:rsidRDefault="00536753" w:rsidP="00CB2744">
            <w:pPr>
              <w:contextualSpacing/>
              <w:jc w:val="center"/>
              <w:rPr>
                <w:lang w:val="en-US"/>
              </w:rPr>
            </w:pPr>
          </w:p>
        </w:tc>
        <w:tc>
          <w:tcPr>
            <w:tcW w:w="1134" w:type="dxa"/>
            <w:tcBorders>
              <w:top w:val="single" w:sz="4" w:space="0" w:color="auto"/>
            </w:tcBorders>
          </w:tcPr>
          <w:p w14:paraId="188BD078" w14:textId="77777777" w:rsidR="00536753" w:rsidRPr="009627FD" w:rsidRDefault="00536753" w:rsidP="00CB2744">
            <w:pPr>
              <w:contextualSpacing/>
              <w:jc w:val="center"/>
              <w:rPr>
                <w:lang w:val="en-US"/>
              </w:rPr>
            </w:pPr>
          </w:p>
        </w:tc>
        <w:tc>
          <w:tcPr>
            <w:tcW w:w="903" w:type="dxa"/>
            <w:tcBorders>
              <w:top w:val="single" w:sz="4" w:space="0" w:color="auto"/>
            </w:tcBorders>
          </w:tcPr>
          <w:p w14:paraId="46C93E18" w14:textId="77777777" w:rsidR="00536753" w:rsidRPr="009627FD" w:rsidRDefault="00536753" w:rsidP="00CB2744">
            <w:pPr>
              <w:contextualSpacing/>
              <w:jc w:val="center"/>
              <w:rPr>
                <w:lang w:val="en-US"/>
              </w:rPr>
            </w:pPr>
          </w:p>
        </w:tc>
        <w:tc>
          <w:tcPr>
            <w:tcW w:w="1134" w:type="dxa"/>
            <w:tcBorders>
              <w:top w:val="single" w:sz="4" w:space="0" w:color="auto"/>
            </w:tcBorders>
          </w:tcPr>
          <w:p w14:paraId="316008E5" w14:textId="77777777" w:rsidR="00536753" w:rsidRPr="009627FD" w:rsidRDefault="00536753" w:rsidP="00CB2744">
            <w:pPr>
              <w:contextualSpacing/>
              <w:jc w:val="center"/>
              <w:rPr>
                <w:lang w:val="en-US"/>
              </w:rPr>
            </w:pPr>
          </w:p>
        </w:tc>
        <w:tc>
          <w:tcPr>
            <w:tcW w:w="567" w:type="dxa"/>
            <w:tcBorders>
              <w:top w:val="single" w:sz="4" w:space="0" w:color="auto"/>
            </w:tcBorders>
          </w:tcPr>
          <w:p w14:paraId="4C41FB6D" w14:textId="77777777" w:rsidR="00536753" w:rsidRPr="009627FD" w:rsidRDefault="00536753" w:rsidP="00CB2744">
            <w:pPr>
              <w:contextualSpacing/>
              <w:jc w:val="center"/>
              <w:rPr>
                <w:lang w:val="en-US"/>
              </w:rPr>
            </w:pPr>
            <w:r w:rsidRPr="009627FD">
              <w:rPr>
                <w:lang w:val="en-US"/>
              </w:rPr>
              <w:t>.72</w:t>
            </w:r>
          </w:p>
        </w:tc>
        <w:tc>
          <w:tcPr>
            <w:tcW w:w="708" w:type="dxa"/>
            <w:tcBorders>
              <w:top w:val="single" w:sz="4" w:space="0" w:color="auto"/>
            </w:tcBorders>
          </w:tcPr>
          <w:p w14:paraId="1A577452" w14:textId="77777777" w:rsidR="00536753" w:rsidRPr="009627FD" w:rsidRDefault="00536753" w:rsidP="00CB2744">
            <w:pPr>
              <w:contextualSpacing/>
              <w:jc w:val="center"/>
              <w:rPr>
                <w:lang w:val="en-US"/>
              </w:rPr>
            </w:pPr>
            <w:r w:rsidRPr="009627FD">
              <w:rPr>
                <w:lang w:val="en-US"/>
              </w:rPr>
              <w:t>.52</w:t>
            </w:r>
          </w:p>
        </w:tc>
        <w:tc>
          <w:tcPr>
            <w:tcW w:w="1134" w:type="dxa"/>
            <w:tcBorders>
              <w:top w:val="single" w:sz="4" w:space="0" w:color="auto"/>
            </w:tcBorders>
          </w:tcPr>
          <w:p w14:paraId="28161A99" w14:textId="77777777" w:rsidR="00536753" w:rsidRPr="009627FD" w:rsidRDefault="00536753" w:rsidP="00CB2744">
            <w:pPr>
              <w:contextualSpacing/>
              <w:jc w:val="center"/>
              <w:rPr>
                <w:lang w:val="en-US"/>
              </w:rPr>
            </w:pPr>
            <w:r w:rsidRPr="009627FD">
              <w:rPr>
                <w:lang w:val="en-US"/>
              </w:rPr>
              <w:t>.52</w:t>
            </w:r>
          </w:p>
        </w:tc>
        <w:tc>
          <w:tcPr>
            <w:tcW w:w="851" w:type="dxa"/>
            <w:tcBorders>
              <w:top w:val="single" w:sz="4" w:space="0" w:color="auto"/>
            </w:tcBorders>
          </w:tcPr>
          <w:p w14:paraId="73072AE2" w14:textId="77777777" w:rsidR="00536753" w:rsidRPr="009627FD" w:rsidRDefault="00536753" w:rsidP="00CB2744">
            <w:pPr>
              <w:contextualSpacing/>
              <w:jc w:val="center"/>
              <w:rPr>
                <w:lang w:val="en-US"/>
              </w:rPr>
            </w:pPr>
            <w:r w:rsidRPr="009627FD">
              <w:rPr>
                <w:lang w:val="en-US"/>
              </w:rPr>
              <w:t>.28**</w:t>
            </w:r>
          </w:p>
        </w:tc>
        <w:tc>
          <w:tcPr>
            <w:tcW w:w="1559" w:type="dxa"/>
            <w:tcBorders>
              <w:top w:val="single" w:sz="4" w:space="0" w:color="auto"/>
            </w:tcBorders>
          </w:tcPr>
          <w:p w14:paraId="75050EFE" w14:textId="77777777" w:rsidR="00536753" w:rsidRPr="009627FD" w:rsidRDefault="00536753" w:rsidP="00CB2744">
            <w:pPr>
              <w:contextualSpacing/>
              <w:jc w:val="center"/>
              <w:rPr>
                <w:lang w:val="en-US"/>
              </w:rPr>
            </w:pPr>
          </w:p>
        </w:tc>
        <w:tc>
          <w:tcPr>
            <w:tcW w:w="1418" w:type="dxa"/>
            <w:tcBorders>
              <w:top w:val="single" w:sz="4" w:space="0" w:color="auto"/>
            </w:tcBorders>
          </w:tcPr>
          <w:p w14:paraId="5E1D1FE1" w14:textId="77777777" w:rsidR="00536753" w:rsidRPr="009627FD" w:rsidRDefault="00536753" w:rsidP="00CB2744">
            <w:pPr>
              <w:contextualSpacing/>
              <w:jc w:val="center"/>
              <w:rPr>
                <w:lang w:val="en-US"/>
              </w:rPr>
            </w:pPr>
          </w:p>
        </w:tc>
      </w:tr>
      <w:tr w:rsidR="00536753" w:rsidRPr="009627FD" w14:paraId="608F4E6D" w14:textId="77777777" w:rsidTr="00CB2744">
        <w:tc>
          <w:tcPr>
            <w:tcW w:w="5353" w:type="dxa"/>
          </w:tcPr>
          <w:p w14:paraId="6EF44E27" w14:textId="77777777" w:rsidR="00536753" w:rsidRPr="009627FD" w:rsidRDefault="00536753" w:rsidP="00CB2744">
            <w:pPr>
              <w:contextualSpacing/>
              <w:rPr>
                <w:lang w:val="en-US"/>
              </w:rPr>
            </w:pPr>
            <w:r w:rsidRPr="009627FD">
              <w:rPr>
                <w:lang w:val="en-US"/>
              </w:rPr>
              <w:t>Age</w:t>
            </w:r>
          </w:p>
        </w:tc>
        <w:tc>
          <w:tcPr>
            <w:tcW w:w="903" w:type="dxa"/>
          </w:tcPr>
          <w:p w14:paraId="2D672408" w14:textId="77777777" w:rsidR="00536753" w:rsidRPr="009627FD" w:rsidRDefault="00536753" w:rsidP="00CB2744">
            <w:pPr>
              <w:contextualSpacing/>
              <w:jc w:val="center"/>
              <w:rPr>
                <w:lang w:val="en-US"/>
              </w:rPr>
            </w:pPr>
            <w:r w:rsidRPr="009627FD">
              <w:rPr>
                <w:lang w:val="en-US"/>
              </w:rPr>
              <w:t>-.04</w:t>
            </w:r>
          </w:p>
        </w:tc>
        <w:tc>
          <w:tcPr>
            <w:tcW w:w="1134" w:type="dxa"/>
          </w:tcPr>
          <w:p w14:paraId="68DE161A" w14:textId="77777777" w:rsidR="00536753" w:rsidRPr="009627FD" w:rsidRDefault="00536753" w:rsidP="00CB2744">
            <w:pPr>
              <w:contextualSpacing/>
              <w:jc w:val="center"/>
              <w:rPr>
                <w:lang w:val="en-US"/>
              </w:rPr>
            </w:pPr>
            <w:r w:rsidRPr="009627FD">
              <w:rPr>
                <w:lang w:val="en-US"/>
              </w:rPr>
              <w:t>.01</w:t>
            </w:r>
          </w:p>
        </w:tc>
        <w:tc>
          <w:tcPr>
            <w:tcW w:w="903" w:type="dxa"/>
          </w:tcPr>
          <w:p w14:paraId="2B02E36D" w14:textId="77777777" w:rsidR="00536753" w:rsidRPr="009627FD" w:rsidRDefault="00536753" w:rsidP="00CB2744">
            <w:pPr>
              <w:contextualSpacing/>
              <w:jc w:val="center"/>
              <w:rPr>
                <w:lang w:val="en-US"/>
              </w:rPr>
            </w:pPr>
            <w:r w:rsidRPr="009627FD">
              <w:rPr>
                <w:lang w:val="en-US"/>
              </w:rPr>
              <w:t>-.14**</w:t>
            </w:r>
          </w:p>
        </w:tc>
        <w:tc>
          <w:tcPr>
            <w:tcW w:w="1134" w:type="dxa"/>
          </w:tcPr>
          <w:p w14:paraId="28DB895E" w14:textId="77777777" w:rsidR="00536753" w:rsidRPr="009627FD" w:rsidRDefault="00536753" w:rsidP="00CB2744">
            <w:pPr>
              <w:contextualSpacing/>
              <w:jc w:val="center"/>
              <w:rPr>
                <w:lang w:val="en-US"/>
              </w:rPr>
            </w:pPr>
            <w:r w:rsidRPr="009627FD">
              <w:rPr>
                <w:lang w:val="en-US"/>
              </w:rPr>
              <w:t>-3.89</w:t>
            </w:r>
          </w:p>
        </w:tc>
        <w:tc>
          <w:tcPr>
            <w:tcW w:w="567" w:type="dxa"/>
          </w:tcPr>
          <w:p w14:paraId="09319A8B" w14:textId="77777777" w:rsidR="00536753" w:rsidRPr="009627FD" w:rsidRDefault="00536753" w:rsidP="00CB2744">
            <w:pPr>
              <w:contextualSpacing/>
              <w:jc w:val="center"/>
              <w:rPr>
                <w:lang w:val="en-US"/>
              </w:rPr>
            </w:pPr>
          </w:p>
        </w:tc>
        <w:tc>
          <w:tcPr>
            <w:tcW w:w="708" w:type="dxa"/>
          </w:tcPr>
          <w:p w14:paraId="4F026D3C" w14:textId="77777777" w:rsidR="00536753" w:rsidRPr="009627FD" w:rsidRDefault="00536753" w:rsidP="00CB2744">
            <w:pPr>
              <w:contextualSpacing/>
              <w:jc w:val="center"/>
              <w:rPr>
                <w:lang w:val="en-US"/>
              </w:rPr>
            </w:pPr>
          </w:p>
        </w:tc>
        <w:tc>
          <w:tcPr>
            <w:tcW w:w="1134" w:type="dxa"/>
          </w:tcPr>
          <w:p w14:paraId="2B256D1E" w14:textId="77777777" w:rsidR="00536753" w:rsidRPr="009627FD" w:rsidRDefault="00536753" w:rsidP="00CB2744">
            <w:pPr>
              <w:contextualSpacing/>
              <w:jc w:val="center"/>
              <w:rPr>
                <w:lang w:val="en-US"/>
              </w:rPr>
            </w:pPr>
          </w:p>
        </w:tc>
        <w:tc>
          <w:tcPr>
            <w:tcW w:w="851" w:type="dxa"/>
          </w:tcPr>
          <w:p w14:paraId="55D7D4F7" w14:textId="77777777" w:rsidR="00536753" w:rsidRPr="009627FD" w:rsidRDefault="00536753" w:rsidP="00CB2744">
            <w:pPr>
              <w:contextualSpacing/>
              <w:jc w:val="center"/>
              <w:rPr>
                <w:lang w:val="en-US"/>
              </w:rPr>
            </w:pPr>
          </w:p>
        </w:tc>
        <w:tc>
          <w:tcPr>
            <w:tcW w:w="1559" w:type="dxa"/>
          </w:tcPr>
          <w:p w14:paraId="5411E2FE" w14:textId="77777777" w:rsidR="00536753" w:rsidRPr="009627FD" w:rsidRDefault="00536753" w:rsidP="00CB2744">
            <w:pPr>
              <w:contextualSpacing/>
              <w:jc w:val="center"/>
              <w:rPr>
                <w:lang w:val="en-US"/>
              </w:rPr>
            </w:pPr>
            <w:r w:rsidRPr="009627FD">
              <w:rPr>
                <w:lang w:val="en-US"/>
              </w:rPr>
              <w:t>-.07</w:t>
            </w:r>
          </w:p>
        </w:tc>
        <w:tc>
          <w:tcPr>
            <w:tcW w:w="1418" w:type="dxa"/>
          </w:tcPr>
          <w:p w14:paraId="4D3E0D41" w14:textId="77777777" w:rsidR="00536753" w:rsidRPr="009627FD" w:rsidRDefault="00536753" w:rsidP="00CB2744">
            <w:pPr>
              <w:contextualSpacing/>
              <w:jc w:val="center"/>
              <w:rPr>
                <w:lang w:val="en-US"/>
              </w:rPr>
            </w:pPr>
            <w:r w:rsidRPr="009627FD">
              <w:rPr>
                <w:lang w:val="en-US"/>
              </w:rPr>
              <w:t>-.02</w:t>
            </w:r>
          </w:p>
        </w:tc>
      </w:tr>
      <w:tr w:rsidR="00536753" w:rsidRPr="009627FD" w14:paraId="4E43394D" w14:textId="77777777" w:rsidTr="00CB2744">
        <w:tc>
          <w:tcPr>
            <w:tcW w:w="5353" w:type="dxa"/>
          </w:tcPr>
          <w:p w14:paraId="74C0A74D" w14:textId="77777777" w:rsidR="00536753" w:rsidRPr="009627FD" w:rsidRDefault="00536753" w:rsidP="00CB2744">
            <w:pPr>
              <w:contextualSpacing/>
              <w:rPr>
                <w:lang w:val="en-US"/>
              </w:rPr>
            </w:pPr>
            <w:r w:rsidRPr="009627FD">
              <w:rPr>
                <w:lang w:val="en-US"/>
              </w:rPr>
              <w:t>Gender</w:t>
            </w:r>
          </w:p>
        </w:tc>
        <w:tc>
          <w:tcPr>
            <w:tcW w:w="903" w:type="dxa"/>
          </w:tcPr>
          <w:p w14:paraId="1DDF30E8" w14:textId="77777777" w:rsidR="00536753" w:rsidRPr="009627FD" w:rsidRDefault="00536753" w:rsidP="00CB2744">
            <w:pPr>
              <w:contextualSpacing/>
              <w:jc w:val="center"/>
              <w:rPr>
                <w:lang w:val="en-US"/>
              </w:rPr>
            </w:pPr>
            <w:r w:rsidRPr="009627FD">
              <w:rPr>
                <w:lang w:val="en-US"/>
              </w:rPr>
              <w:t>.33</w:t>
            </w:r>
          </w:p>
        </w:tc>
        <w:tc>
          <w:tcPr>
            <w:tcW w:w="1134" w:type="dxa"/>
          </w:tcPr>
          <w:p w14:paraId="1663F88B" w14:textId="77777777" w:rsidR="00536753" w:rsidRPr="009627FD" w:rsidRDefault="00536753" w:rsidP="00CB2744">
            <w:pPr>
              <w:contextualSpacing/>
              <w:jc w:val="center"/>
              <w:rPr>
                <w:lang w:val="en-US"/>
              </w:rPr>
            </w:pPr>
            <w:r w:rsidRPr="009627FD">
              <w:rPr>
                <w:lang w:val="en-US"/>
              </w:rPr>
              <w:t>.31</w:t>
            </w:r>
          </w:p>
        </w:tc>
        <w:tc>
          <w:tcPr>
            <w:tcW w:w="903" w:type="dxa"/>
          </w:tcPr>
          <w:p w14:paraId="1442B22F" w14:textId="77777777" w:rsidR="00536753" w:rsidRPr="009627FD" w:rsidRDefault="00536753" w:rsidP="00CB2744">
            <w:pPr>
              <w:contextualSpacing/>
              <w:jc w:val="center"/>
              <w:rPr>
                <w:lang w:val="en-US"/>
              </w:rPr>
            </w:pPr>
            <w:r w:rsidRPr="009627FD">
              <w:rPr>
                <w:lang w:val="en-US"/>
              </w:rPr>
              <w:t>.03</w:t>
            </w:r>
          </w:p>
        </w:tc>
        <w:tc>
          <w:tcPr>
            <w:tcW w:w="1134" w:type="dxa"/>
          </w:tcPr>
          <w:p w14:paraId="5DBA65B4" w14:textId="77777777" w:rsidR="00536753" w:rsidRPr="009627FD" w:rsidRDefault="00536753" w:rsidP="00CB2744">
            <w:pPr>
              <w:contextualSpacing/>
              <w:jc w:val="center"/>
              <w:rPr>
                <w:lang w:val="en-US"/>
              </w:rPr>
            </w:pPr>
            <w:r w:rsidRPr="009627FD">
              <w:rPr>
                <w:lang w:val="en-US"/>
              </w:rPr>
              <w:t>1.04</w:t>
            </w:r>
          </w:p>
        </w:tc>
        <w:tc>
          <w:tcPr>
            <w:tcW w:w="567" w:type="dxa"/>
          </w:tcPr>
          <w:p w14:paraId="52DC7FCF" w14:textId="77777777" w:rsidR="00536753" w:rsidRPr="009627FD" w:rsidRDefault="00536753" w:rsidP="00CB2744">
            <w:pPr>
              <w:contextualSpacing/>
              <w:jc w:val="center"/>
              <w:rPr>
                <w:lang w:val="en-US"/>
              </w:rPr>
            </w:pPr>
          </w:p>
        </w:tc>
        <w:tc>
          <w:tcPr>
            <w:tcW w:w="708" w:type="dxa"/>
          </w:tcPr>
          <w:p w14:paraId="702004BC" w14:textId="77777777" w:rsidR="00536753" w:rsidRPr="009627FD" w:rsidRDefault="00536753" w:rsidP="00CB2744">
            <w:pPr>
              <w:contextualSpacing/>
              <w:jc w:val="center"/>
              <w:rPr>
                <w:lang w:val="en-US"/>
              </w:rPr>
            </w:pPr>
          </w:p>
        </w:tc>
        <w:tc>
          <w:tcPr>
            <w:tcW w:w="1134" w:type="dxa"/>
          </w:tcPr>
          <w:p w14:paraId="176286A7" w14:textId="77777777" w:rsidR="00536753" w:rsidRPr="009627FD" w:rsidRDefault="00536753" w:rsidP="00CB2744">
            <w:pPr>
              <w:contextualSpacing/>
              <w:jc w:val="center"/>
              <w:rPr>
                <w:lang w:val="en-US"/>
              </w:rPr>
            </w:pPr>
          </w:p>
        </w:tc>
        <w:tc>
          <w:tcPr>
            <w:tcW w:w="851" w:type="dxa"/>
          </w:tcPr>
          <w:p w14:paraId="39D46CF1" w14:textId="77777777" w:rsidR="00536753" w:rsidRPr="009627FD" w:rsidRDefault="00536753" w:rsidP="00CB2744">
            <w:pPr>
              <w:contextualSpacing/>
              <w:jc w:val="center"/>
              <w:rPr>
                <w:lang w:val="en-US"/>
              </w:rPr>
            </w:pPr>
          </w:p>
        </w:tc>
        <w:tc>
          <w:tcPr>
            <w:tcW w:w="1559" w:type="dxa"/>
          </w:tcPr>
          <w:p w14:paraId="25641CD7" w14:textId="77777777" w:rsidR="00536753" w:rsidRPr="009627FD" w:rsidRDefault="00536753" w:rsidP="00CB2744">
            <w:pPr>
              <w:contextualSpacing/>
              <w:jc w:val="center"/>
              <w:rPr>
                <w:lang w:val="en-US"/>
              </w:rPr>
            </w:pPr>
            <w:r w:rsidRPr="009627FD">
              <w:rPr>
                <w:lang w:val="en-US"/>
              </w:rPr>
              <w:t>-.29</w:t>
            </w:r>
          </w:p>
        </w:tc>
        <w:tc>
          <w:tcPr>
            <w:tcW w:w="1418" w:type="dxa"/>
          </w:tcPr>
          <w:p w14:paraId="0CB31BEE" w14:textId="77777777" w:rsidR="00536753" w:rsidRPr="009627FD" w:rsidRDefault="00536753" w:rsidP="00CB2744">
            <w:pPr>
              <w:contextualSpacing/>
              <w:jc w:val="center"/>
              <w:rPr>
                <w:lang w:val="en-US"/>
              </w:rPr>
            </w:pPr>
            <w:r w:rsidRPr="009627FD">
              <w:rPr>
                <w:lang w:val="en-US"/>
              </w:rPr>
              <w:t>.94</w:t>
            </w:r>
          </w:p>
        </w:tc>
      </w:tr>
      <w:tr w:rsidR="00536753" w:rsidRPr="009627FD" w14:paraId="263E35D1" w14:textId="77777777" w:rsidTr="00CB2744">
        <w:tc>
          <w:tcPr>
            <w:tcW w:w="5353" w:type="dxa"/>
          </w:tcPr>
          <w:p w14:paraId="03FA0F86" w14:textId="77777777" w:rsidR="00536753" w:rsidRPr="009627FD" w:rsidRDefault="00536753" w:rsidP="00CB2744">
            <w:pPr>
              <w:contextualSpacing/>
              <w:rPr>
                <w:lang w:val="en-US"/>
              </w:rPr>
            </w:pPr>
            <w:r w:rsidRPr="009627FD">
              <w:rPr>
                <w:lang w:val="en-US"/>
              </w:rPr>
              <w:t>BFI-10-Agreeableness</w:t>
            </w:r>
          </w:p>
        </w:tc>
        <w:tc>
          <w:tcPr>
            <w:tcW w:w="903" w:type="dxa"/>
          </w:tcPr>
          <w:p w14:paraId="2B324546" w14:textId="77777777" w:rsidR="00536753" w:rsidRPr="009627FD" w:rsidRDefault="00536753" w:rsidP="00CB2744">
            <w:pPr>
              <w:contextualSpacing/>
              <w:jc w:val="center"/>
              <w:rPr>
                <w:lang w:val="en-US"/>
              </w:rPr>
            </w:pPr>
            <w:r w:rsidRPr="009627FD">
              <w:rPr>
                <w:lang w:val="en-US"/>
              </w:rPr>
              <w:t>-.04</w:t>
            </w:r>
          </w:p>
        </w:tc>
        <w:tc>
          <w:tcPr>
            <w:tcW w:w="1134" w:type="dxa"/>
          </w:tcPr>
          <w:p w14:paraId="42984DBF" w14:textId="77777777" w:rsidR="00536753" w:rsidRPr="009627FD" w:rsidRDefault="00536753" w:rsidP="00CB2744">
            <w:pPr>
              <w:contextualSpacing/>
              <w:jc w:val="center"/>
              <w:rPr>
                <w:lang w:val="en-US"/>
              </w:rPr>
            </w:pPr>
            <w:r w:rsidRPr="009627FD">
              <w:rPr>
                <w:lang w:val="en-US"/>
              </w:rPr>
              <w:t>.08</w:t>
            </w:r>
          </w:p>
        </w:tc>
        <w:tc>
          <w:tcPr>
            <w:tcW w:w="903" w:type="dxa"/>
          </w:tcPr>
          <w:p w14:paraId="67EB5E84" w14:textId="77777777" w:rsidR="00536753" w:rsidRPr="009627FD" w:rsidRDefault="00536753" w:rsidP="00CB2744">
            <w:pPr>
              <w:contextualSpacing/>
              <w:jc w:val="center"/>
              <w:rPr>
                <w:lang w:val="en-US"/>
              </w:rPr>
            </w:pPr>
            <w:r w:rsidRPr="009627FD">
              <w:rPr>
                <w:lang w:val="en-US"/>
              </w:rPr>
              <w:t>-.02</w:t>
            </w:r>
          </w:p>
        </w:tc>
        <w:tc>
          <w:tcPr>
            <w:tcW w:w="1134" w:type="dxa"/>
          </w:tcPr>
          <w:p w14:paraId="4B95EEC1" w14:textId="77777777" w:rsidR="00536753" w:rsidRPr="009627FD" w:rsidRDefault="00536753" w:rsidP="00CB2744">
            <w:pPr>
              <w:contextualSpacing/>
              <w:jc w:val="center"/>
              <w:rPr>
                <w:lang w:val="en-US"/>
              </w:rPr>
            </w:pPr>
            <w:r w:rsidRPr="009627FD">
              <w:rPr>
                <w:lang w:val="en-US"/>
              </w:rPr>
              <w:t>-.47</w:t>
            </w:r>
          </w:p>
        </w:tc>
        <w:tc>
          <w:tcPr>
            <w:tcW w:w="567" w:type="dxa"/>
          </w:tcPr>
          <w:p w14:paraId="51F5452B" w14:textId="77777777" w:rsidR="00536753" w:rsidRPr="009627FD" w:rsidRDefault="00536753" w:rsidP="00CB2744">
            <w:pPr>
              <w:contextualSpacing/>
              <w:jc w:val="center"/>
              <w:rPr>
                <w:lang w:val="en-US"/>
              </w:rPr>
            </w:pPr>
          </w:p>
        </w:tc>
        <w:tc>
          <w:tcPr>
            <w:tcW w:w="708" w:type="dxa"/>
          </w:tcPr>
          <w:p w14:paraId="496B6168" w14:textId="77777777" w:rsidR="00536753" w:rsidRPr="009627FD" w:rsidRDefault="00536753" w:rsidP="00CB2744">
            <w:pPr>
              <w:contextualSpacing/>
              <w:jc w:val="center"/>
              <w:rPr>
                <w:lang w:val="en-US"/>
              </w:rPr>
            </w:pPr>
          </w:p>
        </w:tc>
        <w:tc>
          <w:tcPr>
            <w:tcW w:w="1134" w:type="dxa"/>
          </w:tcPr>
          <w:p w14:paraId="3784A401" w14:textId="77777777" w:rsidR="00536753" w:rsidRPr="009627FD" w:rsidRDefault="00536753" w:rsidP="00CB2744">
            <w:pPr>
              <w:contextualSpacing/>
              <w:jc w:val="center"/>
              <w:rPr>
                <w:lang w:val="en-US"/>
              </w:rPr>
            </w:pPr>
          </w:p>
        </w:tc>
        <w:tc>
          <w:tcPr>
            <w:tcW w:w="851" w:type="dxa"/>
          </w:tcPr>
          <w:p w14:paraId="7694904E" w14:textId="77777777" w:rsidR="00536753" w:rsidRPr="009627FD" w:rsidRDefault="00536753" w:rsidP="00CB2744">
            <w:pPr>
              <w:contextualSpacing/>
              <w:jc w:val="center"/>
              <w:rPr>
                <w:lang w:val="en-US"/>
              </w:rPr>
            </w:pPr>
          </w:p>
        </w:tc>
        <w:tc>
          <w:tcPr>
            <w:tcW w:w="1559" w:type="dxa"/>
          </w:tcPr>
          <w:p w14:paraId="3C70E74A" w14:textId="77777777" w:rsidR="00536753" w:rsidRPr="009627FD" w:rsidRDefault="00536753" w:rsidP="00CB2744">
            <w:pPr>
              <w:contextualSpacing/>
              <w:jc w:val="center"/>
              <w:rPr>
                <w:lang w:val="en-US"/>
              </w:rPr>
            </w:pPr>
            <w:r w:rsidRPr="009627FD">
              <w:rPr>
                <w:lang w:val="en-US"/>
              </w:rPr>
              <w:t>-.19</w:t>
            </w:r>
          </w:p>
        </w:tc>
        <w:tc>
          <w:tcPr>
            <w:tcW w:w="1418" w:type="dxa"/>
          </w:tcPr>
          <w:p w14:paraId="5265CB89" w14:textId="77777777" w:rsidR="00536753" w:rsidRPr="009627FD" w:rsidRDefault="00536753" w:rsidP="00CB2744">
            <w:pPr>
              <w:contextualSpacing/>
              <w:jc w:val="center"/>
              <w:rPr>
                <w:lang w:val="en-US"/>
              </w:rPr>
            </w:pPr>
            <w:r w:rsidRPr="009627FD">
              <w:rPr>
                <w:lang w:val="en-US"/>
              </w:rPr>
              <w:t>.12</w:t>
            </w:r>
          </w:p>
        </w:tc>
      </w:tr>
      <w:tr w:rsidR="00536753" w:rsidRPr="009627FD" w14:paraId="6132E2A5" w14:textId="77777777" w:rsidTr="00CB2744">
        <w:tc>
          <w:tcPr>
            <w:tcW w:w="5353" w:type="dxa"/>
          </w:tcPr>
          <w:p w14:paraId="3BA34DBF" w14:textId="77777777" w:rsidR="00536753" w:rsidRPr="009627FD" w:rsidRDefault="00536753" w:rsidP="00CB2744">
            <w:pPr>
              <w:contextualSpacing/>
              <w:rPr>
                <w:lang w:val="en-US"/>
              </w:rPr>
            </w:pPr>
            <w:r w:rsidRPr="009627FD">
              <w:rPr>
                <w:lang w:val="en-US"/>
              </w:rPr>
              <w:t>BFI-10-Conscientiousness</w:t>
            </w:r>
          </w:p>
        </w:tc>
        <w:tc>
          <w:tcPr>
            <w:tcW w:w="903" w:type="dxa"/>
          </w:tcPr>
          <w:p w14:paraId="02EA626C" w14:textId="77777777" w:rsidR="00536753" w:rsidRPr="009627FD" w:rsidRDefault="00536753" w:rsidP="00CB2744">
            <w:pPr>
              <w:contextualSpacing/>
              <w:jc w:val="center"/>
              <w:rPr>
                <w:lang w:val="en-US"/>
              </w:rPr>
            </w:pPr>
            <w:r w:rsidRPr="009627FD">
              <w:rPr>
                <w:lang w:val="en-US"/>
              </w:rPr>
              <w:t>-.004</w:t>
            </w:r>
          </w:p>
        </w:tc>
        <w:tc>
          <w:tcPr>
            <w:tcW w:w="1134" w:type="dxa"/>
          </w:tcPr>
          <w:p w14:paraId="74CE6807" w14:textId="77777777" w:rsidR="00536753" w:rsidRPr="009627FD" w:rsidRDefault="00536753" w:rsidP="00CB2744">
            <w:pPr>
              <w:contextualSpacing/>
              <w:jc w:val="center"/>
              <w:rPr>
                <w:lang w:val="en-US"/>
              </w:rPr>
            </w:pPr>
            <w:r w:rsidRPr="009627FD">
              <w:rPr>
                <w:lang w:val="en-US"/>
              </w:rPr>
              <w:t>.09</w:t>
            </w:r>
          </w:p>
        </w:tc>
        <w:tc>
          <w:tcPr>
            <w:tcW w:w="903" w:type="dxa"/>
          </w:tcPr>
          <w:p w14:paraId="2D79C77D" w14:textId="77777777" w:rsidR="00536753" w:rsidRPr="009627FD" w:rsidRDefault="00536753" w:rsidP="00CB2744">
            <w:pPr>
              <w:contextualSpacing/>
              <w:jc w:val="center"/>
              <w:rPr>
                <w:lang w:val="en-US"/>
              </w:rPr>
            </w:pPr>
            <w:r w:rsidRPr="009627FD">
              <w:rPr>
                <w:lang w:val="en-US"/>
              </w:rPr>
              <w:t>-.002</w:t>
            </w:r>
          </w:p>
        </w:tc>
        <w:tc>
          <w:tcPr>
            <w:tcW w:w="1134" w:type="dxa"/>
          </w:tcPr>
          <w:p w14:paraId="33E6C307" w14:textId="77777777" w:rsidR="00536753" w:rsidRPr="009627FD" w:rsidRDefault="00536753" w:rsidP="00CB2744">
            <w:pPr>
              <w:contextualSpacing/>
              <w:jc w:val="center"/>
              <w:rPr>
                <w:lang w:val="en-US"/>
              </w:rPr>
            </w:pPr>
            <w:r w:rsidRPr="009627FD">
              <w:rPr>
                <w:lang w:val="en-US"/>
              </w:rPr>
              <w:t>-.04</w:t>
            </w:r>
          </w:p>
        </w:tc>
        <w:tc>
          <w:tcPr>
            <w:tcW w:w="567" w:type="dxa"/>
          </w:tcPr>
          <w:p w14:paraId="36D4BB5C" w14:textId="77777777" w:rsidR="00536753" w:rsidRPr="009627FD" w:rsidRDefault="00536753" w:rsidP="00CB2744">
            <w:pPr>
              <w:contextualSpacing/>
              <w:jc w:val="center"/>
              <w:rPr>
                <w:lang w:val="en-US"/>
              </w:rPr>
            </w:pPr>
          </w:p>
        </w:tc>
        <w:tc>
          <w:tcPr>
            <w:tcW w:w="708" w:type="dxa"/>
          </w:tcPr>
          <w:p w14:paraId="1A248DC5" w14:textId="77777777" w:rsidR="00536753" w:rsidRPr="009627FD" w:rsidRDefault="00536753" w:rsidP="00CB2744">
            <w:pPr>
              <w:contextualSpacing/>
              <w:jc w:val="center"/>
              <w:rPr>
                <w:lang w:val="en-US"/>
              </w:rPr>
            </w:pPr>
          </w:p>
        </w:tc>
        <w:tc>
          <w:tcPr>
            <w:tcW w:w="1134" w:type="dxa"/>
          </w:tcPr>
          <w:p w14:paraId="075F6DC6" w14:textId="77777777" w:rsidR="00536753" w:rsidRPr="009627FD" w:rsidRDefault="00536753" w:rsidP="00CB2744">
            <w:pPr>
              <w:contextualSpacing/>
              <w:jc w:val="center"/>
              <w:rPr>
                <w:lang w:val="en-US"/>
              </w:rPr>
            </w:pPr>
          </w:p>
        </w:tc>
        <w:tc>
          <w:tcPr>
            <w:tcW w:w="851" w:type="dxa"/>
          </w:tcPr>
          <w:p w14:paraId="73030909" w14:textId="77777777" w:rsidR="00536753" w:rsidRPr="009627FD" w:rsidRDefault="00536753" w:rsidP="00CB2744">
            <w:pPr>
              <w:contextualSpacing/>
              <w:jc w:val="center"/>
              <w:rPr>
                <w:lang w:val="en-US"/>
              </w:rPr>
            </w:pPr>
          </w:p>
        </w:tc>
        <w:tc>
          <w:tcPr>
            <w:tcW w:w="1559" w:type="dxa"/>
          </w:tcPr>
          <w:p w14:paraId="567EA2BE" w14:textId="77777777" w:rsidR="00536753" w:rsidRPr="009627FD" w:rsidRDefault="00536753" w:rsidP="00CB2744">
            <w:pPr>
              <w:contextualSpacing/>
              <w:jc w:val="center"/>
              <w:rPr>
                <w:lang w:val="en-US"/>
              </w:rPr>
            </w:pPr>
            <w:r w:rsidRPr="009627FD">
              <w:rPr>
                <w:lang w:val="en-US"/>
              </w:rPr>
              <w:t>-.17</w:t>
            </w:r>
          </w:p>
        </w:tc>
        <w:tc>
          <w:tcPr>
            <w:tcW w:w="1418" w:type="dxa"/>
          </w:tcPr>
          <w:p w14:paraId="53363242" w14:textId="77777777" w:rsidR="00536753" w:rsidRPr="009627FD" w:rsidRDefault="00536753" w:rsidP="00CB2744">
            <w:pPr>
              <w:contextualSpacing/>
              <w:jc w:val="center"/>
              <w:rPr>
                <w:lang w:val="en-US"/>
              </w:rPr>
            </w:pPr>
            <w:r w:rsidRPr="009627FD">
              <w:rPr>
                <w:lang w:val="en-US"/>
              </w:rPr>
              <w:t>.16</w:t>
            </w:r>
          </w:p>
        </w:tc>
      </w:tr>
      <w:tr w:rsidR="00536753" w:rsidRPr="009627FD" w14:paraId="2AD16E5A" w14:textId="77777777" w:rsidTr="00CB2744">
        <w:tc>
          <w:tcPr>
            <w:tcW w:w="5353" w:type="dxa"/>
          </w:tcPr>
          <w:p w14:paraId="782DB785" w14:textId="77777777" w:rsidR="00536753" w:rsidRPr="009627FD" w:rsidRDefault="00536753" w:rsidP="00CB2744">
            <w:pPr>
              <w:contextualSpacing/>
              <w:rPr>
                <w:lang w:val="en-US"/>
              </w:rPr>
            </w:pPr>
            <w:r w:rsidRPr="009627FD">
              <w:rPr>
                <w:lang w:val="en-US"/>
              </w:rPr>
              <w:t>BFI-10-Emotional stability</w:t>
            </w:r>
          </w:p>
        </w:tc>
        <w:tc>
          <w:tcPr>
            <w:tcW w:w="903" w:type="dxa"/>
          </w:tcPr>
          <w:p w14:paraId="0CE65285" w14:textId="77777777" w:rsidR="00536753" w:rsidRPr="009627FD" w:rsidRDefault="00536753" w:rsidP="00CB2744">
            <w:pPr>
              <w:contextualSpacing/>
              <w:jc w:val="center"/>
              <w:rPr>
                <w:lang w:val="en-US"/>
              </w:rPr>
            </w:pPr>
            <w:r w:rsidRPr="009627FD">
              <w:rPr>
                <w:lang w:val="en-US"/>
              </w:rPr>
              <w:t>-.25</w:t>
            </w:r>
          </w:p>
        </w:tc>
        <w:tc>
          <w:tcPr>
            <w:tcW w:w="1134" w:type="dxa"/>
          </w:tcPr>
          <w:p w14:paraId="7AF86CB0" w14:textId="77777777" w:rsidR="00536753" w:rsidRPr="009627FD" w:rsidRDefault="00536753" w:rsidP="00CB2744">
            <w:pPr>
              <w:contextualSpacing/>
              <w:jc w:val="center"/>
              <w:rPr>
                <w:lang w:val="en-US"/>
              </w:rPr>
            </w:pPr>
            <w:r w:rsidRPr="009627FD">
              <w:rPr>
                <w:lang w:val="en-US"/>
              </w:rPr>
              <w:t>.07</w:t>
            </w:r>
          </w:p>
        </w:tc>
        <w:tc>
          <w:tcPr>
            <w:tcW w:w="903" w:type="dxa"/>
          </w:tcPr>
          <w:p w14:paraId="276E9ADE" w14:textId="77777777" w:rsidR="00536753" w:rsidRPr="009627FD" w:rsidRDefault="00536753" w:rsidP="00CB2744">
            <w:pPr>
              <w:contextualSpacing/>
              <w:jc w:val="center"/>
              <w:rPr>
                <w:lang w:val="en-US"/>
              </w:rPr>
            </w:pPr>
            <w:r w:rsidRPr="009627FD">
              <w:rPr>
                <w:lang w:val="en-US"/>
              </w:rPr>
              <w:t>-.14**</w:t>
            </w:r>
          </w:p>
        </w:tc>
        <w:tc>
          <w:tcPr>
            <w:tcW w:w="1134" w:type="dxa"/>
          </w:tcPr>
          <w:p w14:paraId="59380519" w14:textId="77777777" w:rsidR="00536753" w:rsidRPr="009627FD" w:rsidRDefault="00536753" w:rsidP="00CB2744">
            <w:pPr>
              <w:contextualSpacing/>
              <w:jc w:val="center"/>
              <w:rPr>
                <w:lang w:val="en-US"/>
              </w:rPr>
            </w:pPr>
            <w:r w:rsidRPr="009627FD">
              <w:rPr>
                <w:lang w:val="en-US"/>
              </w:rPr>
              <w:t>-3.87</w:t>
            </w:r>
          </w:p>
        </w:tc>
        <w:tc>
          <w:tcPr>
            <w:tcW w:w="567" w:type="dxa"/>
          </w:tcPr>
          <w:p w14:paraId="552870BD" w14:textId="77777777" w:rsidR="00536753" w:rsidRPr="009627FD" w:rsidRDefault="00536753" w:rsidP="00CB2744">
            <w:pPr>
              <w:contextualSpacing/>
              <w:jc w:val="center"/>
              <w:rPr>
                <w:lang w:val="en-US"/>
              </w:rPr>
            </w:pPr>
          </w:p>
        </w:tc>
        <w:tc>
          <w:tcPr>
            <w:tcW w:w="708" w:type="dxa"/>
          </w:tcPr>
          <w:p w14:paraId="0B79E8A4" w14:textId="77777777" w:rsidR="00536753" w:rsidRPr="009627FD" w:rsidRDefault="00536753" w:rsidP="00CB2744">
            <w:pPr>
              <w:contextualSpacing/>
              <w:jc w:val="center"/>
              <w:rPr>
                <w:lang w:val="en-US"/>
              </w:rPr>
            </w:pPr>
          </w:p>
        </w:tc>
        <w:tc>
          <w:tcPr>
            <w:tcW w:w="1134" w:type="dxa"/>
          </w:tcPr>
          <w:p w14:paraId="5EDE9738" w14:textId="77777777" w:rsidR="00536753" w:rsidRPr="009627FD" w:rsidRDefault="00536753" w:rsidP="00CB2744">
            <w:pPr>
              <w:contextualSpacing/>
              <w:jc w:val="center"/>
              <w:rPr>
                <w:lang w:val="en-US"/>
              </w:rPr>
            </w:pPr>
          </w:p>
        </w:tc>
        <w:tc>
          <w:tcPr>
            <w:tcW w:w="851" w:type="dxa"/>
          </w:tcPr>
          <w:p w14:paraId="1C5C2FAA" w14:textId="77777777" w:rsidR="00536753" w:rsidRPr="009627FD" w:rsidRDefault="00536753" w:rsidP="00CB2744">
            <w:pPr>
              <w:contextualSpacing/>
              <w:jc w:val="center"/>
              <w:rPr>
                <w:lang w:val="en-US"/>
              </w:rPr>
            </w:pPr>
          </w:p>
        </w:tc>
        <w:tc>
          <w:tcPr>
            <w:tcW w:w="1559" w:type="dxa"/>
          </w:tcPr>
          <w:p w14:paraId="179D4AF3" w14:textId="77777777" w:rsidR="00536753" w:rsidRPr="009627FD" w:rsidRDefault="00536753" w:rsidP="00CB2744">
            <w:pPr>
              <w:contextualSpacing/>
              <w:jc w:val="center"/>
              <w:rPr>
                <w:lang w:val="en-US"/>
              </w:rPr>
            </w:pPr>
            <w:r w:rsidRPr="009627FD">
              <w:rPr>
                <w:lang w:val="en-US"/>
              </w:rPr>
              <w:t>-.38</w:t>
            </w:r>
          </w:p>
        </w:tc>
        <w:tc>
          <w:tcPr>
            <w:tcW w:w="1418" w:type="dxa"/>
          </w:tcPr>
          <w:p w14:paraId="08511CFB" w14:textId="77777777" w:rsidR="00536753" w:rsidRPr="009627FD" w:rsidRDefault="00536753" w:rsidP="00CB2744">
            <w:pPr>
              <w:contextualSpacing/>
              <w:jc w:val="center"/>
              <w:rPr>
                <w:lang w:val="en-US"/>
              </w:rPr>
            </w:pPr>
            <w:r w:rsidRPr="009627FD">
              <w:rPr>
                <w:lang w:val="en-US"/>
              </w:rPr>
              <w:t>-.12</w:t>
            </w:r>
          </w:p>
        </w:tc>
      </w:tr>
      <w:tr w:rsidR="00536753" w:rsidRPr="009627FD" w14:paraId="43D1A0C0" w14:textId="77777777" w:rsidTr="00CB2744">
        <w:tc>
          <w:tcPr>
            <w:tcW w:w="5353" w:type="dxa"/>
          </w:tcPr>
          <w:p w14:paraId="3F8329C5" w14:textId="77777777" w:rsidR="00536753" w:rsidRPr="009627FD" w:rsidRDefault="00536753" w:rsidP="00CB2744">
            <w:pPr>
              <w:contextualSpacing/>
              <w:rPr>
                <w:lang w:val="en-US"/>
              </w:rPr>
            </w:pPr>
            <w:r w:rsidRPr="009627FD">
              <w:rPr>
                <w:lang w:val="en-US"/>
              </w:rPr>
              <w:t>Perception of vulnerability to COVID-19</w:t>
            </w:r>
          </w:p>
        </w:tc>
        <w:tc>
          <w:tcPr>
            <w:tcW w:w="903" w:type="dxa"/>
          </w:tcPr>
          <w:p w14:paraId="25E63173" w14:textId="77777777" w:rsidR="00536753" w:rsidRPr="009627FD" w:rsidRDefault="00536753" w:rsidP="00CB2744">
            <w:pPr>
              <w:contextualSpacing/>
              <w:jc w:val="center"/>
              <w:rPr>
                <w:lang w:val="en-US"/>
              </w:rPr>
            </w:pPr>
            <w:r w:rsidRPr="009627FD">
              <w:rPr>
                <w:lang w:val="en-US"/>
              </w:rPr>
              <w:t>.36</w:t>
            </w:r>
          </w:p>
        </w:tc>
        <w:tc>
          <w:tcPr>
            <w:tcW w:w="1134" w:type="dxa"/>
          </w:tcPr>
          <w:p w14:paraId="0B03DC2D" w14:textId="77777777" w:rsidR="00536753" w:rsidRPr="009627FD" w:rsidRDefault="00536753" w:rsidP="00CB2744">
            <w:pPr>
              <w:contextualSpacing/>
              <w:jc w:val="center"/>
              <w:rPr>
                <w:lang w:val="en-US"/>
              </w:rPr>
            </w:pPr>
            <w:r w:rsidRPr="009627FD">
              <w:rPr>
                <w:lang w:val="en-US"/>
              </w:rPr>
              <w:t>.29</w:t>
            </w:r>
          </w:p>
        </w:tc>
        <w:tc>
          <w:tcPr>
            <w:tcW w:w="903" w:type="dxa"/>
          </w:tcPr>
          <w:p w14:paraId="2E226432" w14:textId="77777777" w:rsidR="00536753" w:rsidRPr="009627FD" w:rsidRDefault="00536753" w:rsidP="00CB2744">
            <w:pPr>
              <w:contextualSpacing/>
              <w:jc w:val="center"/>
              <w:rPr>
                <w:lang w:val="en-US"/>
              </w:rPr>
            </w:pPr>
            <w:r w:rsidRPr="009627FD">
              <w:rPr>
                <w:lang w:val="en-US"/>
              </w:rPr>
              <w:t>.04</w:t>
            </w:r>
          </w:p>
        </w:tc>
        <w:tc>
          <w:tcPr>
            <w:tcW w:w="1134" w:type="dxa"/>
          </w:tcPr>
          <w:p w14:paraId="786A8E54" w14:textId="77777777" w:rsidR="00536753" w:rsidRPr="009627FD" w:rsidRDefault="00536753" w:rsidP="00CB2744">
            <w:pPr>
              <w:contextualSpacing/>
              <w:jc w:val="center"/>
              <w:rPr>
                <w:lang w:val="en-US"/>
              </w:rPr>
            </w:pPr>
            <w:r w:rsidRPr="009627FD">
              <w:rPr>
                <w:lang w:val="en-US"/>
              </w:rPr>
              <w:t>1.24</w:t>
            </w:r>
          </w:p>
        </w:tc>
        <w:tc>
          <w:tcPr>
            <w:tcW w:w="567" w:type="dxa"/>
          </w:tcPr>
          <w:p w14:paraId="2AE32740" w14:textId="77777777" w:rsidR="00536753" w:rsidRPr="009627FD" w:rsidRDefault="00536753" w:rsidP="00CB2744">
            <w:pPr>
              <w:contextualSpacing/>
              <w:jc w:val="center"/>
              <w:rPr>
                <w:lang w:val="en-US"/>
              </w:rPr>
            </w:pPr>
          </w:p>
        </w:tc>
        <w:tc>
          <w:tcPr>
            <w:tcW w:w="708" w:type="dxa"/>
          </w:tcPr>
          <w:p w14:paraId="67658A1B" w14:textId="77777777" w:rsidR="00536753" w:rsidRPr="009627FD" w:rsidRDefault="00536753" w:rsidP="00CB2744">
            <w:pPr>
              <w:contextualSpacing/>
              <w:jc w:val="center"/>
              <w:rPr>
                <w:lang w:val="en-US"/>
              </w:rPr>
            </w:pPr>
          </w:p>
        </w:tc>
        <w:tc>
          <w:tcPr>
            <w:tcW w:w="1134" w:type="dxa"/>
          </w:tcPr>
          <w:p w14:paraId="3D700F11" w14:textId="77777777" w:rsidR="00536753" w:rsidRPr="009627FD" w:rsidRDefault="00536753" w:rsidP="00CB2744">
            <w:pPr>
              <w:contextualSpacing/>
              <w:jc w:val="center"/>
              <w:rPr>
                <w:lang w:val="en-US"/>
              </w:rPr>
            </w:pPr>
          </w:p>
        </w:tc>
        <w:tc>
          <w:tcPr>
            <w:tcW w:w="851" w:type="dxa"/>
          </w:tcPr>
          <w:p w14:paraId="0EFED02D" w14:textId="77777777" w:rsidR="00536753" w:rsidRPr="009627FD" w:rsidRDefault="00536753" w:rsidP="00CB2744">
            <w:pPr>
              <w:contextualSpacing/>
              <w:jc w:val="center"/>
              <w:rPr>
                <w:lang w:val="en-US"/>
              </w:rPr>
            </w:pPr>
          </w:p>
        </w:tc>
        <w:tc>
          <w:tcPr>
            <w:tcW w:w="1559" w:type="dxa"/>
          </w:tcPr>
          <w:p w14:paraId="60850F62" w14:textId="77777777" w:rsidR="00536753" w:rsidRPr="009627FD" w:rsidRDefault="00536753" w:rsidP="00CB2744">
            <w:pPr>
              <w:contextualSpacing/>
              <w:jc w:val="center"/>
              <w:rPr>
                <w:lang w:val="en-US"/>
              </w:rPr>
            </w:pPr>
            <w:r w:rsidRPr="009627FD">
              <w:rPr>
                <w:lang w:val="en-US"/>
              </w:rPr>
              <w:t>-.21</w:t>
            </w:r>
          </w:p>
        </w:tc>
        <w:tc>
          <w:tcPr>
            <w:tcW w:w="1418" w:type="dxa"/>
          </w:tcPr>
          <w:p w14:paraId="6BAC15EA" w14:textId="77777777" w:rsidR="00536753" w:rsidRPr="009627FD" w:rsidRDefault="00536753" w:rsidP="00CB2744">
            <w:pPr>
              <w:contextualSpacing/>
              <w:jc w:val="center"/>
              <w:rPr>
                <w:lang w:val="en-US"/>
              </w:rPr>
            </w:pPr>
            <w:r w:rsidRPr="009627FD">
              <w:rPr>
                <w:lang w:val="en-US"/>
              </w:rPr>
              <w:t>.94</w:t>
            </w:r>
          </w:p>
        </w:tc>
      </w:tr>
      <w:tr w:rsidR="00536753" w:rsidRPr="009627FD" w14:paraId="5F21EF35" w14:textId="77777777" w:rsidTr="00CB2744">
        <w:tc>
          <w:tcPr>
            <w:tcW w:w="5353" w:type="dxa"/>
            <w:tcBorders>
              <w:bottom w:val="single" w:sz="4" w:space="0" w:color="auto"/>
            </w:tcBorders>
          </w:tcPr>
          <w:p w14:paraId="5C10D192" w14:textId="651306DD" w:rsidR="00536753" w:rsidRPr="009627FD" w:rsidRDefault="00536753" w:rsidP="00CB2744">
            <w:pPr>
              <w:contextualSpacing/>
              <w:rPr>
                <w:lang w:val="en-US"/>
              </w:rPr>
            </w:pPr>
            <w:r w:rsidRPr="009627FD">
              <w:rPr>
                <w:lang w:val="en-US"/>
              </w:rPr>
              <w:t>FCV-19-</w:t>
            </w:r>
            <w:r w:rsidR="00580BDB" w:rsidRPr="009627FD">
              <w:rPr>
                <w:lang w:val="en-US"/>
              </w:rPr>
              <w:t>Fear of COVID-19</w:t>
            </w:r>
          </w:p>
        </w:tc>
        <w:tc>
          <w:tcPr>
            <w:tcW w:w="903" w:type="dxa"/>
            <w:tcBorders>
              <w:bottom w:val="single" w:sz="4" w:space="0" w:color="auto"/>
            </w:tcBorders>
          </w:tcPr>
          <w:p w14:paraId="0C44B67E" w14:textId="77777777" w:rsidR="00536753" w:rsidRPr="009627FD" w:rsidRDefault="00536753" w:rsidP="00CB2744">
            <w:pPr>
              <w:contextualSpacing/>
              <w:jc w:val="center"/>
              <w:rPr>
                <w:lang w:val="en-US"/>
              </w:rPr>
            </w:pPr>
            <w:r w:rsidRPr="009627FD">
              <w:rPr>
                <w:lang w:val="en-US"/>
              </w:rPr>
              <w:t>.43</w:t>
            </w:r>
          </w:p>
        </w:tc>
        <w:tc>
          <w:tcPr>
            <w:tcW w:w="1134" w:type="dxa"/>
            <w:tcBorders>
              <w:bottom w:val="single" w:sz="4" w:space="0" w:color="auto"/>
            </w:tcBorders>
          </w:tcPr>
          <w:p w14:paraId="4319BB31" w14:textId="77777777" w:rsidR="00536753" w:rsidRPr="009627FD" w:rsidRDefault="00536753" w:rsidP="00CB2744">
            <w:pPr>
              <w:contextualSpacing/>
              <w:jc w:val="center"/>
              <w:rPr>
                <w:lang w:val="en-US"/>
              </w:rPr>
            </w:pPr>
            <w:r w:rsidRPr="009627FD">
              <w:rPr>
                <w:lang w:val="en-US"/>
              </w:rPr>
              <w:t>.03</w:t>
            </w:r>
          </w:p>
        </w:tc>
        <w:tc>
          <w:tcPr>
            <w:tcW w:w="903" w:type="dxa"/>
            <w:tcBorders>
              <w:bottom w:val="single" w:sz="4" w:space="0" w:color="auto"/>
            </w:tcBorders>
          </w:tcPr>
          <w:p w14:paraId="4D2F2236" w14:textId="77777777" w:rsidR="00536753" w:rsidRPr="009627FD" w:rsidRDefault="00536753" w:rsidP="00CB2744">
            <w:pPr>
              <w:contextualSpacing/>
              <w:jc w:val="center"/>
              <w:rPr>
                <w:lang w:val="en-US"/>
              </w:rPr>
            </w:pPr>
            <w:r w:rsidRPr="009627FD">
              <w:rPr>
                <w:lang w:val="en-US"/>
              </w:rPr>
              <w:t>.66**</w:t>
            </w:r>
          </w:p>
        </w:tc>
        <w:tc>
          <w:tcPr>
            <w:tcW w:w="1134" w:type="dxa"/>
            <w:tcBorders>
              <w:bottom w:val="single" w:sz="4" w:space="0" w:color="auto"/>
            </w:tcBorders>
          </w:tcPr>
          <w:p w14:paraId="24406289" w14:textId="77777777" w:rsidR="00536753" w:rsidRPr="009627FD" w:rsidRDefault="00536753" w:rsidP="00CB2744">
            <w:pPr>
              <w:contextualSpacing/>
              <w:jc w:val="center"/>
              <w:rPr>
                <w:lang w:val="en-US"/>
              </w:rPr>
            </w:pPr>
            <w:r w:rsidRPr="009627FD">
              <w:rPr>
                <w:lang w:val="en-US"/>
              </w:rPr>
              <w:t>16.84</w:t>
            </w:r>
          </w:p>
        </w:tc>
        <w:tc>
          <w:tcPr>
            <w:tcW w:w="567" w:type="dxa"/>
            <w:tcBorders>
              <w:bottom w:val="single" w:sz="4" w:space="0" w:color="auto"/>
            </w:tcBorders>
          </w:tcPr>
          <w:p w14:paraId="5510F158" w14:textId="77777777" w:rsidR="00536753" w:rsidRPr="009627FD" w:rsidRDefault="00536753" w:rsidP="00CB2744">
            <w:pPr>
              <w:contextualSpacing/>
              <w:jc w:val="center"/>
              <w:rPr>
                <w:lang w:val="en-US"/>
              </w:rPr>
            </w:pPr>
          </w:p>
        </w:tc>
        <w:tc>
          <w:tcPr>
            <w:tcW w:w="708" w:type="dxa"/>
            <w:tcBorders>
              <w:bottom w:val="single" w:sz="4" w:space="0" w:color="auto"/>
            </w:tcBorders>
          </w:tcPr>
          <w:p w14:paraId="06079311" w14:textId="77777777" w:rsidR="00536753" w:rsidRPr="009627FD" w:rsidRDefault="00536753" w:rsidP="00CB2744">
            <w:pPr>
              <w:contextualSpacing/>
              <w:jc w:val="center"/>
              <w:rPr>
                <w:lang w:val="en-US"/>
              </w:rPr>
            </w:pPr>
          </w:p>
        </w:tc>
        <w:tc>
          <w:tcPr>
            <w:tcW w:w="1134" w:type="dxa"/>
            <w:tcBorders>
              <w:bottom w:val="single" w:sz="4" w:space="0" w:color="auto"/>
            </w:tcBorders>
          </w:tcPr>
          <w:p w14:paraId="6BA19B56" w14:textId="77777777" w:rsidR="00536753" w:rsidRPr="009627FD" w:rsidRDefault="00536753" w:rsidP="00CB2744">
            <w:pPr>
              <w:contextualSpacing/>
              <w:jc w:val="center"/>
              <w:rPr>
                <w:lang w:val="en-US"/>
              </w:rPr>
            </w:pPr>
          </w:p>
        </w:tc>
        <w:tc>
          <w:tcPr>
            <w:tcW w:w="851" w:type="dxa"/>
            <w:tcBorders>
              <w:bottom w:val="single" w:sz="4" w:space="0" w:color="auto"/>
            </w:tcBorders>
          </w:tcPr>
          <w:p w14:paraId="31D119DF" w14:textId="77777777" w:rsidR="00536753" w:rsidRPr="009627FD" w:rsidRDefault="00536753" w:rsidP="00CB2744">
            <w:pPr>
              <w:contextualSpacing/>
              <w:jc w:val="center"/>
              <w:rPr>
                <w:lang w:val="en-US"/>
              </w:rPr>
            </w:pPr>
          </w:p>
        </w:tc>
        <w:tc>
          <w:tcPr>
            <w:tcW w:w="1559" w:type="dxa"/>
            <w:tcBorders>
              <w:bottom w:val="single" w:sz="4" w:space="0" w:color="auto"/>
            </w:tcBorders>
          </w:tcPr>
          <w:p w14:paraId="3DDA3B95" w14:textId="77777777" w:rsidR="00536753" w:rsidRPr="009627FD" w:rsidRDefault="00536753" w:rsidP="00CB2744">
            <w:pPr>
              <w:contextualSpacing/>
              <w:jc w:val="center"/>
              <w:rPr>
                <w:lang w:val="en-US"/>
              </w:rPr>
            </w:pPr>
            <w:r w:rsidRPr="009627FD">
              <w:rPr>
                <w:lang w:val="en-US"/>
              </w:rPr>
              <w:t>.38</w:t>
            </w:r>
          </w:p>
        </w:tc>
        <w:tc>
          <w:tcPr>
            <w:tcW w:w="1418" w:type="dxa"/>
            <w:tcBorders>
              <w:bottom w:val="single" w:sz="4" w:space="0" w:color="auto"/>
            </w:tcBorders>
          </w:tcPr>
          <w:p w14:paraId="782C861D" w14:textId="77777777" w:rsidR="00536753" w:rsidRPr="009627FD" w:rsidRDefault="00536753" w:rsidP="00CB2744">
            <w:pPr>
              <w:contextualSpacing/>
              <w:jc w:val="center"/>
              <w:rPr>
                <w:lang w:val="en-US"/>
              </w:rPr>
            </w:pPr>
            <w:r w:rsidRPr="009627FD">
              <w:rPr>
                <w:lang w:val="en-US"/>
              </w:rPr>
              <w:t>.48</w:t>
            </w:r>
          </w:p>
        </w:tc>
      </w:tr>
      <w:tr w:rsidR="00536753" w:rsidRPr="009627FD" w14:paraId="29DB1149" w14:textId="77777777" w:rsidTr="00CB2744">
        <w:tc>
          <w:tcPr>
            <w:tcW w:w="5353" w:type="dxa"/>
            <w:tcBorders>
              <w:top w:val="single" w:sz="4" w:space="0" w:color="auto"/>
            </w:tcBorders>
          </w:tcPr>
          <w:p w14:paraId="33E2BB04" w14:textId="77777777" w:rsidR="00536753" w:rsidRPr="009627FD" w:rsidRDefault="00536753" w:rsidP="00CB2744">
            <w:pPr>
              <w:contextualSpacing/>
              <w:rPr>
                <w:lang w:val="en-US"/>
              </w:rPr>
            </w:pPr>
            <w:r w:rsidRPr="009627FD">
              <w:rPr>
                <w:lang w:val="en-US"/>
              </w:rPr>
              <w:t>Step 5</w:t>
            </w:r>
          </w:p>
        </w:tc>
        <w:tc>
          <w:tcPr>
            <w:tcW w:w="903" w:type="dxa"/>
            <w:tcBorders>
              <w:top w:val="single" w:sz="4" w:space="0" w:color="auto"/>
            </w:tcBorders>
          </w:tcPr>
          <w:p w14:paraId="1C2D5E79" w14:textId="77777777" w:rsidR="00536753" w:rsidRPr="009627FD" w:rsidRDefault="00536753" w:rsidP="00CB2744">
            <w:pPr>
              <w:contextualSpacing/>
              <w:jc w:val="center"/>
              <w:rPr>
                <w:lang w:val="en-US"/>
              </w:rPr>
            </w:pPr>
          </w:p>
        </w:tc>
        <w:tc>
          <w:tcPr>
            <w:tcW w:w="1134" w:type="dxa"/>
            <w:tcBorders>
              <w:top w:val="single" w:sz="4" w:space="0" w:color="auto"/>
            </w:tcBorders>
          </w:tcPr>
          <w:p w14:paraId="138E0F84" w14:textId="77777777" w:rsidR="00536753" w:rsidRPr="009627FD" w:rsidRDefault="00536753" w:rsidP="00CB2744">
            <w:pPr>
              <w:contextualSpacing/>
              <w:jc w:val="center"/>
              <w:rPr>
                <w:lang w:val="en-US"/>
              </w:rPr>
            </w:pPr>
          </w:p>
        </w:tc>
        <w:tc>
          <w:tcPr>
            <w:tcW w:w="903" w:type="dxa"/>
            <w:tcBorders>
              <w:top w:val="single" w:sz="4" w:space="0" w:color="auto"/>
            </w:tcBorders>
          </w:tcPr>
          <w:p w14:paraId="4BF60056" w14:textId="77777777" w:rsidR="00536753" w:rsidRPr="009627FD" w:rsidRDefault="00536753" w:rsidP="00CB2744">
            <w:pPr>
              <w:contextualSpacing/>
              <w:jc w:val="center"/>
              <w:rPr>
                <w:lang w:val="en-US"/>
              </w:rPr>
            </w:pPr>
          </w:p>
        </w:tc>
        <w:tc>
          <w:tcPr>
            <w:tcW w:w="1134" w:type="dxa"/>
            <w:tcBorders>
              <w:top w:val="single" w:sz="4" w:space="0" w:color="auto"/>
            </w:tcBorders>
          </w:tcPr>
          <w:p w14:paraId="3777C4BA" w14:textId="77777777" w:rsidR="00536753" w:rsidRPr="009627FD" w:rsidRDefault="00536753" w:rsidP="00CB2744">
            <w:pPr>
              <w:contextualSpacing/>
              <w:jc w:val="center"/>
              <w:rPr>
                <w:lang w:val="en-US"/>
              </w:rPr>
            </w:pPr>
          </w:p>
        </w:tc>
        <w:tc>
          <w:tcPr>
            <w:tcW w:w="567" w:type="dxa"/>
            <w:tcBorders>
              <w:top w:val="single" w:sz="4" w:space="0" w:color="auto"/>
            </w:tcBorders>
          </w:tcPr>
          <w:p w14:paraId="08C2D31D" w14:textId="77777777" w:rsidR="00536753" w:rsidRPr="009627FD" w:rsidRDefault="00536753" w:rsidP="00CB2744">
            <w:pPr>
              <w:contextualSpacing/>
              <w:jc w:val="center"/>
              <w:rPr>
                <w:lang w:val="en-US"/>
              </w:rPr>
            </w:pPr>
            <w:r w:rsidRPr="009627FD">
              <w:rPr>
                <w:lang w:val="en-US"/>
              </w:rPr>
              <w:t>.76</w:t>
            </w:r>
          </w:p>
        </w:tc>
        <w:tc>
          <w:tcPr>
            <w:tcW w:w="708" w:type="dxa"/>
            <w:tcBorders>
              <w:top w:val="single" w:sz="4" w:space="0" w:color="auto"/>
            </w:tcBorders>
          </w:tcPr>
          <w:p w14:paraId="3529B436" w14:textId="77777777" w:rsidR="00536753" w:rsidRPr="009627FD" w:rsidRDefault="00536753" w:rsidP="00CB2744">
            <w:pPr>
              <w:contextualSpacing/>
              <w:jc w:val="center"/>
              <w:rPr>
                <w:lang w:val="en-US"/>
              </w:rPr>
            </w:pPr>
            <w:r w:rsidRPr="009627FD">
              <w:rPr>
                <w:lang w:val="en-US"/>
              </w:rPr>
              <w:t>.57</w:t>
            </w:r>
          </w:p>
        </w:tc>
        <w:tc>
          <w:tcPr>
            <w:tcW w:w="1134" w:type="dxa"/>
            <w:tcBorders>
              <w:top w:val="single" w:sz="4" w:space="0" w:color="auto"/>
            </w:tcBorders>
          </w:tcPr>
          <w:p w14:paraId="1BF349B2" w14:textId="77777777" w:rsidR="00536753" w:rsidRPr="009627FD" w:rsidRDefault="00536753" w:rsidP="00CB2744">
            <w:pPr>
              <w:contextualSpacing/>
              <w:jc w:val="center"/>
              <w:rPr>
                <w:lang w:val="en-US"/>
              </w:rPr>
            </w:pPr>
            <w:r w:rsidRPr="009627FD">
              <w:rPr>
                <w:lang w:val="en-US"/>
              </w:rPr>
              <w:t>.56</w:t>
            </w:r>
          </w:p>
        </w:tc>
        <w:tc>
          <w:tcPr>
            <w:tcW w:w="851" w:type="dxa"/>
            <w:tcBorders>
              <w:top w:val="single" w:sz="4" w:space="0" w:color="auto"/>
            </w:tcBorders>
          </w:tcPr>
          <w:p w14:paraId="5F5EEF7A" w14:textId="77777777" w:rsidR="00536753" w:rsidRPr="009627FD" w:rsidRDefault="00536753" w:rsidP="00CB2744">
            <w:pPr>
              <w:contextualSpacing/>
              <w:jc w:val="center"/>
              <w:rPr>
                <w:lang w:val="en-US"/>
              </w:rPr>
            </w:pPr>
            <w:r w:rsidRPr="009627FD">
              <w:rPr>
                <w:lang w:val="en-US"/>
              </w:rPr>
              <w:t>.05**</w:t>
            </w:r>
          </w:p>
        </w:tc>
        <w:tc>
          <w:tcPr>
            <w:tcW w:w="1559" w:type="dxa"/>
            <w:tcBorders>
              <w:top w:val="single" w:sz="4" w:space="0" w:color="auto"/>
            </w:tcBorders>
          </w:tcPr>
          <w:p w14:paraId="581615E7" w14:textId="77777777" w:rsidR="00536753" w:rsidRPr="009627FD" w:rsidRDefault="00536753" w:rsidP="00CB2744">
            <w:pPr>
              <w:contextualSpacing/>
              <w:jc w:val="center"/>
              <w:rPr>
                <w:lang w:val="en-US"/>
              </w:rPr>
            </w:pPr>
          </w:p>
        </w:tc>
        <w:tc>
          <w:tcPr>
            <w:tcW w:w="1418" w:type="dxa"/>
            <w:tcBorders>
              <w:top w:val="single" w:sz="4" w:space="0" w:color="auto"/>
            </w:tcBorders>
          </w:tcPr>
          <w:p w14:paraId="62531F0D" w14:textId="77777777" w:rsidR="00536753" w:rsidRPr="009627FD" w:rsidRDefault="00536753" w:rsidP="00CB2744">
            <w:pPr>
              <w:contextualSpacing/>
              <w:jc w:val="center"/>
              <w:rPr>
                <w:lang w:val="en-US"/>
              </w:rPr>
            </w:pPr>
          </w:p>
        </w:tc>
      </w:tr>
      <w:tr w:rsidR="00536753" w:rsidRPr="009627FD" w14:paraId="68BB1057" w14:textId="77777777" w:rsidTr="00CB2744">
        <w:tc>
          <w:tcPr>
            <w:tcW w:w="5353" w:type="dxa"/>
          </w:tcPr>
          <w:p w14:paraId="5432F602" w14:textId="77777777" w:rsidR="00536753" w:rsidRPr="009627FD" w:rsidRDefault="00536753" w:rsidP="00CB2744">
            <w:pPr>
              <w:contextualSpacing/>
              <w:rPr>
                <w:lang w:val="en-US"/>
              </w:rPr>
            </w:pPr>
            <w:r w:rsidRPr="009627FD">
              <w:rPr>
                <w:lang w:val="en-US"/>
              </w:rPr>
              <w:t>Age</w:t>
            </w:r>
          </w:p>
        </w:tc>
        <w:tc>
          <w:tcPr>
            <w:tcW w:w="903" w:type="dxa"/>
          </w:tcPr>
          <w:p w14:paraId="4214986C" w14:textId="77777777" w:rsidR="00536753" w:rsidRPr="009627FD" w:rsidRDefault="00536753" w:rsidP="00CB2744">
            <w:pPr>
              <w:contextualSpacing/>
              <w:jc w:val="center"/>
              <w:rPr>
                <w:lang w:val="en-US"/>
              </w:rPr>
            </w:pPr>
            <w:r w:rsidRPr="009627FD">
              <w:rPr>
                <w:lang w:val="en-US"/>
              </w:rPr>
              <w:t>-.04</w:t>
            </w:r>
          </w:p>
        </w:tc>
        <w:tc>
          <w:tcPr>
            <w:tcW w:w="1134" w:type="dxa"/>
          </w:tcPr>
          <w:p w14:paraId="2B283E14" w14:textId="77777777" w:rsidR="00536753" w:rsidRPr="009627FD" w:rsidRDefault="00536753" w:rsidP="00CB2744">
            <w:pPr>
              <w:contextualSpacing/>
              <w:jc w:val="center"/>
              <w:rPr>
                <w:lang w:val="en-US"/>
              </w:rPr>
            </w:pPr>
            <w:r w:rsidRPr="009627FD">
              <w:rPr>
                <w:lang w:val="en-US"/>
              </w:rPr>
              <w:t>-.1</w:t>
            </w:r>
          </w:p>
        </w:tc>
        <w:tc>
          <w:tcPr>
            <w:tcW w:w="903" w:type="dxa"/>
          </w:tcPr>
          <w:p w14:paraId="41E24CBF" w14:textId="77777777" w:rsidR="00536753" w:rsidRPr="009627FD" w:rsidRDefault="00536753" w:rsidP="00CB2744">
            <w:pPr>
              <w:contextualSpacing/>
              <w:jc w:val="center"/>
              <w:rPr>
                <w:lang w:val="en-US"/>
              </w:rPr>
            </w:pPr>
            <w:r w:rsidRPr="009627FD">
              <w:rPr>
                <w:lang w:val="en-US"/>
              </w:rPr>
              <w:t>-.12**</w:t>
            </w:r>
          </w:p>
        </w:tc>
        <w:tc>
          <w:tcPr>
            <w:tcW w:w="1134" w:type="dxa"/>
          </w:tcPr>
          <w:p w14:paraId="21A7202B" w14:textId="77777777" w:rsidR="00536753" w:rsidRPr="009627FD" w:rsidRDefault="00536753" w:rsidP="00CB2744">
            <w:pPr>
              <w:contextualSpacing/>
              <w:jc w:val="center"/>
              <w:rPr>
                <w:lang w:val="en-US"/>
              </w:rPr>
            </w:pPr>
            <w:r w:rsidRPr="009627FD">
              <w:rPr>
                <w:lang w:val="en-US"/>
              </w:rPr>
              <w:t>-3.54</w:t>
            </w:r>
          </w:p>
        </w:tc>
        <w:tc>
          <w:tcPr>
            <w:tcW w:w="567" w:type="dxa"/>
          </w:tcPr>
          <w:p w14:paraId="2389D0DD" w14:textId="77777777" w:rsidR="00536753" w:rsidRPr="009627FD" w:rsidRDefault="00536753" w:rsidP="00CB2744">
            <w:pPr>
              <w:contextualSpacing/>
              <w:jc w:val="center"/>
              <w:rPr>
                <w:lang w:val="en-US"/>
              </w:rPr>
            </w:pPr>
          </w:p>
        </w:tc>
        <w:tc>
          <w:tcPr>
            <w:tcW w:w="708" w:type="dxa"/>
          </w:tcPr>
          <w:p w14:paraId="791E6D72" w14:textId="77777777" w:rsidR="00536753" w:rsidRPr="009627FD" w:rsidRDefault="00536753" w:rsidP="00CB2744">
            <w:pPr>
              <w:contextualSpacing/>
              <w:jc w:val="center"/>
              <w:rPr>
                <w:lang w:val="en-US"/>
              </w:rPr>
            </w:pPr>
          </w:p>
        </w:tc>
        <w:tc>
          <w:tcPr>
            <w:tcW w:w="1134" w:type="dxa"/>
          </w:tcPr>
          <w:p w14:paraId="1F59B357" w14:textId="77777777" w:rsidR="00536753" w:rsidRPr="009627FD" w:rsidRDefault="00536753" w:rsidP="00CB2744">
            <w:pPr>
              <w:contextualSpacing/>
              <w:jc w:val="center"/>
              <w:rPr>
                <w:lang w:val="en-US"/>
              </w:rPr>
            </w:pPr>
          </w:p>
        </w:tc>
        <w:tc>
          <w:tcPr>
            <w:tcW w:w="851" w:type="dxa"/>
          </w:tcPr>
          <w:p w14:paraId="4F41CD12" w14:textId="77777777" w:rsidR="00536753" w:rsidRPr="009627FD" w:rsidRDefault="00536753" w:rsidP="00CB2744">
            <w:pPr>
              <w:contextualSpacing/>
              <w:jc w:val="center"/>
              <w:rPr>
                <w:lang w:val="en-US"/>
              </w:rPr>
            </w:pPr>
          </w:p>
        </w:tc>
        <w:tc>
          <w:tcPr>
            <w:tcW w:w="1559" w:type="dxa"/>
          </w:tcPr>
          <w:p w14:paraId="2A651BC9" w14:textId="77777777" w:rsidR="00536753" w:rsidRPr="009627FD" w:rsidRDefault="00536753" w:rsidP="00CB2744">
            <w:pPr>
              <w:contextualSpacing/>
              <w:jc w:val="center"/>
              <w:rPr>
                <w:lang w:val="en-US"/>
              </w:rPr>
            </w:pPr>
            <w:r w:rsidRPr="009627FD">
              <w:rPr>
                <w:lang w:val="en-US"/>
              </w:rPr>
              <w:t>-.06</w:t>
            </w:r>
          </w:p>
        </w:tc>
        <w:tc>
          <w:tcPr>
            <w:tcW w:w="1418" w:type="dxa"/>
          </w:tcPr>
          <w:p w14:paraId="03E7A53F" w14:textId="77777777" w:rsidR="00536753" w:rsidRPr="009627FD" w:rsidRDefault="00536753" w:rsidP="00CB2744">
            <w:pPr>
              <w:contextualSpacing/>
              <w:jc w:val="center"/>
              <w:rPr>
                <w:lang w:val="en-US"/>
              </w:rPr>
            </w:pPr>
            <w:r w:rsidRPr="009627FD">
              <w:rPr>
                <w:lang w:val="en-US"/>
              </w:rPr>
              <w:t>-.02</w:t>
            </w:r>
          </w:p>
        </w:tc>
      </w:tr>
      <w:tr w:rsidR="00536753" w:rsidRPr="009627FD" w14:paraId="73B0E967" w14:textId="77777777" w:rsidTr="00CB2744">
        <w:tc>
          <w:tcPr>
            <w:tcW w:w="5353" w:type="dxa"/>
          </w:tcPr>
          <w:p w14:paraId="6B6ECB1F" w14:textId="77777777" w:rsidR="00536753" w:rsidRPr="009627FD" w:rsidRDefault="00536753" w:rsidP="00CB2744">
            <w:pPr>
              <w:contextualSpacing/>
              <w:rPr>
                <w:lang w:val="en-US"/>
              </w:rPr>
            </w:pPr>
            <w:r w:rsidRPr="009627FD">
              <w:rPr>
                <w:lang w:val="en-US"/>
              </w:rPr>
              <w:t>Gender</w:t>
            </w:r>
          </w:p>
        </w:tc>
        <w:tc>
          <w:tcPr>
            <w:tcW w:w="903" w:type="dxa"/>
          </w:tcPr>
          <w:p w14:paraId="14734539" w14:textId="77777777" w:rsidR="00536753" w:rsidRPr="009627FD" w:rsidRDefault="00536753" w:rsidP="00CB2744">
            <w:pPr>
              <w:contextualSpacing/>
              <w:jc w:val="center"/>
              <w:rPr>
                <w:lang w:val="en-US"/>
              </w:rPr>
            </w:pPr>
            <w:r w:rsidRPr="009627FD">
              <w:rPr>
                <w:lang w:val="en-US"/>
              </w:rPr>
              <w:t>.38</w:t>
            </w:r>
          </w:p>
        </w:tc>
        <w:tc>
          <w:tcPr>
            <w:tcW w:w="1134" w:type="dxa"/>
          </w:tcPr>
          <w:p w14:paraId="253350FC" w14:textId="77777777" w:rsidR="00536753" w:rsidRPr="009627FD" w:rsidRDefault="00536753" w:rsidP="00CB2744">
            <w:pPr>
              <w:contextualSpacing/>
              <w:jc w:val="center"/>
              <w:rPr>
                <w:lang w:val="en-US"/>
              </w:rPr>
            </w:pPr>
            <w:r w:rsidRPr="009627FD">
              <w:rPr>
                <w:lang w:val="en-US"/>
              </w:rPr>
              <w:t>.30</w:t>
            </w:r>
          </w:p>
        </w:tc>
        <w:tc>
          <w:tcPr>
            <w:tcW w:w="903" w:type="dxa"/>
          </w:tcPr>
          <w:p w14:paraId="3CB68CA5" w14:textId="77777777" w:rsidR="00536753" w:rsidRPr="009627FD" w:rsidRDefault="00536753" w:rsidP="00CB2744">
            <w:pPr>
              <w:contextualSpacing/>
              <w:jc w:val="center"/>
              <w:rPr>
                <w:lang w:val="en-US"/>
              </w:rPr>
            </w:pPr>
            <w:r w:rsidRPr="009627FD">
              <w:rPr>
                <w:lang w:val="en-US"/>
              </w:rPr>
              <w:t>.04</w:t>
            </w:r>
          </w:p>
        </w:tc>
        <w:tc>
          <w:tcPr>
            <w:tcW w:w="1134" w:type="dxa"/>
          </w:tcPr>
          <w:p w14:paraId="423E5927" w14:textId="77777777" w:rsidR="00536753" w:rsidRPr="009627FD" w:rsidRDefault="00536753" w:rsidP="00CB2744">
            <w:pPr>
              <w:contextualSpacing/>
              <w:jc w:val="center"/>
              <w:rPr>
                <w:lang w:val="en-US"/>
              </w:rPr>
            </w:pPr>
            <w:r w:rsidRPr="009627FD">
              <w:rPr>
                <w:lang w:val="en-US"/>
              </w:rPr>
              <w:t>1.28</w:t>
            </w:r>
          </w:p>
        </w:tc>
        <w:tc>
          <w:tcPr>
            <w:tcW w:w="567" w:type="dxa"/>
          </w:tcPr>
          <w:p w14:paraId="6CEF0462" w14:textId="77777777" w:rsidR="00536753" w:rsidRPr="009627FD" w:rsidRDefault="00536753" w:rsidP="00CB2744">
            <w:pPr>
              <w:contextualSpacing/>
              <w:jc w:val="center"/>
              <w:rPr>
                <w:lang w:val="en-US"/>
              </w:rPr>
            </w:pPr>
          </w:p>
        </w:tc>
        <w:tc>
          <w:tcPr>
            <w:tcW w:w="708" w:type="dxa"/>
          </w:tcPr>
          <w:p w14:paraId="28880DED" w14:textId="77777777" w:rsidR="00536753" w:rsidRPr="009627FD" w:rsidRDefault="00536753" w:rsidP="00CB2744">
            <w:pPr>
              <w:contextualSpacing/>
              <w:jc w:val="center"/>
              <w:rPr>
                <w:lang w:val="en-US"/>
              </w:rPr>
            </w:pPr>
          </w:p>
        </w:tc>
        <w:tc>
          <w:tcPr>
            <w:tcW w:w="1134" w:type="dxa"/>
          </w:tcPr>
          <w:p w14:paraId="068B0D5A" w14:textId="77777777" w:rsidR="00536753" w:rsidRPr="009627FD" w:rsidRDefault="00536753" w:rsidP="00CB2744">
            <w:pPr>
              <w:contextualSpacing/>
              <w:jc w:val="center"/>
              <w:rPr>
                <w:lang w:val="en-US"/>
              </w:rPr>
            </w:pPr>
          </w:p>
        </w:tc>
        <w:tc>
          <w:tcPr>
            <w:tcW w:w="851" w:type="dxa"/>
          </w:tcPr>
          <w:p w14:paraId="1F8BD76A" w14:textId="77777777" w:rsidR="00536753" w:rsidRPr="009627FD" w:rsidRDefault="00536753" w:rsidP="00CB2744">
            <w:pPr>
              <w:contextualSpacing/>
              <w:jc w:val="center"/>
              <w:rPr>
                <w:lang w:val="en-US"/>
              </w:rPr>
            </w:pPr>
          </w:p>
        </w:tc>
        <w:tc>
          <w:tcPr>
            <w:tcW w:w="1559" w:type="dxa"/>
          </w:tcPr>
          <w:p w14:paraId="52D3CD4E" w14:textId="77777777" w:rsidR="00536753" w:rsidRPr="009627FD" w:rsidRDefault="00536753" w:rsidP="00CB2744">
            <w:pPr>
              <w:contextualSpacing/>
              <w:jc w:val="center"/>
              <w:rPr>
                <w:lang w:val="en-US"/>
              </w:rPr>
            </w:pPr>
            <w:r w:rsidRPr="009627FD">
              <w:rPr>
                <w:lang w:val="en-US"/>
              </w:rPr>
              <w:t>-.20</w:t>
            </w:r>
          </w:p>
        </w:tc>
        <w:tc>
          <w:tcPr>
            <w:tcW w:w="1418" w:type="dxa"/>
          </w:tcPr>
          <w:p w14:paraId="22781456" w14:textId="77777777" w:rsidR="00536753" w:rsidRPr="009627FD" w:rsidRDefault="00536753" w:rsidP="00CB2744">
            <w:pPr>
              <w:contextualSpacing/>
              <w:jc w:val="center"/>
              <w:rPr>
                <w:lang w:val="en-US"/>
              </w:rPr>
            </w:pPr>
            <w:r w:rsidRPr="009627FD">
              <w:rPr>
                <w:lang w:val="en-US"/>
              </w:rPr>
              <w:t>.97</w:t>
            </w:r>
          </w:p>
        </w:tc>
      </w:tr>
      <w:tr w:rsidR="00536753" w:rsidRPr="009627FD" w14:paraId="21367CA3" w14:textId="77777777" w:rsidTr="00CB2744">
        <w:tc>
          <w:tcPr>
            <w:tcW w:w="5353" w:type="dxa"/>
          </w:tcPr>
          <w:p w14:paraId="64F6FD2A" w14:textId="77777777" w:rsidR="00536753" w:rsidRPr="009627FD" w:rsidRDefault="00536753" w:rsidP="00CB2744">
            <w:pPr>
              <w:contextualSpacing/>
              <w:rPr>
                <w:lang w:val="en-US"/>
              </w:rPr>
            </w:pPr>
            <w:r w:rsidRPr="009627FD">
              <w:rPr>
                <w:lang w:val="en-US"/>
              </w:rPr>
              <w:t>BFI-10-Agreeableness</w:t>
            </w:r>
          </w:p>
        </w:tc>
        <w:tc>
          <w:tcPr>
            <w:tcW w:w="903" w:type="dxa"/>
          </w:tcPr>
          <w:p w14:paraId="725B320F" w14:textId="77777777" w:rsidR="00536753" w:rsidRPr="009627FD" w:rsidRDefault="00536753" w:rsidP="00CB2744">
            <w:pPr>
              <w:contextualSpacing/>
              <w:jc w:val="center"/>
              <w:rPr>
                <w:lang w:val="en-US"/>
              </w:rPr>
            </w:pPr>
            <w:r w:rsidRPr="009627FD">
              <w:rPr>
                <w:lang w:val="en-US"/>
              </w:rPr>
              <w:t>-.04</w:t>
            </w:r>
          </w:p>
        </w:tc>
        <w:tc>
          <w:tcPr>
            <w:tcW w:w="1134" w:type="dxa"/>
          </w:tcPr>
          <w:p w14:paraId="2F9C68AE" w14:textId="77777777" w:rsidR="00536753" w:rsidRPr="009627FD" w:rsidRDefault="00536753" w:rsidP="00CB2744">
            <w:pPr>
              <w:contextualSpacing/>
              <w:jc w:val="center"/>
              <w:rPr>
                <w:lang w:val="en-US"/>
              </w:rPr>
            </w:pPr>
            <w:r w:rsidRPr="009627FD">
              <w:rPr>
                <w:lang w:val="en-US"/>
              </w:rPr>
              <w:t>.07</w:t>
            </w:r>
          </w:p>
        </w:tc>
        <w:tc>
          <w:tcPr>
            <w:tcW w:w="903" w:type="dxa"/>
          </w:tcPr>
          <w:p w14:paraId="1E689F2C" w14:textId="35958929" w:rsidR="00536753" w:rsidRPr="009627FD" w:rsidRDefault="00536753" w:rsidP="001432DD">
            <w:pPr>
              <w:contextualSpacing/>
              <w:jc w:val="center"/>
              <w:rPr>
                <w:lang w:val="en-US"/>
              </w:rPr>
            </w:pPr>
            <w:r w:rsidRPr="009627FD">
              <w:rPr>
                <w:lang w:val="en-US"/>
              </w:rPr>
              <w:t>-.</w:t>
            </w:r>
            <w:r w:rsidR="001432DD" w:rsidRPr="009627FD">
              <w:rPr>
                <w:lang w:val="en-US"/>
              </w:rPr>
              <w:t>0</w:t>
            </w:r>
            <w:r w:rsidRPr="009627FD">
              <w:rPr>
                <w:lang w:val="en-US"/>
              </w:rPr>
              <w:t>2</w:t>
            </w:r>
          </w:p>
        </w:tc>
        <w:tc>
          <w:tcPr>
            <w:tcW w:w="1134" w:type="dxa"/>
          </w:tcPr>
          <w:p w14:paraId="2EAF2B29" w14:textId="77777777" w:rsidR="00536753" w:rsidRPr="009627FD" w:rsidRDefault="00536753" w:rsidP="00CB2744">
            <w:pPr>
              <w:contextualSpacing/>
              <w:jc w:val="center"/>
              <w:rPr>
                <w:lang w:val="en-US"/>
              </w:rPr>
            </w:pPr>
            <w:r w:rsidRPr="009627FD">
              <w:rPr>
                <w:lang w:val="en-US"/>
              </w:rPr>
              <w:t>-.59</w:t>
            </w:r>
          </w:p>
        </w:tc>
        <w:tc>
          <w:tcPr>
            <w:tcW w:w="567" w:type="dxa"/>
          </w:tcPr>
          <w:p w14:paraId="11178503" w14:textId="77777777" w:rsidR="00536753" w:rsidRPr="009627FD" w:rsidRDefault="00536753" w:rsidP="00CB2744">
            <w:pPr>
              <w:contextualSpacing/>
              <w:jc w:val="center"/>
              <w:rPr>
                <w:lang w:val="en-US"/>
              </w:rPr>
            </w:pPr>
          </w:p>
        </w:tc>
        <w:tc>
          <w:tcPr>
            <w:tcW w:w="708" w:type="dxa"/>
          </w:tcPr>
          <w:p w14:paraId="4E5671A5" w14:textId="77777777" w:rsidR="00536753" w:rsidRPr="009627FD" w:rsidRDefault="00536753" w:rsidP="00CB2744">
            <w:pPr>
              <w:contextualSpacing/>
              <w:jc w:val="center"/>
              <w:rPr>
                <w:lang w:val="en-US"/>
              </w:rPr>
            </w:pPr>
          </w:p>
        </w:tc>
        <w:tc>
          <w:tcPr>
            <w:tcW w:w="1134" w:type="dxa"/>
          </w:tcPr>
          <w:p w14:paraId="6552B190" w14:textId="77777777" w:rsidR="00536753" w:rsidRPr="009627FD" w:rsidRDefault="00536753" w:rsidP="00CB2744">
            <w:pPr>
              <w:contextualSpacing/>
              <w:jc w:val="center"/>
              <w:rPr>
                <w:lang w:val="en-US"/>
              </w:rPr>
            </w:pPr>
          </w:p>
        </w:tc>
        <w:tc>
          <w:tcPr>
            <w:tcW w:w="851" w:type="dxa"/>
          </w:tcPr>
          <w:p w14:paraId="3072CD5C" w14:textId="77777777" w:rsidR="00536753" w:rsidRPr="009627FD" w:rsidRDefault="00536753" w:rsidP="00CB2744">
            <w:pPr>
              <w:contextualSpacing/>
              <w:jc w:val="center"/>
              <w:rPr>
                <w:lang w:val="en-US"/>
              </w:rPr>
            </w:pPr>
          </w:p>
        </w:tc>
        <w:tc>
          <w:tcPr>
            <w:tcW w:w="1559" w:type="dxa"/>
          </w:tcPr>
          <w:p w14:paraId="3F3D196A" w14:textId="77777777" w:rsidR="00536753" w:rsidRPr="009627FD" w:rsidRDefault="00536753" w:rsidP="00CB2744">
            <w:pPr>
              <w:contextualSpacing/>
              <w:jc w:val="center"/>
              <w:rPr>
                <w:lang w:val="en-US"/>
              </w:rPr>
            </w:pPr>
            <w:r w:rsidRPr="009627FD">
              <w:rPr>
                <w:lang w:val="en-US"/>
              </w:rPr>
              <w:t>-.19</w:t>
            </w:r>
          </w:p>
        </w:tc>
        <w:tc>
          <w:tcPr>
            <w:tcW w:w="1418" w:type="dxa"/>
          </w:tcPr>
          <w:p w14:paraId="2604CCEE" w14:textId="77777777" w:rsidR="00536753" w:rsidRPr="009627FD" w:rsidRDefault="00536753" w:rsidP="00CB2744">
            <w:pPr>
              <w:contextualSpacing/>
              <w:jc w:val="center"/>
              <w:rPr>
                <w:lang w:val="en-US"/>
              </w:rPr>
            </w:pPr>
            <w:r w:rsidRPr="009627FD">
              <w:rPr>
                <w:lang w:val="en-US"/>
              </w:rPr>
              <w:t>.10</w:t>
            </w:r>
          </w:p>
        </w:tc>
      </w:tr>
      <w:tr w:rsidR="00536753" w:rsidRPr="009627FD" w14:paraId="4C5B27EB" w14:textId="77777777" w:rsidTr="00CB2744">
        <w:tc>
          <w:tcPr>
            <w:tcW w:w="5353" w:type="dxa"/>
          </w:tcPr>
          <w:p w14:paraId="42583934" w14:textId="77777777" w:rsidR="00536753" w:rsidRPr="009627FD" w:rsidRDefault="00536753" w:rsidP="00CB2744">
            <w:pPr>
              <w:contextualSpacing/>
              <w:rPr>
                <w:lang w:val="en-US"/>
              </w:rPr>
            </w:pPr>
            <w:r w:rsidRPr="009627FD">
              <w:rPr>
                <w:lang w:val="en-US"/>
              </w:rPr>
              <w:t>BFI-10-Conscientiousness</w:t>
            </w:r>
          </w:p>
        </w:tc>
        <w:tc>
          <w:tcPr>
            <w:tcW w:w="903" w:type="dxa"/>
          </w:tcPr>
          <w:p w14:paraId="4D975E60" w14:textId="77777777" w:rsidR="00536753" w:rsidRPr="009627FD" w:rsidRDefault="00536753" w:rsidP="00CB2744">
            <w:pPr>
              <w:contextualSpacing/>
              <w:jc w:val="center"/>
              <w:rPr>
                <w:lang w:val="en-US"/>
              </w:rPr>
            </w:pPr>
            <w:r w:rsidRPr="009627FD">
              <w:rPr>
                <w:lang w:val="en-US"/>
              </w:rPr>
              <w:t>.01</w:t>
            </w:r>
          </w:p>
        </w:tc>
        <w:tc>
          <w:tcPr>
            <w:tcW w:w="1134" w:type="dxa"/>
          </w:tcPr>
          <w:p w14:paraId="430C6496" w14:textId="77777777" w:rsidR="00536753" w:rsidRPr="009627FD" w:rsidRDefault="00536753" w:rsidP="00CB2744">
            <w:pPr>
              <w:contextualSpacing/>
              <w:jc w:val="center"/>
              <w:rPr>
                <w:lang w:val="en-US"/>
              </w:rPr>
            </w:pPr>
            <w:r w:rsidRPr="009627FD">
              <w:rPr>
                <w:lang w:val="en-US"/>
              </w:rPr>
              <w:t>.08</w:t>
            </w:r>
          </w:p>
        </w:tc>
        <w:tc>
          <w:tcPr>
            <w:tcW w:w="903" w:type="dxa"/>
          </w:tcPr>
          <w:p w14:paraId="4D7BB4EB" w14:textId="77777777" w:rsidR="00536753" w:rsidRPr="009627FD" w:rsidRDefault="00536753" w:rsidP="00CB2744">
            <w:pPr>
              <w:contextualSpacing/>
              <w:jc w:val="center"/>
              <w:rPr>
                <w:lang w:val="en-US"/>
              </w:rPr>
            </w:pPr>
            <w:r w:rsidRPr="009627FD">
              <w:rPr>
                <w:lang w:val="en-US"/>
              </w:rPr>
              <w:t>.005</w:t>
            </w:r>
          </w:p>
        </w:tc>
        <w:tc>
          <w:tcPr>
            <w:tcW w:w="1134" w:type="dxa"/>
          </w:tcPr>
          <w:p w14:paraId="1DD880D4" w14:textId="77777777" w:rsidR="00536753" w:rsidRPr="009627FD" w:rsidRDefault="00536753" w:rsidP="00CB2744">
            <w:pPr>
              <w:contextualSpacing/>
              <w:jc w:val="center"/>
              <w:rPr>
                <w:lang w:val="en-US"/>
              </w:rPr>
            </w:pPr>
            <w:r w:rsidRPr="009627FD">
              <w:rPr>
                <w:lang w:val="en-US"/>
              </w:rPr>
              <w:t>.15</w:t>
            </w:r>
          </w:p>
        </w:tc>
        <w:tc>
          <w:tcPr>
            <w:tcW w:w="567" w:type="dxa"/>
          </w:tcPr>
          <w:p w14:paraId="15D2F63F" w14:textId="77777777" w:rsidR="00536753" w:rsidRPr="009627FD" w:rsidRDefault="00536753" w:rsidP="00CB2744">
            <w:pPr>
              <w:contextualSpacing/>
              <w:jc w:val="center"/>
              <w:rPr>
                <w:lang w:val="en-US"/>
              </w:rPr>
            </w:pPr>
          </w:p>
        </w:tc>
        <w:tc>
          <w:tcPr>
            <w:tcW w:w="708" w:type="dxa"/>
          </w:tcPr>
          <w:p w14:paraId="593D8F53" w14:textId="77777777" w:rsidR="00536753" w:rsidRPr="009627FD" w:rsidRDefault="00536753" w:rsidP="00CB2744">
            <w:pPr>
              <w:contextualSpacing/>
              <w:jc w:val="center"/>
              <w:rPr>
                <w:lang w:val="en-US"/>
              </w:rPr>
            </w:pPr>
          </w:p>
        </w:tc>
        <w:tc>
          <w:tcPr>
            <w:tcW w:w="1134" w:type="dxa"/>
          </w:tcPr>
          <w:p w14:paraId="29B04516" w14:textId="77777777" w:rsidR="00536753" w:rsidRPr="009627FD" w:rsidRDefault="00536753" w:rsidP="00CB2744">
            <w:pPr>
              <w:contextualSpacing/>
              <w:jc w:val="center"/>
              <w:rPr>
                <w:lang w:val="en-US"/>
              </w:rPr>
            </w:pPr>
          </w:p>
        </w:tc>
        <w:tc>
          <w:tcPr>
            <w:tcW w:w="851" w:type="dxa"/>
          </w:tcPr>
          <w:p w14:paraId="6A571FFA" w14:textId="77777777" w:rsidR="00536753" w:rsidRPr="009627FD" w:rsidRDefault="00536753" w:rsidP="00CB2744">
            <w:pPr>
              <w:contextualSpacing/>
              <w:jc w:val="center"/>
              <w:rPr>
                <w:lang w:val="en-US"/>
              </w:rPr>
            </w:pPr>
          </w:p>
        </w:tc>
        <w:tc>
          <w:tcPr>
            <w:tcW w:w="1559" w:type="dxa"/>
          </w:tcPr>
          <w:p w14:paraId="2B72A27F" w14:textId="77777777" w:rsidR="00536753" w:rsidRPr="009627FD" w:rsidRDefault="00536753" w:rsidP="00CB2744">
            <w:pPr>
              <w:contextualSpacing/>
              <w:jc w:val="center"/>
              <w:rPr>
                <w:lang w:val="en-US"/>
              </w:rPr>
            </w:pPr>
            <w:r w:rsidRPr="009627FD">
              <w:rPr>
                <w:lang w:val="en-US"/>
              </w:rPr>
              <w:t>-.15</w:t>
            </w:r>
          </w:p>
        </w:tc>
        <w:tc>
          <w:tcPr>
            <w:tcW w:w="1418" w:type="dxa"/>
          </w:tcPr>
          <w:p w14:paraId="67D0B275" w14:textId="77777777" w:rsidR="00536753" w:rsidRPr="009627FD" w:rsidRDefault="00536753" w:rsidP="00CB2744">
            <w:pPr>
              <w:contextualSpacing/>
              <w:jc w:val="center"/>
              <w:rPr>
                <w:lang w:val="en-US"/>
              </w:rPr>
            </w:pPr>
            <w:r w:rsidRPr="009627FD">
              <w:rPr>
                <w:lang w:val="en-US"/>
              </w:rPr>
              <w:t>.17</w:t>
            </w:r>
          </w:p>
        </w:tc>
      </w:tr>
      <w:tr w:rsidR="00536753" w:rsidRPr="009627FD" w14:paraId="45984CEE" w14:textId="77777777" w:rsidTr="00CB2744">
        <w:tc>
          <w:tcPr>
            <w:tcW w:w="5353" w:type="dxa"/>
          </w:tcPr>
          <w:p w14:paraId="60172E0C" w14:textId="77777777" w:rsidR="00536753" w:rsidRPr="009627FD" w:rsidRDefault="00536753" w:rsidP="00CB2744">
            <w:pPr>
              <w:contextualSpacing/>
              <w:rPr>
                <w:lang w:val="en-US"/>
              </w:rPr>
            </w:pPr>
            <w:r w:rsidRPr="009627FD">
              <w:rPr>
                <w:lang w:val="en-US"/>
              </w:rPr>
              <w:lastRenderedPageBreak/>
              <w:t>BFI-10-Emotional stability</w:t>
            </w:r>
          </w:p>
        </w:tc>
        <w:tc>
          <w:tcPr>
            <w:tcW w:w="903" w:type="dxa"/>
          </w:tcPr>
          <w:p w14:paraId="744E6DBB" w14:textId="77777777" w:rsidR="00536753" w:rsidRPr="009627FD" w:rsidRDefault="00536753" w:rsidP="00CB2744">
            <w:pPr>
              <w:contextualSpacing/>
              <w:jc w:val="center"/>
              <w:rPr>
                <w:lang w:val="en-US"/>
              </w:rPr>
            </w:pPr>
            <w:r w:rsidRPr="009627FD">
              <w:rPr>
                <w:lang w:val="en-US"/>
              </w:rPr>
              <w:t>-.23</w:t>
            </w:r>
          </w:p>
        </w:tc>
        <w:tc>
          <w:tcPr>
            <w:tcW w:w="1134" w:type="dxa"/>
          </w:tcPr>
          <w:p w14:paraId="7FD483EF" w14:textId="77777777" w:rsidR="00536753" w:rsidRPr="009627FD" w:rsidRDefault="00536753" w:rsidP="00CB2744">
            <w:pPr>
              <w:contextualSpacing/>
              <w:jc w:val="center"/>
              <w:rPr>
                <w:lang w:val="en-US"/>
              </w:rPr>
            </w:pPr>
            <w:r w:rsidRPr="009627FD">
              <w:rPr>
                <w:lang w:val="en-US"/>
              </w:rPr>
              <w:t>.06</w:t>
            </w:r>
          </w:p>
        </w:tc>
        <w:tc>
          <w:tcPr>
            <w:tcW w:w="903" w:type="dxa"/>
          </w:tcPr>
          <w:p w14:paraId="16D66256" w14:textId="77777777" w:rsidR="00536753" w:rsidRPr="009627FD" w:rsidRDefault="00536753" w:rsidP="00CB2744">
            <w:pPr>
              <w:contextualSpacing/>
              <w:jc w:val="center"/>
              <w:rPr>
                <w:lang w:val="en-US"/>
              </w:rPr>
            </w:pPr>
            <w:r w:rsidRPr="009627FD">
              <w:rPr>
                <w:lang w:val="en-US"/>
              </w:rPr>
              <w:t>-.13**</w:t>
            </w:r>
          </w:p>
        </w:tc>
        <w:tc>
          <w:tcPr>
            <w:tcW w:w="1134" w:type="dxa"/>
          </w:tcPr>
          <w:p w14:paraId="3987301F" w14:textId="77777777" w:rsidR="00536753" w:rsidRPr="009627FD" w:rsidRDefault="00536753" w:rsidP="00CB2744">
            <w:pPr>
              <w:contextualSpacing/>
              <w:jc w:val="center"/>
              <w:rPr>
                <w:lang w:val="en-US"/>
              </w:rPr>
            </w:pPr>
            <w:r w:rsidRPr="009627FD">
              <w:rPr>
                <w:lang w:val="en-US"/>
              </w:rPr>
              <w:t>-3.69</w:t>
            </w:r>
          </w:p>
        </w:tc>
        <w:tc>
          <w:tcPr>
            <w:tcW w:w="567" w:type="dxa"/>
          </w:tcPr>
          <w:p w14:paraId="124DD58E" w14:textId="77777777" w:rsidR="00536753" w:rsidRPr="009627FD" w:rsidRDefault="00536753" w:rsidP="00CB2744">
            <w:pPr>
              <w:contextualSpacing/>
              <w:jc w:val="center"/>
              <w:rPr>
                <w:lang w:val="en-US"/>
              </w:rPr>
            </w:pPr>
          </w:p>
        </w:tc>
        <w:tc>
          <w:tcPr>
            <w:tcW w:w="708" w:type="dxa"/>
          </w:tcPr>
          <w:p w14:paraId="4F065637" w14:textId="77777777" w:rsidR="00536753" w:rsidRPr="009627FD" w:rsidRDefault="00536753" w:rsidP="00CB2744">
            <w:pPr>
              <w:contextualSpacing/>
              <w:jc w:val="center"/>
              <w:rPr>
                <w:lang w:val="en-US"/>
              </w:rPr>
            </w:pPr>
          </w:p>
        </w:tc>
        <w:tc>
          <w:tcPr>
            <w:tcW w:w="1134" w:type="dxa"/>
          </w:tcPr>
          <w:p w14:paraId="41266D92" w14:textId="77777777" w:rsidR="00536753" w:rsidRPr="009627FD" w:rsidRDefault="00536753" w:rsidP="00CB2744">
            <w:pPr>
              <w:contextualSpacing/>
              <w:jc w:val="center"/>
              <w:rPr>
                <w:lang w:val="en-US"/>
              </w:rPr>
            </w:pPr>
          </w:p>
        </w:tc>
        <w:tc>
          <w:tcPr>
            <w:tcW w:w="851" w:type="dxa"/>
          </w:tcPr>
          <w:p w14:paraId="7A4661F6" w14:textId="77777777" w:rsidR="00536753" w:rsidRPr="009627FD" w:rsidRDefault="00536753" w:rsidP="00CB2744">
            <w:pPr>
              <w:contextualSpacing/>
              <w:jc w:val="center"/>
              <w:rPr>
                <w:lang w:val="en-US"/>
              </w:rPr>
            </w:pPr>
          </w:p>
        </w:tc>
        <w:tc>
          <w:tcPr>
            <w:tcW w:w="1559" w:type="dxa"/>
          </w:tcPr>
          <w:p w14:paraId="79291818" w14:textId="77777777" w:rsidR="00536753" w:rsidRPr="009627FD" w:rsidRDefault="00536753" w:rsidP="00CB2744">
            <w:pPr>
              <w:contextualSpacing/>
              <w:jc w:val="center"/>
              <w:rPr>
                <w:lang w:val="en-US"/>
              </w:rPr>
            </w:pPr>
            <w:r w:rsidRPr="009627FD">
              <w:rPr>
                <w:lang w:val="en-US"/>
              </w:rPr>
              <w:t>-.35</w:t>
            </w:r>
          </w:p>
        </w:tc>
        <w:tc>
          <w:tcPr>
            <w:tcW w:w="1418" w:type="dxa"/>
          </w:tcPr>
          <w:p w14:paraId="388E4921" w14:textId="77777777" w:rsidR="00536753" w:rsidRPr="009627FD" w:rsidRDefault="00536753" w:rsidP="00CB2744">
            <w:pPr>
              <w:contextualSpacing/>
              <w:jc w:val="center"/>
              <w:rPr>
                <w:lang w:val="en-US"/>
              </w:rPr>
            </w:pPr>
            <w:r w:rsidRPr="009627FD">
              <w:rPr>
                <w:lang w:val="en-US"/>
              </w:rPr>
              <w:t>-.11</w:t>
            </w:r>
          </w:p>
        </w:tc>
      </w:tr>
      <w:tr w:rsidR="00536753" w:rsidRPr="009627FD" w14:paraId="12956E47" w14:textId="77777777" w:rsidTr="00CB2744">
        <w:tc>
          <w:tcPr>
            <w:tcW w:w="5353" w:type="dxa"/>
          </w:tcPr>
          <w:p w14:paraId="7ECC2D69" w14:textId="77777777" w:rsidR="00536753" w:rsidRPr="009627FD" w:rsidRDefault="00536753" w:rsidP="00CB2744">
            <w:pPr>
              <w:contextualSpacing/>
              <w:rPr>
                <w:lang w:val="en-US"/>
              </w:rPr>
            </w:pPr>
            <w:r w:rsidRPr="009627FD">
              <w:rPr>
                <w:lang w:val="en-US"/>
              </w:rPr>
              <w:t>Perception of vulnerability to COVID-19</w:t>
            </w:r>
          </w:p>
        </w:tc>
        <w:tc>
          <w:tcPr>
            <w:tcW w:w="903" w:type="dxa"/>
          </w:tcPr>
          <w:p w14:paraId="79F70502" w14:textId="77777777" w:rsidR="00536753" w:rsidRPr="009627FD" w:rsidRDefault="00536753" w:rsidP="00CB2744">
            <w:pPr>
              <w:contextualSpacing/>
              <w:jc w:val="center"/>
              <w:rPr>
                <w:lang w:val="en-US"/>
              </w:rPr>
            </w:pPr>
            <w:r w:rsidRPr="009627FD">
              <w:rPr>
                <w:lang w:val="en-US"/>
              </w:rPr>
              <w:t>.55</w:t>
            </w:r>
          </w:p>
        </w:tc>
        <w:tc>
          <w:tcPr>
            <w:tcW w:w="1134" w:type="dxa"/>
          </w:tcPr>
          <w:p w14:paraId="14882546" w14:textId="77777777" w:rsidR="00536753" w:rsidRPr="009627FD" w:rsidRDefault="00536753" w:rsidP="00CB2744">
            <w:pPr>
              <w:contextualSpacing/>
              <w:jc w:val="center"/>
              <w:rPr>
                <w:lang w:val="en-US"/>
              </w:rPr>
            </w:pPr>
            <w:r w:rsidRPr="009627FD">
              <w:rPr>
                <w:lang w:val="en-US"/>
              </w:rPr>
              <w:t>.28</w:t>
            </w:r>
          </w:p>
        </w:tc>
        <w:tc>
          <w:tcPr>
            <w:tcW w:w="903" w:type="dxa"/>
          </w:tcPr>
          <w:p w14:paraId="460AB889" w14:textId="77777777" w:rsidR="00536753" w:rsidRPr="009627FD" w:rsidRDefault="00536753" w:rsidP="00CB2744">
            <w:pPr>
              <w:contextualSpacing/>
              <w:jc w:val="center"/>
              <w:rPr>
                <w:lang w:val="en-US"/>
              </w:rPr>
            </w:pPr>
            <w:r w:rsidRPr="009627FD">
              <w:rPr>
                <w:lang w:val="en-US"/>
              </w:rPr>
              <w:t>.07*</w:t>
            </w:r>
          </w:p>
        </w:tc>
        <w:tc>
          <w:tcPr>
            <w:tcW w:w="1134" w:type="dxa"/>
          </w:tcPr>
          <w:p w14:paraId="24562BE6" w14:textId="77777777" w:rsidR="00536753" w:rsidRPr="009627FD" w:rsidRDefault="00536753" w:rsidP="00CB2744">
            <w:pPr>
              <w:contextualSpacing/>
              <w:jc w:val="center"/>
              <w:rPr>
                <w:lang w:val="en-US"/>
              </w:rPr>
            </w:pPr>
            <w:r w:rsidRPr="009627FD">
              <w:rPr>
                <w:lang w:val="en-US"/>
              </w:rPr>
              <w:t>1.97</w:t>
            </w:r>
          </w:p>
        </w:tc>
        <w:tc>
          <w:tcPr>
            <w:tcW w:w="567" w:type="dxa"/>
          </w:tcPr>
          <w:p w14:paraId="18DEDF03" w14:textId="77777777" w:rsidR="00536753" w:rsidRPr="009627FD" w:rsidRDefault="00536753" w:rsidP="00CB2744">
            <w:pPr>
              <w:contextualSpacing/>
              <w:jc w:val="center"/>
              <w:rPr>
                <w:lang w:val="en-US"/>
              </w:rPr>
            </w:pPr>
          </w:p>
        </w:tc>
        <w:tc>
          <w:tcPr>
            <w:tcW w:w="708" w:type="dxa"/>
          </w:tcPr>
          <w:p w14:paraId="391E425E" w14:textId="77777777" w:rsidR="00536753" w:rsidRPr="009627FD" w:rsidRDefault="00536753" w:rsidP="00CB2744">
            <w:pPr>
              <w:contextualSpacing/>
              <w:jc w:val="center"/>
              <w:rPr>
                <w:lang w:val="en-US"/>
              </w:rPr>
            </w:pPr>
          </w:p>
        </w:tc>
        <w:tc>
          <w:tcPr>
            <w:tcW w:w="1134" w:type="dxa"/>
          </w:tcPr>
          <w:p w14:paraId="58E4E68A" w14:textId="77777777" w:rsidR="00536753" w:rsidRPr="009627FD" w:rsidRDefault="00536753" w:rsidP="00CB2744">
            <w:pPr>
              <w:contextualSpacing/>
              <w:jc w:val="center"/>
              <w:rPr>
                <w:lang w:val="en-US"/>
              </w:rPr>
            </w:pPr>
          </w:p>
        </w:tc>
        <w:tc>
          <w:tcPr>
            <w:tcW w:w="851" w:type="dxa"/>
          </w:tcPr>
          <w:p w14:paraId="606D2688" w14:textId="77777777" w:rsidR="00536753" w:rsidRPr="009627FD" w:rsidRDefault="00536753" w:rsidP="00CB2744">
            <w:pPr>
              <w:contextualSpacing/>
              <w:jc w:val="center"/>
              <w:rPr>
                <w:lang w:val="en-US"/>
              </w:rPr>
            </w:pPr>
          </w:p>
        </w:tc>
        <w:tc>
          <w:tcPr>
            <w:tcW w:w="1559" w:type="dxa"/>
          </w:tcPr>
          <w:p w14:paraId="566C068C" w14:textId="77777777" w:rsidR="00536753" w:rsidRPr="009627FD" w:rsidRDefault="00536753" w:rsidP="00CB2744">
            <w:pPr>
              <w:contextualSpacing/>
              <w:jc w:val="center"/>
              <w:rPr>
                <w:lang w:val="en-US"/>
              </w:rPr>
            </w:pPr>
            <w:r w:rsidRPr="009627FD">
              <w:rPr>
                <w:lang w:val="en-US"/>
              </w:rPr>
              <w:t>.001</w:t>
            </w:r>
          </w:p>
        </w:tc>
        <w:tc>
          <w:tcPr>
            <w:tcW w:w="1418" w:type="dxa"/>
          </w:tcPr>
          <w:p w14:paraId="09440C38" w14:textId="77777777" w:rsidR="00536753" w:rsidRPr="009627FD" w:rsidRDefault="00536753" w:rsidP="00CB2744">
            <w:pPr>
              <w:contextualSpacing/>
              <w:jc w:val="center"/>
              <w:rPr>
                <w:lang w:val="en-US"/>
              </w:rPr>
            </w:pPr>
            <w:r w:rsidRPr="009627FD">
              <w:rPr>
                <w:lang w:val="en-US"/>
              </w:rPr>
              <w:t>1.10</w:t>
            </w:r>
          </w:p>
        </w:tc>
      </w:tr>
      <w:tr w:rsidR="00536753" w:rsidRPr="009627FD" w14:paraId="39038963" w14:textId="77777777" w:rsidTr="00CB2744">
        <w:tc>
          <w:tcPr>
            <w:tcW w:w="5353" w:type="dxa"/>
          </w:tcPr>
          <w:p w14:paraId="09B45A89" w14:textId="25FB314A" w:rsidR="00536753" w:rsidRPr="009627FD" w:rsidRDefault="00536753" w:rsidP="00CB2744">
            <w:pPr>
              <w:contextualSpacing/>
              <w:rPr>
                <w:lang w:val="en-US"/>
              </w:rPr>
            </w:pPr>
            <w:r w:rsidRPr="009627FD">
              <w:rPr>
                <w:lang w:val="en-US"/>
              </w:rPr>
              <w:t>FCV-19-</w:t>
            </w:r>
            <w:r w:rsidR="00580BDB" w:rsidRPr="009627FD">
              <w:rPr>
                <w:lang w:val="en-US"/>
              </w:rPr>
              <w:t>Fear of COVID-19</w:t>
            </w:r>
          </w:p>
        </w:tc>
        <w:tc>
          <w:tcPr>
            <w:tcW w:w="903" w:type="dxa"/>
          </w:tcPr>
          <w:p w14:paraId="6701EAD8" w14:textId="77777777" w:rsidR="00536753" w:rsidRPr="009627FD" w:rsidRDefault="00536753" w:rsidP="00CB2744">
            <w:pPr>
              <w:contextualSpacing/>
              <w:jc w:val="center"/>
              <w:rPr>
                <w:lang w:val="en-US"/>
              </w:rPr>
            </w:pPr>
            <w:r w:rsidRPr="009627FD">
              <w:rPr>
                <w:lang w:val="en-US"/>
              </w:rPr>
              <w:t>.33</w:t>
            </w:r>
          </w:p>
        </w:tc>
        <w:tc>
          <w:tcPr>
            <w:tcW w:w="1134" w:type="dxa"/>
          </w:tcPr>
          <w:p w14:paraId="4F9B5FB2" w14:textId="77777777" w:rsidR="00536753" w:rsidRPr="009627FD" w:rsidRDefault="00536753" w:rsidP="00CB2744">
            <w:pPr>
              <w:contextualSpacing/>
              <w:jc w:val="center"/>
              <w:rPr>
                <w:lang w:val="en-US"/>
              </w:rPr>
            </w:pPr>
            <w:r w:rsidRPr="009627FD">
              <w:rPr>
                <w:lang w:val="en-US"/>
              </w:rPr>
              <w:t>.03</w:t>
            </w:r>
          </w:p>
        </w:tc>
        <w:tc>
          <w:tcPr>
            <w:tcW w:w="903" w:type="dxa"/>
          </w:tcPr>
          <w:p w14:paraId="16B319D7" w14:textId="77777777" w:rsidR="00536753" w:rsidRPr="009627FD" w:rsidRDefault="00536753" w:rsidP="00CB2744">
            <w:pPr>
              <w:contextualSpacing/>
              <w:jc w:val="center"/>
              <w:rPr>
                <w:lang w:val="en-US"/>
              </w:rPr>
            </w:pPr>
            <w:r w:rsidRPr="009627FD">
              <w:rPr>
                <w:lang w:val="en-US"/>
              </w:rPr>
              <w:t>.50**</w:t>
            </w:r>
          </w:p>
        </w:tc>
        <w:tc>
          <w:tcPr>
            <w:tcW w:w="1134" w:type="dxa"/>
          </w:tcPr>
          <w:p w14:paraId="6FF30F57" w14:textId="77777777" w:rsidR="00536753" w:rsidRPr="009627FD" w:rsidRDefault="00536753" w:rsidP="00CB2744">
            <w:pPr>
              <w:contextualSpacing/>
              <w:jc w:val="center"/>
              <w:rPr>
                <w:lang w:val="en-US"/>
              </w:rPr>
            </w:pPr>
            <w:r w:rsidRPr="009627FD">
              <w:rPr>
                <w:lang w:val="en-US"/>
              </w:rPr>
              <w:t>11.37</w:t>
            </w:r>
          </w:p>
        </w:tc>
        <w:tc>
          <w:tcPr>
            <w:tcW w:w="567" w:type="dxa"/>
          </w:tcPr>
          <w:p w14:paraId="5AA06C52" w14:textId="77777777" w:rsidR="00536753" w:rsidRPr="009627FD" w:rsidRDefault="00536753" w:rsidP="00CB2744">
            <w:pPr>
              <w:contextualSpacing/>
              <w:jc w:val="center"/>
              <w:rPr>
                <w:lang w:val="en-US"/>
              </w:rPr>
            </w:pPr>
          </w:p>
        </w:tc>
        <w:tc>
          <w:tcPr>
            <w:tcW w:w="708" w:type="dxa"/>
          </w:tcPr>
          <w:p w14:paraId="57687F66" w14:textId="77777777" w:rsidR="00536753" w:rsidRPr="009627FD" w:rsidRDefault="00536753" w:rsidP="00CB2744">
            <w:pPr>
              <w:contextualSpacing/>
              <w:jc w:val="center"/>
              <w:rPr>
                <w:lang w:val="en-US"/>
              </w:rPr>
            </w:pPr>
          </w:p>
        </w:tc>
        <w:tc>
          <w:tcPr>
            <w:tcW w:w="1134" w:type="dxa"/>
          </w:tcPr>
          <w:p w14:paraId="5EEC3E53" w14:textId="77777777" w:rsidR="00536753" w:rsidRPr="009627FD" w:rsidRDefault="00536753" w:rsidP="00CB2744">
            <w:pPr>
              <w:contextualSpacing/>
              <w:jc w:val="center"/>
              <w:rPr>
                <w:lang w:val="en-US"/>
              </w:rPr>
            </w:pPr>
          </w:p>
        </w:tc>
        <w:tc>
          <w:tcPr>
            <w:tcW w:w="851" w:type="dxa"/>
          </w:tcPr>
          <w:p w14:paraId="281FE0ED" w14:textId="77777777" w:rsidR="00536753" w:rsidRPr="009627FD" w:rsidRDefault="00536753" w:rsidP="00CB2744">
            <w:pPr>
              <w:contextualSpacing/>
              <w:jc w:val="center"/>
              <w:rPr>
                <w:lang w:val="en-US"/>
              </w:rPr>
            </w:pPr>
          </w:p>
        </w:tc>
        <w:tc>
          <w:tcPr>
            <w:tcW w:w="1559" w:type="dxa"/>
          </w:tcPr>
          <w:p w14:paraId="6A04B7B7" w14:textId="77777777" w:rsidR="00536753" w:rsidRPr="009627FD" w:rsidRDefault="00536753" w:rsidP="00CB2744">
            <w:pPr>
              <w:contextualSpacing/>
              <w:jc w:val="center"/>
              <w:rPr>
                <w:lang w:val="en-US"/>
              </w:rPr>
            </w:pPr>
            <w:r w:rsidRPr="009627FD">
              <w:rPr>
                <w:lang w:val="en-US"/>
              </w:rPr>
              <w:t>.27</w:t>
            </w:r>
          </w:p>
        </w:tc>
        <w:tc>
          <w:tcPr>
            <w:tcW w:w="1418" w:type="dxa"/>
          </w:tcPr>
          <w:p w14:paraId="5208DC98" w14:textId="77777777" w:rsidR="00536753" w:rsidRPr="009627FD" w:rsidRDefault="00536753" w:rsidP="00CB2744">
            <w:pPr>
              <w:contextualSpacing/>
              <w:jc w:val="center"/>
              <w:rPr>
                <w:lang w:val="en-US"/>
              </w:rPr>
            </w:pPr>
            <w:r w:rsidRPr="009627FD">
              <w:rPr>
                <w:lang w:val="en-US"/>
              </w:rPr>
              <w:t>.38</w:t>
            </w:r>
          </w:p>
        </w:tc>
      </w:tr>
      <w:tr w:rsidR="00536753" w:rsidRPr="009627FD" w14:paraId="0C1E7C7D" w14:textId="77777777" w:rsidTr="00CB2744">
        <w:tc>
          <w:tcPr>
            <w:tcW w:w="5353" w:type="dxa"/>
          </w:tcPr>
          <w:p w14:paraId="57BA7075" w14:textId="77777777" w:rsidR="00536753" w:rsidRPr="009627FD" w:rsidRDefault="00536753" w:rsidP="00CB2744">
            <w:pPr>
              <w:contextualSpacing/>
              <w:rPr>
                <w:lang w:val="en-US"/>
              </w:rPr>
            </w:pPr>
            <w:r w:rsidRPr="009627FD">
              <w:rPr>
                <w:lang w:val="en-US"/>
              </w:rPr>
              <w:t>C-19ASS-Perseveration</w:t>
            </w:r>
          </w:p>
        </w:tc>
        <w:tc>
          <w:tcPr>
            <w:tcW w:w="903" w:type="dxa"/>
          </w:tcPr>
          <w:p w14:paraId="26791C03" w14:textId="77777777" w:rsidR="00536753" w:rsidRPr="009627FD" w:rsidRDefault="00536753" w:rsidP="00CB2744">
            <w:pPr>
              <w:contextualSpacing/>
              <w:jc w:val="center"/>
              <w:rPr>
                <w:lang w:val="en-US"/>
              </w:rPr>
            </w:pPr>
            <w:r w:rsidRPr="009627FD">
              <w:rPr>
                <w:lang w:val="en-US"/>
              </w:rPr>
              <w:t>.18</w:t>
            </w:r>
          </w:p>
        </w:tc>
        <w:tc>
          <w:tcPr>
            <w:tcW w:w="1134" w:type="dxa"/>
          </w:tcPr>
          <w:p w14:paraId="0F345AF6" w14:textId="77777777" w:rsidR="00536753" w:rsidRPr="009627FD" w:rsidRDefault="00536753" w:rsidP="00CB2744">
            <w:pPr>
              <w:contextualSpacing/>
              <w:jc w:val="center"/>
              <w:rPr>
                <w:lang w:val="en-US"/>
              </w:rPr>
            </w:pPr>
            <w:r w:rsidRPr="009627FD">
              <w:rPr>
                <w:lang w:val="en-US"/>
              </w:rPr>
              <w:t>.03</w:t>
            </w:r>
          </w:p>
        </w:tc>
        <w:tc>
          <w:tcPr>
            <w:tcW w:w="903" w:type="dxa"/>
          </w:tcPr>
          <w:p w14:paraId="669247DC" w14:textId="77777777" w:rsidR="00536753" w:rsidRPr="009627FD" w:rsidRDefault="00536753" w:rsidP="00CB2744">
            <w:pPr>
              <w:contextualSpacing/>
              <w:jc w:val="center"/>
              <w:rPr>
                <w:lang w:val="en-US"/>
              </w:rPr>
            </w:pPr>
            <w:r w:rsidRPr="009627FD">
              <w:rPr>
                <w:lang w:val="en-US"/>
              </w:rPr>
              <w:t>.25**</w:t>
            </w:r>
          </w:p>
        </w:tc>
        <w:tc>
          <w:tcPr>
            <w:tcW w:w="1134" w:type="dxa"/>
          </w:tcPr>
          <w:p w14:paraId="14DBC17B" w14:textId="77777777" w:rsidR="00536753" w:rsidRPr="009627FD" w:rsidRDefault="00536753" w:rsidP="00CB2744">
            <w:pPr>
              <w:contextualSpacing/>
              <w:jc w:val="center"/>
              <w:rPr>
                <w:lang w:val="en-US"/>
              </w:rPr>
            </w:pPr>
            <w:r w:rsidRPr="009627FD">
              <w:rPr>
                <w:lang w:val="en-US"/>
              </w:rPr>
              <w:t>5.63</w:t>
            </w:r>
          </w:p>
        </w:tc>
        <w:tc>
          <w:tcPr>
            <w:tcW w:w="567" w:type="dxa"/>
          </w:tcPr>
          <w:p w14:paraId="4D9A3724" w14:textId="77777777" w:rsidR="00536753" w:rsidRPr="009627FD" w:rsidRDefault="00536753" w:rsidP="00CB2744">
            <w:pPr>
              <w:contextualSpacing/>
              <w:jc w:val="center"/>
              <w:rPr>
                <w:lang w:val="en-US"/>
              </w:rPr>
            </w:pPr>
          </w:p>
        </w:tc>
        <w:tc>
          <w:tcPr>
            <w:tcW w:w="708" w:type="dxa"/>
          </w:tcPr>
          <w:p w14:paraId="30424768" w14:textId="77777777" w:rsidR="00536753" w:rsidRPr="009627FD" w:rsidRDefault="00536753" w:rsidP="00CB2744">
            <w:pPr>
              <w:contextualSpacing/>
              <w:jc w:val="center"/>
              <w:rPr>
                <w:lang w:val="en-US"/>
              </w:rPr>
            </w:pPr>
          </w:p>
        </w:tc>
        <w:tc>
          <w:tcPr>
            <w:tcW w:w="1134" w:type="dxa"/>
          </w:tcPr>
          <w:p w14:paraId="79BA26C3" w14:textId="77777777" w:rsidR="00536753" w:rsidRPr="009627FD" w:rsidRDefault="00536753" w:rsidP="00CB2744">
            <w:pPr>
              <w:contextualSpacing/>
              <w:jc w:val="center"/>
              <w:rPr>
                <w:lang w:val="en-US"/>
              </w:rPr>
            </w:pPr>
          </w:p>
        </w:tc>
        <w:tc>
          <w:tcPr>
            <w:tcW w:w="851" w:type="dxa"/>
          </w:tcPr>
          <w:p w14:paraId="756DF9B4" w14:textId="77777777" w:rsidR="00536753" w:rsidRPr="009627FD" w:rsidRDefault="00536753" w:rsidP="00CB2744">
            <w:pPr>
              <w:contextualSpacing/>
              <w:jc w:val="center"/>
              <w:rPr>
                <w:lang w:val="en-US"/>
              </w:rPr>
            </w:pPr>
          </w:p>
        </w:tc>
        <w:tc>
          <w:tcPr>
            <w:tcW w:w="1559" w:type="dxa"/>
          </w:tcPr>
          <w:p w14:paraId="171159C4" w14:textId="77777777" w:rsidR="00536753" w:rsidRPr="009627FD" w:rsidRDefault="00536753" w:rsidP="00CB2744">
            <w:pPr>
              <w:contextualSpacing/>
              <w:jc w:val="center"/>
              <w:rPr>
                <w:lang w:val="en-US"/>
              </w:rPr>
            </w:pPr>
            <w:r w:rsidRPr="009627FD">
              <w:rPr>
                <w:lang w:val="en-US"/>
              </w:rPr>
              <w:t>.12</w:t>
            </w:r>
          </w:p>
        </w:tc>
        <w:tc>
          <w:tcPr>
            <w:tcW w:w="1418" w:type="dxa"/>
          </w:tcPr>
          <w:p w14:paraId="0FAD72EC" w14:textId="77777777" w:rsidR="00536753" w:rsidRPr="009627FD" w:rsidRDefault="00536753" w:rsidP="00CB2744">
            <w:pPr>
              <w:contextualSpacing/>
              <w:jc w:val="center"/>
              <w:rPr>
                <w:lang w:val="en-US"/>
              </w:rPr>
            </w:pPr>
            <w:r w:rsidRPr="009627FD">
              <w:rPr>
                <w:lang w:val="en-US"/>
              </w:rPr>
              <w:t>.24</w:t>
            </w:r>
          </w:p>
        </w:tc>
      </w:tr>
      <w:tr w:rsidR="00536753" w:rsidRPr="009627FD" w14:paraId="39B0EADB" w14:textId="77777777" w:rsidTr="00CB2744">
        <w:tc>
          <w:tcPr>
            <w:tcW w:w="5353" w:type="dxa"/>
            <w:tcBorders>
              <w:bottom w:val="single" w:sz="4" w:space="0" w:color="auto"/>
            </w:tcBorders>
          </w:tcPr>
          <w:p w14:paraId="089A7618" w14:textId="77777777" w:rsidR="00536753" w:rsidRPr="009627FD" w:rsidRDefault="00536753" w:rsidP="00CB2744">
            <w:pPr>
              <w:contextualSpacing/>
              <w:rPr>
                <w:lang w:val="en-US"/>
              </w:rPr>
            </w:pPr>
            <w:r w:rsidRPr="009627FD">
              <w:rPr>
                <w:lang w:val="en-US"/>
              </w:rPr>
              <w:t>C-19ASS-Avoidance</w:t>
            </w:r>
          </w:p>
        </w:tc>
        <w:tc>
          <w:tcPr>
            <w:tcW w:w="903" w:type="dxa"/>
            <w:tcBorders>
              <w:bottom w:val="single" w:sz="4" w:space="0" w:color="auto"/>
            </w:tcBorders>
          </w:tcPr>
          <w:p w14:paraId="28B1306A" w14:textId="77777777" w:rsidR="00536753" w:rsidRPr="009627FD" w:rsidRDefault="00536753" w:rsidP="00CB2744">
            <w:pPr>
              <w:contextualSpacing/>
              <w:jc w:val="center"/>
              <w:rPr>
                <w:lang w:val="en-US"/>
              </w:rPr>
            </w:pPr>
            <w:r w:rsidRPr="009627FD">
              <w:rPr>
                <w:lang w:val="en-US"/>
              </w:rPr>
              <w:t>.05</w:t>
            </w:r>
          </w:p>
        </w:tc>
        <w:tc>
          <w:tcPr>
            <w:tcW w:w="1134" w:type="dxa"/>
            <w:tcBorders>
              <w:bottom w:val="single" w:sz="4" w:space="0" w:color="auto"/>
            </w:tcBorders>
          </w:tcPr>
          <w:p w14:paraId="309B271A" w14:textId="77777777" w:rsidR="00536753" w:rsidRPr="009627FD" w:rsidRDefault="00536753" w:rsidP="00CB2744">
            <w:pPr>
              <w:contextualSpacing/>
              <w:jc w:val="center"/>
              <w:rPr>
                <w:lang w:val="en-US"/>
              </w:rPr>
            </w:pPr>
            <w:r w:rsidRPr="009627FD">
              <w:rPr>
                <w:lang w:val="en-US"/>
              </w:rPr>
              <w:t>.04</w:t>
            </w:r>
          </w:p>
        </w:tc>
        <w:tc>
          <w:tcPr>
            <w:tcW w:w="903" w:type="dxa"/>
            <w:tcBorders>
              <w:bottom w:val="single" w:sz="4" w:space="0" w:color="auto"/>
            </w:tcBorders>
          </w:tcPr>
          <w:p w14:paraId="4B37ED0E" w14:textId="77777777" w:rsidR="00536753" w:rsidRPr="009627FD" w:rsidRDefault="00536753" w:rsidP="00CB2744">
            <w:pPr>
              <w:contextualSpacing/>
              <w:jc w:val="center"/>
              <w:rPr>
                <w:lang w:val="en-US"/>
              </w:rPr>
            </w:pPr>
            <w:r w:rsidRPr="009627FD">
              <w:rPr>
                <w:lang w:val="en-US"/>
              </w:rPr>
              <w:t>.05</w:t>
            </w:r>
          </w:p>
        </w:tc>
        <w:tc>
          <w:tcPr>
            <w:tcW w:w="1134" w:type="dxa"/>
            <w:tcBorders>
              <w:bottom w:val="single" w:sz="4" w:space="0" w:color="auto"/>
            </w:tcBorders>
          </w:tcPr>
          <w:p w14:paraId="3B8E1F68" w14:textId="77777777" w:rsidR="00536753" w:rsidRPr="009627FD" w:rsidRDefault="00536753" w:rsidP="00CB2744">
            <w:pPr>
              <w:contextualSpacing/>
              <w:jc w:val="center"/>
              <w:rPr>
                <w:lang w:val="en-US"/>
              </w:rPr>
            </w:pPr>
            <w:r w:rsidRPr="009627FD">
              <w:rPr>
                <w:lang w:val="en-US"/>
              </w:rPr>
              <w:t>1.19</w:t>
            </w:r>
          </w:p>
        </w:tc>
        <w:tc>
          <w:tcPr>
            <w:tcW w:w="567" w:type="dxa"/>
            <w:tcBorders>
              <w:bottom w:val="single" w:sz="4" w:space="0" w:color="auto"/>
            </w:tcBorders>
          </w:tcPr>
          <w:p w14:paraId="5657B325" w14:textId="77777777" w:rsidR="00536753" w:rsidRPr="009627FD" w:rsidRDefault="00536753" w:rsidP="00CB2744">
            <w:pPr>
              <w:contextualSpacing/>
              <w:jc w:val="center"/>
              <w:rPr>
                <w:lang w:val="en-US"/>
              </w:rPr>
            </w:pPr>
          </w:p>
        </w:tc>
        <w:tc>
          <w:tcPr>
            <w:tcW w:w="708" w:type="dxa"/>
            <w:tcBorders>
              <w:bottom w:val="single" w:sz="4" w:space="0" w:color="auto"/>
            </w:tcBorders>
          </w:tcPr>
          <w:p w14:paraId="7D806E86" w14:textId="77777777" w:rsidR="00536753" w:rsidRPr="009627FD" w:rsidRDefault="00536753" w:rsidP="00CB2744">
            <w:pPr>
              <w:contextualSpacing/>
              <w:jc w:val="center"/>
              <w:rPr>
                <w:lang w:val="en-US"/>
              </w:rPr>
            </w:pPr>
          </w:p>
        </w:tc>
        <w:tc>
          <w:tcPr>
            <w:tcW w:w="1134" w:type="dxa"/>
            <w:tcBorders>
              <w:bottom w:val="single" w:sz="4" w:space="0" w:color="auto"/>
            </w:tcBorders>
          </w:tcPr>
          <w:p w14:paraId="431D13F3" w14:textId="77777777" w:rsidR="00536753" w:rsidRPr="009627FD" w:rsidRDefault="00536753" w:rsidP="00CB2744">
            <w:pPr>
              <w:contextualSpacing/>
              <w:jc w:val="center"/>
              <w:rPr>
                <w:lang w:val="en-US"/>
              </w:rPr>
            </w:pPr>
          </w:p>
        </w:tc>
        <w:tc>
          <w:tcPr>
            <w:tcW w:w="851" w:type="dxa"/>
            <w:tcBorders>
              <w:bottom w:val="single" w:sz="4" w:space="0" w:color="auto"/>
            </w:tcBorders>
          </w:tcPr>
          <w:p w14:paraId="4D932220" w14:textId="77777777" w:rsidR="00536753" w:rsidRPr="009627FD" w:rsidRDefault="00536753" w:rsidP="00CB2744">
            <w:pPr>
              <w:contextualSpacing/>
              <w:jc w:val="center"/>
              <w:rPr>
                <w:lang w:val="en-US"/>
              </w:rPr>
            </w:pPr>
          </w:p>
        </w:tc>
        <w:tc>
          <w:tcPr>
            <w:tcW w:w="1559" w:type="dxa"/>
            <w:tcBorders>
              <w:bottom w:val="single" w:sz="4" w:space="0" w:color="auto"/>
            </w:tcBorders>
          </w:tcPr>
          <w:p w14:paraId="2090FF17" w14:textId="77777777" w:rsidR="00536753" w:rsidRPr="009627FD" w:rsidRDefault="00536753" w:rsidP="00CB2744">
            <w:pPr>
              <w:contextualSpacing/>
              <w:jc w:val="center"/>
              <w:rPr>
                <w:lang w:val="en-US"/>
              </w:rPr>
            </w:pPr>
            <w:r w:rsidRPr="009627FD">
              <w:rPr>
                <w:lang w:val="en-US"/>
              </w:rPr>
              <w:t>-.03</w:t>
            </w:r>
          </w:p>
        </w:tc>
        <w:tc>
          <w:tcPr>
            <w:tcW w:w="1418" w:type="dxa"/>
            <w:tcBorders>
              <w:bottom w:val="single" w:sz="4" w:space="0" w:color="auto"/>
            </w:tcBorders>
          </w:tcPr>
          <w:p w14:paraId="7596EA8C" w14:textId="77777777" w:rsidR="00536753" w:rsidRPr="009627FD" w:rsidRDefault="00536753" w:rsidP="00CB2744">
            <w:pPr>
              <w:contextualSpacing/>
              <w:jc w:val="center"/>
              <w:rPr>
                <w:lang w:val="en-US"/>
              </w:rPr>
            </w:pPr>
            <w:r w:rsidRPr="009627FD">
              <w:rPr>
                <w:lang w:val="en-US"/>
              </w:rPr>
              <w:t>.14</w:t>
            </w:r>
          </w:p>
        </w:tc>
      </w:tr>
    </w:tbl>
    <w:p w14:paraId="09398D35" w14:textId="1C740F59" w:rsidR="00D53AF9" w:rsidRPr="009627FD" w:rsidRDefault="009B50DA" w:rsidP="002D79F3">
      <w:pPr>
        <w:spacing w:line="360" w:lineRule="auto"/>
        <w:rPr>
          <w:lang w:val="en-US"/>
        </w:rPr>
      </w:pPr>
      <w:r w:rsidRPr="009627FD">
        <w:rPr>
          <w:lang w:val="en-US"/>
        </w:rPr>
        <w:t xml:space="preserve">Notes: N=484; </w:t>
      </w:r>
      <w:r w:rsidR="00D53AF9" w:rsidRPr="009627FD">
        <w:rPr>
          <w:lang w:val="en-US"/>
        </w:rPr>
        <w:t>**p&lt;0.001*p&lt;</w:t>
      </w:r>
      <w:r w:rsidRPr="009627FD">
        <w:rPr>
          <w:lang w:val="en-US"/>
        </w:rPr>
        <w:t>.</w:t>
      </w:r>
      <w:r w:rsidR="00D53AF9" w:rsidRPr="009627FD">
        <w:rPr>
          <w:lang w:val="en-US"/>
        </w:rPr>
        <w:t>05</w:t>
      </w:r>
      <w:r w:rsidRPr="009627FD">
        <w:rPr>
          <w:lang w:val="en-US"/>
        </w:rPr>
        <w:t>;</w:t>
      </w:r>
      <w:r w:rsidR="002D79F3" w:rsidRPr="009627FD">
        <w:rPr>
          <w:lang w:val="en-US"/>
        </w:rPr>
        <w:t xml:space="preserve"> </w:t>
      </w:r>
      <w:r w:rsidR="005C084B" w:rsidRPr="009627FD">
        <w:rPr>
          <w:lang w:val="en-US"/>
        </w:rPr>
        <w:t>Gender</w:t>
      </w:r>
      <w:r w:rsidR="002F17E4" w:rsidRPr="009627FD">
        <w:rPr>
          <w:lang w:val="en-US"/>
        </w:rPr>
        <w:t xml:space="preserve"> </w:t>
      </w:r>
      <w:r w:rsidR="005C084B" w:rsidRPr="009627FD">
        <w:rPr>
          <w:lang w:val="en-US"/>
        </w:rPr>
        <w:t>= 1=Male, 2=Fem</w:t>
      </w:r>
      <w:r w:rsidR="00FD6ABC" w:rsidRPr="009627FD">
        <w:rPr>
          <w:lang w:val="en-US"/>
        </w:rPr>
        <w:t>ale</w:t>
      </w:r>
      <w:r w:rsidR="00C37620" w:rsidRPr="009627FD">
        <w:rPr>
          <w:lang w:val="en-US"/>
        </w:rPr>
        <w:t xml:space="preserve">; </w:t>
      </w:r>
      <w:r w:rsidR="00BF76E4" w:rsidRPr="009627FD">
        <w:rPr>
          <w:lang w:val="en-US"/>
        </w:rPr>
        <w:t>Perception of vulnerability to COVID-19= 1=</w:t>
      </w:r>
      <w:r w:rsidR="00660A95" w:rsidRPr="009627FD">
        <w:rPr>
          <w:lang w:val="en-US"/>
        </w:rPr>
        <w:t>Y</w:t>
      </w:r>
      <w:r w:rsidR="00BF76E4" w:rsidRPr="009627FD">
        <w:rPr>
          <w:lang w:val="en-US"/>
        </w:rPr>
        <w:t>es, 2=</w:t>
      </w:r>
      <w:r w:rsidR="00660A95" w:rsidRPr="009627FD">
        <w:rPr>
          <w:lang w:val="en-US"/>
        </w:rPr>
        <w:t>N</w:t>
      </w:r>
      <w:r w:rsidR="00BF76E4" w:rsidRPr="009627FD">
        <w:rPr>
          <w:lang w:val="en-US"/>
        </w:rPr>
        <w:t xml:space="preserve">o; </w:t>
      </w:r>
      <w:r w:rsidR="00113E55" w:rsidRPr="009627FD">
        <w:rPr>
          <w:lang w:val="en-US"/>
        </w:rPr>
        <w:t xml:space="preserve">BFI-10 </w:t>
      </w:r>
      <w:r w:rsidR="00D53AF9" w:rsidRPr="009627FD">
        <w:rPr>
          <w:lang w:val="en-US"/>
        </w:rPr>
        <w:t xml:space="preserve">= Big Five </w:t>
      </w:r>
      <w:r w:rsidR="00113E55" w:rsidRPr="009627FD">
        <w:rPr>
          <w:lang w:val="en-US"/>
        </w:rPr>
        <w:t xml:space="preserve">Inventory; </w:t>
      </w:r>
      <w:r w:rsidR="00D53AF9" w:rsidRPr="009627FD">
        <w:rPr>
          <w:lang w:val="en-US"/>
        </w:rPr>
        <w:t>FCV-19 = F</w:t>
      </w:r>
      <w:r w:rsidR="00113E55" w:rsidRPr="009627FD">
        <w:rPr>
          <w:lang w:val="en-US"/>
        </w:rPr>
        <w:t xml:space="preserve">ear of </w:t>
      </w:r>
      <w:r w:rsidR="00580BDB" w:rsidRPr="009627FD">
        <w:rPr>
          <w:lang w:val="en-US"/>
        </w:rPr>
        <w:t>COVID</w:t>
      </w:r>
      <w:r w:rsidR="008746AA" w:rsidRPr="009627FD">
        <w:rPr>
          <w:lang w:val="en-US"/>
        </w:rPr>
        <w:t>-19</w:t>
      </w:r>
      <w:r w:rsidR="00580BDB" w:rsidRPr="009627FD">
        <w:rPr>
          <w:lang w:val="en-US"/>
        </w:rPr>
        <w:t xml:space="preserve"> </w:t>
      </w:r>
      <w:r w:rsidR="00113E55" w:rsidRPr="009627FD">
        <w:rPr>
          <w:lang w:val="en-US"/>
        </w:rPr>
        <w:t xml:space="preserve">Scale; C-19ASS = </w:t>
      </w:r>
      <w:r w:rsidR="00D53AF9" w:rsidRPr="009627FD">
        <w:rPr>
          <w:lang w:val="en-US"/>
        </w:rPr>
        <w:t>COVID-19 Anxiety Syndrome Scale</w:t>
      </w:r>
      <w:r w:rsidR="00113E55" w:rsidRPr="009627FD">
        <w:rPr>
          <w:lang w:val="en-US"/>
        </w:rPr>
        <w:t>.</w:t>
      </w:r>
      <w:r w:rsidR="00D53AF9" w:rsidRPr="009627FD">
        <w:rPr>
          <w:lang w:val="en-US"/>
        </w:rPr>
        <w:t xml:space="preserve"> </w:t>
      </w:r>
    </w:p>
    <w:p w14:paraId="27D385A8" w14:textId="77777777" w:rsidR="00D53AF9" w:rsidRPr="009627FD" w:rsidRDefault="00D53AF9">
      <w:pPr>
        <w:rPr>
          <w:rFonts w:eastAsiaTheme="minorEastAsia"/>
          <w:lang w:val="en-US"/>
        </w:rPr>
        <w:sectPr w:rsidR="00D53AF9" w:rsidRPr="009627FD" w:rsidSect="002D79F3">
          <w:pgSz w:w="16840" w:h="11901" w:orient="landscape"/>
          <w:pgMar w:top="851" w:right="1134" w:bottom="851" w:left="1418" w:header="709" w:footer="709" w:gutter="0"/>
          <w:cols w:space="708"/>
          <w:docGrid w:linePitch="360"/>
        </w:sectPr>
      </w:pPr>
    </w:p>
    <w:p w14:paraId="7C5BDF85" w14:textId="4EF88F09" w:rsidR="00A95280" w:rsidRPr="009627FD" w:rsidRDefault="00A37BDB" w:rsidP="002D79F3">
      <w:pPr>
        <w:spacing w:line="360" w:lineRule="auto"/>
        <w:rPr>
          <w:lang w:val="en-US"/>
        </w:rPr>
      </w:pPr>
      <w:r w:rsidRPr="009627FD">
        <w:rPr>
          <w:b/>
          <w:lang w:val="en-US"/>
        </w:rPr>
        <w:lastRenderedPageBreak/>
        <w:t xml:space="preserve">Table 5. </w:t>
      </w:r>
      <w:r w:rsidRPr="009627FD">
        <w:rPr>
          <w:lang w:val="en-US"/>
        </w:rPr>
        <w:t xml:space="preserve">Hierarchical regression </w:t>
      </w:r>
      <w:r w:rsidR="002D79F3" w:rsidRPr="009627FD">
        <w:rPr>
          <w:lang w:val="en-US"/>
        </w:rPr>
        <w:t>analyses</w:t>
      </w:r>
      <w:r w:rsidRPr="009627FD">
        <w:rPr>
          <w:lang w:val="en-US"/>
        </w:rPr>
        <w:t xml:space="preserve"> predicting </w:t>
      </w:r>
      <w:r w:rsidR="002D79F3" w:rsidRPr="009627FD">
        <w:rPr>
          <w:lang w:val="en-US"/>
        </w:rPr>
        <w:t>Work and Social Adjustment Scale</w:t>
      </w:r>
      <w:r w:rsidR="002D79F3" w:rsidRPr="009627FD">
        <w:rPr>
          <w:iCs/>
          <w:lang w:val="en-US"/>
        </w:rPr>
        <w:t xml:space="preserve"> </w:t>
      </w:r>
      <w:r w:rsidRPr="009627FD">
        <w:rPr>
          <w:lang w:val="en-US"/>
        </w:rPr>
        <w:t>(WSAS) scores</w:t>
      </w:r>
    </w:p>
    <w:tbl>
      <w:tblPr>
        <w:tblStyle w:val="TableGrid"/>
        <w:tblW w:w="1564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1019"/>
        <w:gridCol w:w="1249"/>
        <w:gridCol w:w="848"/>
        <w:gridCol w:w="987"/>
        <w:gridCol w:w="706"/>
        <w:gridCol w:w="691"/>
        <w:gridCol w:w="1083"/>
        <w:gridCol w:w="850"/>
        <w:gridCol w:w="1545"/>
        <w:gridCol w:w="1406"/>
      </w:tblGrid>
      <w:tr w:rsidR="00536753" w:rsidRPr="009627FD" w14:paraId="0462D4F5" w14:textId="77777777" w:rsidTr="00CB2744">
        <w:trPr>
          <w:trHeight w:val="298"/>
        </w:trPr>
        <w:tc>
          <w:tcPr>
            <w:tcW w:w="5297" w:type="dxa"/>
            <w:vMerge w:val="restart"/>
            <w:tcBorders>
              <w:top w:val="single" w:sz="4" w:space="0" w:color="auto"/>
              <w:bottom w:val="single" w:sz="4" w:space="0" w:color="auto"/>
            </w:tcBorders>
            <w:vAlign w:val="center"/>
          </w:tcPr>
          <w:p w14:paraId="3017AC91" w14:textId="77777777" w:rsidR="00536753" w:rsidRPr="009627FD" w:rsidRDefault="00536753" w:rsidP="00CB2744">
            <w:pPr>
              <w:ind w:left="34" w:hanging="34"/>
              <w:contextualSpacing/>
              <w:rPr>
                <w:lang w:val="en-US"/>
              </w:rPr>
            </w:pPr>
          </w:p>
          <w:p w14:paraId="1743F9F7" w14:textId="77777777" w:rsidR="00536753" w:rsidRPr="009627FD" w:rsidRDefault="00536753" w:rsidP="00CB2744">
            <w:pPr>
              <w:ind w:left="34" w:hanging="34"/>
              <w:contextualSpacing/>
              <w:rPr>
                <w:lang w:val="en-US"/>
              </w:rPr>
            </w:pPr>
            <w:r w:rsidRPr="009627FD">
              <w:rPr>
                <w:lang w:val="en-US"/>
              </w:rPr>
              <w:t>Predictor</w:t>
            </w:r>
          </w:p>
        </w:tc>
        <w:tc>
          <w:tcPr>
            <w:tcW w:w="1023" w:type="dxa"/>
            <w:vMerge w:val="restart"/>
            <w:tcBorders>
              <w:top w:val="single" w:sz="4" w:space="0" w:color="auto"/>
              <w:bottom w:val="single" w:sz="4" w:space="0" w:color="auto"/>
            </w:tcBorders>
            <w:vAlign w:val="center"/>
          </w:tcPr>
          <w:p w14:paraId="25D9308E" w14:textId="77777777" w:rsidR="00536753" w:rsidRPr="009627FD" w:rsidRDefault="00536753" w:rsidP="00CB2744">
            <w:pPr>
              <w:contextualSpacing/>
              <w:jc w:val="center"/>
              <w:rPr>
                <w:lang w:val="en-US"/>
              </w:rPr>
            </w:pPr>
            <w:r w:rsidRPr="009627FD">
              <w:rPr>
                <w:lang w:val="en-US"/>
              </w:rPr>
              <w:t>B</w:t>
            </w:r>
          </w:p>
        </w:tc>
        <w:tc>
          <w:tcPr>
            <w:tcW w:w="1255" w:type="dxa"/>
            <w:vMerge w:val="restart"/>
            <w:tcBorders>
              <w:top w:val="single" w:sz="4" w:space="0" w:color="auto"/>
              <w:bottom w:val="single" w:sz="4" w:space="0" w:color="auto"/>
            </w:tcBorders>
            <w:vAlign w:val="center"/>
          </w:tcPr>
          <w:p w14:paraId="1828776D" w14:textId="77777777" w:rsidR="00536753" w:rsidRPr="009627FD" w:rsidRDefault="00536753" w:rsidP="00CB2744">
            <w:pPr>
              <w:contextualSpacing/>
              <w:jc w:val="center"/>
              <w:rPr>
                <w:lang w:val="en-US"/>
              </w:rPr>
            </w:pPr>
            <w:r w:rsidRPr="009627FD">
              <w:rPr>
                <w:lang w:val="en-US"/>
              </w:rPr>
              <w:t>Std. Error</w:t>
            </w:r>
          </w:p>
        </w:tc>
        <w:tc>
          <w:tcPr>
            <w:tcW w:w="849" w:type="dxa"/>
            <w:vMerge w:val="restart"/>
            <w:tcBorders>
              <w:top w:val="single" w:sz="4" w:space="0" w:color="auto"/>
              <w:bottom w:val="single" w:sz="4" w:space="0" w:color="auto"/>
            </w:tcBorders>
            <w:vAlign w:val="center"/>
          </w:tcPr>
          <w:p w14:paraId="637A6125" w14:textId="77777777" w:rsidR="00536753" w:rsidRPr="009627FD" w:rsidRDefault="00536753" w:rsidP="00CB2744">
            <w:pPr>
              <w:contextualSpacing/>
              <w:jc w:val="center"/>
              <w:rPr>
                <w:lang w:val="en-US"/>
              </w:rPr>
            </w:pPr>
            <w:r w:rsidRPr="009627FD">
              <w:rPr>
                <w:lang w:val="en-US"/>
              </w:rPr>
              <w:t>β</w:t>
            </w:r>
          </w:p>
        </w:tc>
        <w:tc>
          <w:tcPr>
            <w:tcW w:w="991" w:type="dxa"/>
            <w:vMerge w:val="restart"/>
            <w:tcBorders>
              <w:top w:val="single" w:sz="4" w:space="0" w:color="auto"/>
              <w:bottom w:val="single" w:sz="4" w:space="0" w:color="auto"/>
            </w:tcBorders>
            <w:vAlign w:val="center"/>
          </w:tcPr>
          <w:p w14:paraId="68EDAC65" w14:textId="77777777" w:rsidR="00536753" w:rsidRPr="009627FD" w:rsidRDefault="00536753" w:rsidP="00CB2744">
            <w:pPr>
              <w:contextualSpacing/>
              <w:jc w:val="center"/>
              <w:rPr>
                <w:lang w:val="en-US"/>
              </w:rPr>
            </w:pPr>
            <w:r w:rsidRPr="009627FD">
              <w:rPr>
                <w:lang w:val="en-US"/>
              </w:rPr>
              <w:t>T</w:t>
            </w:r>
          </w:p>
        </w:tc>
        <w:tc>
          <w:tcPr>
            <w:tcW w:w="708" w:type="dxa"/>
            <w:vMerge w:val="restart"/>
            <w:tcBorders>
              <w:top w:val="single" w:sz="4" w:space="0" w:color="auto"/>
              <w:bottom w:val="single" w:sz="4" w:space="0" w:color="auto"/>
            </w:tcBorders>
            <w:vAlign w:val="center"/>
          </w:tcPr>
          <w:p w14:paraId="00FB8460" w14:textId="77777777" w:rsidR="00536753" w:rsidRPr="009627FD" w:rsidRDefault="00536753" w:rsidP="00CB2744">
            <w:pPr>
              <w:contextualSpacing/>
              <w:jc w:val="center"/>
              <w:rPr>
                <w:lang w:val="en-US"/>
              </w:rPr>
            </w:pPr>
            <w:r w:rsidRPr="009627FD">
              <w:rPr>
                <w:lang w:val="en-US"/>
              </w:rPr>
              <w:t>R</w:t>
            </w:r>
          </w:p>
        </w:tc>
        <w:tc>
          <w:tcPr>
            <w:tcW w:w="693" w:type="dxa"/>
            <w:vMerge w:val="restart"/>
            <w:tcBorders>
              <w:top w:val="single" w:sz="4" w:space="0" w:color="auto"/>
              <w:bottom w:val="single" w:sz="4" w:space="0" w:color="auto"/>
            </w:tcBorders>
            <w:vAlign w:val="center"/>
          </w:tcPr>
          <w:p w14:paraId="4C11F6A5" w14:textId="77777777" w:rsidR="00536753" w:rsidRPr="009627FD" w:rsidRDefault="00536753" w:rsidP="00CB2744">
            <w:pPr>
              <w:contextualSpacing/>
              <w:jc w:val="center"/>
              <w:rPr>
                <w:lang w:val="en-US"/>
              </w:rPr>
            </w:pPr>
            <w:r w:rsidRPr="009627FD">
              <w:rPr>
                <w:lang w:val="en-US"/>
              </w:rPr>
              <w:t>R</w:t>
            </w:r>
            <w:r w:rsidRPr="009627FD">
              <w:rPr>
                <w:vertAlign w:val="superscript"/>
                <w:lang w:val="en-US"/>
              </w:rPr>
              <w:t>2</w:t>
            </w:r>
          </w:p>
        </w:tc>
        <w:tc>
          <w:tcPr>
            <w:tcW w:w="1011" w:type="dxa"/>
            <w:vMerge w:val="restart"/>
            <w:tcBorders>
              <w:top w:val="single" w:sz="4" w:space="0" w:color="auto"/>
              <w:bottom w:val="single" w:sz="4" w:space="0" w:color="auto"/>
            </w:tcBorders>
          </w:tcPr>
          <w:p w14:paraId="682FF261" w14:textId="77777777" w:rsidR="00536753" w:rsidRPr="009627FD" w:rsidRDefault="00536753" w:rsidP="00CB2744">
            <w:pPr>
              <w:contextualSpacing/>
              <w:jc w:val="center"/>
              <w:rPr>
                <w:lang w:val="en-US"/>
              </w:rPr>
            </w:pPr>
            <w:r w:rsidRPr="009627FD">
              <w:rPr>
                <w:lang w:val="en-US"/>
              </w:rPr>
              <w:t>Adjusted</w:t>
            </w:r>
          </w:p>
          <w:p w14:paraId="127261C3" w14:textId="77777777" w:rsidR="00536753" w:rsidRPr="009627FD" w:rsidRDefault="00536753" w:rsidP="00CB2744">
            <w:pPr>
              <w:contextualSpacing/>
              <w:jc w:val="center"/>
              <w:rPr>
                <w:lang w:val="en-US"/>
              </w:rPr>
            </w:pPr>
            <w:r w:rsidRPr="009627FD">
              <w:rPr>
                <w:lang w:val="en-US"/>
              </w:rPr>
              <w:t>R</w:t>
            </w:r>
            <w:r w:rsidRPr="009627FD">
              <w:rPr>
                <w:vertAlign w:val="superscript"/>
                <w:lang w:val="en-US"/>
              </w:rPr>
              <w:t>2</w:t>
            </w:r>
          </w:p>
        </w:tc>
        <w:tc>
          <w:tcPr>
            <w:tcW w:w="851" w:type="dxa"/>
            <w:vMerge w:val="restart"/>
            <w:tcBorders>
              <w:top w:val="single" w:sz="4" w:space="0" w:color="auto"/>
              <w:bottom w:val="single" w:sz="4" w:space="0" w:color="auto"/>
            </w:tcBorders>
          </w:tcPr>
          <w:p w14:paraId="491D263E" w14:textId="77777777" w:rsidR="00536753" w:rsidRPr="009627FD" w:rsidRDefault="00536753" w:rsidP="00CB2744">
            <w:pPr>
              <w:contextualSpacing/>
              <w:jc w:val="center"/>
              <w:rPr>
                <w:lang w:val="en-US"/>
              </w:rPr>
            </w:pPr>
            <w:r w:rsidRPr="009627FD">
              <w:rPr>
                <w:lang w:val="en-US"/>
              </w:rPr>
              <w:t>ΔR</w:t>
            </w:r>
            <w:r w:rsidRPr="009627FD">
              <w:rPr>
                <w:vertAlign w:val="superscript"/>
                <w:lang w:val="en-US"/>
              </w:rPr>
              <w:t>2</w:t>
            </w:r>
          </w:p>
        </w:tc>
        <w:tc>
          <w:tcPr>
            <w:tcW w:w="2965" w:type="dxa"/>
            <w:gridSpan w:val="2"/>
            <w:tcBorders>
              <w:top w:val="single" w:sz="4" w:space="0" w:color="auto"/>
              <w:bottom w:val="single" w:sz="4" w:space="0" w:color="auto"/>
            </w:tcBorders>
          </w:tcPr>
          <w:p w14:paraId="7E50FF66" w14:textId="77777777" w:rsidR="00536753" w:rsidRPr="009627FD" w:rsidRDefault="00536753" w:rsidP="00CB2744">
            <w:pPr>
              <w:contextualSpacing/>
              <w:jc w:val="center"/>
              <w:rPr>
                <w:lang w:val="en-US"/>
              </w:rPr>
            </w:pPr>
            <w:r w:rsidRPr="009627FD">
              <w:rPr>
                <w:lang w:val="en-US"/>
              </w:rPr>
              <w:t>95% Confidence interval for B</w:t>
            </w:r>
          </w:p>
        </w:tc>
      </w:tr>
      <w:tr w:rsidR="00536753" w:rsidRPr="009627FD" w14:paraId="63870A3D" w14:textId="77777777" w:rsidTr="00CB2744">
        <w:trPr>
          <w:trHeight w:val="297"/>
        </w:trPr>
        <w:tc>
          <w:tcPr>
            <w:tcW w:w="5297" w:type="dxa"/>
            <w:vMerge/>
            <w:tcBorders>
              <w:top w:val="single" w:sz="4" w:space="0" w:color="auto"/>
              <w:bottom w:val="single" w:sz="4" w:space="0" w:color="auto"/>
            </w:tcBorders>
          </w:tcPr>
          <w:p w14:paraId="5E9079DE" w14:textId="77777777" w:rsidR="00536753" w:rsidRPr="009627FD" w:rsidRDefault="00536753" w:rsidP="00CB2744">
            <w:pPr>
              <w:contextualSpacing/>
              <w:jc w:val="center"/>
              <w:rPr>
                <w:lang w:val="en-US"/>
              </w:rPr>
            </w:pPr>
          </w:p>
        </w:tc>
        <w:tc>
          <w:tcPr>
            <w:tcW w:w="1023" w:type="dxa"/>
            <w:vMerge/>
            <w:tcBorders>
              <w:top w:val="single" w:sz="4" w:space="0" w:color="auto"/>
              <w:bottom w:val="single" w:sz="4" w:space="0" w:color="auto"/>
            </w:tcBorders>
          </w:tcPr>
          <w:p w14:paraId="67A022B2" w14:textId="77777777" w:rsidR="00536753" w:rsidRPr="009627FD" w:rsidRDefault="00536753" w:rsidP="00CB2744">
            <w:pPr>
              <w:contextualSpacing/>
              <w:jc w:val="center"/>
              <w:rPr>
                <w:lang w:val="en-US"/>
              </w:rPr>
            </w:pPr>
          </w:p>
        </w:tc>
        <w:tc>
          <w:tcPr>
            <w:tcW w:w="1255" w:type="dxa"/>
            <w:vMerge/>
            <w:tcBorders>
              <w:top w:val="single" w:sz="4" w:space="0" w:color="auto"/>
              <w:bottom w:val="single" w:sz="4" w:space="0" w:color="auto"/>
            </w:tcBorders>
          </w:tcPr>
          <w:p w14:paraId="055FF9D5" w14:textId="77777777" w:rsidR="00536753" w:rsidRPr="009627FD" w:rsidRDefault="00536753" w:rsidP="00CB2744">
            <w:pPr>
              <w:contextualSpacing/>
              <w:jc w:val="center"/>
              <w:rPr>
                <w:lang w:val="en-US"/>
              </w:rPr>
            </w:pPr>
          </w:p>
        </w:tc>
        <w:tc>
          <w:tcPr>
            <w:tcW w:w="849" w:type="dxa"/>
            <w:vMerge/>
            <w:tcBorders>
              <w:top w:val="single" w:sz="4" w:space="0" w:color="auto"/>
              <w:bottom w:val="single" w:sz="4" w:space="0" w:color="auto"/>
            </w:tcBorders>
          </w:tcPr>
          <w:p w14:paraId="4E001AD3" w14:textId="77777777" w:rsidR="00536753" w:rsidRPr="009627FD" w:rsidRDefault="00536753" w:rsidP="00CB2744">
            <w:pPr>
              <w:contextualSpacing/>
              <w:jc w:val="center"/>
              <w:rPr>
                <w:lang w:val="en-US"/>
              </w:rPr>
            </w:pPr>
          </w:p>
        </w:tc>
        <w:tc>
          <w:tcPr>
            <w:tcW w:w="991" w:type="dxa"/>
            <w:vMerge/>
            <w:tcBorders>
              <w:top w:val="single" w:sz="4" w:space="0" w:color="auto"/>
              <w:bottom w:val="single" w:sz="4" w:space="0" w:color="auto"/>
            </w:tcBorders>
          </w:tcPr>
          <w:p w14:paraId="7511DE33" w14:textId="77777777" w:rsidR="00536753" w:rsidRPr="009627FD" w:rsidRDefault="00536753" w:rsidP="00CB2744">
            <w:pPr>
              <w:contextualSpacing/>
              <w:jc w:val="center"/>
              <w:rPr>
                <w:lang w:val="en-US"/>
              </w:rPr>
            </w:pPr>
          </w:p>
        </w:tc>
        <w:tc>
          <w:tcPr>
            <w:tcW w:w="708" w:type="dxa"/>
            <w:vMerge/>
            <w:tcBorders>
              <w:top w:val="single" w:sz="4" w:space="0" w:color="auto"/>
              <w:bottom w:val="single" w:sz="4" w:space="0" w:color="auto"/>
            </w:tcBorders>
          </w:tcPr>
          <w:p w14:paraId="49864AA8" w14:textId="77777777" w:rsidR="00536753" w:rsidRPr="009627FD" w:rsidRDefault="00536753" w:rsidP="00CB2744">
            <w:pPr>
              <w:contextualSpacing/>
              <w:jc w:val="center"/>
              <w:rPr>
                <w:lang w:val="en-US"/>
              </w:rPr>
            </w:pPr>
          </w:p>
        </w:tc>
        <w:tc>
          <w:tcPr>
            <w:tcW w:w="693" w:type="dxa"/>
            <w:vMerge/>
            <w:tcBorders>
              <w:top w:val="single" w:sz="4" w:space="0" w:color="auto"/>
              <w:bottom w:val="single" w:sz="4" w:space="0" w:color="auto"/>
            </w:tcBorders>
          </w:tcPr>
          <w:p w14:paraId="3FEAD9E3" w14:textId="77777777" w:rsidR="00536753" w:rsidRPr="009627FD" w:rsidRDefault="00536753" w:rsidP="00CB2744">
            <w:pPr>
              <w:contextualSpacing/>
              <w:jc w:val="center"/>
              <w:rPr>
                <w:lang w:val="en-US"/>
              </w:rPr>
            </w:pPr>
          </w:p>
        </w:tc>
        <w:tc>
          <w:tcPr>
            <w:tcW w:w="1011" w:type="dxa"/>
            <w:vMerge/>
            <w:tcBorders>
              <w:top w:val="single" w:sz="4" w:space="0" w:color="auto"/>
              <w:bottom w:val="single" w:sz="4" w:space="0" w:color="auto"/>
            </w:tcBorders>
          </w:tcPr>
          <w:p w14:paraId="2FB59E8D" w14:textId="77777777" w:rsidR="00536753" w:rsidRPr="009627FD" w:rsidRDefault="00536753" w:rsidP="00CB2744">
            <w:pPr>
              <w:contextualSpacing/>
              <w:jc w:val="center"/>
              <w:rPr>
                <w:lang w:val="en-US"/>
              </w:rPr>
            </w:pPr>
          </w:p>
        </w:tc>
        <w:tc>
          <w:tcPr>
            <w:tcW w:w="851" w:type="dxa"/>
            <w:vMerge/>
            <w:tcBorders>
              <w:top w:val="single" w:sz="4" w:space="0" w:color="auto"/>
              <w:bottom w:val="single" w:sz="4" w:space="0" w:color="auto"/>
            </w:tcBorders>
          </w:tcPr>
          <w:p w14:paraId="65904CD4" w14:textId="77777777" w:rsidR="00536753" w:rsidRPr="009627FD" w:rsidRDefault="00536753" w:rsidP="00CB2744">
            <w:pPr>
              <w:contextualSpacing/>
              <w:jc w:val="center"/>
              <w:rPr>
                <w:lang w:val="en-US"/>
              </w:rPr>
            </w:pPr>
          </w:p>
        </w:tc>
        <w:tc>
          <w:tcPr>
            <w:tcW w:w="1553" w:type="dxa"/>
            <w:tcBorders>
              <w:top w:val="single" w:sz="4" w:space="0" w:color="auto"/>
              <w:bottom w:val="single" w:sz="4" w:space="0" w:color="auto"/>
            </w:tcBorders>
          </w:tcPr>
          <w:p w14:paraId="6BE05766" w14:textId="77777777" w:rsidR="00536753" w:rsidRPr="009627FD" w:rsidRDefault="00536753" w:rsidP="00CB2744">
            <w:pPr>
              <w:contextualSpacing/>
              <w:jc w:val="center"/>
              <w:rPr>
                <w:lang w:val="en-US"/>
              </w:rPr>
            </w:pPr>
            <w:r w:rsidRPr="009627FD">
              <w:rPr>
                <w:lang w:val="en-US"/>
              </w:rPr>
              <w:t>Lower Bound</w:t>
            </w:r>
          </w:p>
        </w:tc>
        <w:tc>
          <w:tcPr>
            <w:tcW w:w="1412" w:type="dxa"/>
            <w:tcBorders>
              <w:top w:val="single" w:sz="4" w:space="0" w:color="auto"/>
              <w:bottom w:val="single" w:sz="4" w:space="0" w:color="auto"/>
            </w:tcBorders>
          </w:tcPr>
          <w:p w14:paraId="1885E3F6" w14:textId="77777777" w:rsidR="00536753" w:rsidRPr="009627FD" w:rsidRDefault="00536753" w:rsidP="00CB2744">
            <w:pPr>
              <w:contextualSpacing/>
              <w:jc w:val="center"/>
              <w:rPr>
                <w:lang w:val="en-US"/>
              </w:rPr>
            </w:pPr>
            <w:r w:rsidRPr="009627FD">
              <w:rPr>
                <w:lang w:val="en-US"/>
              </w:rPr>
              <w:t>Upper Bound</w:t>
            </w:r>
          </w:p>
        </w:tc>
      </w:tr>
      <w:tr w:rsidR="00536753" w:rsidRPr="009627FD" w14:paraId="5C4737C0" w14:textId="77777777" w:rsidTr="00CB2744">
        <w:tc>
          <w:tcPr>
            <w:tcW w:w="5297" w:type="dxa"/>
            <w:tcBorders>
              <w:top w:val="single" w:sz="4" w:space="0" w:color="auto"/>
            </w:tcBorders>
          </w:tcPr>
          <w:p w14:paraId="4EA0B700" w14:textId="77777777" w:rsidR="00536753" w:rsidRPr="009627FD" w:rsidRDefault="00536753" w:rsidP="00CB2744">
            <w:pPr>
              <w:contextualSpacing/>
              <w:rPr>
                <w:lang w:val="en-US"/>
              </w:rPr>
            </w:pPr>
            <w:r w:rsidRPr="009627FD">
              <w:rPr>
                <w:lang w:val="en-US"/>
              </w:rPr>
              <w:t>Model</w:t>
            </w:r>
          </w:p>
        </w:tc>
        <w:tc>
          <w:tcPr>
            <w:tcW w:w="1023" w:type="dxa"/>
            <w:tcBorders>
              <w:top w:val="single" w:sz="4" w:space="0" w:color="auto"/>
            </w:tcBorders>
          </w:tcPr>
          <w:p w14:paraId="069969F9" w14:textId="77777777" w:rsidR="00536753" w:rsidRPr="009627FD" w:rsidRDefault="00536753" w:rsidP="00CB2744">
            <w:pPr>
              <w:contextualSpacing/>
              <w:jc w:val="center"/>
              <w:rPr>
                <w:lang w:val="en-US"/>
              </w:rPr>
            </w:pPr>
          </w:p>
        </w:tc>
        <w:tc>
          <w:tcPr>
            <w:tcW w:w="1255" w:type="dxa"/>
            <w:tcBorders>
              <w:top w:val="single" w:sz="4" w:space="0" w:color="auto"/>
            </w:tcBorders>
          </w:tcPr>
          <w:p w14:paraId="4683294F" w14:textId="77777777" w:rsidR="00536753" w:rsidRPr="009627FD" w:rsidRDefault="00536753" w:rsidP="00CB2744">
            <w:pPr>
              <w:contextualSpacing/>
              <w:jc w:val="center"/>
              <w:rPr>
                <w:lang w:val="en-US"/>
              </w:rPr>
            </w:pPr>
          </w:p>
        </w:tc>
        <w:tc>
          <w:tcPr>
            <w:tcW w:w="849" w:type="dxa"/>
            <w:tcBorders>
              <w:top w:val="single" w:sz="4" w:space="0" w:color="auto"/>
            </w:tcBorders>
          </w:tcPr>
          <w:p w14:paraId="30D489DA" w14:textId="77777777" w:rsidR="00536753" w:rsidRPr="009627FD" w:rsidRDefault="00536753" w:rsidP="00CB2744">
            <w:pPr>
              <w:contextualSpacing/>
              <w:jc w:val="center"/>
              <w:rPr>
                <w:lang w:val="en-US"/>
              </w:rPr>
            </w:pPr>
          </w:p>
        </w:tc>
        <w:tc>
          <w:tcPr>
            <w:tcW w:w="991" w:type="dxa"/>
            <w:tcBorders>
              <w:top w:val="single" w:sz="4" w:space="0" w:color="auto"/>
            </w:tcBorders>
          </w:tcPr>
          <w:p w14:paraId="64B934FA" w14:textId="77777777" w:rsidR="00536753" w:rsidRPr="009627FD" w:rsidRDefault="00536753" w:rsidP="00CB2744">
            <w:pPr>
              <w:contextualSpacing/>
              <w:jc w:val="center"/>
              <w:rPr>
                <w:lang w:val="en-US"/>
              </w:rPr>
            </w:pPr>
          </w:p>
        </w:tc>
        <w:tc>
          <w:tcPr>
            <w:tcW w:w="708" w:type="dxa"/>
            <w:tcBorders>
              <w:top w:val="single" w:sz="4" w:space="0" w:color="auto"/>
            </w:tcBorders>
          </w:tcPr>
          <w:p w14:paraId="30325149" w14:textId="77777777" w:rsidR="00536753" w:rsidRPr="009627FD" w:rsidRDefault="00536753" w:rsidP="00CB2744">
            <w:pPr>
              <w:contextualSpacing/>
              <w:jc w:val="center"/>
              <w:rPr>
                <w:lang w:val="en-US"/>
              </w:rPr>
            </w:pPr>
          </w:p>
        </w:tc>
        <w:tc>
          <w:tcPr>
            <w:tcW w:w="693" w:type="dxa"/>
            <w:tcBorders>
              <w:top w:val="single" w:sz="4" w:space="0" w:color="auto"/>
            </w:tcBorders>
          </w:tcPr>
          <w:p w14:paraId="156517AB" w14:textId="77777777" w:rsidR="00536753" w:rsidRPr="009627FD" w:rsidRDefault="00536753" w:rsidP="00CB2744">
            <w:pPr>
              <w:contextualSpacing/>
              <w:jc w:val="center"/>
              <w:rPr>
                <w:lang w:val="en-US"/>
              </w:rPr>
            </w:pPr>
          </w:p>
        </w:tc>
        <w:tc>
          <w:tcPr>
            <w:tcW w:w="1011" w:type="dxa"/>
            <w:tcBorders>
              <w:top w:val="single" w:sz="4" w:space="0" w:color="auto"/>
            </w:tcBorders>
          </w:tcPr>
          <w:p w14:paraId="6249ACCC" w14:textId="77777777" w:rsidR="00536753" w:rsidRPr="009627FD" w:rsidRDefault="00536753" w:rsidP="00CB2744">
            <w:pPr>
              <w:contextualSpacing/>
              <w:jc w:val="center"/>
              <w:rPr>
                <w:lang w:val="en-US"/>
              </w:rPr>
            </w:pPr>
          </w:p>
        </w:tc>
        <w:tc>
          <w:tcPr>
            <w:tcW w:w="851" w:type="dxa"/>
            <w:tcBorders>
              <w:top w:val="single" w:sz="4" w:space="0" w:color="auto"/>
            </w:tcBorders>
          </w:tcPr>
          <w:p w14:paraId="3F76F85C" w14:textId="77777777" w:rsidR="00536753" w:rsidRPr="009627FD" w:rsidRDefault="00536753" w:rsidP="00CB2744">
            <w:pPr>
              <w:contextualSpacing/>
              <w:jc w:val="center"/>
              <w:rPr>
                <w:lang w:val="en-US"/>
              </w:rPr>
            </w:pPr>
          </w:p>
        </w:tc>
        <w:tc>
          <w:tcPr>
            <w:tcW w:w="1553" w:type="dxa"/>
            <w:tcBorders>
              <w:top w:val="single" w:sz="4" w:space="0" w:color="auto"/>
            </w:tcBorders>
          </w:tcPr>
          <w:p w14:paraId="5222AAA0" w14:textId="77777777" w:rsidR="00536753" w:rsidRPr="009627FD" w:rsidRDefault="00536753" w:rsidP="00CB2744">
            <w:pPr>
              <w:contextualSpacing/>
              <w:jc w:val="center"/>
              <w:rPr>
                <w:lang w:val="en-US"/>
              </w:rPr>
            </w:pPr>
          </w:p>
        </w:tc>
        <w:tc>
          <w:tcPr>
            <w:tcW w:w="1412" w:type="dxa"/>
            <w:tcBorders>
              <w:top w:val="single" w:sz="4" w:space="0" w:color="auto"/>
            </w:tcBorders>
          </w:tcPr>
          <w:p w14:paraId="16F8A7BA" w14:textId="77777777" w:rsidR="00536753" w:rsidRPr="009627FD" w:rsidRDefault="00536753" w:rsidP="00CB2744">
            <w:pPr>
              <w:contextualSpacing/>
              <w:jc w:val="center"/>
              <w:rPr>
                <w:lang w:val="en-US"/>
              </w:rPr>
            </w:pPr>
          </w:p>
        </w:tc>
      </w:tr>
      <w:tr w:rsidR="00536753" w:rsidRPr="009627FD" w14:paraId="44D64972" w14:textId="77777777" w:rsidTr="00CB2744">
        <w:tc>
          <w:tcPr>
            <w:tcW w:w="5297" w:type="dxa"/>
          </w:tcPr>
          <w:p w14:paraId="3332AEE5" w14:textId="77777777" w:rsidR="00536753" w:rsidRPr="009627FD" w:rsidRDefault="00536753" w:rsidP="00CB2744">
            <w:pPr>
              <w:contextualSpacing/>
              <w:rPr>
                <w:lang w:val="en-US"/>
              </w:rPr>
            </w:pPr>
            <w:r w:rsidRPr="009627FD">
              <w:rPr>
                <w:lang w:val="en-US"/>
              </w:rPr>
              <w:t>Step 1</w:t>
            </w:r>
          </w:p>
        </w:tc>
        <w:tc>
          <w:tcPr>
            <w:tcW w:w="1023" w:type="dxa"/>
          </w:tcPr>
          <w:p w14:paraId="3A6C617B" w14:textId="77777777" w:rsidR="00536753" w:rsidRPr="009627FD" w:rsidRDefault="00536753" w:rsidP="00CB2744">
            <w:pPr>
              <w:contextualSpacing/>
              <w:jc w:val="center"/>
              <w:rPr>
                <w:lang w:val="en-US"/>
              </w:rPr>
            </w:pPr>
          </w:p>
        </w:tc>
        <w:tc>
          <w:tcPr>
            <w:tcW w:w="1255" w:type="dxa"/>
          </w:tcPr>
          <w:p w14:paraId="6AE480CD" w14:textId="77777777" w:rsidR="00536753" w:rsidRPr="009627FD" w:rsidRDefault="00536753" w:rsidP="00CB2744">
            <w:pPr>
              <w:contextualSpacing/>
              <w:jc w:val="center"/>
              <w:rPr>
                <w:lang w:val="en-US"/>
              </w:rPr>
            </w:pPr>
          </w:p>
        </w:tc>
        <w:tc>
          <w:tcPr>
            <w:tcW w:w="849" w:type="dxa"/>
          </w:tcPr>
          <w:p w14:paraId="5B2E1F7F" w14:textId="77777777" w:rsidR="00536753" w:rsidRPr="009627FD" w:rsidRDefault="00536753" w:rsidP="00CB2744">
            <w:pPr>
              <w:contextualSpacing/>
              <w:jc w:val="center"/>
              <w:rPr>
                <w:lang w:val="en-US"/>
              </w:rPr>
            </w:pPr>
          </w:p>
        </w:tc>
        <w:tc>
          <w:tcPr>
            <w:tcW w:w="991" w:type="dxa"/>
          </w:tcPr>
          <w:p w14:paraId="137B420D" w14:textId="77777777" w:rsidR="00536753" w:rsidRPr="009627FD" w:rsidRDefault="00536753" w:rsidP="00CB2744">
            <w:pPr>
              <w:contextualSpacing/>
              <w:jc w:val="center"/>
              <w:rPr>
                <w:lang w:val="en-US"/>
              </w:rPr>
            </w:pPr>
          </w:p>
        </w:tc>
        <w:tc>
          <w:tcPr>
            <w:tcW w:w="708" w:type="dxa"/>
          </w:tcPr>
          <w:p w14:paraId="7AA1AA4F" w14:textId="77777777" w:rsidR="00536753" w:rsidRPr="009627FD" w:rsidRDefault="00536753" w:rsidP="00CB2744">
            <w:pPr>
              <w:contextualSpacing/>
              <w:jc w:val="center"/>
              <w:rPr>
                <w:lang w:val="en-US"/>
              </w:rPr>
            </w:pPr>
            <w:r w:rsidRPr="009627FD">
              <w:rPr>
                <w:lang w:val="en-US"/>
              </w:rPr>
              <w:t>.18</w:t>
            </w:r>
          </w:p>
        </w:tc>
        <w:tc>
          <w:tcPr>
            <w:tcW w:w="693" w:type="dxa"/>
          </w:tcPr>
          <w:p w14:paraId="270FA4BE" w14:textId="77777777" w:rsidR="00536753" w:rsidRPr="009627FD" w:rsidRDefault="00536753" w:rsidP="00CB2744">
            <w:pPr>
              <w:contextualSpacing/>
              <w:jc w:val="center"/>
              <w:rPr>
                <w:lang w:val="en-US"/>
              </w:rPr>
            </w:pPr>
            <w:r w:rsidRPr="009627FD">
              <w:rPr>
                <w:lang w:val="en-US"/>
              </w:rPr>
              <w:t>.03</w:t>
            </w:r>
          </w:p>
        </w:tc>
        <w:tc>
          <w:tcPr>
            <w:tcW w:w="1011" w:type="dxa"/>
          </w:tcPr>
          <w:p w14:paraId="1E2FD33C" w14:textId="77777777" w:rsidR="00536753" w:rsidRPr="009627FD" w:rsidRDefault="00536753" w:rsidP="00CB2744">
            <w:pPr>
              <w:contextualSpacing/>
              <w:jc w:val="center"/>
              <w:rPr>
                <w:lang w:val="en-US"/>
              </w:rPr>
            </w:pPr>
            <w:r w:rsidRPr="009627FD">
              <w:rPr>
                <w:lang w:val="en-US"/>
              </w:rPr>
              <w:t>.03</w:t>
            </w:r>
          </w:p>
        </w:tc>
        <w:tc>
          <w:tcPr>
            <w:tcW w:w="851" w:type="dxa"/>
          </w:tcPr>
          <w:p w14:paraId="2BC75FD8" w14:textId="77777777" w:rsidR="00536753" w:rsidRPr="009627FD" w:rsidRDefault="00536753" w:rsidP="00CB2744">
            <w:pPr>
              <w:contextualSpacing/>
              <w:jc w:val="center"/>
              <w:rPr>
                <w:lang w:val="en-US"/>
              </w:rPr>
            </w:pPr>
            <w:r w:rsidRPr="009627FD">
              <w:rPr>
                <w:lang w:val="en-US"/>
              </w:rPr>
              <w:t>.03**</w:t>
            </w:r>
          </w:p>
        </w:tc>
        <w:tc>
          <w:tcPr>
            <w:tcW w:w="1553" w:type="dxa"/>
          </w:tcPr>
          <w:p w14:paraId="1AB49A0B" w14:textId="77777777" w:rsidR="00536753" w:rsidRPr="009627FD" w:rsidRDefault="00536753" w:rsidP="00CB2744">
            <w:pPr>
              <w:contextualSpacing/>
              <w:jc w:val="center"/>
              <w:rPr>
                <w:lang w:val="en-US"/>
              </w:rPr>
            </w:pPr>
          </w:p>
        </w:tc>
        <w:tc>
          <w:tcPr>
            <w:tcW w:w="1412" w:type="dxa"/>
          </w:tcPr>
          <w:p w14:paraId="1D8650CB" w14:textId="77777777" w:rsidR="00536753" w:rsidRPr="009627FD" w:rsidRDefault="00536753" w:rsidP="00CB2744">
            <w:pPr>
              <w:contextualSpacing/>
              <w:jc w:val="center"/>
              <w:rPr>
                <w:lang w:val="en-US"/>
              </w:rPr>
            </w:pPr>
          </w:p>
        </w:tc>
      </w:tr>
      <w:tr w:rsidR="00536753" w:rsidRPr="009627FD" w14:paraId="72F14445" w14:textId="77777777" w:rsidTr="00CB2744">
        <w:tc>
          <w:tcPr>
            <w:tcW w:w="5297" w:type="dxa"/>
          </w:tcPr>
          <w:p w14:paraId="6BCC821D" w14:textId="77777777" w:rsidR="00536753" w:rsidRPr="009627FD" w:rsidRDefault="00536753" w:rsidP="00CB2744">
            <w:pPr>
              <w:contextualSpacing/>
              <w:rPr>
                <w:lang w:val="en-US"/>
              </w:rPr>
            </w:pPr>
            <w:r w:rsidRPr="009627FD">
              <w:rPr>
                <w:lang w:val="en-US"/>
              </w:rPr>
              <w:t>Age</w:t>
            </w:r>
          </w:p>
        </w:tc>
        <w:tc>
          <w:tcPr>
            <w:tcW w:w="1023" w:type="dxa"/>
          </w:tcPr>
          <w:p w14:paraId="1FA87B5D" w14:textId="77777777" w:rsidR="00536753" w:rsidRPr="009627FD" w:rsidRDefault="00536753" w:rsidP="00CB2744">
            <w:pPr>
              <w:contextualSpacing/>
              <w:jc w:val="center"/>
              <w:rPr>
                <w:lang w:val="en-US"/>
              </w:rPr>
            </w:pPr>
            <w:r w:rsidRPr="009627FD">
              <w:rPr>
                <w:lang w:val="en-US"/>
              </w:rPr>
              <w:t>-.11</w:t>
            </w:r>
          </w:p>
        </w:tc>
        <w:tc>
          <w:tcPr>
            <w:tcW w:w="1255" w:type="dxa"/>
          </w:tcPr>
          <w:p w14:paraId="1D9156C2" w14:textId="77777777" w:rsidR="00536753" w:rsidRPr="009627FD" w:rsidRDefault="00536753" w:rsidP="00CB2744">
            <w:pPr>
              <w:contextualSpacing/>
              <w:jc w:val="center"/>
              <w:rPr>
                <w:lang w:val="en-US"/>
              </w:rPr>
            </w:pPr>
            <w:r w:rsidRPr="009627FD">
              <w:rPr>
                <w:lang w:val="en-US"/>
              </w:rPr>
              <w:t>.03</w:t>
            </w:r>
          </w:p>
        </w:tc>
        <w:tc>
          <w:tcPr>
            <w:tcW w:w="849" w:type="dxa"/>
          </w:tcPr>
          <w:p w14:paraId="6BBA1E40" w14:textId="77777777" w:rsidR="00536753" w:rsidRPr="009627FD" w:rsidRDefault="00536753" w:rsidP="00CB2744">
            <w:pPr>
              <w:contextualSpacing/>
              <w:jc w:val="center"/>
              <w:rPr>
                <w:lang w:val="en-US"/>
              </w:rPr>
            </w:pPr>
            <w:r w:rsidRPr="009627FD">
              <w:rPr>
                <w:lang w:val="en-US"/>
              </w:rPr>
              <w:t>-.15**</w:t>
            </w:r>
          </w:p>
        </w:tc>
        <w:tc>
          <w:tcPr>
            <w:tcW w:w="991" w:type="dxa"/>
          </w:tcPr>
          <w:p w14:paraId="5E276BEB" w14:textId="77777777" w:rsidR="00536753" w:rsidRPr="009627FD" w:rsidRDefault="00536753" w:rsidP="00CB2744">
            <w:pPr>
              <w:contextualSpacing/>
              <w:jc w:val="center"/>
              <w:rPr>
                <w:lang w:val="en-US"/>
              </w:rPr>
            </w:pPr>
            <w:r w:rsidRPr="009627FD">
              <w:rPr>
                <w:lang w:val="en-US"/>
              </w:rPr>
              <w:t>-3.46</w:t>
            </w:r>
          </w:p>
        </w:tc>
        <w:tc>
          <w:tcPr>
            <w:tcW w:w="708" w:type="dxa"/>
          </w:tcPr>
          <w:p w14:paraId="2963FB27" w14:textId="77777777" w:rsidR="00536753" w:rsidRPr="009627FD" w:rsidRDefault="00536753" w:rsidP="00CB2744">
            <w:pPr>
              <w:contextualSpacing/>
              <w:jc w:val="center"/>
              <w:rPr>
                <w:lang w:val="en-US"/>
              </w:rPr>
            </w:pPr>
          </w:p>
        </w:tc>
        <w:tc>
          <w:tcPr>
            <w:tcW w:w="693" w:type="dxa"/>
          </w:tcPr>
          <w:p w14:paraId="7BA6C667" w14:textId="77777777" w:rsidR="00536753" w:rsidRPr="009627FD" w:rsidRDefault="00536753" w:rsidP="00CB2744">
            <w:pPr>
              <w:contextualSpacing/>
              <w:jc w:val="center"/>
              <w:rPr>
                <w:lang w:val="en-US"/>
              </w:rPr>
            </w:pPr>
          </w:p>
        </w:tc>
        <w:tc>
          <w:tcPr>
            <w:tcW w:w="1011" w:type="dxa"/>
          </w:tcPr>
          <w:p w14:paraId="4816694F" w14:textId="77777777" w:rsidR="00536753" w:rsidRPr="009627FD" w:rsidRDefault="00536753" w:rsidP="00CB2744">
            <w:pPr>
              <w:contextualSpacing/>
              <w:jc w:val="center"/>
              <w:rPr>
                <w:lang w:val="en-US"/>
              </w:rPr>
            </w:pPr>
          </w:p>
        </w:tc>
        <w:tc>
          <w:tcPr>
            <w:tcW w:w="851" w:type="dxa"/>
          </w:tcPr>
          <w:p w14:paraId="1ED2DA56" w14:textId="77777777" w:rsidR="00536753" w:rsidRPr="009627FD" w:rsidRDefault="00536753" w:rsidP="00CB2744">
            <w:pPr>
              <w:contextualSpacing/>
              <w:jc w:val="center"/>
              <w:rPr>
                <w:lang w:val="en-US"/>
              </w:rPr>
            </w:pPr>
          </w:p>
        </w:tc>
        <w:tc>
          <w:tcPr>
            <w:tcW w:w="1553" w:type="dxa"/>
          </w:tcPr>
          <w:p w14:paraId="1A0ED888" w14:textId="77777777" w:rsidR="00536753" w:rsidRPr="009627FD" w:rsidRDefault="00536753" w:rsidP="00CB2744">
            <w:pPr>
              <w:contextualSpacing/>
              <w:jc w:val="center"/>
              <w:rPr>
                <w:lang w:val="en-US"/>
              </w:rPr>
            </w:pPr>
            <w:r w:rsidRPr="009627FD">
              <w:rPr>
                <w:lang w:val="en-US"/>
              </w:rPr>
              <w:t>-.17</w:t>
            </w:r>
          </w:p>
        </w:tc>
        <w:tc>
          <w:tcPr>
            <w:tcW w:w="1412" w:type="dxa"/>
          </w:tcPr>
          <w:p w14:paraId="4695913A" w14:textId="77777777" w:rsidR="00536753" w:rsidRPr="009627FD" w:rsidRDefault="00536753" w:rsidP="00CB2744">
            <w:pPr>
              <w:contextualSpacing/>
              <w:jc w:val="center"/>
              <w:rPr>
                <w:lang w:val="en-US"/>
              </w:rPr>
            </w:pPr>
            <w:r w:rsidRPr="009627FD">
              <w:rPr>
                <w:lang w:val="en-US"/>
              </w:rPr>
              <w:t>-.05</w:t>
            </w:r>
          </w:p>
        </w:tc>
      </w:tr>
      <w:tr w:rsidR="00536753" w:rsidRPr="009627FD" w14:paraId="4FB0D4A8" w14:textId="77777777" w:rsidTr="00CB2744">
        <w:tc>
          <w:tcPr>
            <w:tcW w:w="5297" w:type="dxa"/>
          </w:tcPr>
          <w:p w14:paraId="2CD501FB" w14:textId="77777777" w:rsidR="00536753" w:rsidRPr="009627FD" w:rsidRDefault="00536753" w:rsidP="00CB2744">
            <w:pPr>
              <w:contextualSpacing/>
              <w:rPr>
                <w:lang w:val="en-US"/>
              </w:rPr>
            </w:pPr>
            <w:r w:rsidRPr="009627FD">
              <w:rPr>
                <w:lang w:val="en-US"/>
              </w:rPr>
              <w:t>Gender</w:t>
            </w:r>
          </w:p>
        </w:tc>
        <w:tc>
          <w:tcPr>
            <w:tcW w:w="1023" w:type="dxa"/>
          </w:tcPr>
          <w:p w14:paraId="02B9B7DB" w14:textId="77777777" w:rsidR="00536753" w:rsidRPr="009627FD" w:rsidRDefault="00536753" w:rsidP="00CB2744">
            <w:pPr>
              <w:contextualSpacing/>
              <w:jc w:val="center"/>
              <w:rPr>
                <w:lang w:val="en-US"/>
              </w:rPr>
            </w:pPr>
            <w:r w:rsidRPr="009627FD">
              <w:rPr>
                <w:lang w:val="en-US"/>
              </w:rPr>
              <w:t>1.89</w:t>
            </w:r>
          </w:p>
        </w:tc>
        <w:tc>
          <w:tcPr>
            <w:tcW w:w="1255" w:type="dxa"/>
          </w:tcPr>
          <w:p w14:paraId="29CEEC7B" w14:textId="77777777" w:rsidR="00536753" w:rsidRPr="009627FD" w:rsidRDefault="00536753" w:rsidP="00CB2744">
            <w:pPr>
              <w:contextualSpacing/>
              <w:jc w:val="center"/>
              <w:rPr>
                <w:lang w:val="en-US"/>
              </w:rPr>
            </w:pPr>
            <w:r w:rsidRPr="009627FD">
              <w:rPr>
                <w:lang w:val="en-US"/>
              </w:rPr>
              <w:t>.93</w:t>
            </w:r>
          </w:p>
        </w:tc>
        <w:tc>
          <w:tcPr>
            <w:tcW w:w="849" w:type="dxa"/>
          </w:tcPr>
          <w:p w14:paraId="0252ECB4" w14:textId="77777777" w:rsidR="00536753" w:rsidRPr="009627FD" w:rsidRDefault="00536753" w:rsidP="00CB2744">
            <w:pPr>
              <w:contextualSpacing/>
              <w:jc w:val="center"/>
              <w:rPr>
                <w:lang w:val="en-US"/>
              </w:rPr>
            </w:pPr>
            <w:r w:rsidRPr="009627FD">
              <w:rPr>
                <w:lang w:val="en-US"/>
              </w:rPr>
              <w:t>.09*</w:t>
            </w:r>
          </w:p>
        </w:tc>
        <w:tc>
          <w:tcPr>
            <w:tcW w:w="991" w:type="dxa"/>
          </w:tcPr>
          <w:p w14:paraId="424F5A7B" w14:textId="77777777" w:rsidR="00536753" w:rsidRPr="009627FD" w:rsidRDefault="00536753" w:rsidP="00CB2744">
            <w:pPr>
              <w:contextualSpacing/>
              <w:jc w:val="center"/>
              <w:rPr>
                <w:lang w:val="en-US"/>
              </w:rPr>
            </w:pPr>
            <w:r w:rsidRPr="009627FD">
              <w:rPr>
                <w:lang w:val="en-US"/>
              </w:rPr>
              <w:t>2.02</w:t>
            </w:r>
          </w:p>
        </w:tc>
        <w:tc>
          <w:tcPr>
            <w:tcW w:w="708" w:type="dxa"/>
          </w:tcPr>
          <w:p w14:paraId="794EF726" w14:textId="77777777" w:rsidR="00536753" w:rsidRPr="009627FD" w:rsidRDefault="00536753" w:rsidP="00CB2744">
            <w:pPr>
              <w:contextualSpacing/>
              <w:jc w:val="center"/>
              <w:rPr>
                <w:lang w:val="en-US"/>
              </w:rPr>
            </w:pPr>
          </w:p>
        </w:tc>
        <w:tc>
          <w:tcPr>
            <w:tcW w:w="693" w:type="dxa"/>
          </w:tcPr>
          <w:p w14:paraId="656C752C" w14:textId="77777777" w:rsidR="00536753" w:rsidRPr="009627FD" w:rsidRDefault="00536753" w:rsidP="00CB2744">
            <w:pPr>
              <w:contextualSpacing/>
              <w:jc w:val="center"/>
              <w:rPr>
                <w:lang w:val="en-US"/>
              </w:rPr>
            </w:pPr>
          </w:p>
        </w:tc>
        <w:tc>
          <w:tcPr>
            <w:tcW w:w="1011" w:type="dxa"/>
          </w:tcPr>
          <w:p w14:paraId="0CD8094E" w14:textId="77777777" w:rsidR="00536753" w:rsidRPr="009627FD" w:rsidRDefault="00536753" w:rsidP="00CB2744">
            <w:pPr>
              <w:contextualSpacing/>
              <w:jc w:val="center"/>
              <w:rPr>
                <w:lang w:val="en-US"/>
              </w:rPr>
            </w:pPr>
          </w:p>
        </w:tc>
        <w:tc>
          <w:tcPr>
            <w:tcW w:w="851" w:type="dxa"/>
          </w:tcPr>
          <w:p w14:paraId="56E9B386" w14:textId="77777777" w:rsidR="00536753" w:rsidRPr="009627FD" w:rsidRDefault="00536753" w:rsidP="00CB2744">
            <w:pPr>
              <w:contextualSpacing/>
              <w:jc w:val="center"/>
              <w:rPr>
                <w:lang w:val="en-US"/>
              </w:rPr>
            </w:pPr>
          </w:p>
        </w:tc>
        <w:tc>
          <w:tcPr>
            <w:tcW w:w="1553" w:type="dxa"/>
          </w:tcPr>
          <w:p w14:paraId="5E9912BD" w14:textId="77777777" w:rsidR="00536753" w:rsidRPr="009627FD" w:rsidRDefault="00536753" w:rsidP="00CB2744">
            <w:pPr>
              <w:contextualSpacing/>
              <w:jc w:val="center"/>
              <w:rPr>
                <w:lang w:val="en-US"/>
              </w:rPr>
            </w:pPr>
            <w:r w:rsidRPr="009627FD">
              <w:rPr>
                <w:lang w:val="en-US"/>
              </w:rPr>
              <w:t>.05</w:t>
            </w:r>
          </w:p>
        </w:tc>
        <w:tc>
          <w:tcPr>
            <w:tcW w:w="1412" w:type="dxa"/>
          </w:tcPr>
          <w:p w14:paraId="3170CE8D" w14:textId="77777777" w:rsidR="00536753" w:rsidRPr="009627FD" w:rsidRDefault="00536753" w:rsidP="00CB2744">
            <w:pPr>
              <w:contextualSpacing/>
              <w:jc w:val="center"/>
              <w:rPr>
                <w:lang w:val="en-US"/>
              </w:rPr>
            </w:pPr>
            <w:r w:rsidRPr="009627FD">
              <w:rPr>
                <w:lang w:val="en-US"/>
              </w:rPr>
              <w:t>3.72</w:t>
            </w:r>
          </w:p>
        </w:tc>
      </w:tr>
      <w:tr w:rsidR="00536753" w:rsidRPr="009627FD" w14:paraId="35298B78" w14:textId="77777777" w:rsidTr="00CB2744">
        <w:tc>
          <w:tcPr>
            <w:tcW w:w="5297" w:type="dxa"/>
            <w:tcBorders>
              <w:top w:val="single" w:sz="4" w:space="0" w:color="auto"/>
            </w:tcBorders>
          </w:tcPr>
          <w:p w14:paraId="6DDAEEE2" w14:textId="77777777" w:rsidR="00536753" w:rsidRPr="009627FD" w:rsidRDefault="00536753" w:rsidP="00CB2744">
            <w:pPr>
              <w:contextualSpacing/>
              <w:rPr>
                <w:lang w:val="en-US"/>
              </w:rPr>
            </w:pPr>
            <w:r w:rsidRPr="009627FD">
              <w:rPr>
                <w:lang w:val="en-US"/>
              </w:rPr>
              <w:t>Step 2</w:t>
            </w:r>
          </w:p>
        </w:tc>
        <w:tc>
          <w:tcPr>
            <w:tcW w:w="1023" w:type="dxa"/>
            <w:tcBorders>
              <w:top w:val="single" w:sz="4" w:space="0" w:color="auto"/>
            </w:tcBorders>
          </w:tcPr>
          <w:p w14:paraId="030B4552" w14:textId="77777777" w:rsidR="00536753" w:rsidRPr="009627FD" w:rsidRDefault="00536753" w:rsidP="00CB2744">
            <w:pPr>
              <w:contextualSpacing/>
              <w:jc w:val="center"/>
              <w:rPr>
                <w:lang w:val="en-US"/>
              </w:rPr>
            </w:pPr>
          </w:p>
        </w:tc>
        <w:tc>
          <w:tcPr>
            <w:tcW w:w="1255" w:type="dxa"/>
            <w:tcBorders>
              <w:top w:val="single" w:sz="4" w:space="0" w:color="auto"/>
            </w:tcBorders>
          </w:tcPr>
          <w:p w14:paraId="626F1FF2" w14:textId="77777777" w:rsidR="00536753" w:rsidRPr="009627FD" w:rsidRDefault="00536753" w:rsidP="00CB2744">
            <w:pPr>
              <w:contextualSpacing/>
              <w:jc w:val="center"/>
              <w:rPr>
                <w:lang w:val="en-US"/>
              </w:rPr>
            </w:pPr>
          </w:p>
        </w:tc>
        <w:tc>
          <w:tcPr>
            <w:tcW w:w="849" w:type="dxa"/>
            <w:tcBorders>
              <w:top w:val="single" w:sz="4" w:space="0" w:color="auto"/>
            </w:tcBorders>
          </w:tcPr>
          <w:p w14:paraId="5C2979DB" w14:textId="77777777" w:rsidR="00536753" w:rsidRPr="009627FD" w:rsidRDefault="00536753" w:rsidP="00CB2744">
            <w:pPr>
              <w:contextualSpacing/>
              <w:jc w:val="center"/>
              <w:rPr>
                <w:lang w:val="en-US"/>
              </w:rPr>
            </w:pPr>
          </w:p>
        </w:tc>
        <w:tc>
          <w:tcPr>
            <w:tcW w:w="991" w:type="dxa"/>
            <w:tcBorders>
              <w:top w:val="single" w:sz="4" w:space="0" w:color="auto"/>
            </w:tcBorders>
          </w:tcPr>
          <w:p w14:paraId="3E34A977" w14:textId="77777777" w:rsidR="00536753" w:rsidRPr="009627FD" w:rsidRDefault="00536753" w:rsidP="00CB2744">
            <w:pPr>
              <w:contextualSpacing/>
              <w:jc w:val="center"/>
              <w:rPr>
                <w:lang w:val="en-US"/>
              </w:rPr>
            </w:pPr>
          </w:p>
        </w:tc>
        <w:tc>
          <w:tcPr>
            <w:tcW w:w="708" w:type="dxa"/>
            <w:tcBorders>
              <w:top w:val="single" w:sz="4" w:space="0" w:color="auto"/>
            </w:tcBorders>
          </w:tcPr>
          <w:p w14:paraId="05560B15" w14:textId="77777777" w:rsidR="00536753" w:rsidRPr="009627FD" w:rsidRDefault="00536753" w:rsidP="00CB2744">
            <w:pPr>
              <w:contextualSpacing/>
              <w:jc w:val="center"/>
              <w:rPr>
                <w:lang w:val="en-US"/>
              </w:rPr>
            </w:pPr>
            <w:r w:rsidRPr="009627FD">
              <w:rPr>
                <w:lang w:val="en-US"/>
              </w:rPr>
              <w:t>.47</w:t>
            </w:r>
          </w:p>
        </w:tc>
        <w:tc>
          <w:tcPr>
            <w:tcW w:w="693" w:type="dxa"/>
            <w:tcBorders>
              <w:top w:val="single" w:sz="4" w:space="0" w:color="auto"/>
            </w:tcBorders>
          </w:tcPr>
          <w:p w14:paraId="50F3D7BB" w14:textId="77777777" w:rsidR="00536753" w:rsidRPr="009627FD" w:rsidRDefault="00536753" w:rsidP="00CB2744">
            <w:pPr>
              <w:contextualSpacing/>
              <w:jc w:val="center"/>
              <w:rPr>
                <w:lang w:val="en-US"/>
              </w:rPr>
            </w:pPr>
            <w:r w:rsidRPr="009627FD">
              <w:rPr>
                <w:lang w:val="en-US"/>
              </w:rPr>
              <w:t>.22</w:t>
            </w:r>
          </w:p>
        </w:tc>
        <w:tc>
          <w:tcPr>
            <w:tcW w:w="1011" w:type="dxa"/>
            <w:tcBorders>
              <w:top w:val="single" w:sz="4" w:space="0" w:color="auto"/>
            </w:tcBorders>
          </w:tcPr>
          <w:p w14:paraId="35A7F621" w14:textId="77777777" w:rsidR="00536753" w:rsidRPr="009627FD" w:rsidRDefault="00536753" w:rsidP="00CB2744">
            <w:pPr>
              <w:contextualSpacing/>
              <w:jc w:val="center"/>
              <w:rPr>
                <w:lang w:val="en-US"/>
              </w:rPr>
            </w:pPr>
            <w:r w:rsidRPr="009627FD">
              <w:rPr>
                <w:lang w:val="en-US"/>
              </w:rPr>
              <w:t>.21</w:t>
            </w:r>
          </w:p>
        </w:tc>
        <w:tc>
          <w:tcPr>
            <w:tcW w:w="851" w:type="dxa"/>
            <w:tcBorders>
              <w:top w:val="single" w:sz="4" w:space="0" w:color="auto"/>
            </w:tcBorders>
          </w:tcPr>
          <w:p w14:paraId="079A17A0" w14:textId="77777777" w:rsidR="00536753" w:rsidRPr="009627FD" w:rsidRDefault="00536753" w:rsidP="00CB2744">
            <w:pPr>
              <w:contextualSpacing/>
              <w:jc w:val="center"/>
              <w:rPr>
                <w:lang w:val="en-US"/>
              </w:rPr>
            </w:pPr>
            <w:r w:rsidRPr="009627FD">
              <w:rPr>
                <w:lang w:val="en-US"/>
              </w:rPr>
              <w:t>.19**</w:t>
            </w:r>
          </w:p>
        </w:tc>
        <w:tc>
          <w:tcPr>
            <w:tcW w:w="1553" w:type="dxa"/>
            <w:tcBorders>
              <w:top w:val="single" w:sz="4" w:space="0" w:color="auto"/>
            </w:tcBorders>
          </w:tcPr>
          <w:p w14:paraId="3D88FB1D" w14:textId="77777777" w:rsidR="00536753" w:rsidRPr="009627FD" w:rsidRDefault="00536753" w:rsidP="00CB2744">
            <w:pPr>
              <w:contextualSpacing/>
              <w:jc w:val="center"/>
              <w:rPr>
                <w:lang w:val="en-US"/>
              </w:rPr>
            </w:pPr>
          </w:p>
        </w:tc>
        <w:tc>
          <w:tcPr>
            <w:tcW w:w="1412" w:type="dxa"/>
            <w:tcBorders>
              <w:top w:val="single" w:sz="4" w:space="0" w:color="auto"/>
            </w:tcBorders>
          </w:tcPr>
          <w:p w14:paraId="4B1664E5" w14:textId="77777777" w:rsidR="00536753" w:rsidRPr="009627FD" w:rsidRDefault="00536753" w:rsidP="00CB2744">
            <w:pPr>
              <w:contextualSpacing/>
              <w:jc w:val="center"/>
              <w:rPr>
                <w:lang w:val="en-US"/>
              </w:rPr>
            </w:pPr>
          </w:p>
        </w:tc>
      </w:tr>
      <w:tr w:rsidR="00536753" w:rsidRPr="009627FD" w14:paraId="2203748A" w14:textId="77777777" w:rsidTr="00CB2744">
        <w:tc>
          <w:tcPr>
            <w:tcW w:w="5297" w:type="dxa"/>
          </w:tcPr>
          <w:p w14:paraId="15D8521D" w14:textId="77777777" w:rsidR="00536753" w:rsidRPr="009627FD" w:rsidRDefault="00536753" w:rsidP="00CB2744">
            <w:pPr>
              <w:contextualSpacing/>
              <w:rPr>
                <w:lang w:val="en-US"/>
              </w:rPr>
            </w:pPr>
            <w:r w:rsidRPr="009627FD">
              <w:rPr>
                <w:lang w:val="en-US"/>
              </w:rPr>
              <w:t>Age</w:t>
            </w:r>
          </w:p>
        </w:tc>
        <w:tc>
          <w:tcPr>
            <w:tcW w:w="1023" w:type="dxa"/>
          </w:tcPr>
          <w:p w14:paraId="26D2DC02" w14:textId="77777777" w:rsidR="00536753" w:rsidRPr="009627FD" w:rsidRDefault="00536753" w:rsidP="00CB2744">
            <w:pPr>
              <w:contextualSpacing/>
              <w:jc w:val="center"/>
              <w:rPr>
                <w:lang w:val="en-US"/>
              </w:rPr>
            </w:pPr>
            <w:r w:rsidRPr="009627FD">
              <w:rPr>
                <w:lang w:val="en-US"/>
              </w:rPr>
              <w:t>.01</w:t>
            </w:r>
          </w:p>
        </w:tc>
        <w:tc>
          <w:tcPr>
            <w:tcW w:w="1255" w:type="dxa"/>
          </w:tcPr>
          <w:p w14:paraId="024EF86B" w14:textId="77777777" w:rsidR="00536753" w:rsidRPr="009627FD" w:rsidRDefault="00536753" w:rsidP="00CB2744">
            <w:pPr>
              <w:contextualSpacing/>
              <w:jc w:val="center"/>
              <w:rPr>
                <w:lang w:val="en-US"/>
              </w:rPr>
            </w:pPr>
            <w:r w:rsidRPr="009627FD">
              <w:rPr>
                <w:lang w:val="en-US"/>
              </w:rPr>
              <w:t>.03</w:t>
            </w:r>
          </w:p>
        </w:tc>
        <w:tc>
          <w:tcPr>
            <w:tcW w:w="849" w:type="dxa"/>
          </w:tcPr>
          <w:p w14:paraId="2A9CE37C" w14:textId="77777777" w:rsidR="00536753" w:rsidRPr="009627FD" w:rsidRDefault="00536753" w:rsidP="00CB2744">
            <w:pPr>
              <w:contextualSpacing/>
              <w:jc w:val="center"/>
              <w:rPr>
                <w:lang w:val="en-US"/>
              </w:rPr>
            </w:pPr>
            <w:r w:rsidRPr="009627FD">
              <w:rPr>
                <w:lang w:val="en-US"/>
              </w:rPr>
              <w:t>.01</w:t>
            </w:r>
          </w:p>
        </w:tc>
        <w:tc>
          <w:tcPr>
            <w:tcW w:w="991" w:type="dxa"/>
          </w:tcPr>
          <w:p w14:paraId="5FCFD1E1" w14:textId="77777777" w:rsidR="00536753" w:rsidRPr="009627FD" w:rsidRDefault="00536753" w:rsidP="00CB2744">
            <w:pPr>
              <w:contextualSpacing/>
              <w:jc w:val="center"/>
              <w:rPr>
                <w:lang w:val="en-US"/>
              </w:rPr>
            </w:pPr>
            <w:r w:rsidRPr="009627FD">
              <w:rPr>
                <w:lang w:val="en-US"/>
              </w:rPr>
              <w:t>.23</w:t>
            </w:r>
          </w:p>
        </w:tc>
        <w:tc>
          <w:tcPr>
            <w:tcW w:w="708" w:type="dxa"/>
          </w:tcPr>
          <w:p w14:paraId="42B3A0AB" w14:textId="77777777" w:rsidR="00536753" w:rsidRPr="009627FD" w:rsidRDefault="00536753" w:rsidP="00CB2744">
            <w:pPr>
              <w:contextualSpacing/>
              <w:jc w:val="center"/>
              <w:rPr>
                <w:lang w:val="en-US"/>
              </w:rPr>
            </w:pPr>
          </w:p>
        </w:tc>
        <w:tc>
          <w:tcPr>
            <w:tcW w:w="693" w:type="dxa"/>
          </w:tcPr>
          <w:p w14:paraId="0027AA99" w14:textId="77777777" w:rsidR="00536753" w:rsidRPr="009627FD" w:rsidRDefault="00536753" w:rsidP="00CB2744">
            <w:pPr>
              <w:contextualSpacing/>
              <w:jc w:val="center"/>
              <w:rPr>
                <w:lang w:val="en-US"/>
              </w:rPr>
            </w:pPr>
          </w:p>
        </w:tc>
        <w:tc>
          <w:tcPr>
            <w:tcW w:w="1011" w:type="dxa"/>
          </w:tcPr>
          <w:p w14:paraId="0CC86755" w14:textId="77777777" w:rsidR="00536753" w:rsidRPr="009627FD" w:rsidRDefault="00536753" w:rsidP="00CB2744">
            <w:pPr>
              <w:contextualSpacing/>
              <w:jc w:val="center"/>
              <w:rPr>
                <w:lang w:val="en-US"/>
              </w:rPr>
            </w:pPr>
          </w:p>
        </w:tc>
        <w:tc>
          <w:tcPr>
            <w:tcW w:w="851" w:type="dxa"/>
          </w:tcPr>
          <w:p w14:paraId="7F30E0BF" w14:textId="77777777" w:rsidR="00536753" w:rsidRPr="009627FD" w:rsidRDefault="00536753" w:rsidP="00CB2744">
            <w:pPr>
              <w:contextualSpacing/>
              <w:jc w:val="center"/>
              <w:rPr>
                <w:lang w:val="en-US"/>
              </w:rPr>
            </w:pPr>
          </w:p>
        </w:tc>
        <w:tc>
          <w:tcPr>
            <w:tcW w:w="1553" w:type="dxa"/>
          </w:tcPr>
          <w:p w14:paraId="112B08CD" w14:textId="77777777" w:rsidR="00536753" w:rsidRPr="009627FD" w:rsidRDefault="00536753" w:rsidP="00CB2744">
            <w:pPr>
              <w:contextualSpacing/>
              <w:jc w:val="center"/>
              <w:rPr>
                <w:lang w:val="en-US"/>
              </w:rPr>
            </w:pPr>
            <w:r w:rsidRPr="009627FD">
              <w:rPr>
                <w:lang w:val="en-US"/>
              </w:rPr>
              <w:t>-.06</w:t>
            </w:r>
          </w:p>
        </w:tc>
        <w:tc>
          <w:tcPr>
            <w:tcW w:w="1412" w:type="dxa"/>
          </w:tcPr>
          <w:p w14:paraId="3AFD49C2" w14:textId="77777777" w:rsidR="00536753" w:rsidRPr="009627FD" w:rsidRDefault="00536753" w:rsidP="00CB2744">
            <w:pPr>
              <w:contextualSpacing/>
              <w:jc w:val="center"/>
              <w:rPr>
                <w:lang w:val="en-US"/>
              </w:rPr>
            </w:pPr>
            <w:r w:rsidRPr="009627FD">
              <w:rPr>
                <w:lang w:val="en-US"/>
              </w:rPr>
              <w:t>.07</w:t>
            </w:r>
          </w:p>
        </w:tc>
      </w:tr>
      <w:tr w:rsidR="00536753" w:rsidRPr="009627FD" w14:paraId="07D003D5" w14:textId="77777777" w:rsidTr="00CB2744">
        <w:tc>
          <w:tcPr>
            <w:tcW w:w="5297" w:type="dxa"/>
          </w:tcPr>
          <w:p w14:paraId="799A9C89" w14:textId="77777777" w:rsidR="00536753" w:rsidRPr="009627FD" w:rsidRDefault="00536753" w:rsidP="00CB2744">
            <w:pPr>
              <w:contextualSpacing/>
              <w:rPr>
                <w:lang w:val="en-US"/>
              </w:rPr>
            </w:pPr>
            <w:r w:rsidRPr="009627FD">
              <w:rPr>
                <w:lang w:val="en-US"/>
              </w:rPr>
              <w:t>Gender</w:t>
            </w:r>
          </w:p>
        </w:tc>
        <w:tc>
          <w:tcPr>
            <w:tcW w:w="1023" w:type="dxa"/>
          </w:tcPr>
          <w:p w14:paraId="3B741BC5" w14:textId="77777777" w:rsidR="00536753" w:rsidRPr="009627FD" w:rsidRDefault="00536753" w:rsidP="00CB2744">
            <w:pPr>
              <w:contextualSpacing/>
              <w:jc w:val="center"/>
              <w:rPr>
                <w:lang w:val="en-US"/>
              </w:rPr>
            </w:pPr>
            <w:r w:rsidRPr="009627FD">
              <w:rPr>
                <w:lang w:val="en-US"/>
              </w:rPr>
              <w:t>1.38</w:t>
            </w:r>
          </w:p>
        </w:tc>
        <w:tc>
          <w:tcPr>
            <w:tcW w:w="1255" w:type="dxa"/>
          </w:tcPr>
          <w:p w14:paraId="705A32E6" w14:textId="77777777" w:rsidR="00536753" w:rsidRPr="009627FD" w:rsidRDefault="00536753" w:rsidP="00CB2744">
            <w:pPr>
              <w:contextualSpacing/>
              <w:jc w:val="center"/>
              <w:rPr>
                <w:lang w:val="en-US"/>
              </w:rPr>
            </w:pPr>
            <w:r w:rsidRPr="009627FD">
              <w:rPr>
                <w:lang w:val="en-US"/>
              </w:rPr>
              <w:t>.86</w:t>
            </w:r>
          </w:p>
        </w:tc>
        <w:tc>
          <w:tcPr>
            <w:tcW w:w="849" w:type="dxa"/>
          </w:tcPr>
          <w:p w14:paraId="4F5F95B1" w14:textId="77777777" w:rsidR="00536753" w:rsidRPr="009627FD" w:rsidRDefault="00536753" w:rsidP="00CB2744">
            <w:pPr>
              <w:contextualSpacing/>
              <w:jc w:val="center"/>
              <w:rPr>
                <w:lang w:val="en-US"/>
              </w:rPr>
            </w:pPr>
            <w:r w:rsidRPr="009627FD">
              <w:rPr>
                <w:lang w:val="en-US"/>
              </w:rPr>
              <w:t>.07</w:t>
            </w:r>
          </w:p>
        </w:tc>
        <w:tc>
          <w:tcPr>
            <w:tcW w:w="991" w:type="dxa"/>
          </w:tcPr>
          <w:p w14:paraId="20FE961F" w14:textId="77777777" w:rsidR="00536753" w:rsidRPr="009627FD" w:rsidRDefault="00536753" w:rsidP="00CB2744">
            <w:pPr>
              <w:contextualSpacing/>
              <w:jc w:val="center"/>
              <w:rPr>
                <w:lang w:val="en-US"/>
              </w:rPr>
            </w:pPr>
            <w:r w:rsidRPr="009627FD">
              <w:rPr>
                <w:lang w:val="en-US"/>
              </w:rPr>
              <w:t>1.61</w:t>
            </w:r>
          </w:p>
        </w:tc>
        <w:tc>
          <w:tcPr>
            <w:tcW w:w="708" w:type="dxa"/>
          </w:tcPr>
          <w:p w14:paraId="61D1EF89" w14:textId="77777777" w:rsidR="00536753" w:rsidRPr="009627FD" w:rsidRDefault="00536753" w:rsidP="00CB2744">
            <w:pPr>
              <w:contextualSpacing/>
              <w:jc w:val="center"/>
              <w:rPr>
                <w:lang w:val="en-US"/>
              </w:rPr>
            </w:pPr>
          </w:p>
        </w:tc>
        <w:tc>
          <w:tcPr>
            <w:tcW w:w="693" w:type="dxa"/>
          </w:tcPr>
          <w:p w14:paraId="4DDF5786" w14:textId="77777777" w:rsidR="00536753" w:rsidRPr="009627FD" w:rsidRDefault="00536753" w:rsidP="00CB2744">
            <w:pPr>
              <w:contextualSpacing/>
              <w:jc w:val="center"/>
              <w:rPr>
                <w:lang w:val="en-US"/>
              </w:rPr>
            </w:pPr>
          </w:p>
        </w:tc>
        <w:tc>
          <w:tcPr>
            <w:tcW w:w="1011" w:type="dxa"/>
          </w:tcPr>
          <w:p w14:paraId="0C2D9A15" w14:textId="77777777" w:rsidR="00536753" w:rsidRPr="009627FD" w:rsidRDefault="00536753" w:rsidP="00CB2744">
            <w:pPr>
              <w:contextualSpacing/>
              <w:jc w:val="center"/>
              <w:rPr>
                <w:lang w:val="en-US"/>
              </w:rPr>
            </w:pPr>
          </w:p>
        </w:tc>
        <w:tc>
          <w:tcPr>
            <w:tcW w:w="851" w:type="dxa"/>
          </w:tcPr>
          <w:p w14:paraId="4C7CC868" w14:textId="77777777" w:rsidR="00536753" w:rsidRPr="009627FD" w:rsidRDefault="00536753" w:rsidP="00CB2744">
            <w:pPr>
              <w:contextualSpacing/>
              <w:jc w:val="center"/>
              <w:rPr>
                <w:lang w:val="en-US"/>
              </w:rPr>
            </w:pPr>
          </w:p>
        </w:tc>
        <w:tc>
          <w:tcPr>
            <w:tcW w:w="1553" w:type="dxa"/>
          </w:tcPr>
          <w:p w14:paraId="6A212122" w14:textId="77777777" w:rsidR="00536753" w:rsidRPr="009627FD" w:rsidRDefault="00536753" w:rsidP="00CB2744">
            <w:pPr>
              <w:contextualSpacing/>
              <w:jc w:val="center"/>
              <w:rPr>
                <w:lang w:val="en-US"/>
              </w:rPr>
            </w:pPr>
            <w:r w:rsidRPr="009627FD">
              <w:rPr>
                <w:lang w:val="en-US"/>
              </w:rPr>
              <w:t>-.30</w:t>
            </w:r>
          </w:p>
        </w:tc>
        <w:tc>
          <w:tcPr>
            <w:tcW w:w="1412" w:type="dxa"/>
          </w:tcPr>
          <w:p w14:paraId="14011003" w14:textId="77777777" w:rsidR="00536753" w:rsidRPr="009627FD" w:rsidRDefault="00536753" w:rsidP="00CB2744">
            <w:pPr>
              <w:contextualSpacing/>
              <w:jc w:val="center"/>
              <w:rPr>
                <w:lang w:val="en-US"/>
              </w:rPr>
            </w:pPr>
            <w:r w:rsidRPr="009627FD">
              <w:rPr>
                <w:lang w:val="en-US"/>
              </w:rPr>
              <w:t>3.07</w:t>
            </w:r>
          </w:p>
        </w:tc>
      </w:tr>
      <w:tr w:rsidR="00536753" w:rsidRPr="009627FD" w14:paraId="032A4302" w14:textId="77777777" w:rsidTr="00CB2744">
        <w:tc>
          <w:tcPr>
            <w:tcW w:w="5297" w:type="dxa"/>
          </w:tcPr>
          <w:p w14:paraId="522FB375" w14:textId="77777777" w:rsidR="00536753" w:rsidRPr="009627FD" w:rsidRDefault="00536753" w:rsidP="00CB2744">
            <w:pPr>
              <w:contextualSpacing/>
              <w:rPr>
                <w:lang w:val="en-US"/>
              </w:rPr>
            </w:pPr>
            <w:r w:rsidRPr="009627FD">
              <w:rPr>
                <w:lang w:val="en-US"/>
              </w:rPr>
              <w:t>BFI-10-Agreeableness</w:t>
            </w:r>
          </w:p>
        </w:tc>
        <w:tc>
          <w:tcPr>
            <w:tcW w:w="1023" w:type="dxa"/>
          </w:tcPr>
          <w:p w14:paraId="0B04685F" w14:textId="77777777" w:rsidR="00536753" w:rsidRPr="009627FD" w:rsidRDefault="00536753" w:rsidP="00CB2744">
            <w:pPr>
              <w:contextualSpacing/>
              <w:jc w:val="center"/>
              <w:rPr>
                <w:lang w:val="en-US"/>
              </w:rPr>
            </w:pPr>
            <w:r w:rsidRPr="009627FD">
              <w:rPr>
                <w:lang w:val="en-US"/>
              </w:rPr>
              <w:t>-.33</w:t>
            </w:r>
          </w:p>
        </w:tc>
        <w:tc>
          <w:tcPr>
            <w:tcW w:w="1255" w:type="dxa"/>
          </w:tcPr>
          <w:p w14:paraId="4324C852" w14:textId="77777777" w:rsidR="00536753" w:rsidRPr="009627FD" w:rsidRDefault="00536753" w:rsidP="00CB2744">
            <w:pPr>
              <w:contextualSpacing/>
              <w:jc w:val="center"/>
              <w:rPr>
                <w:lang w:val="en-US"/>
              </w:rPr>
            </w:pPr>
            <w:r w:rsidRPr="009627FD">
              <w:rPr>
                <w:lang w:val="en-US"/>
              </w:rPr>
              <w:t>.22</w:t>
            </w:r>
          </w:p>
        </w:tc>
        <w:tc>
          <w:tcPr>
            <w:tcW w:w="849" w:type="dxa"/>
          </w:tcPr>
          <w:p w14:paraId="7525DA63" w14:textId="77777777" w:rsidR="00536753" w:rsidRPr="009627FD" w:rsidRDefault="00536753" w:rsidP="00CB2744">
            <w:pPr>
              <w:contextualSpacing/>
              <w:jc w:val="center"/>
              <w:rPr>
                <w:lang w:val="en-US"/>
              </w:rPr>
            </w:pPr>
            <w:r w:rsidRPr="009627FD">
              <w:rPr>
                <w:lang w:val="en-US"/>
              </w:rPr>
              <w:t>-.06</w:t>
            </w:r>
          </w:p>
        </w:tc>
        <w:tc>
          <w:tcPr>
            <w:tcW w:w="991" w:type="dxa"/>
          </w:tcPr>
          <w:p w14:paraId="4837F7AF" w14:textId="77777777" w:rsidR="00536753" w:rsidRPr="009627FD" w:rsidRDefault="00536753" w:rsidP="00CB2744">
            <w:pPr>
              <w:contextualSpacing/>
              <w:jc w:val="center"/>
              <w:rPr>
                <w:lang w:val="en-US"/>
              </w:rPr>
            </w:pPr>
            <w:r w:rsidRPr="009627FD">
              <w:rPr>
                <w:lang w:val="en-US"/>
              </w:rPr>
              <w:t>-1.47</w:t>
            </w:r>
          </w:p>
        </w:tc>
        <w:tc>
          <w:tcPr>
            <w:tcW w:w="708" w:type="dxa"/>
          </w:tcPr>
          <w:p w14:paraId="2625C7D2" w14:textId="77777777" w:rsidR="00536753" w:rsidRPr="009627FD" w:rsidRDefault="00536753" w:rsidP="00CB2744">
            <w:pPr>
              <w:contextualSpacing/>
              <w:jc w:val="center"/>
              <w:rPr>
                <w:lang w:val="en-US"/>
              </w:rPr>
            </w:pPr>
          </w:p>
        </w:tc>
        <w:tc>
          <w:tcPr>
            <w:tcW w:w="693" w:type="dxa"/>
          </w:tcPr>
          <w:p w14:paraId="126F9590" w14:textId="77777777" w:rsidR="00536753" w:rsidRPr="009627FD" w:rsidRDefault="00536753" w:rsidP="00CB2744">
            <w:pPr>
              <w:contextualSpacing/>
              <w:jc w:val="center"/>
              <w:rPr>
                <w:lang w:val="en-US"/>
              </w:rPr>
            </w:pPr>
          </w:p>
        </w:tc>
        <w:tc>
          <w:tcPr>
            <w:tcW w:w="1011" w:type="dxa"/>
          </w:tcPr>
          <w:p w14:paraId="5DC979B8" w14:textId="77777777" w:rsidR="00536753" w:rsidRPr="009627FD" w:rsidRDefault="00536753" w:rsidP="00CB2744">
            <w:pPr>
              <w:contextualSpacing/>
              <w:jc w:val="center"/>
              <w:rPr>
                <w:lang w:val="en-US"/>
              </w:rPr>
            </w:pPr>
          </w:p>
        </w:tc>
        <w:tc>
          <w:tcPr>
            <w:tcW w:w="851" w:type="dxa"/>
          </w:tcPr>
          <w:p w14:paraId="154F81D4" w14:textId="77777777" w:rsidR="00536753" w:rsidRPr="009627FD" w:rsidRDefault="00536753" w:rsidP="00CB2744">
            <w:pPr>
              <w:contextualSpacing/>
              <w:jc w:val="center"/>
              <w:rPr>
                <w:lang w:val="en-US"/>
              </w:rPr>
            </w:pPr>
          </w:p>
        </w:tc>
        <w:tc>
          <w:tcPr>
            <w:tcW w:w="1553" w:type="dxa"/>
          </w:tcPr>
          <w:p w14:paraId="263470C4" w14:textId="77777777" w:rsidR="00536753" w:rsidRPr="009627FD" w:rsidRDefault="00536753" w:rsidP="00CB2744">
            <w:pPr>
              <w:contextualSpacing/>
              <w:jc w:val="center"/>
              <w:rPr>
                <w:lang w:val="en-US"/>
              </w:rPr>
            </w:pPr>
            <w:r w:rsidRPr="009627FD">
              <w:rPr>
                <w:lang w:val="en-US"/>
              </w:rPr>
              <w:t>-.77</w:t>
            </w:r>
          </w:p>
        </w:tc>
        <w:tc>
          <w:tcPr>
            <w:tcW w:w="1412" w:type="dxa"/>
          </w:tcPr>
          <w:p w14:paraId="44D6E55F" w14:textId="77777777" w:rsidR="00536753" w:rsidRPr="009627FD" w:rsidRDefault="00536753" w:rsidP="00CB2744">
            <w:pPr>
              <w:contextualSpacing/>
              <w:jc w:val="center"/>
              <w:rPr>
                <w:lang w:val="en-US"/>
              </w:rPr>
            </w:pPr>
            <w:r w:rsidRPr="009627FD">
              <w:rPr>
                <w:lang w:val="en-US"/>
              </w:rPr>
              <w:t>.11</w:t>
            </w:r>
          </w:p>
        </w:tc>
      </w:tr>
      <w:tr w:rsidR="00536753" w:rsidRPr="009627FD" w14:paraId="0F20F874" w14:textId="77777777" w:rsidTr="00CB2744">
        <w:tc>
          <w:tcPr>
            <w:tcW w:w="5297" w:type="dxa"/>
          </w:tcPr>
          <w:p w14:paraId="075960DF" w14:textId="77777777" w:rsidR="00536753" w:rsidRPr="009627FD" w:rsidRDefault="00536753" w:rsidP="00CB2744">
            <w:pPr>
              <w:contextualSpacing/>
              <w:rPr>
                <w:lang w:val="en-US"/>
              </w:rPr>
            </w:pPr>
            <w:r w:rsidRPr="009627FD">
              <w:rPr>
                <w:lang w:val="en-US"/>
              </w:rPr>
              <w:t>BFI-10-Conscientiousness</w:t>
            </w:r>
          </w:p>
        </w:tc>
        <w:tc>
          <w:tcPr>
            <w:tcW w:w="1023" w:type="dxa"/>
          </w:tcPr>
          <w:p w14:paraId="0AE606E3" w14:textId="77777777" w:rsidR="00536753" w:rsidRPr="009627FD" w:rsidRDefault="00536753" w:rsidP="00CB2744">
            <w:pPr>
              <w:contextualSpacing/>
              <w:jc w:val="center"/>
              <w:rPr>
                <w:lang w:val="en-US"/>
              </w:rPr>
            </w:pPr>
            <w:r w:rsidRPr="009627FD">
              <w:rPr>
                <w:lang w:val="en-US"/>
              </w:rPr>
              <w:t>-.97</w:t>
            </w:r>
          </w:p>
        </w:tc>
        <w:tc>
          <w:tcPr>
            <w:tcW w:w="1255" w:type="dxa"/>
          </w:tcPr>
          <w:p w14:paraId="35A2DB98" w14:textId="77777777" w:rsidR="00536753" w:rsidRPr="009627FD" w:rsidRDefault="00536753" w:rsidP="00CB2744">
            <w:pPr>
              <w:contextualSpacing/>
              <w:jc w:val="center"/>
              <w:rPr>
                <w:lang w:val="en-US"/>
              </w:rPr>
            </w:pPr>
            <w:r w:rsidRPr="009627FD">
              <w:rPr>
                <w:lang w:val="en-US"/>
              </w:rPr>
              <w:t>.24</w:t>
            </w:r>
          </w:p>
        </w:tc>
        <w:tc>
          <w:tcPr>
            <w:tcW w:w="849" w:type="dxa"/>
          </w:tcPr>
          <w:p w14:paraId="43CF1616" w14:textId="77777777" w:rsidR="00536753" w:rsidRPr="009627FD" w:rsidRDefault="00536753" w:rsidP="00CB2744">
            <w:pPr>
              <w:contextualSpacing/>
              <w:jc w:val="center"/>
              <w:rPr>
                <w:lang w:val="en-US"/>
              </w:rPr>
            </w:pPr>
            <w:r w:rsidRPr="009627FD">
              <w:rPr>
                <w:lang w:val="en-US"/>
              </w:rPr>
              <w:t>-.18**</w:t>
            </w:r>
          </w:p>
        </w:tc>
        <w:tc>
          <w:tcPr>
            <w:tcW w:w="991" w:type="dxa"/>
          </w:tcPr>
          <w:p w14:paraId="7A8F21F4" w14:textId="77777777" w:rsidR="00536753" w:rsidRPr="009627FD" w:rsidRDefault="00536753" w:rsidP="00CB2744">
            <w:pPr>
              <w:contextualSpacing/>
              <w:jc w:val="center"/>
              <w:rPr>
                <w:lang w:val="en-US"/>
              </w:rPr>
            </w:pPr>
            <w:r w:rsidRPr="009627FD">
              <w:rPr>
                <w:lang w:val="en-US"/>
              </w:rPr>
              <w:t>-4.02</w:t>
            </w:r>
          </w:p>
        </w:tc>
        <w:tc>
          <w:tcPr>
            <w:tcW w:w="708" w:type="dxa"/>
          </w:tcPr>
          <w:p w14:paraId="60169748" w14:textId="77777777" w:rsidR="00536753" w:rsidRPr="009627FD" w:rsidRDefault="00536753" w:rsidP="00CB2744">
            <w:pPr>
              <w:contextualSpacing/>
              <w:jc w:val="center"/>
              <w:rPr>
                <w:lang w:val="en-US"/>
              </w:rPr>
            </w:pPr>
          </w:p>
        </w:tc>
        <w:tc>
          <w:tcPr>
            <w:tcW w:w="693" w:type="dxa"/>
          </w:tcPr>
          <w:p w14:paraId="5DB698EB" w14:textId="77777777" w:rsidR="00536753" w:rsidRPr="009627FD" w:rsidRDefault="00536753" w:rsidP="00CB2744">
            <w:pPr>
              <w:contextualSpacing/>
              <w:jc w:val="center"/>
              <w:rPr>
                <w:lang w:val="en-US"/>
              </w:rPr>
            </w:pPr>
          </w:p>
        </w:tc>
        <w:tc>
          <w:tcPr>
            <w:tcW w:w="1011" w:type="dxa"/>
          </w:tcPr>
          <w:p w14:paraId="41156190" w14:textId="77777777" w:rsidR="00536753" w:rsidRPr="009627FD" w:rsidRDefault="00536753" w:rsidP="00CB2744">
            <w:pPr>
              <w:contextualSpacing/>
              <w:jc w:val="center"/>
              <w:rPr>
                <w:lang w:val="en-US"/>
              </w:rPr>
            </w:pPr>
          </w:p>
        </w:tc>
        <w:tc>
          <w:tcPr>
            <w:tcW w:w="851" w:type="dxa"/>
          </w:tcPr>
          <w:p w14:paraId="6C4CA441" w14:textId="77777777" w:rsidR="00536753" w:rsidRPr="009627FD" w:rsidRDefault="00536753" w:rsidP="00CB2744">
            <w:pPr>
              <w:contextualSpacing/>
              <w:jc w:val="center"/>
              <w:rPr>
                <w:lang w:val="en-US"/>
              </w:rPr>
            </w:pPr>
          </w:p>
        </w:tc>
        <w:tc>
          <w:tcPr>
            <w:tcW w:w="1553" w:type="dxa"/>
          </w:tcPr>
          <w:p w14:paraId="534654BD" w14:textId="77777777" w:rsidR="00536753" w:rsidRPr="009627FD" w:rsidRDefault="00536753" w:rsidP="00CB2744">
            <w:pPr>
              <w:contextualSpacing/>
              <w:jc w:val="center"/>
              <w:rPr>
                <w:lang w:val="en-US"/>
              </w:rPr>
            </w:pPr>
            <w:r w:rsidRPr="009627FD">
              <w:rPr>
                <w:lang w:val="en-US"/>
              </w:rPr>
              <w:t>-1.45</w:t>
            </w:r>
          </w:p>
        </w:tc>
        <w:tc>
          <w:tcPr>
            <w:tcW w:w="1412" w:type="dxa"/>
          </w:tcPr>
          <w:p w14:paraId="4C2DABB4" w14:textId="77777777" w:rsidR="00536753" w:rsidRPr="009627FD" w:rsidRDefault="00536753" w:rsidP="00CB2744">
            <w:pPr>
              <w:contextualSpacing/>
              <w:jc w:val="center"/>
              <w:rPr>
                <w:lang w:val="en-US"/>
              </w:rPr>
            </w:pPr>
            <w:r w:rsidRPr="009627FD">
              <w:rPr>
                <w:lang w:val="en-US"/>
              </w:rPr>
              <w:t>-.50</w:t>
            </w:r>
          </w:p>
        </w:tc>
      </w:tr>
      <w:tr w:rsidR="00536753" w:rsidRPr="009627FD" w14:paraId="4521D2BD" w14:textId="77777777" w:rsidTr="00CB2744">
        <w:tc>
          <w:tcPr>
            <w:tcW w:w="5297" w:type="dxa"/>
          </w:tcPr>
          <w:p w14:paraId="7EE8285E" w14:textId="77777777" w:rsidR="00536753" w:rsidRPr="009627FD" w:rsidRDefault="00536753" w:rsidP="00CB2744">
            <w:pPr>
              <w:contextualSpacing/>
              <w:rPr>
                <w:lang w:val="en-US"/>
              </w:rPr>
            </w:pPr>
            <w:r w:rsidRPr="009627FD">
              <w:rPr>
                <w:lang w:val="en-US"/>
              </w:rPr>
              <w:t>BFI-10-Emotional stability</w:t>
            </w:r>
          </w:p>
        </w:tc>
        <w:tc>
          <w:tcPr>
            <w:tcW w:w="1023" w:type="dxa"/>
          </w:tcPr>
          <w:p w14:paraId="2B61A120" w14:textId="77777777" w:rsidR="00536753" w:rsidRPr="009627FD" w:rsidRDefault="00536753" w:rsidP="00CB2744">
            <w:pPr>
              <w:contextualSpacing/>
              <w:jc w:val="center"/>
              <w:rPr>
                <w:lang w:val="en-US"/>
              </w:rPr>
            </w:pPr>
            <w:r w:rsidRPr="009627FD">
              <w:rPr>
                <w:lang w:val="en-US"/>
              </w:rPr>
              <w:t>-1.25</w:t>
            </w:r>
          </w:p>
        </w:tc>
        <w:tc>
          <w:tcPr>
            <w:tcW w:w="1255" w:type="dxa"/>
          </w:tcPr>
          <w:p w14:paraId="5B6F0F95" w14:textId="77777777" w:rsidR="00536753" w:rsidRPr="009627FD" w:rsidRDefault="00536753" w:rsidP="00CB2744">
            <w:pPr>
              <w:contextualSpacing/>
              <w:jc w:val="center"/>
              <w:rPr>
                <w:lang w:val="en-US"/>
              </w:rPr>
            </w:pPr>
            <w:r w:rsidRPr="009627FD">
              <w:rPr>
                <w:lang w:val="en-US"/>
              </w:rPr>
              <w:t>.17</w:t>
            </w:r>
          </w:p>
        </w:tc>
        <w:tc>
          <w:tcPr>
            <w:tcW w:w="849" w:type="dxa"/>
          </w:tcPr>
          <w:p w14:paraId="4EB5A17E" w14:textId="77777777" w:rsidR="00536753" w:rsidRPr="009627FD" w:rsidRDefault="00536753" w:rsidP="00CB2744">
            <w:pPr>
              <w:contextualSpacing/>
              <w:jc w:val="center"/>
              <w:rPr>
                <w:lang w:val="en-US"/>
              </w:rPr>
            </w:pPr>
            <w:r w:rsidRPr="009627FD">
              <w:rPr>
                <w:lang w:val="en-US"/>
              </w:rPr>
              <w:t>-.32**</w:t>
            </w:r>
          </w:p>
        </w:tc>
        <w:tc>
          <w:tcPr>
            <w:tcW w:w="991" w:type="dxa"/>
          </w:tcPr>
          <w:p w14:paraId="29013ADD" w14:textId="77777777" w:rsidR="00536753" w:rsidRPr="009627FD" w:rsidRDefault="00536753" w:rsidP="00CB2744">
            <w:pPr>
              <w:contextualSpacing/>
              <w:jc w:val="center"/>
              <w:rPr>
                <w:lang w:val="en-US"/>
              </w:rPr>
            </w:pPr>
            <w:r w:rsidRPr="009627FD">
              <w:rPr>
                <w:lang w:val="en-US"/>
              </w:rPr>
              <w:t>-7.32</w:t>
            </w:r>
          </w:p>
        </w:tc>
        <w:tc>
          <w:tcPr>
            <w:tcW w:w="708" w:type="dxa"/>
          </w:tcPr>
          <w:p w14:paraId="2F3BECD4" w14:textId="77777777" w:rsidR="00536753" w:rsidRPr="009627FD" w:rsidRDefault="00536753" w:rsidP="00CB2744">
            <w:pPr>
              <w:contextualSpacing/>
              <w:jc w:val="center"/>
              <w:rPr>
                <w:lang w:val="en-US"/>
              </w:rPr>
            </w:pPr>
          </w:p>
        </w:tc>
        <w:tc>
          <w:tcPr>
            <w:tcW w:w="693" w:type="dxa"/>
          </w:tcPr>
          <w:p w14:paraId="28F951DD" w14:textId="77777777" w:rsidR="00536753" w:rsidRPr="009627FD" w:rsidRDefault="00536753" w:rsidP="00CB2744">
            <w:pPr>
              <w:contextualSpacing/>
              <w:jc w:val="center"/>
              <w:rPr>
                <w:lang w:val="en-US"/>
              </w:rPr>
            </w:pPr>
          </w:p>
        </w:tc>
        <w:tc>
          <w:tcPr>
            <w:tcW w:w="1011" w:type="dxa"/>
          </w:tcPr>
          <w:p w14:paraId="7FC664BF" w14:textId="77777777" w:rsidR="00536753" w:rsidRPr="009627FD" w:rsidRDefault="00536753" w:rsidP="00CB2744">
            <w:pPr>
              <w:contextualSpacing/>
              <w:jc w:val="center"/>
              <w:rPr>
                <w:lang w:val="en-US"/>
              </w:rPr>
            </w:pPr>
          </w:p>
        </w:tc>
        <w:tc>
          <w:tcPr>
            <w:tcW w:w="851" w:type="dxa"/>
          </w:tcPr>
          <w:p w14:paraId="7913EEF1" w14:textId="77777777" w:rsidR="00536753" w:rsidRPr="009627FD" w:rsidRDefault="00536753" w:rsidP="00CB2744">
            <w:pPr>
              <w:contextualSpacing/>
              <w:jc w:val="center"/>
              <w:rPr>
                <w:lang w:val="en-US"/>
              </w:rPr>
            </w:pPr>
          </w:p>
        </w:tc>
        <w:tc>
          <w:tcPr>
            <w:tcW w:w="1553" w:type="dxa"/>
          </w:tcPr>
          <w:p w14:paraId="0CC281A0" w14:textId="77777777" w:rsidR="00536753" w:rsidRPr="009627FD" w:rsidRDefault="00536753" w:rsidP="00CB2744">
            <w:pPr>
              <w:contextualSpacing/>
              <w:jc w:val="center"/>
              <w:rPr>
                <w:lang w:val="en-US"/>
              </w:rPr>
            </w:pPr>
            <w:r w:rsidRPr="009627FD">
              <w:rPr>
                <w:lang w:val="en-US"/>
              </w:rPr>
              <w:t>-1.59</w:t>
            </w:r>
          </w:p>
        </w:tc>
        <w:tc>
          <w:tcPr>
            <w:tcW w:w="1412" w:type="dxa"/>
          </w:tcPr>
          <w:p w14:paraId="1CF38429" w14:textId="77777777" w:rsidR="00536753" w:rsidRPr="009627FD" w:rsidRDefault="00536753" w:rsidP="00CB2744">
            <w:pPr>
              <w:contextualSpacing/>
              <w:jc w:val="center"/>
              <w:rPr>
                <w:lang w:val="en-US"/>
              </w:rPr>
            </w:pPr>
            <w:r w:rsidRPr="009627FD">
              <w:rPr>
                <w:lang w:val="en-US"/>
              </w:rPr>
              <w:t>-.91</w:t>
            </w:r>
          </w:p>
        </w:tc>
      </w:tr>
      <w:tr w:rsidR="00536753" w:rsidRPr="009627FD" w14:paraId="01494958" w14:textId="77777777" w:rsidTr="00CB2744">
        <w:tc>
          <w:tcPr>
            <w:tcW w:w="5297" w:type="dxa"/>
            <w:tcBorders>
              <w:bottom w:val="single" w:sz="4" w:space="0" w:color="auto"/>
            </w:tcBorders>
          </w:tcPr>
          <w:p w14:paraId="3D9E7F31" w14:textId="77777777" w:rsidR="00536753" w:rsidRPr="009627FD" w:rsidRDefault="00536753" w:rsidP="00CB2744">
            <w:pPr>
              <w:contextualSpacing/>
              <w:rPr>
                <w:lang w:val="en-US"/>
              </w:rPr>
            </w:pPr>
            <w:r w:rsidRPr="009627FD">
              <w:rPr>
                <w:lang w:val="en-US"/>
              </w:rPr>
              <w:t>BFI-10-Extraversion</w:t>
            </w:r>
          </w:p>
        </w:tc>
        <w:tc>
          <w:tcPr>
            <w:tcW w:w="1023" w:type="dxa"/>
            <w:tcBorders>
              <w:bottom w:val="single" w:sz="4" w:space="0" w:color="auto"/>
            </w:tcBorders>
          </w:tcPr>
          <w:p w14:paraId="04824F2D" w14:textId="77777777" w:rsidR="00536753" w:rsidRPr="009627FD" w:rsidRDefault="00536753" w:rsidP="00CB2744">
            <w:pPr>
              <w:contextualSpacing/>
              <w:jc w:val="center"/>
              <w:rPr>
                <w:lang w:val="en-US"/>
              </w:rPr>
            </w:pPr>
            <w:r w:rsidRPr="009627FD">
              <w:rPr>
                <w:lang w:val="en-US"/>
              </w:rPr>
              <w:t>-.43</w:t>
            </w:r>
          </w:p>
        </w:tc>
        <w:tc>
          <w:tcPr>
            <w:tcW w:w="1255" w:type="dxa"/>
            <w:tcBorders>
              <w:bottom w:val="single" w:sz="4" w:space="0" w:color="auto"/>
            </w:tcBorders>
          </w:tcPr>
          <w:p w14:paraId="162412B2" w14:textId="77777777" w:rsidR="00536753" w:rsidRPr="009627FD" w:rsidRDefault="00536753" w:rsidP="00CB2744">
            <w:pPr>
              <w:contextualSpacing/>
              <w:jc w:val="center"/>
              <w:rPr>
                <w:lang w:val="en-US"/>
              </w:rPr>
            </w:pPr>
            <w:r w:rsidRPr="009627FD">
              <w:rPr>
                <w:lang w:val="en-US"/>
              </w:rPr>
              <w:t>.19</w:t>
            </w:r>
          </w:p>
        </w:tc>
        <w:tc>
          <w:tcPr>
            <w:tcW w:w="849" w:type="dxa"/>
            <w:tcBorders>
              <w:bottom w:val="single" w:sz="4" w:space="0" w:color="auto"/>
            </w:tcBorders>
          </w:tcPr>
          <w:p w14:paraId="00EDE3A0" w14:textId="77777777" w:rsidR="00536753" w:rsidRPr="009627FD" w:rsidRDefault="00536753" w:rsidP="00CB2744">
            <w:pPr>
              <w:contextualSpacing/>
              <w:jc w:val="center"/>
              <w:rPr>
                <w:lang w:val="en-US"/>
              </w:rPr>
            </w:pPr>
            <w:r w:rsidRPr="009627FD">
              <w:rPr>
                <w:lang w:val="en-US"/>
              </w:rPr>
              <w:t>-.09*</w:t>
            </w:r>
          </w:p>
        </w:tc>
        <w:tc>
          <w:tcPr>
            <w:tcW w:w="991" w:type="dxa"/>
            <w:tcBorders>
              <w:bottom w:val="single" w:sz="4" w:space="0" w:color="auto"/>
            </w:tcBorders>
          </w:tcPr>
          <w:p w14:paraId="41422400" w14:textId="77777777" w:rsidR="00536753" w:rsidRPr="009627FD" w:rsidRDefault="00536753" w:rsidP="00CB2744">
            <w:pPr>
              <w:contextualSpacing/>
              <w:jc w:val="center"/>
              <w:rPr>
                <w:lang w:val="en-US"/>
              </w:rPr>
            </w:pPr>
            <w:r w:rsidRPr="009627FD">
              <w:rPr>
                <w:lang w:val="en-US"/>
              </w:rPr>
              <w:t>-2.17</w:t>
            </w:r>
          </w:p>
        </w:tc>
        <w:tc>
          <w:tcPr>
            <w:tcW w:w="708" w:type="dxa"/>
            <w:tcBorders>
              <w:bottom w:val="single" w:sz="4" w:space="0" w:color="auto"/>
            </w:tcBorders>
          </w:tcPr>
          <w:p w14:paraId="216BFAA8" w14:textId="77777777" w:rsidR="00536753" w:rsidRPr="009627FD" w:rsidRDefault="00536753" w:rsidP="00CB2744">
            <w:pPr>
              <w:contextualSpacing/>
              <w:jc w:val="center"/>
              <w:rPr>
                <w:lang w:val="en-US"/>
              </w:rPr>
            </w:pPr>
          </w:p>
        </w:tc>
        <w:tc>
          <w:tcPr>
            <w:tcW w:w="693" w:type="dxa"/>
            <w:tcBorders>
              <w:bottom w:val="single" w:sz="4" w:space="0" w:color="auto"/>
            </w:tcBorders>
          </w:tcPr>
          <w:p w14:paraId="467BB820" w14:textId="77777777" w:rsidR="00536753" w:rsidRPr="009627FD" w:rsidRDefault="00536753" w:rsidP="00CB2744">
            <w:pPr>
              <w:contextualSpacing/>
              <w:jc w:val="center"/>
              <w:rPr>
                <w:lang w:val="en-US"/>
              </w:rPr>
            </w:pPr>
          </w:p>
        </w:tc>
        <w:tc>
          <w:tcPr>
            <w:tcW w:w="1011" w:type="dxa"/>
            <w:tcBorders>
              <w:bottom w:val="single" w:sz="4" w:space="0" w:color="auto"/>
            </w:tcBorders>
          </w:tcPr>
          <w:p w14:paraId="13538D34" w14:textId="77777777" w:rsidR="00536753" w:rsidRPr="009627FD" w:rsidRDefault="00536753" w:rsidP="00CB2744">
            <w:pPr>
              <w:contextualSpacing/>
              <w:jc w:val="center"/>
              <w:rPr>
                <w:lang w:val="en-US"/>
              </w:rPr>
            </w:pPr>
          </w:p>
        </w:tc>
        <w:tc>
          <w:tcPr>
            <w:tcW w:w="851" w:type="dxa"/>
            <w:tcBorders>
              <w:bottom w:val="single" w:sz="4" w:space="0" w:color="auto"/>
            </w:tcBorders>
          </w:tcPr>
          <w:p w14:paraId="075CB4BF" w14:textId="77777777" w:rsidR="00536753" w:rsidRPr="009627FD" w:rsidRDefault="00536753" w:rsidP="00CB2744">
            <w:pPr>
              <w:contextualSpacing/>
              <w:jc w:val="center"/>
              <w:rPr>
                <w:lang w:val="en-US"/>
              </w:rPr>
            </w:pPr>
          </w:p>
        </w:tc>
        <w:tc>
          <w:tcPr>
            <w:tcW w:w="1553" w:type="dxa"/>
            <w:tcBorders>
              <w:bottom w:val="single" w:sz="4" w:space="0" w:color="auto"/>
            </w:tcBorders>
          </w:tcPr>
          <w:p w14:paraId="0A8EC75A" w14:textId="77777777" w:rsidR="00536753" w:rsidRPr="009627FD" w:rsidRDefault="00536753" w:rsidP="00CB2744">
            <w:pPr>
              <w:contextualSpacing/>
              <w:jc w:val="center"/>
              <w:rPr>
                <w:lang w:val="en-US"/>
              </w:rPr>
            </w:pPr>
            <w:r w:rsidRPr="009627FD">
              <w:rPr>
                <w:lang w:val="en-US"/>
              </w:rPr>
              <w:t>-.81</w:t>
            </w:r>
          </w:p>
        </w:tc>
        <w:tc>
          <w:tcPr>
            <w:tcW w:w="1412" w:type="dxa"/>
            <w:tcBorders>
              <w:bottom w:val="single" w:sz="4" w:space="0" w:color="auto"/>
            </w:tcBorders>
          </w:tcPr>
          <w:p w14:paraId="22827182" w14:textId="77777777" w:rsidR="00536753" w:rsidRPr="009627FD" w:rsidRDefault="00536753" w:rsidP="00CB2744">
            <w:pPr>
              <w:contextualSpacing/>
              <w:jc w:val="center"/>
              <w:rPr>
                <w:lang w:val="en-US"/>
              </w:rPr>
            </w:pPr>
            <w:r w:rsidRPr="009627FD">
              <w:rPr>
                <w:lang w:val="en-US"/>
              </w:rPr>
              <w:t>-.04</w:t>
            </w:r>
          </w:p>
        </w:tc>
      </w:tr>
      <w:tr w:rsidR="00536753" w:rsidRPr="009627FD" w14:paraId="7A673773" w14:textId="77777777" w:rsidTr="00CB2744">
        <w:tc>
          <w:tcPr>
            <w:tcW w:w="5297" w:type="dxa"/>
            <w:tcBorders>
              <w:top w:val="single" w:sz="4" w:space="0" w:color="auto"/>
            </w:tcBorders>
          </w:tcPr>
          <w:p w14:paraId="738F6286" w14:textId="77777777" w:rsidR="00536753" w:rsidRPr="009627FD" w:rsidRDefault="00536753" w:rsidP="00CB2744">
            <w:pPr>
              <w:contextualSpacing/>
              <w:rPr>
                <w:lang w:val="en-US"/>
              </w:rPr>
            </w:pPr>
            <w:r w:rsidRPr="009627FD">
              <w:rPr>
                <w:lang w:val="en-US"/>
              </w:rPr>
              <w:t>Step 3</w:t>
            </w:r>
          </w:p>
        </w:tc>
        <w:tc>
          <w:tcPr>
            <w:tcW w:w="1023" w:type="dxa"/>
            <w:tcBorders>
              <w:top w:val="single" w:sz="4" w:space="0" w:color="auto"/>
            </w:tcBorders>
          </w:tcPr>
          <w:p w14:paraId="5EC3994D" w14:textId="77777777" w:rsidR="00536753" w:rsidRPr="009627FD" w:rsidRDefault="00536753" w:rsidP="00CB2744">
            <w:pPr>
              <w:contextualSpacing/>
              <w:jc w:val="center"/>
              <w:rPr>
                <w:lang w:val="en-US"/>
              </w:rPr>
            </w:pPr>
          </w:p>
        </w:tc>
        <w:tc>
          <w:tcPr>
            <w:tcW w:w="1255" w:type="dxa"/>
            <w:tcBorders>
              <w:top w:val="single" w:sz="4" w:space="0" w:color="auto"/>
            </w:tcBorders>
          </w:tcPr>
          <w:p w14:paraId="10DD16A3" w14:textId="77777777" w:rsidR="00536753" w:rsidRPr="009627FD" w:rsidRDefault="00536753" w:rsidP="00CB2744">
            <w:pPr>
              <w:contextualSpacing/>
              <w:jc w:val="center"/>
              <w:rPr>
                <w:lang w:val="en-US"/>
              </w:rPr>
            </w:pPr>
          </w:p>
        </w:tc>
        <w:tc>
          <w:tcPr>
            <w:tcW w:w="849" w:type="dxa"/>
            <w:tcBorders>
              <w:top w:val="single" w:sz="4" w:space="0" w:color="auto"/>
            </w:tcBorders>
          </w:tcPr>
          <w:p w14:paraId="0CBA21C4" w14:textId="77777777" w:rsidR="00536753" w:rsidRPr="009627FD" w:rsidRDefault="00536753" w:rsidP="00CB2744">
            <w:pPr>
              <w:contextualSpacing/>
              <w:jc w:val="center"/>
              <w:rPr>
                <w:lang w:val="en-US"/>
              </w:rPr>
            </w:pPr>
          </w:p>
        </w:tc>
        <w:tc>
          <w:tcPr>
            <w:tcW w:w="991" w:type="dxa"/>
            <w:tcBorders>
              <w:top w:val="single" w:sz="4" w:space="0" w:color="auto"/>
            </w:tcBorders>
          </w:tcPr>
          <w:p w14:paraId="5BAE18AB" w14:textId="77777777" w:rsidR="00536753" w:rsidRPr="009627FD" w:rsidRDefault="00536753" w:rsidP="00CB2744">
            <w:pPr>
              <w:contextualSpacing/>
              <w:jc w:val="center"/>
              <w:rPr>
                <w:lang w:val="en-US"/>
              </w:rPr>
            </w:pPr>
          </w:p>
        </w:tc>
        <w:tc>
          <w:tcPr>
            <w:tcW w:w="708" w:type="dxa"/>
            <w:tcBorders>
              <w:top w:val="single" w:sz="4" w:space="0" w:color="auto"/>
            </w:tcBorders>
          </w:tcPr>
          <w:p w14:paraId="40F5485D" w14:textId="77777777" w:rsidR="00536753" w:rsidRPr="009627FD" w:rsidRDefault="00536753" w:rsidP="00CB2744">
            <w:pPr>
              <w:contextualSpacing/>
              <w:jc w:val="center"/>
              <w:rPr>
                <w:lang w:val="en-US"/>
              </w:rPr>
            </w:pPr>
            <w:r w:rsidRPr="009627FD">
              <w:rPr>
                <w:lang w:val="en-US"/>
              </w:rPr>
              <w:t>.47</w:t>
            </w:r>
          </w:p>
        </w:tc>
        <w:tc>
          <w:tcPr>
            <w:tcW w:w="693" w:type="dxa"/>
            <w:tcBorders>
              <w:top w:val="single" w:sz="4" w:space="0" w:color="auto"/>
            </w:tcBorders>
          </w:tcPr>
          <w:p w14:paraId="1CE5F560" w14:textId="77777777" w:rsidR="00536753" w:rsidRPr="009627FD" w:rsidRDefault="00536753" w:rsidP="00CB2744">
            <w:pPr>
              <w:contextualSpacing/>
              <w:jc w:val="center"/>
              <w:rPr>
                <w:lang w:val="en-US"/>
              </w:rPr>
            </w:pPr>
            <w:r w:rsidRPr="009627FD">
              <w:rPr>
                <w:lang w:val="en-US"/>
              </w:rPr>
              <w:t>.22</w:t>
            </w:r>
          </w:p>
        </w:tc>
        <w:tc>
          <w:tcPr>
            <w:tcW w:w="1011" w:type="dxa"/>
            <w:tcBorders>
              <w:top w:val="single" w:sz="4" w:space="0" w:color="auto"/>
            </w:tcBorders>
          </w:tcPr>
          <w:p w14:paraId="3D031255" w14:textId="77777777" w:rsidR="00536753" w:rsidRPr="009627FD" w:rsidRDefault="00536753" w:rsidP="00CB2744">
            <w:pPr>
              <w:contextualSpacing/>
              <w:jc w:val="center"/>
              <w:rPr>
                <w:lang w:val="en-US"/>
              </w:rPr>
            </w:pPr>
            <w:r w:rsidRPr="009627FD">
              <w:rPr>
                <w:lang w:val="en-US"/>
              </w:rPr>
              <w:t>.21</w:t>
            </w:r>
          </w:p>
        </w:tc>
        <w:tc>
          <w:tcPr>
            <w:tcW w:w="851" w:type="dxa"/>
            <w:tcBorders>
              <w:top w:val="single" w:sz="4" w:space="0" w:color="auto"/>
            </w:tcBorders>
          </w:tcPr>
          <w:p w14:paraId="39E31208" w14:textId="77777777" w:rsidR="00536753" w:rsidRPr="009627FD" w:rsidRDefault="00536753" w:rsidP="00CB2744">
            <w:pPr>
              <w:contextualSpacing/>
              <w:jc w:val="center"/>
              <w:rPr>
                <w:lang w:val="en-US"/>
              </w:rPr>
            </w:pPr>
            <w:r w:rsidRPr="009627FD">
              <w:rPr>
                <w:lang w:val="en-US"/>
              </w:rPr>
              <w:t>.003</w:t>
            </w:r>
          </w:p>
        </w:tc>
        <w:tc>
          <w:tcPr>
            <w:tcW w:w="1553" w:type="dxa"/>
            <w:tcBorders>
              <w:top w:val="single" w:sz="4" w:space="0" w:color="auto"/>
            </w:tcBorders>
          </w:tcPr>
          <w:p w14:paraId="57379DDD" w14:textId="77777777" w:rsidR="00536753" w:rsidRPr="009627FD" w:rsidRDefault="00536753" w:rsidP="00CB2744">
            <w:pPr>
              <w:contextualSpacing/>
              <w:jc w:val="center"/>
              <w:rPr>
                <w:lang w:val="en-US"/>
              </w:rPr>
            </w:pPr>
          </w:p>
        </w:tc>
        <w:tc>
          <w:tcPr>
            <w:tcW w:w="1412" w:type="dxa"/>
            <w:tcBorders>
              <w:top w:val="single" w:sz="4" w:space="0" w:color="auto"/>
            </w:tcBorders>
          </w:tcPr>
          <w:p w14:paraId="0BB002C7" w14:textId="77777777" w:rsidR="00536753" w:rsidRPr="009627FD" w:rsidRDefault="00536753" w:rsidP="00CB2744">
            <w:pPr>
              <w:contextualSpacing/>
              <w:jc w:val="center"/>
              <w:rPr>
                <w:lang w:val="en-US"/>
              </w:rPr>
            </w:pPr>
          </w:p>
        </w:tc>
      </w:tr>
      <w:tr w:rsidR="00536753" w:rsidRPr="009627FD" w14:paraId="60BC5FEB" w14:textId="77777777" w:rsidTr="00CB2744">
        <w:tc>
          <w:tcPr>
            <w:tcW w:w="5297" w:type="dxa"/>
          </w:tcPr>
          <w:p w14:paraId="64C72897" w14:textId="77777777" w:rsidR="00536753" w:rsidRPr="009627FD" w:rsidRDefault="00536753" w:rsidP="00CB2744">
            <w:pPr>
              <w:contextualSpacing/>
              <w:rPr>
                <w:lang w:val="en-US"/>
              </w:rPr>
            </w:pPr>
            <w:r w:rsidRPr="009627FD">
              <w:rPr>
                <w:lang w:val="en-US"/>
              </w:rPr>
              <w:t>Age</w:t>
            </w:r>
          </w:p>
        </w:tc>
        <w:tc>
          <w:tcPr>
            <w:tcW w:w="1023" w:type="dxa"/>
          </w:tcPr>
          <w:p w14:paraId="476D25C3" w14:textId="77777777" w:rsidR="00536753" w:rsidRPr="009627FD" w:rsidRDefault="00536753" w:rsidP="00CB2744">
            <w:pPr>
              <w:contextualSpacing/>
              <w:jc w:val="center"/>
              <w:rPr>
                <w:lang w:val="en-US"/>
              </w:rPr>
            </w:pPr>
            <w:r w:rsidRPr="009627FD">
              <w:rPr>
                <w:lang w:val="en-US"/>
              </w:rPr>
              <w:t>.001</w:t>
            </w:r>
          </w:p>
        </w:tc>
        <w:tc>
          <w:tcPr>
            <w:tcW w:w="1255" w:type="dxa"/>
          </w:tcPr>
          <w:p w14:paraId="414E7BD0" w14:textId="77777777" w:rsidR="00536753" w:rsidRPr="009627FD" w:rsidRDefault="00536753" w:rsidP="00CB2744">
            <w:pPr>
              <w:contextualSpacing/>
              <w:jc w:val="center"/>
              <w:rPr>
                <w:lang w:val="en-US"/>
              </w:rPr>
            </w:pPr>
            <w:r w:rsidRPr="009627FD">
              <w:rPr>
                <w:lang w:val="en-US"/>
              </w:rPr>
              <w:t>.03</w:t>
            </w:r>
          </w:p>
        </w:tc>
        <w:tc>
          <w:tcPr>
            <w:tcW w:w="849" w:type="dxa"/>
          </w:tcPr>
          <w:p w14:paraId="7AF0A975" w14:textId="77777777" w:rsidR="00536753" w:rsidRPr="009627FD" w:rsidRDefault="00536753" w:rsidP="00CB2744">
            <w:pPr>
              <w:contextualSpacing/>
              <w:jc w:val="center"/>
              <w:rPr>
                <w:lang w:val="en-US"/>
              </w:rPr>
            </w:pPr>
            <w:r w:rsidRPr="009627FD">
              <w:rPr>
                <w:lang w:val="en-US"/>
              </w:rPr>
              <w:t>.002</w:t>
            </w:r>
          </w:p>
        </w:tc>
        <w:tc>
          <w:tcPr>
            <w:tcW w:w="991" w:type="dxa"/>
          </w:tcPr>
          <w:p w14:paraId="7DA1F7F8" w14:textId="77777777" w:rsidR="00536753" w:rsidRPr="009627FD" w:rsidRDefault="00536753" w:rsidP="00CB2744">
            <w:pPr>
              <w:contextualSpacing/>
              <w:jc w:val="center"/>
              <w:rPr>
                <w:lang w:val="en-US"/>
              </w:rPr>
            </w:pPr>
            <w:r w:rsidRPr="009627FD">
              <w:rPr>
                <w:lang w:val="en-US"/>
              </w:rPr>
              <w:t>.035</w:t>
            </w:r>
          </w:p>
        </w:tc>
        <w:tc>
          <w:tcPr>
            <w:tcW w:w="708" w:type="dxa"/>
          </w:tcPr>
          <w:p w14:paraId="49B2D8B5" w14:textId="77777777" w:rsidR="00536753" w:rsidRPr="009627FD" w:rsidRDefault="00536753" w:rsidP="00CB2744">
            <w:pPr>
              <w:contextualSpacing/>
              <w:jc w:val="center"/>
              <w:rPr>
                <w:lang w:val="en-US"/>
              </w:rPr>
            </w:pPr>
          </w:p>
        </w:tc>
        <w:tc>
          <w:tcPr>
            <w:tcW w:w="693" w:type="dxa"/>
          </w:tcPr>
          <w:p w14:paraId="6D307C15" w14:textId="77777777" w:rsidR="00536753" w:rsidRPr="009627FD" w:rsidRDefault="00536753" w:rsidP="00CB2744">
            <w:pPr>
              <w:contextualSpacing/>
              <w:jc w:val="center"/>
              <w:rPr>
                <w:lang w:val="en-US"/>
              </w:rPr>
            </w:pPr>
          </w:p>
        </w:tc>
        <w:tc>
          <w:tcPr>
            <w:tcW w:w="1011" w:type="dxa"/>
          </w:tcPr>
          <w:p w14:paraId="781513C8" w14:textId="77777777" w:rsidR="00536753" w:rsidRPr="009627FD" w:rsidRDefault="00536753" w:rsidP="00CB2744">
            <w:pPr>
              <w:contextualSpacing/>
              <w:jc w:val="center"/>
              <w:rPr>
                <w:lang w:val="en-US"/>
              </w:rPr>
            </w:pPr>
          </w:p>
        </w:tc>
        <w:tc>
          <w:tcPr>
            <w:tcW w:w="851" w:type="dxa"/>
          </w:tcPr>
          <w:p w14:paraId="5BA4DE0F" w14:textId="77777777" w:rsidR="00536753" w:rsidRPr="009627FD" w:rsidRDefault="00536753" w:rsidP="00CB2744">
            <w:pPr>
              <w:contextualSpacing/>
              <w:jc w:val="center"/>
              <w:rPr>
                <w:lang w:val="en-US"/>
              </w:rPr>
            </w:pPr>
          </w:p>
        </w:tc>
        <w:tc>
          <w:tcPr>
            <w:tcW w:w="1553" w:type="dxa"/>
          </w:tcPr>
          <w:p w14:paraId="5EE7CFC5" w14:textId="77777777" w:rsidR="00536753" w:rsidRPr="009627FD" w:rsidRDefault="00536753" w:rsidP="00CB2744">
            <w:pPr>
              <w:contextualSpacing/>
              <w:jc w:val="center"/>
              <w:rPr>
                <w:lang w:val="en-US"/>
              </w:rPr>
            </w:pPr>
            <w:r w:rsidRPr="009627FD">
              <w:rPr>
                <w:lang w:val="en-US"/>
              </w:rPr>
              <w:t>-.06</w:t>
            </w:r>
          </w:p>
        </w:tc>
        <w:tc>
          <w:tcPr>
            <w:tcW w:w="1412" w:type="dxa"/>
          </w:tcPr>
          <w:p w14:paraId="7E1AAF19" w14:textId="77777777" w:rsidR="00536753" w:rsidRPr="009627FD" w:rsidRDefault="00536753" w:rsidP="00CB2744">
            <w:pPr>
              <w:contextualSpacing/>
              <w:jc w:val="center"/>
              <w:rPr>
                <w:lang w:val="en-US"/>
              </w:rPr>
            </w:pPr>
            <w:r w:rsidRPr="009627FD">
              <w:rPr>
                <w:lang w:val="en-US"/>
              </w:rPr>
              <w:t>.06</w:t>
            </w:r>
          </w:p>
        </w:tc>
      </w:tr>
      <w:tr w:rsidR="00536753" w:rsidRPr="009627FD" w14:paraId="6E113CD9" w14:textId="77777777" w:rsidTr="00CB2744">
        <w:tc>
          <w:tcPr>
            <w:tcW w:w="5297" w:type="dxa"/>
          </w:tcPr>
          <w:p w14:paraId="35B8B4BB" w14:textId="77777777" w:rsidR="00536753" w:rsidRPr="009627FD" w:rsidRDefault="00536753" w:rsidP="00CB2744">
            <w:pPr>
              <w:contextualSpacing/>
              <w:rPr>
                <w:lang w:val="en-US"/>
              </w:rPr>
            </w:pPr>
            <w:r w:rsidRPr="009627FD">
              <w:rPr>
                <w:lang w:val="en-US"/>
              </w:rPr>
              <w:t>Gender</w:t>
            </w:r>
          </w:p>
        </w:tc>
        <w:tc>
          <w:tcPr>
            <w:tcW w:w="1023" w:type="dxa"/>
          </w:tcPr>
          <w:p w14:paraId="09FA352A" w14:textId="77777777" w:rsidR="00536753" w:rsidRPr="009627FD" w:rsidRDefault="00536753" w:rsidP="00CB2744">
            <w:pPr>
              <w:contextualSpacing/>
              <w:jc w:val="center"/>
              <w:rPr>
                <w:lang w:val="en-US"/>
              </w:rPr>
            </w:pPr>
            <w:r w:rsidRPr="009627FD">
              <w:rPr>
                <w:lang w:val="en-US"/>
              </w:rPr>
              <w:t>1.39</w:t>
            </w:r>
          </w:p>
        </w:tc>
        <w:tc>
          <w:tcPr>
            <w:tcW w:w="1255" w:type="dxa"/>
          </w:tcPr>
          <w:p w14:paraId="5ED64DD2" w14:textId="77777777" w:rsidR="00536753" w:rsidRPr="009627FD" w:rsidRDefault="00536753" w:rsidP="00CB2744">
            <w:pPr>
              <w:contextualSpacing/>
              <w:jc w:val="center"/>
              <w:rPr>
                <w:lang w:val="en-US"/>
              </w:rPr>
            </w:pPr>
            <w:r w:rsidRPr="009627FD">
              <w:rPr>
                <w:lang w:val="en-US"/>
              </w:rPr>
              <w:t>.86</w:t>
            </w:r>
          </w:p>
        </w:tc>
        <w:tc>
          <w:tcPr>
            <w:tcW w:w="849" w:type="dxa"/>
          </w:tcPr>
          <w:p w14:paraId="5E7448A7" w14:textId="77777777" w:rsidR="00536753" w:rsidRPr="009627FD" w:rsidRDefault="00536753" w:rsidP="00CB2744">
            <w:pPr>
              <w:contextualSpacing/>
              <w:jc w:val="center"/>
              <w:rPr>
                <w:lang w:val="en-US"/>
              </w:rPr>
            </w:pPr>
            <w:r w:rsidRPr="009627FD">
              <w:rPr>
                <w:lang w:val="en-US"/>
              </w:rPr>
              <w:t>.07</w:t>
            </w:r>
          </w:p>
        </w:tc>
        <w:tc>
          <w:tcPr>
            <w:tcW w:w="991" w:type="dxa"/>
          </w:tcPr>
          <w:p w14:paraId="2E1426EE" w14:textId="77777777" w:rsidR="00536753" w:rsidRPr="009627FD" w:rsidRDefault="00536753" w:rsidP="00CB2744">
            <w:pPr>
              <w:contextualSpacing/>
              <w:jc w:val="center"/>
              <w:rPr>
                <w:lang w:val="en-US"/>
              </w:rPr>
            </w:pPr>
            <w:r w:rsidRPr="009627FD">
              <w:rPr>
                <w:lang w:val="en-US"/>
              </w:rPr>
              <w:t>1.62</w:t>
            </w:r>
          </w:p>
        </w:tc>
        <w:tc>
          <w:tcPr>
            <w:tcW w:w="708" w:type="dxa"/>
          </w:tcPr>
          <w:p w14:paraId="56264064" w14:textId="77777777" w:rsidR="00536753" w:rsidRPr="009627FD" w:rsidRDefault="00536753" w:rsidP="00CB2744">
            <w:pPr>
              <w:contextualSpacing/>
              <w:jc w:val="center"/>
              <w:rPr>
                <w:lang w:val="en-US"/>
              </w:rPr>
            </w:pPr>
          </w:p>
        </w:tc>
        <w:tc>
          <w:tcPr>
            <w:tcW w:w="693" w:type="dxa"/>
          </w:tcPr>
          <w:p w14:paraId="1481248E" w14:textId="77777777" w:rsidR="00536753" w:rsidRPr="009627FD" w:rsidRDefault="00536753" w:rsidP="00CB2744">
            <w:pPr>
              <w:contextualSpacing/>
              <w:jc w:val="center"/>
              <w:rPr>
                <w:lang w:val="en-US"/>
              </w:rPr>
            </w:pPr>
          </w:p>
        </w:tc>
        <w:tc>
          <w:tcPr>
            <w:tcW w:w="1011" w:type="dxa"/>
          </w:tcPr>
          <w:p w14:paraId="39642877" w14:textId="77777777" w:rsidR="00536753" w:rsidRPr="009627FD" w:rsidRDefault="00536753" w:rsidP="00CB2744">
            <w:pPr>
              <w:contextualSpacing/>
              <w:jc w:val="center"/>
              <w:rPr>
                <w:lang w:val="en-US"/>
              </w:rPr>
            </w:pPr>
          </w:p>
        </w:tc>
        <w:tc>
          <w:tcPr>
            <w:tcW w:w="851" w:type="dxa"/>
          </w:tcPr>
          <w:p w14:paraId="52711EA4" w14:textId="77777777" w:rsidR="00536753" w:rsidRPr="009627FD" w:rsidRDefault="00536753" w:rsidP="00CB2744">
            <w:pPr>
              <w:contextualSpacing/>
              <w:jc w:val="center"/>
              <w:rPr>
                <w:lang w:val="en-US"/>
              </w:rPr>
            </w:pPr>
          </w:p>
        </w:tc>
        <w:tc>
          <w:tcPr>
            <w:tcW w:w="1553" w:type="dxa"/>
          </w:tcPr>
          <w:p w14:paraId="58B1695F" w14:textId="77777777" w:rsidR="00536753" w:rsidRPr="009627FD" w:rsidRDefault="00536753" w:rsidP="00CB2744">
            <w:pPr>
              <w:contextualSpacing/>
              <w:jc w:val="center"/>
              <w:rPr>
                <w:lang w:val="en-US"/>
              </w:rPr>
            </w:pPr>
            <w:r w:rsidRPr="009627FD">
              <w:rPr>
                <w:lang w:val="en-US"/>
              </w:rPr>
              <w:t>-.29</w:t>
            </w:r>
          </w:p>
        </w:tc>
        <w:tc>
          <w:tcPr>
            <w:tcW w:w="1412" w:type="dxa"/>
          </w:tcPr>
          <w:p w14:paraId="29243BA7" w14:textId="77777777" w:rsidR="00536753" w:rsidRPr="009627FD" w:rsidRDefault="00536753" w:rsidP="00CB2744">
            <w:pPr>
              <w:contextualSpacing/>
              <w:jc w:val="center"/>
              <w:rPr>
                <w:lang w:val="en-US"/>
              </w:rPr>
            </w:pPr>
            <w:r w:rsidRPr="009627FD">
              <w:rPr>
                <w:lang w:val="en-US"/>
              </w:rPr>
              <w:t>3.07</w:t>
            </w:r>
          </w:p>
        </w:tc>
      </w:tr>
      <w:tr w:rsidR="00536753" w:rsidRPr="009627FD" w14:paraId="1B3235C7" w14:textId="77777777" w:rsidTr="00CB2744">
        <w:tc>
          <w:tcPr>
            <w:tcW w:w="5297" w:type="dxa"/>
          </w:tcPr>
          <w:p w14:paraId="2658401A" w14:textId="77777777" w:rsidR="00536753" w:rsidRPr="009627FD" w:rsidRDefault="00536753" w:rsidP="00CB2744">
            <w:pPr>
              <w:contextualSpacing/>
              <w:rPr>
                <w:lang w:val="en-US"/>
              </w:rPr>
            </w:pPr>
            <w:r w:rsidRPr="009627FD">
              <w:rPr>
                <w:lang w:val="en-US"/>
              </w:rPr>
              <w:t>BFI-10-Agreeableness</w:t>
            </w:r>
          </w:p>
        </w:tc>
        <w:tc>
          <w:tcPr>
            <w:tcW w:w="1023" w:type="dxa"/>
          </w:tcPr>
          <w:p w14:paraId="229FF53F" w14:textId="77777777" w:rsidR="00536753" w:rsidRPr="009627FD" w:rsidRDefault="00536753" w:rsidP="00CB2744">
            <w:pPr>
              <w:contextualSpacing/>
              <w:jc w:val="center"/>
              <w:rPr>
                <w:lang w:val="en-US"/>
              </w:rPr>
            </w:pPr>
            <w:r w:rsidRPr="009627FD">
              <w:rPr>
                <w:lang w:val="en-US"/>
              </w:rPr>
              <w:t>-.33</w:t>
            </w:r>
          </w:p>
        </w:tc>
        <w:tc>
          <w:tcPr>
            <w:tcW w:w="1255" w:type="dxa"/>
          </w:tcPr>
          <w:p w14:paraId="6D903685" w14:textId="77777777" w:rsidR="00536753" w:rsidRPr="009627FD" w:rsidRDefault="00536753" w:rsidP="00CB2744">
            <w:pPr>
              <w:contextualSpacing/>
              <w:jc w:val="center"/>
              <w:rPr>
                <w:lang w:val="en-US"/>
              </w:rPr>
            </w:pPr>
            <w:r w:rsidRPr="009627FD">
              <w:rPr>
                <w:lang w:val="en-US"/>
              </w:rPr>
              <w:t>.22</w:t>
            </w:r>
          </w:p>
        </w:tc>
        <w:tc>
          <w:tcPr>
            <w:tcW w:w="849" w:type="dxa"/>
          </w:tcPr>
          <w:p w14:paraId="508874D7" w14:textId="77777777" w:rsidR="00536753" w:rsidRPr="009627FD" w:rsidRDefault="00536753" w:rsidP="00CB2744">
            <w:pPr>
              <w:contextualSpacing/>
              <w:jc w:val="center"/>
              <w:rPr>
                <w:lang w:val="en-US"/>
              </w:rPr>
            </w:pPr>
            <w:r w:rsidRPr="009627FD">
              <w:rPr>
                <w:lang w:val="en-US"/>
              </w:rPr>
              <w:t>-.06</w:t>
            </w:r>
          </w:p>
        </w:tc>
        <w:tc>
          <w:tcPr>
            <w:tcW w:w="991" w:type="dxa"/>
          </w:tcPr>
          <w:p w14:paraId="1DF744EF" w14:textId="77777777" w:rsidR="00536753" w:rsidRPr="009627FD" w:rsidRDefault="00536753" w:rsidP="00CB2744">
            <w:pPr>
              <w:contextualSpacing/>
              <w:jc w:val="center"/>
              <w:rPr>
                <w:lang w:val="en-US"/>
              </w:rPr>
            </w:pPr>
            <w:r w:rsidRPr="009627FD">
              <w:rPr>
                <w:lang w:val="en-US"/>
              </w:rPr>
              <w:t>-1.50</w:t>
            </w:r>
          </w:p>
        </w:tc>
        <w:tc>
          <w:tcPr>
            <w:tcW w:w="708" w:type="dxa"/>
          </w:tcPr>
          <w:p w14:paraId="321C3CB9" w14:textId="77777777" w:rsidR="00536753" w:rsidRPr="009627FD" w:rsidRDefault="00536753" w:rsidP="00CB2744">
            <w:pPr>
              <w:contextualSpacing/>
              <w:jc w:val="center"/>
              <w:rPr>
                <w:lang w:val="en-US"/>
              </w:rPr>
            </w:pPr>
          </w:p>
        </w:tc>
        <w:tc>
          <w:tcPr>
            <w:tcW w:w="693" w:type="dxa"/>
          </w:tcPr>
          <w:p w14:paraId="00524C05" w14:textId="77777777" w:rsidR="00536753" w:rsidRPr="009627FD" w:rsidRDefault="00536753" w:rsidP="00CB2744">
            <w:pPr>
              <w:contextualSpacing/>
              <w:jc w:val="center"/>
              <w:rPr>
                <w:lang w:val="en-US"/>
              </w:rPr>
            </w:pPr>
          </w:p>
        </w:tc>
        <w:tc>
          <w:tcPr>
            <w:tcW w:w="1011" w:type="dxa"/>
          </w:tcPr>
          <w:p w14:paraId="703B01E1" w14:textId="77777777" w:rsidR="00536753" w:rsidRPr="009627FD" w:rsidRDefault="00536753" w:rsidP="00CB2744">
            <w:pPr>
              <w:contextualSpacing/>
              <w:jc w:val="center"/>
              <w:rPr>
                <w:lang w:val="en-US"/>
              </w:rPr>
            </w:pPr>
          </w:p>
        </w:tc>
        <w:tc>
          <w:tcPr>
            <w:tcW w:w="851" w:type="dxa"/>
          </w:tcPr>
          <w:p w14:paraId="22C3F912" w14:textId="77777777" w:rsidR="00536753" w:rsidRPr="009627FD" w:rsidRDefault="00536753" w:rsidP="00CB2744">
            <w:pPr>
              <w:contextualSpacing/>
              <w:jc w:val="center"/>
              <w:rPr>
                <w:lang w:val="en-US"/>
              </w:rPr>
            </w:pPr>
          </w:p>
        </w:tc>
        <w:tc>
          <w:tcPr>
            <w:tcW w:w="1553" w:type="dxa"/>
          </w:tcPr>
          <w:p w14:paraId="5336F1CB" w14:textId="77777777" w:rsidR="00536753" w:rsidRPr="009627FD" w:rsidRDefault="00536753" w:rsidP="00CB2744">
            <w:pPr>
              <w:contextualSpacing/>
              <w:jc w:val="center"/>
              <w:rPr>
                <w:lang w:val="en-US"/>
              </w:rPr>
            </w:pPr>
            <w:r w:rsidRPr="009627FD">
              <w:rPr>
                <w:lang w:val="en-US"/>
              </w:rPr>
              <w:t>-.77</w:t>
            </w:r>
          </w:p>
        </w:tc>
        <w:tc>
          <w:tcPr>
            <w:tcW w:w="1412" w:type="dxa"/>
          </w:tcPr>
          <w:p w14:paraId="7DE6D2CE" w14:textId="77777777" w:rsidR="00536753" w:rsidRPr="009627FD" w:rsidRDefault="00536753" w:rsidP="00CB2744">
            <w:pPr>
              <w:contextualSpacing/>
              <w:jc w:val="center"/>
              <w:rPr>
                <w:lang w:val="en-US"/>
              </w:rPr>
            </w:pPr>
            <w:r w:rsidRPr="009627FD">
              <w:rPr>
                <w:lang w:val="en-US"/>
              </w:rPr>
              <w:t>.10</w:t>
            </w:r>
          </w:p>
        </w:tc>
      </w:tr>
      <w:tr w:rsidR="00536753" w:rsidRPr="009627FD" w14:paraId="36A09574" w14:textId="77777777" w:rsidTr="00CB2744">
        <w:tc>
          <w:tcPr>
            <w:tcW w:w="5297" w:type="dxa"/>
          </w:tcPr>
          <w:p w14:paraId="7045E064" w14:textId="77777777" w:rsidR="00536753" w:rsidRPr="009627FD" w:rsidRDefault="00536753" w:rsidP="00CB2744">
            <w:pPr>
              <w:contextualSpacing/>
              <w:rPr>
                <w:lang w:val="en-US"/>
              </w:rPr>
            </w:pPr>
            <w:r w:rsidRPr="009627FD">
              <w:rPr>
                <w:lang w:val="en-US"/>
              </w:rPr>
              <w:t>BFI-10-Conscientiousness</w:t>
            </w:r>
          </w:p>
        </w:tc>
        <w:tc>
          <w:tcPr>
            <w:tcW w:w="1023" w:type="dxa"/>
          </w:tcPr>
          <w:p w14:paraId="43BE5902" w14:textId="77777777" w:rsidR="00536753" w:rsidRPr="009627FD" w:rsidRDefault="00536753" w:rsidP="00CB2744">
            <w:pPr>
              <w:contextualSpacing/>
              <w:jc w:val="center"/>
              <w:rPr>
                <w:lang w:val="en-US"/>
              </w:rPr>
            </w:pPr>
            <w:r w:rsidRPr="009627FD">
              <w:rPr>
                <w:lang w:val="en-US"/>
              </w:rPr>
              <w:t>-.97</w:t>
            </w:r>
          </w:p>
        </w:tc>
        <w:tc>
          <w:tcPr>
            <w:tcW w:w="1255" w:type="dxa"/>
          </w:tcPr>
          <w:p w14:paraId="78698527" w14:textId="77777777" w:rsidR="00536753" w:rsidRPr="009627FD" w:rsidRDefault="00536753" w:rsidP="00CB2744">
            <w:pPr>
              <w:contextualSpacing/>
              <w:jc w:val="center"/>
              <w:rPr>
                <w:lang w:val="en-US"/>
              </w:rPr>
            </w:pPr>
            <w:r w:rsidRPr="009627FD">
              <w:rPr>
                <w:lang w:val="en-US"/>
              </w:rPr>
              <w:t>.24</w:t>
            </w:r>
          </w:p>
        </w:tc>
        <w:tc>
          <w:tcPr>
            <w:tcW w:w="849" w:type="dxa"/>
          </w:tcPr>
          <w:p w14:paraId="03262ACC" w14:textId="77777777" w:rsidR="00536753" w:rsidRPr="009627FD" w:rsidRDefault="00536753" w:rsidP="00CB2744">
            <w:pPr>
              <w:contextualSpacing/>
              <w:jc w:val="center"/>
              <w:rPr>
                <w:lang w:val="en-US"/>
              </w:rPr>
            </w:pPr>
            <w:r w:rsidRPr="009627FD">
              <w:rPr>
                <w:lang w:val="en-US"/>
              </w:rPr>
              <w:t>-.18**</w:t>
            </w:r>
          </w:p>
        </w:tc>
        <w:tc>
          <w:tcPr>
            <w:tcW w:w="991" w:type="dxa"/>
          </w:tcPr>
          <w:p w14:paraId="6A4490E0" w14:textId="77777777" w:rsidR="00536753" w:rsidRPr="009627FD" w:rsidRDefault="00536753" w:rsidP="00CB2744">
            <w:pPr>
              <w:contextualSpacing/>
              <w:jc w:val="center"/>
              <w:rPr>
                <w:lang w:val="en-US"/>
              </w:rPr>
            </w:pPr>
            <w:r w:rsidRPr="009627FD">
              <w:rPr>
                <w:lang w:val="en-US"/>
              </w:rPr>
              <w:t>-4.02</w:t>
            </w:r>
          </w:p>
        </w:tc>
        <w:tc>
          <w:tcPr>
            <w:tcW w:w="708" w:type="dxa"/>
          </w:tcPr>
          <w:p w14:paraId="6376C721" w14:textId="77777777" w:rsidR="00536753" w:rsidRPr="009627FD" w:rsidRDefault="00536753" w:rsidP="00CB2744">
            <w:pPr>
              <w:contextualSpacing/>
              <w:jc w:val="center"/>
              <w:rPr>
                <w:lang w:val="en-US"/>
              </w:rPr>
            </w:pPr>
          </w:p>
        </w:tc>
        <w:tc>
          <w:tcPr>
            <w:tcW w:w="693" w:type="dxa"/>
          </w:tcPr>
          <w:p w14:paraId="5EC22117" w14:textId="77777777" w:rsidR="00536753" w:rsidRPr="009627FD" w:rsidRDefault="00536753" w:rsidP="00CB2744">
            <w:pPr>
              <w:contextualSpacing/>
              <w:jc w:val="center"/>
              <w:rPr>
                <w:lang w:val="en-US"/>
              </w:rPr>
            </w:pPr>
          </w:p>
        </w:tc>
        <w:tc>
          <w:tcPr>
            <w:tcW w:w="1011" w:type="dxa"/>
          </w:tcPr>
          <w:p w14:paraId="587C62F8" w14:textId="77777777" w:rsidR="00536753" w:rsidRPr="009627FD" w:rsidRDefault="00536753" w:rsidP="00CB2744">
            <w:pPr>
              <w:contextualSpacing/>
              <w:jc w:val="center"/>
              <w:rPr>
                <w:lang w:val="en-US"/>
              </w:rPr>
            </w:pPr>
          </w:p>
        </w:tc>
        <w:tc>
          <w:tcPr>
            <w:tcW w:w="851" w:type="dxa"/>
          </w:tcPr>
          <w:p w14:paraId="36EDA859" w14:textId="77777777" w:rsidR="00536753" w:rsidRPr="009627FD" w:rsidRDefault="00536753" w:rsidP="00CB2744">
            <w:pPr>
              <w:contextualSpacing/>
              <w:jc w:val="center"/>
              <w:rPr>
                <w:lang w:val="en-US"/>
              </w:rPr>
            </w:pPr>
          </w:p>
        </w:tc>
        <w:tc>
          <w:tcPr>
            <w:tcW w:w="1553" w:type="dxa"/>
          </w:tcPr>
          <w:p w14:paraId="56603985" w14:textId="77777777" w:rsidR="00536753" w:rsidRPr="009627FD" w:rsidRDefault="00536753" w:rsidP="00CB2744">
            <w:pPr>
              <w:contextualSpacing/>
              <w:jc w:val="center"/>
              <w:rPr>
                <w:lang w:val="en-US"/>
              </w:rPr>
            </w:pPr>
            <w:r w:rsidRPr="009627FD">
              <w:rPr>
                <w:lang w:val="en-US"/>
              </w:rPr>
              <w:t>-1.44</w:t>
            </w:r>
          </w:p>
        </w:tc>
        <w:tc>
          <w:tcPr>
            <w:tcW w:w="1412" w:type="dxa"/>
          </w:tcPr>
          <w:p w14:paraId="448B7F54" w14:textId="77777777" w:rsidR="00536753" w:rsidRPr="009627FD" w:rsidRDefault="00536753" w:rsidP="00CB2744">
            <w:pPr>
              <w:contextualSpacing/>
              <w:jc w:val="center"/>
              <w:rPr>
                <w:lang w:val="en-US"/>
              </w:rPr>
            </w:pPr>
            <w:r w:rsidRPr="009627FD">
              <w:rPr>
                <w:lang w:val="en-US"/>
              </w:rPr>
              <w:t>-.50</w:t>
            </w:r>
          </w:p>
        </w:tc>
      </w:tr>
      <w:tr w:rsidR="00536753" w:rsidRPr="009627FD" w14:paraId="2C912A2E" w14:textId="77777777" w:rsidTr="00CB2744">
        <w:tc>
          <w:tcPr>
            <w:tcW w:w="5297" w:type="dxa"/>
          </w:tcPr>
          <w:p w14:paraId="4992581C" w14:textId="77777777" w:rsidR="00536753" w:rsidRPr="009627FD" w:rsidRDefault="00536753" w:rsidP="00CB2744">
            <w:pPr>
              <w:contextualSpacing/>
              <w:rPr>
                <w:lang w:val="en-US"/>
              </w:rPr>
            </w:pPr>
            <w:r w:rsidRPr="009627FD">
              <w:rPr>
                <w:lang w:val="en-US"/>
              </w:rPr>
              <w:t>BFI-10-Emotional stability</w:t>
            </w:r>
          </w:p>
        </w:tc>
        <w:tc>
          <w:tcPr>
            <w:tcW w:w="1023" w:type="dxa"/>
          </w:tcPr>
          <w:p w14:paraId="0E4B0344" w14:textId="77777777" w:rsidR="00536753" w:rsidRPr="009627FD" w:rsidRDefault="00536753" w:rsidP="00CB2744">
            <w:pPr>
              <w:contextualSpacing/>
              <w:jc w:val="center"/>
              <w:rPr>
                <w:lang w:val="en-US"/>
              </w:rPr>
            </w:pPr>
            <w:r w:rsidRPr="009627FD">
              <w:rPr>
                <w:lang w:val="en-US"/>
              </w:rPr>
              <w:t>-1.22</w:t>
            </w:r>
          </w:p>
        </w:tc>
        <w:tc>
          <w:tcPr>
            <w:tcW w:w="1255" w:type="dxa"/>
          </w:tcPr>
          <w:p w14:paraId="6EC8FA0D" w14:textId="77777777" w:rsidR="00536753" w:rsidRPr="009627FD" w:rsidRDefault="00536753" w:rsidP="00CB2744">
            <w:pPr>
              <w:contextualSpacing/>
              <w:jc w:val="center"/>
              <w:rPr>
                <w:lang w:val="en-US"/>
              </w:rPr>
            </w:pPr>
            <w:r w:rsidRPr="009627FD">
              <w:rPr>
                <w:lang w:val="en-US"/>
              </w:rPr>
              <w:t>.17</w:t>
            </w:r>
          </w:p>
        </w:tc>
        <w:tc>
          <w:tcPr>
            <w:tcW w:w="849" w:type="dxa"/>
          </w:tcPr>
          <w:p w14:paraId="2F2DC753" w14:textId="77777777" w:rsidR="00536753" w:rsidRPr="009627FD" w:rsidRDefault="00536753" w:rsidP="00CB2744">
            <w:pPr>
              <w:contextualSpacing/>
              <w:jc w:val="center"/>
              <w:rPr>
                <w:lang w:val="en-US"/>
              </w:rPr>
            </w:pPr>
            <w:r w:rsidRPr="009627FD">
              <w:rPr>
                <w:lang w:val="en-US"/>
              </w:rPr>
              <w:t>-.32**</w:t>
            </w:r>
          </w:p>
        </w:tc>
        <w:tc>
          <w:tcPr>
            <w:tcW w:w="991" w:type="dxa"/>
          </w:tcPr>
          <w:p w14:paraId="0A4485B6" w14:textId="77777777" w:rsidR="00536753" w:rsidRPr="009627FD" w:rsidRDefault="00536753" w:rsidP="00CB2744">
            <w:pPr>
              <w:contextualSpacing/>
              <w:jc w:val="center"/>
              <w:rPr>
                <w:lang w:val="en-US"/>
              </w:rPr>
            </w:pPr>
            <w:r w:rsidRPr="009627FD">
              <w:rPr>
                <w:lang w:val="en-US"/>
              </w:rPr>
              <w:t>-7.14</w:t>
            </w:r>
          </w:p>
        </w:tc>
        <w:tc>
          <w:tcPr>
            <w:tcW w:w="708" w:type="dxa"/>
          </w:tcPr>
          <w:p w14:paraId="01CA4055" w14:textId="77777777" w:rsidR="00536753" w:rsidRPr="009627FD" w:rsidRDefault="00536753" w:rsidP="00CB2744">
            <w:pPr>
              <w:contextualSpacing/>
              <w:jc w:val="center"/>
              <w:rPr>
                <w:lang w:val="en-US"/>
              </w:rPr>
            </w:pPr>
          </w:p>
        </w:tc>
        <w:tc>
          <w:tcPr>
            <w:tcW w:w="693" w:type="dxa"/>
          </w:tcPr>
          <w:p w14:paraId="4712AC9C" w14:textId="77777777" w:rsidR="00536753" w:rsidRPr="009627FD" w:rsidRDefault="00536753" w:rsidP="00CB2744">
            <w:pPr>
              <w:contextualSpacing/>
              <w:jc w:val="center"/>
              <w:rPr>
                <w:lang w:val="en-US"/>
              </w:rPr>
            </w:pPr>
          </w:p>
        </w:tc>
        <w:tc>
          <w:tcPr>
            <w:tcW w:w="1011" w:type="dxa"/>
          </w:tcPr>
          <w:p w14:paraId="3274AB33" w14:textId="77777777" w:rsidR="00536753" w:rsidRPr="009627FD" w:rsidRDefault="00536753" w:rsidP="00CB2744">
            <w:pPr>
              <w:contextualSpacing/>
              <w:jc w:val="center"/>
              <w:rPr>
                <w:lang w:val="en-US"/>
              </w:rPr>
            </w:pPr>
          </w:p>
        </w:tc>
        <w:tc>
          <w:tcPr>
            <w:tcW w:w="851" w:type="dxa"/>
          </w:tcPr>
          <w:p w14:paraId="40D89BCB" w14:textId="77777777" w:rsidR="00536753" w:rsidRPr="009627FD" w:rsidRDefault="00536753" w:rsidP="00CB2744">
            <w:pPr>
              <w:contextualSpacing/>
              <w:jc w:val="center"/>
              <w:rPr>
                <w:lang w:val="en-US"/>
              </w:rPr>
            </w:pPr>
          </w:p>
        </w:tc>
        <w:tc>
          <w:tcPr>
            <w:tcW w:w="1553" w:type="dxa"/>
          </w:tcPr>
          <w:p w14:paraId="50DD9389" w14:textId="77777777" w:rsidR="00536753" w:rsidRPr="009627FD" w:rsidRDefault="00536753" w:rsidP="00CB2744">
            <w:pPr>
              <w:contextualSpacing/>
              <w:jc w:val="center"/>
              <w:rPr>
                <w:lang w:val="en-US"/>
              </w:rPr>
            </w:pPr>
            <w:r w:rsidRPr="009627FD">
              <w:rPr>
                <w:lang w:val="en-US"/>
              </w:rPr>
              <w:t>-1.56</w:t>
            </w:r>
          </w:p>
        </w:tc>
        <w:tc>
          <w:tcPr>
            <w:tcW w:w="1412" w:type="dxa"/>
          </w:tcPr>
          <w:p w14:paraId="5F71D1F9" w14:textId="77777777" w:rsidR="00536753" w:rsidRPr="009627FD" w:rsidRDefault="00536753" w:rsidP="00CB2744">
            <w:pPr>
              <w:contextualSpacing/>
              <w:jc w:val="center"/>
              <w:rPr>
                <w:lang w:val="en-US"/>
              </w:rPr>
            </w:pPr>
            <w:r w:rsidRPr="009627FD">
              <w:rPr>
                <w:lang w:val="en-US"/>
              </w:rPr>
              <w:t>-.89</w:t>
            </w:r>
          </w:p>
        </w:tc>
      </w:tr>
      <w:tr w:rsidR="00536753" w:rsidRPr="009627FD" w14:paraId="51D2268C" w14:textId="77777777" w:rsidTr="00CB2744">
        <w:tc>
          <w:tcPr>
            <w:tcW w:w="5297" w:type="dxa"/>
          </w:tcPr>
          <w:p w14:paraId="580BEFB1" w14:textId="77777777" w:rsidR="00536753" w:rsidRPr="009627FD" w:rsidRDefault="00536753" w:rsidP="00CB2744">
            <w:pPr>
              <w:contextualSpacing/>
              <w:rPr>
                <w:lang w:val="en-US"/>
              </w:rPr>
            </w:pPr>
            <w:r w:rsidRPr="009627FD">
              <w:rPr>
                <w:lang w:val="en-US"/>
              </w:rPr>
              <w:t>BFI-10-Extraversion</w:t>
            </w:r>
          </w:p>
        </w:tc>
        <w:tc>
          <w:tcPr>
            <w:tcW w:w="1023" w:type="dxa"/>
          </w:tcPr>
          <w:p w14:paraId="5CF72FFE" w14:textId="77777777" w:rsidR="00536753" w:rsidRPr="009627FD" w:rsidRDefault="00536753" w:rsidP="00CB2744">
            <w:pPr>
              <w:contextualSpacing/>
              <w:jc w:val="center"/>
              <w:rPr>
                <w:lang w:val="en-US"/>
              </w:rPr>
            </w:pPr>
            <w:r w:rsidRPr="009627FD">
              <w:rPr>
                <w:lang w:val="en-US"/>
              </w:rPr>
              <w:t>-.40</w:t>
            </w:r>
          </w:p>
        </w:tc>
        <w:tc>
          <w:tcPr>
            <w:tcW w:w="1255" w:type="dxa"/>
          </w:tcPr>
          <w:p w14:paraId="11F9032F" w14:textId="77777777" w:rsidR="00536753" w:rsidRPr="009627FD" w:rsidRDefault="00536753" w:rsidP="00CB2744">
            <w:pPr>
              <w:contextualSpacing/>
              <w:jc w:val="center"/>
              <w:rPr>
                <w:lang w:val="en-US"/>
              </w:rPr>
            </w:pPr>
            <w:r w:rsidRPr="009627FD">
              <w:rPr>
                <w:lang w:val="en-US"/>
              </w:rPr>
              <w:t>.20</w:t>
            </w:r>
          </w:p>
        </w:tc>
        <w:tc>
          <w:tcPr>
            <w:tcW w:w="849" w:type="dxa"/>
          </w:tcPr>
          <w:p w14:paraId="18FBE8BC" w14:textId="77777777" w:rsidR="00536753" w:rsidRPr="009627FD" w:rsidRDefault="00536753" w:rsidP="00CB2744">
            <w:pPr>
              <w:contextualSpacing/>
              <w:jc w:val="center"/>
              <w:rPr>
                <w:lang w:val="en-US"/>
              </w:rPr>
            </w:pPr>
            <w:r w:rsidRPr="009627FD">
              <w:rPr>
                <w:lang w:val="en-US"/>
              </w:rPr>
              <w:t>-.09*</w:t>
            </w:r>
          </w:p>
        </w:tc>
        <w:tc>
          <w:tcPr>
            <w:tcW w:w="991" w:type="dxa"/>
          </w:tcPr>
          <w:p w14:paraId="131C32CA" w14:textId="77777777" w:rsidR="00536753" w:rsidRPr="009627FD" w:rsidRDefault="00536753" w:rsidP="00CB2744">
            <w:pPr>
              <w:contextualSpacing/>
              <w:jc w:val="center"/>
              <w:rPr>
                <w:lang w:val="en-US"/>
              </w:rPr>
            </w:pPr>
            <w:r w:rsidRPr="009627FD">
              <w:rPr>
                <w:lang w:val="en-US"/>
              </w:rPr>
              <w:t>-2.05</w:t>
            </w:r>
          </w:p>
        </w:tc>
        <w:tc>
          <w:tcPr>
            <w:tcW w:w="708" w:type="dxa"/>
          </w:tcPr>
          <w:p w14:paraId="3BD53597" w14:textId="77777777" w:rsidR="00536753" w:rsidRPr="009627FD" w:rsidRDefault="00536753" w:rsidP="00CB2744">
            <w:pPr>
              <w:contextualSpacing/>
              <w:jc w:val="center"/>
              <w:rPr>
                <w:lang w:val="en-US"/>
              </w:rPr>
            </w:pPr>
          </w:p>
        </w:tc>
        <w:tc>
          <w:tcPr>
            <w:tcW w:w="693" w:type="dxa"/>
          </w:tcPr>
          <w:p w14:paraId="7D75C342" w14:textId="77777777" w:rsidR="00536753" w:rsidRPr="009627FD" w:rsidRDefault="00536753" w:rsidP="00CB2744">
            <w:pPr>
              <w:contextualSpacing/>
              <w:jc w:val="center"/>
              <w:rPr>
                <w:lang w:val="en-US"/>
              </w:rPr>
            </w:pPr>
          </w:p>
        </w:tc>
        <w:tc>
          <w:tcPr>
            <w:tcW w:w="1011" w:type="dxa"/>
          </w:tcPr>
          <w:p w14:paraId="29D0C047" w14:textId="77777777" w:rsidR="00536753" w:rsidRPr="009627FD" w:rsidRDefault="00536753" w:rsidP="00CB2744">
            <w:pPr>
              <w:contextualSpacing/>
              <w:jc w:val="center"/>
              <w:rPr>
                <w:lang w:val="en-US"/>
              </w:rPr>
            </w:pPr>
          </w:p>
        </w:tc>
        <w:tc>
          <w:tcPr>
            <w:tcW w:w="851" w:type="dxa"/>
          </w:tcPr>
          <w:p w14:paraId="486D1CAA" w14:textId="77777777" w:rsidR="00536753" w:rsidRPr="009627FD" w:rsidRDefault="00536753" w:rsidP="00CB2744">
            <w:pPr>
              <w:contextualSpacing/>
              <w:jc w:val="center"/>
              <w:rPr>
                <w:lang w:val="en-US"/>
              </w:rPr>
            </w:pPr>
          </w:p>
        </w:tc>
        <w:tc>
          <w:tcPr>
            <w:tcW w:w="1553" w:type="dxa"/>
          </w:tcPr>
          <w:p w14:paraId="1CF17A6E" w14:textId="77777777" w:rsidR="00536753" w:rsidRPr="009627FD" w:rsidRDefault="00536753" w:rsidP="00CB2744">
            <w:pPr>
              <w:contextualSpacing/>
              <w:jc w:val="center"/>
              <w:rPr>
                <w:lang w:val="en-US"/>
              </w:rPr>
            </w:pPr>
            <w:r w:rsidRPr="009627FD">
              <w:rPr>
                <w:lang w:val="en-US"/>
              </w:rPr>
              <w:t>-.79</w:t>
            </w:r>
          </w:p>
        </w:tc>
        <w:tc>
          <w:tcPr>
            <w:tcW w:w="1412" w:type="dxa"/>
          </w:tcPr>
          <w:p w14:paraId="76F28B2D" w14:textId="77777777" w:rsidR="00536753" w:rsidRPr="009627FD" w:rsidRDefault="00536753" w:rsidP="00CB2744">
            <w:pPr>
              <w:contextualSpacing/>
              <w:jc w:val="center"/>
              <w:rPr>
                <w:lang w:val="en-US"/>
              </w:rPr>
            </w:pPr>
            <w:r w:rsidRPr="009627FD">
              <w:rPr>
                <w:lang w:val="en-US"/>
              </w:rPr>
              <w:t>-.02</w:t>
            </w:r>
          </w:p>
        </w:tc>
      </w:tr>
      <w:tr w:rsidR="00536753" w:rsidRPr="009627FD" w14:paraId="07844008" w14:textId="77777777" w:rsidTr="00CB2744">
        <w:tc>
          <w:tcPr>
            <w:tcW w:w="5297" w:type="dxa"/>
            <w:tcBorders>
              <w:bottom w:val="single" w:sz="4" w:space="0" w:color="auto"/>
            </w:tcBorders>
          </w:tcPr>
          <w:p w14:paraId="061DA39A" w14:textId="77777777" w:rsidR="00536753" w:rsidRPr="009627FD" w:rsidRDefault="00536753" w:rsidP="00CB2744">
            <w:pPr>
              <w:contextualSpacing/>
              <w:rPr>
                <w:lang w:val="en-US"/>
              </w:rPr>
            </w:pPr>
            <w:r w:rsidRPr="009627FD">
              <w:rPr>
                <w:lang w:val="en-US"/>
              </w:rPr>
              <w:t>Perception of vulnerability to COVID-19</w:t>
            </w:r>
          </w:p>
        </w:tc>
        <w:tc>
          <w:tcPr>
            <w:tcW w:w="1023" w:type="dxa"/>
            <w:tcBorders>
              <w:bottom w:val="single" w:sz="4" w:space="0" w:color="auto"/>
            </w:tcBorders>
          </w:tcPr>
          <w:p w14:paraId="3A19FD26" w14:textId="77777777" w:rsidR="00536753" w:rsidRPr="009627FD" w:rsidRDefault="00536753" w:rsidP="00CB2744">
            <w:pPr>
              <w:contextualSpacing/>
              <w:jc w:val="center"/>
              <w:rPr>
                <w:lang w:val="en-US"/>
              </w:rPr>
            </w:pPr>
            <w:r w:rsidRPr="009627FD">
              <w:rPr>
                <w:lang w:val="en-US"/>
              </w:rPr>
              <w:t>-1.05</w:t>
            </w:r>
          </w:p>
        </w:tc>
        <w:tc>
          <w:tcPr>
            <w:tcW w:w="1255" w:type="dxa"/>
            <w:tcBorders>
              <w:bottom w:val="single" w:sz="4" w:space="0" w:color="auto"/>
            </w:tcBorders>
          </w:tcPr>
          <w:p w14:paraId="1211691C" w14:textId="77777777" w:rsidR="00536753" w:rsidRPr="009627FD" w:rsidRDefault="00536753" w:rsidP="00CB2744">
            <w:pPr>
              <w:contextualSpacing/>
              <w:jc w:val="center"/>
              <w:rPr>
                <w:lang w:val="en-US"/>
              </w:rPr>
            </w:pPr>
            <w:r w:rsidRPr="009627FD">
              <w:rPr>
                <w:lang w:val="en-US"/>
              </w:rPr>
              <w:t>.74</w:t>
            </w:r>
          </w:p>
        </w:tc>
        <w:tc>
          <w:tcPr>
            <w:tcW w:w="849" w:type="dxa"/>
            <w:tcBorders>
              <w:bottom w:val="single" w:sz="4" w:space="0" w:color="auto"/>
            </w:tcBorders>
          </w:tcPr>
          <w:p w14:paraId="40FA0388" w14:textId="77777777" w:rsidR="00536753" w:rsidRPr="009627FD" w:rsidRDefault="00536753" w:rsidP="00CB2744">
            <w:pPr>
              <w:contextualSpacing/>
              <w:jc w:val="center"/>
              <w:rPr>
                <w:lang w:val="en-US"/>
              </w:rPr>
            </w:pPr>
            <w:r w:rsidRPr="009627FD">
              <w:rPr>
                <w:lang w:val="en-US"/>
              </w:rPr>
              <w:t>-.06</w:t>
            </w:r>
          </w:p>
        </w:tc>
        <w:tc>
          <w:tcPr>
            <w:tcW w:w="991" w:type="dxa"/>
            <w:tcBorders>
              <w:bottom w:val="single" w:sz="4" w:space="0" w:color="auto"/>
            </w:tcBorders>
          </w:tcPr>
          <w:p w14:paraId="52664043" w14:textId="77777777" w:rsidR="00536753" w:rsidRPr="009627FD" w:rsidRDefault="00536753" w:rsidP="00CB2744">
            <w:pPr>
              <w:contextualSpacing/>
              <w:jc w:val="center"/>
              <w:rPr>
                <w:lang w:val="en-US"/>
              </w:rPr>
            </w:pPr>
            <w:r w:rsidRPr="009627FD">
              <w:rPr>
                <w:lang w:val="en-US"/>
              </w:rPr>
              <w:t>-1.42</w:t>
            </w:r>
          </w:p>
        </w:tc>
        <w:tc>
          <w:tcPr>
            <w:tcW w:w="708" w:type="dxa"/>
            <w:tcBorders>
              <w:bottom w:val="single" w:sz="4" w:space="0" w:color="auto"/>
            </w:tcBorders>
          </w:tcPr>
          <w:p w14:paraId="37BC2B99" w14:textId="77777777" w:rsidR="00536753" w:rsidRPr="009627FD" w:rsidRDefault="00536753" w:rsidP="00CB2744">
            <w:pPr>
              <w:contextualSpacing/>
              <w:jc w:val="center"/>
              <w:rPr>
                <w:lang w:val="en-US"/>
              </w:rPr>
            </w:pPr>
          </w:p>
        </w:tc>
        <w:tc>
          <w:tcPr>
            <w:tcW w:w="693" w:type="dxa"/>
            <w:tcBorders>
              <w:bottom w:val="single" w:sz="4" w:space="0" w:color="auto"/>
            </w:tcBorders>
          </w:tcPr>
          <w:p w14:paraId="48E15D94" w14:textId="77777777" w:rsidR="00536753" w:rsidRPr="009627FD" w:rsidRDefault="00536753" w:rsidP="00CB2744">
            <w:pPr>
              <w:contextualSpacing/>
              <w:jc w:val="center"/>
              <w:rPr>
                <w:lang w:val="en-US"/>
              </w:rPr>
            </w:pPr>
          </w:p>
        </w:tc>
        <w:tc>
          <w:tcPr>
            <w:tcW w:w="1011" w:type="dxa"/>
            <w:tcBorders>
              <w:bottom w:val="single" w:sz="4" w:space="0" w:color="auto"/>
            </w:tcBorders>
          </w:tcPr>
          <w:p w14:paraId="08CFDE2C" w14:textId="77777777" w:rsidR="00536753" w:rsidRPr="009627FD" w:rsidRDefault="00536753" w:rsidP="00CB2744">
            <w:pPr>
              <w:contextualSpacing/>
              <w:jc w:val="center"/>
              <w:rPr>
                <w:lang w:val="en-US"/>
              </w:rPr>
            </w:pPr>
          </w:p>
        </w:tc>
        <w:tc>
          <w:tcPr>
            <w:tcW w:w="851" w:type="dxa"/>
            <w:tcBorders>
              <w:bottom w:val="single" w:sz="4" w:space="0" w:color="auto"/>
            </w:tcBorders>
          </w:tcPr>
          <w:p w14:paraId="298AE493" w14:textId="77777777" w:rsidR="00536753" w:rsidRPr="009627FD" w:rsidRDefault="00536753" w:rsidP="00CB2744">
            <w:pPr>
              <w:contextualSpacing/>
              <w:jc w:val="center"/>
              <w:rPr>
                <w:lang w:val="en-US"/>
              </w:rPr>
            </w:pPr>
          </w:p>
        </w:tc>
        <w:tc>
          <w:tcPr>
            <w:tcW w:w="1553" w:type="dxa"/>
            <w:tcBorders>
              <w:bottom w:val="single" w:sz="4" w:space="0" w:color="auto"/>
            </w:tcBorders>
          </w:tcPr>
          <w:p w14:paraId="506FA3C8" w14:textId="77777777" w:rsidR="00536753" w:rsidRPr="009627FD" w:rsidRDefault="00536753" w:rsidP="00CB2744">
            <w:pPr>
              <w:contextualSpacing/>
              <w:jc w:val="center"/>
              <w:rPr>
                <w:lang w:val="en-US"/>
              </w:rPr>
            </w:pPr>
            <w:r w:rsidRPr="009627FD">
              <w:rPr>
                <w:lang w:val="en-US"/>
              </w:rPr>
              <w:t>-2.50</w:t>
            </w:r>
          </w:p>
        </w:tc>
        <w:tc>
          <w:tcPr>
            <w:tcW w:w="1412" w:type="dxa"/>
            <w:tcBorders>
              <w:bottom w:val="single" w:sz="4" w:space="0" w:color="auto"/>
            </w:tcBorders>
          </w:tcPr>
          <w:p w14:paraId="65EB1B54" w14:textId="77777777" w:rsidR="00536753" w:rsidRPr="009627FD" w:rsidRDefault="00536753" w:rsidP="00CB2744">
            <w:pPr>
              <w:contextualSpacing/>
              <w:jc w:val="center"/>
              <w:rPr>
                <w:lang w:val="en-US"/>
              </w:rPr>
            </w:pPr>
            <w:r w:rsidRPr="009627FD">
              <w:rPr>
                <w:lang w:val="en-US"/>
              </w:rPr>
              <w:t>.40</w:t>
            </w:r>
          </w:p>
        </w:tc>
      </w:tr>
      <w:tr w:rsidR="00536753" w:rsidRPr="009627FD" w14:paraId="72DEBAFE" w14:textId="77777777" w:rsidTr="00CB2744">
        <w:tc>
          <w:tcPr>
            <w:tcW w:w="5297" w:type="dxa"/>
            <w:tcBorders>
              <w:top w:val="single" w:sz="4" w:space="0" w:color="auto"/>
            </w:tcBorders>
          </w:tcPr>
          <w:p w14:paraId="77993690" w14:textId="77777777" w:rsidR="00536753" w:rsidRPr="009627FD" w:rsidRDefault="00536753" w:rsidP="00CB2744">
            <w:pPr>
              <w:contextualSpacing/>
              <w:rPr>
                <w:lang w:val="en-US"/>
              </w:rPr>
            </w:pPr>
            <w:r w:rsidRPr="009627FD">
              <w:rPr>
                <w:lang w:val="en-US"/>
              </w:rPr>
              <w:t>Step 4</w:t>
            </w:r>
          </w:p>
        </w:tc>
        <w:tc>
          <w:tcPr>
            <w:tcW w:w="1023" w:type="dxa"/>
            <w:tcBorders>
              <w:top w:val="single" w:sz="4" w:space="0" w:color="auto"/>
            </w:tcBorders>
          </w:tcPr>
          <w:p w14:paraId="4BCF3357" w14:textId="77777777" w:rsidR="00536753" w:rsidRPr="009627FD" w:rsidRDefault="00536753" w:rsidP="00CB2744">
            <w:pPr>
              <w:contextualSpacing/>
              <w:jc w:val="center"/>
              <w:rPr>
                <w:lang w:val="en-US"/>
              </w:rPr>
            </w:pPr>
          </w:p>
        </w:tc>
        <w:tc>
          <w:tcPr>
            <w:tcW w:w="1255" w:type="dxa"/>
            <w:tcBorders>
              <w:top w:val="single" w:sz="4" w:space="0" w:color="auto"/>
            </w:tcBorders>
          </w:tcPr>
          <w:p w14:paraId="66F1625A" w14:textId="77777777" w:rsidR="00536753" w:rsidRPr="009627FD" w:rsidRDefault="00536753" w:rsidP="00CB2744">
            <w:pPr>
              <w:contextualSpacing/>
              <w:jc w:val="center"/>
              <w:rPr>
                <w:lang w:val="en-US"/>
              </w:rPr>
            </w:pPr>
          </w:p>
        </w:tc>
        <w:tc>
          <w:tcPr>
            <w:tcW w:w="849" w:type="dxa"/>
            <w:tcBorders>
              <w:top w:val="single" w:sz="4" w:space="0" w:color="auto"/>
            </w:tcBorders>
          </w:tcPr>
          <w:p w14:paraId="5556F70D" w14:textId="77777777" w:rsidR="00536753" w:rsidRPr="009627FD" w:rsidRDefault="00536753" w:rsidP="00CB2744">
            <w:pPr>
              <w:contextualSpacing/>
              <w:jc w:val="center"/>
              <w:rPr>
                <w:lang w:val="en-US"/>
              </w:rPr>
            </w:pPr>
          </w:p>
        </w:tc>
        <w:tc>
          <w:tcPr>
            <w:tcW w:w="991" w:type="dxa"/>
            <w:tcBorders>
              <w:top w:val="single" w:sz="4" w:space="0" w:color="auto"/>
            </w:tcBorders>
          </w:tcPr>
          <w:p w14:paraId="04509E32" w14:textId="77777777" w:rsidR="00536753" w:rsidRPr="009627FD" w:rsidRDefault="00536753" w:rsidP="00CB2744">
            <w:pPr>
              <w:contextualSpacing/>
              <w:jc w:val="center"/>
              <w:rPr>
                <w:lang w:val="en-US"/>
              </w:rPr>
            </w:pPr>
          </w:p>
        </w:tc>
        <w:tc>
          <w:tcPr>
            <w:tcW w:w="708" w:type="dxa"/>
            <w:tcBorders>
              <w:top w:val="single" w:sz="4" w:space="0" w:color="auto"/>
            </w:tcBorders>
          </w:tcPr>
          <w:p w14:paraId="23D189EE" w14:textId="77777777" w:rsidR="00536753" w:rsidRPr="009627FD" w:rsidRDefault="00536753" w:rsidP="00CB2744">
            <w:pPr>
              <w:contextualSpacing/>
              <w:jc w:val="center"/>
              <w:rPr>
                <w:lang w:val="en-US"/>
              </w:rPr>
            </w:pPr>
            <w:r w:rsidRPr="009627FD">
              <w:rPr>
                <w:lang w:val="en-US"/>
              </w:rPr>
              <w:t>.53</w:t>
            </w:r>
          </w:p>
        </w:tc>
        <w:tc>
          <w:tcPr>
            <w:tcW w:w="693" w:type="dxa"/>
            <w:tcBorders>
              <w:top w:val="single" w:sz="4" w:space="0" w:color="auto"/>
            </w:tcBorders>
          </w:tcPr>
          <w:p w14:paraId="38A537EB" w14:textId="77777777" w:rsidR="00536753" w:rsidRPr="009627FD" w:rsidRDefault="00536753" w:rsidP="00CB2744">
            <w:pPr>
              <w:contextualSpacing/>
              <w:jc w:val="center"/>
              <w:rPr>
                <w:lang w:val="en-US"/>
              </w:rPr>
            </w:pPr>
            <w:r w:rsidRPr="009627FD">
              <w:rPr>
                <w:lang w:val="en-US"/>
              </w:rPr>
              <w:t>.28</w:t>
            </w:r>
          </w:p>
        </w:tc>
        <w:tc>
          <w:tcPr>
            <w:tcW w:w="1011" w:type="dxa"/>
            <w:tcBorders>
              <w:top w:val="single" w:sz="4" w:space="0" w:color="auto"/>
            </w:tcBorders>
          </w:tcPr>
          <w:p w14:paraId="355EFEA6" w14:textId="77777777" w:rsidR="00536753" w:rsidRPr="009627FD" w:rsidRDefault="00536753" w:rsidP="00CB2744">
            <w:pPr>
              <w:contextualSpacing/>
              <w:jc w:val="center"/>
              <w:rPr>
                <w:lang w:val="en-US"/>
              </w:rPr>
            </w:pPr>
            <w:r w:rsidRPr="009627FD">
              <w:rPr>
                <w:lang w:val="en-US"/>
              </w:rPr>
              <w:t>.27</w:t>
            </w:r>
          </w:p>
        </w:tc>
        <w:tc>
          <w:tcPr>
            <w:tcW w:w="851" w:type="dxa"/>
            <w:tcBorders>
              <w:top w:val="single" w:sz="4" w:space="0" w:color="auto"/>
            </w:tcBorders>
          </w:tcPr>
          <w:p w14:paraId="185BFCB3" w14:textId="77777777" w:rsidR="00536753" w:rsidRPr="009627FD" w:rsidRDefault="00536753" w:rsidP="00CB2744">
            <w:pPr>
              <w:contextualSpacing/>
              <w:jc w:val="center"/>
              <w:rPr>
                <w:lang w:val="en-US"/>
              </w:rPr>
            </w:pPr>
            <w:r w:rsidRPr="009627FD">
              <w:rPr>
                <w:lang w:val="en-US"/>
              </w:rPr>
              <w:t>.05**</w:t>
            </w:r>
          </w:p>
        </w:tc>
        <w:tc>
          <w:tcPr>
            <w:tcW w:w="1553" w:type="dxa"/>
            <w:tcBorders>
              <w:top w:val="single" w:sz="4" w:space="0" w:color="auto"/>
            </w:tcBorders>
          </w:tcPr>
          <w:p w14:paraId="1BFA2311" w14:textId="77777777" w:rsidR="00536753" w:rsidRPr="009627FD" w:rsidRDefault="00536753" w:rsidP="00CB2744">
            <w:pPr>
              <w:contextualSpacing/>
              <w:jc w:val="center"/>
              <w:rPr>
                <w:lang w:val="en-US"/>
              </w:rPr>
            </w:pPr>
          </w:p>
        </w:tc>
        <w:tc>
          <w:tcPr>
            <w:tcW w:w="1412" w:type="dxa"/>
            <w:tcBorders>
              <w:top w:val="single" w:sz="4" w:space="0" w:color="auto"/>
            </w:tcBorders>
          </w:tcPr>
          <w:p w14:paraId="661FF3F4" w14:textId="77777777" w:rsidR="00536753" w:rsidRPr="009627FD" w:rsidRDefault="00536753" w:rsidP="00CB2744">
            <w:pPr>
              <w:contextualSpacing/>
              <w:jc w:val="center"/>
              <w:rPr>
                <w:lang w:val="en-US"/>
              </w:rPr>
            </w:pPr>
          </w:p>
        </w:tc>
      </w:tr>
      <w:tr w:rsidR="00536753" w:rsidRPr="009627FD" w14:paraId="445964B7" w14:textId="77777777" w:rsidTr="00CB2744">
        <w:tc>
          <w:tcPr>
            <w:tcW w:w="5297" w:type="dxa"/>
          </w:tcPr>
          <w:p w14:paraId="65B89CEE" w14:textId="77777777" w:rsidR="00536753" w:rsidRPr="009627FD" w:rsidRDefault="00536753" w:rsidP="00CB2744">
            <w:pPr>
              <w:contextualSpacing/>
              <w:rPr>
                <w:lang w:val="en-US"/>
              </w:rPr>
            </w:pPr>
            <w:r w:rsidRPr="009627FD">
              <w:rPr>
                <w:lang w:val="en-US"/>
              </w:rPr>
              <w:t>Age</w:t>
            </w:r>
          </w:p>
        </w:tc>
        <w:tc>
          <w:tcPr>
            <w:tcW w:w="1023" w:type="dxa"/>
          </w:tcPr>
          <w:p w14:paraId="76693DA2" w14:textId="77777777" w:rsidR="00536753" w:rsidRPr="009627FD" w:rsidRDefault="00536753" w:rsidP="00CB2744">
            <w:pPr>
              <w:contextualSpacing/>
              <w:jc w:val="center"/>
              <w:rPr>
                <w:lang w:val="en-US"/>
              </w:rPr>
            </w:pPr>
            <w:r w:rsidRPr="009627FD">
              <w:rPr>
                <w:lang w:val="en-US"/>
              </w:rPr>
              <w:t>-.03</w:t>
            </w:r>
          </w:p>
        </w:tc>
        <w:tc>
          <w:tcPr>
            <w:tcW w:w="1255" w:type="dxa"/>
          </w:tcPr>
          <w:p w14:paraId="3E6E74A0" w14:textId="77777777" w:rsidR="00536753" w:rsidRPr="009627FD" w:rsidRDefault="00536753" w:rsidP="00CB2744">
            <w:pPr>
              <w:contextualSpacing/>
              <w:jc w:val="center"/>
              <w:rPr>
                <w:lang w:val="en-US"/>
              </w:rPr>
            </w:pPr>
            <w:r w:rsidRPr="009627FD">
              <w:rPr>
                <w:lang w:val="en-US"/>
              </w:rPr>
              <w:t>.03</w:t>
            </w:r>
          </w:p>
        </w:tc>
        <w:tc>
          <w:tcPr>
            <w:tcW w:w="849" w:type="dxa"/>
          </w:tcPr>
          <w:p w14:paraId="2E7CF2DF" w14:textId="77777777" w:rsidR="00536753" w:rsidRPr="009627FD" w:rsidRDefault="00536753" w:rsidP="00CB2744">
            <w:pPr>
              <w:contextualSpacing/>
              <w:jc w:val="center"/>
              <w:rPr>
                <w:lang w:val="en-US"/>
              </w:rPr>
            </w:pPr>
            <w:r w:rsidRPr="009627FD">
              <w:rPr>
                <w:lang w:val="en-US"/>
              </w:rPr>
              <w:t>-.04</w:t>
            </w:r>
          </w:p>
        </w:tc>
        <w:tc>
          <w:tcPr>
            <w:tcW w:w="991" w:type="dxa"/>
          </w:tcPr>
          <w:p w14:paraId="0A7E1933" w14:textId="77777777" w:rsidR="00536753" w:rsidRPr="009627FD" w:rsidRDefault="00536753" w:rsidP="00CB2744">
            <w:pPr>
              <w:contextualSpacing/>
              <w:jc w:val="center"/>
              <w:rPr>
                <w:lang w:val="en-US"/>
              </w:rPr>
            </w:pPr>
            <w:r w:rsidRPr="009627FD">
              <w:rPr>
                <w:lang w:val="en-US"/>
              </w:rPr>
              <w:t>-.92</w:t>
            </w:r>
          </w:p>
        </w:tc>
        <w:tc>
          <w:tcPr>
            <w:tcW w:w="708" w:type="dxa"/>
          </w:tcPr>
          <w:p w14:paraId="2299783F" w14:textId="77777777" w:rsidR="00536753" w:rsidRPr="009627FD" w:rsidRDefault="00536753" w:rsidP="00CB2744">
            <w:pPr>
              <w:contextualSpacing/>
              <w:jc w:val="center"/>
              <w:rPr>
                <w:lang w:val="en-US"/>
              </w:rPr>
            </w:pPr>
          </w:p>
        </w:tc>
        <w:tc>
          <w:tcPr>
            <w:tcW w:w="693" w:type="dxa"/>
          </w:tcPr>
          <w:p w14:paraId="74A6BDA2" w14:textId="77777777" w:rsidR="00536753" w:rsidRPr="009627FD" w:rsidRDefault="00536753" w:rsidP="00CB2744">
            <w:pPr>
              <w:contextualSpacing/>
              <w:jc w:val="center"/>
              <w:rPr>
                <w:lang w:val="en-US"/>
              </w:rPr>
            </w:pPr>
          </w:p>
        </w:tc>
        <w:tc>
          <w:tcPr>
            <w:tcW w:w="1011" w:type="dxa"/>
          </w:tcPr>
          <w:p w14:paraId="3BC5EB42" w14:textId="77777777" w:rsidR="00536753" w:rsidRPr="009627FD" w:rsidRDefault="00536753" w:rsidP="00CB2744">
            <w:pPr>
              <w:contextualSpacing/>
              <w:jc w:val="center"/>
              <w:rPr>
                <w:lang w:val="en-US"/>
              </w:rPr>
            </w:pPr>
          </w:p>
        </w:tc>
        <w:tc>
          <w:tcPr>
            <w:tcW w:w="851" w:type="dxa"/>
          </w:tcPr>
          <w:p w14:paraId="32DF231C" w14:textId="77777777" w:rsidR="00536753" w:rsidRPr="009627FD" w:rsidRDefault="00536753" w:rsidP="00CB2744">
            <w:pPr>
              <w:contextualSpacing/>
              <w:jc w:val="center"/>
              <w:rPr>
                <w:lang w:val="en-US"/>
              </w:rPr>
            </w:pPr>
          </w:p>
        </w:tc>
        <w:tc>
          <w:tcPr>
            <w:tcW w:w="1553" w:type="dxa"/>
          </w:tcPr>
          <w:p w14:paraId="3552C4BC" w14:textId="77777777" w:rsidR="00536753" w:rsidRPr="009627FD" w:rsidRDefault="00536753" w:rsidP="00CB2744">
            <w:pPr>
              <w:contextualSpacing/>
              <w:jc w:val="center"/>
              <w:rPr>
                <w:lang w:val="en-US"/>
              </w:rPr>
            </w:pPr>
            <w:r w:rsidRPr="009627FD">
              <w:rPr>
                <w:lang w:val="en-US"/>
              </w:rPr>
              <w:t>-.09</w:t>
            </w:r>
          </w:p>
        </w:tc>
        <w:tc>
          <w:tcPr>
            <w:tcW w:w="1412" w:type="dxa"/>
          </w:tcPr>
          <w:p w14:paraId="435238CA" w14:textId="77777777" w:rsidR="00536753" w:rsidRPr="009627FD" w:rsidRDefault="00536753" w:rsidP="00CB2744">
            <w:pPr>
              <w:contextualSpacing/>
              <w:jc w:val="center"/>
              <w:rPr>
                <w:lang w:val="en-US"/>
              </w:rPr>
            </w:pPr>
            <w:r w:rsidRPr="009627FD">
              <w:rPr>
                <w:lang w:val="en-US"/>
              </w:rPr>
              <w:t>.03</w:t>
            </w:r>
          </w:p>
        </w:tc>
      </w:tr>
      <w:tr w:rsidR="00536753" w:rsidRPr="009627FD" w14:paraId="090EE854" w14:textId="77777777" w:rsidTr="00CB2744">
        <w:tc>
          <w:tcPr>
            <w:tcW w:w="5297" w:type="dxa"/>
          </w:tcPr>
          <w:p w14:paraId="34799753" w14:textId="77777777" w:rsidR="00536753" w:rsidRPr="009627FD" w:rsidRDefault="00536753" w:rsidP="00CB2744">
            <w:pPr>
              <w:contextualSpacing/>
              <w:rPr>
                <w:lang w:val="en-US"/>
              </w:rPr>
            </w:pPr>
            <w:r w:rsidRPr="009627FD">
              <w:rPr>
                <w:lang w:val="en-US"/>
              </w:rPr>
              <w:t>Gender</w:t>
            </w:r>
          </w:p>
        </w:tc>
        <w:tc>
          <w:tcPr>
            <w:tcW w:w="1023" w:type="dxa"/>
          </w:tcPr>
          <w:p w14:paraId="37AF12A3" w14:textId="77777777" w:rsidR="00536753" w:rsidRPr="009627FD" w:rsidRDefault="00536753" w:rsidP="00CB2744">
            <w:pPr>
              <w:contextualSpacing/>
              <w:jc w:val="center"/>
              <w:rPr>
                <w:lang w:val="en-US"/>
              </w:rPr>
            </w:pPr>
            <w:r w:rsidRPr="009627FD">
              <w:rPr>
                <w:lang w:val="en-US"/>
              </w:rPr>
              <w:t>.37</w:t>
            </w:r>
          </w:p>
        </w:tc>
        <w:tc>
          <w:tcPr>
            <w:tcW w:w="1255" w:type="dxa"/>
          </w:tcPr>
          <w:p w14:paraId="526AB5A1" w14:textId="77777777" w:rsidR="00536753" w:rsidRPr="009627FD" w:rsidRDefault="00536753" w:rsidP="00CB2744">
            <w:pPr>
              <w:contextualSpacing/>
              <w:jc w:val="center"/>
              <w:rPr>
                <w:lang w:val="en-US"/>
              </w:rPr>
            </w:pPr>
            <w:r w:rsidRPr="009627FD">
              <w:rPr>
                <w:lang w:val="en-US"/>
              </w:rPr>
              <w:t>.84</w:t>
            </w:r>
          </w:p>
        </w:tc>
        <w:tc>
          <w:tcPr>
            <w:tcW w:w="849" w:type="dxa"/>
          </w:tcPr>
          <w:p w14:paraId="62C6C717" w14:textId="77777777" w:rsidR="00536753" w:rsidRPr="009627FD" w:rsidRDefault="00536753" w:rsidP="00CB2744">
            <w:pPr>
              <w:contextualSpacing/>
              <w:jc w:val="center"/>
              <w:rPr>
                <w:lang w:val="en-US"/>
              </w:rPr>
            </w:pPr>
            <w:r w:rsidRPr="009627FD">
              <w:rPr>
                <w:lang w:val="en-US"/>
              </w:rPr>
              <w:t>02</w:t>
            </w:r>
          </w:p>
        </w:tc>
        <w:tc>
          <w:tcPr>
            <w:tcW w:w="991" w:type="dxa"/>
          </w:tcPr>
          <w:p w14:paraId="7ED0A2E1" w14:textId="77777777" w:rsidR="00536753" w:rsidRPr="009627FD" w:rsidRDefault="00536753" w:rsidP="00CB2744">
            <w:pPr>
              <w:contextualSpacing/>
              <w:jc w:val="center"/>
              <w:rPr>
                <w:lang w:val="en-US"/>
              </w:rPr>
            </w:pPr>
            <w:r w:rsidRPr="009627FD">
              <w:rPr>
                <w:lang w:val="en-US"/>
              </w:rPr>
              <w:t>.43</w:t>
            </w:r>
          </w:p>
        </w:tc>
        <w:tc>
          <w:tcPr>
            <w:tcW w:w="708" w:type="dxa"/>
          </w:tcPr>
          <w:p w14:paraId="250596AA" w14:textId="77777777" w:rsidR="00536753" w:rsidRPr="009627FD" w:rsidRDefault="00536753" w:rsidP="00CB2744">
            <w:pPr>
              <w:contextualSpacing/>
              <w:jc w:val="center"/>
              <w:rPr>
                <w:lang w:val="en-US"/>
              </w:rPr>
            </w:pPr>
          </w:p>
        </w:tc>
        <w:tc>
          <w:tcPr>
            <w:tcW w:w="693" w:type="dxa"/>
          </w:tcPr>
          <w:p w14:paraId="6271B439" w14:textId="77777777" w:rsidR="00536753" w:rsidRPr="009627FD" w:rsidRDefault="00536753" w:rsidP="00CB2744">
            <w:pPr>
              <w:contextualSpacing/>
              <w:jc w:val="center"/>
              <w:rPr>
                <w:lang w:val="en-US"/>
              </w:rPr>
            </w:pPr>
          </w:p>
        </w:tc>
        <w:tc>
          <w:tcPr>
            <w:tcW w:w="1011" w:type="dxa"/>
          </w:tcPr>
          <w:p w14:paraId="3F1BDEF3" w14:textId="77777777" w:rsidR="00536753" w:rsidRPr="009627FD" w:rsidRDefault="00536753" w:rsidP="00CB2744">
            <w:pPr>
              <w:contextualSpacing/>
              <w:jc w:val="center"/>
              <w:rPr>
                <w:lang w:val="en-US"/>
              </w:rPr>
            </w:pPr>
          </w:p>
        </w:tc>
        <w:tc>
          <w:tcPr>
            <w:tcW w:w="851" w:type="dxa"/>
          </w:tcPr>
          <w:p w14:paraId="2B44EDDD" w14:textId="77777777" w:rsidR="00536753" w:rsidRPr="009627FD" w:rsidRDefault="00536753" w:rsidP="00CB2744">
            <w:pPr>
              <w:contextualSpacing/>
              <w:jc w:val="center"/>
              <w:rPr>
                <w:lang w:val="en-US"/>
              </w:rPr>
            </w:pPr>
          </w:p>
        </w:tc>
        <w:tc>
          <w:tcPr>
            <w:tcW w:w="1553" w:type="dxa"/>
          </w:tcPr>
          <w:p w14:paraId="0E660C1B" w14:textId="77777777" w:rsidR="00536753" w:rsidRPr="009627FD" w:rsidRDefault="00536753" w:rsidP="00CB2744">
            <w:pPr>
              <w:contextualSpacing/>
              <w:jc w:val="center"/>
              <w:rPr>
                <w:lang w:val="en-US"/>
              </w:rPr>
            </w:pPr>
            <w:r w:rsidRPr="009627FD">
              <w:rPr>
                <w:lang w:val="en-US"/>
              </w:rPr>
              <w:t>.66</w:t>
            </w:r>
          </w:p>
        </w:tc>
        <w:tc>
          <w:tcPr>
            <w:tcW w:w="1412" w:type="dxa"/>
          </w:tcPr>
          <w:p w14:paraId="7BEB32F5" w14:textId="77777777" w:rsidR="00536753" w:rsidRPr="009627FD" w:rsidRDefault="00536753" w:rsidP="00CB2744">
            <w:pPr>
              <w:contextualSpacing/>
              <w:jc w:val="center"/>
              <w:rPr>
                <w:lang w:val="en-US"/>
              </w:rPr>
            </w:pPr>
            <w:r w:rsidRPr="009627FD">
              <w:rPr>
                <w:lang w:val="en-US"/>
              </w:rPr>
              <w:t>1.29</w:t>
            </w:r>
          </w:p>
        </w:tc>
      </w:tr>
      <w:tr w:rsidR="00536753" w:rsidRPr="009627FD" w14:paraId="4FC686AD" w14:textId="77777777" w:rsidTr="00CB2744">
        <w:tc>
          <w:tcPr>
            <w:tcW w:w="5297" w:type="dxa"/>
          </w:tcPr>
          <w:p w14:paraId="1BF393CB" w14:textId="77777777" w:rsidR="00536753" w:rsidRPr="009627FD" w:rsidRDefault="00536753" w:rsidP="00CB2744">
            <w:pPr>
              <w:contextualSpacing/>
              <w:rPr>
                <w:lang w:val="en-US"/>
              </w:rPr>
            </w:pPr>
            <w:r w:rsidRPr="009627FD">
              <w:rPr>
                <w:lang w:val="en-US"/>
              </w:rPr>
              <w:t>BFI-10-Agreeableness</w:t>
            </w:r>
          </w:p>
        </w:tc>
        <w:tc>
          <w:tcPr>
            <w:tcW w:w="1023" w:type="dxa"/>
          </w:tcPr>
          <w:p w14:paraId="6A798BD7" w14:textId="77777777" w:rsidR="00536753" w:rsidRPr="009627FD" w:rsidRDefault="00536753" w:rsidP="00CB2744">
            <w:pPr>
              <w:contextualSpacing/>
              <w:jc w:val="center"/>
              <w:rPr>
                <w:lang w:val="en-US"/>
              </w:rPr>
            </w:pPr>
            <w:r w:rsidRPr="009627FD">
              <w:rPr>
                <w:lang w:val="en-US"/>
              </w:rPr>
              <w:t>.34</w:t>
            </w:r>
          </w:p>
        </w:tc>
        <w:tc>
          <w:tcPr>
            <w:tcW w:w="1255" w:type="dxa"/>
          </w:tcPr>
          <w:p w14:paraId="53F6A0AE" w14:textId="77777777" w:rsidR="00536753" w:rsidRPr="009627FD" w:rsidRDefault="00536753" w:rsidP="00CB2744">
            <w:pPr>
              <w:contextualSpacing/>
              <w:jc w:val="center"/>
              <w:rPr>
                <w:lang w:val="en-US"/>
              </w:rPr>
            </w:pPr>
            <w:r w:rsidRPr="009627FD">
              <w:rPr>
                <w:lang w:val="en-US"/>
              </w:rPr>
              <w:t>.21</w:t>
            </w:r>
          </w:p>
        </w:tc>
        <w:tc>
          <w:tcPr>
            <w:tcW w:w="849" w:type="dxa"/>
          </w:tcPr>
          <w:p w14:paraId="377F0A6E" w14:textId="77777777" w:rsidR="00536753" w:rsidRPr="009627FD" w:rsidRDefault="00536753" w:rsidP="00CB2744">
            <w:pPr>
              <w:contextualSpacing/>
              <w:jc w:val="center"/>
              <w:rPr>
                <w:lang w:val="en-US"/>
              </w:rPr>
            </w:pPr>
            <w:r w:rsidRPr="009627FD">
              <w:rPr>
                <w:lang w:val="en-US"/>
              </w:rPr>
              <w:t>-.07</w:t>
            </w:r>
          </w:p>
        </w:tc>
        <w:tc>
          <w:tcPr>
            <w:tcW w:w="991" w:type="dxa"/>
          </w:tcPr>
          <w:p w14:paraId="1FBFE1EC" w14:textId="77777777" w:rsidR="00536753" w:rsidRPr="009627FD" w:rsidRDefault="00536753" w:rsidP="00CB2744">
            <w:pPr>
              <w:contextualSpacing/>
              <w:jc w:val="center"/>
              <w:rPr>
                <w:lang w:val="en-US"/>
              </w:rPr>
            </w:pPr>
            <w:r w:rsidRPr="009627FD">
              <w:rPr>
                <w:lang w:val="en-US"/>
              </w:rPr>
              <w:t>-1.58</w:t>
            </w:r>
          </w:p>
        </w:tc>
        <w:tc>
          <w:tcPr>
            <w:tcW w:w="708" w:type="dxa"/>
          </w:tcPr>
          <w:p w14:paraId="1F4AEAE9" w14:textId="77777777" w:rsidR="00536753" w:rsidRPr="009627FD" w:rsidRDefault="00536753" w:rsidP="00CB2744">
            <w:pPr>
              <w:contextualSpacing/>
              <w:jc w:val="center"/>
              <w:rPr>
                <w:lang w:val="en-US"/>
              </w:rPr>
            </w:pPr>
          </w:p>
        </w:tc>
        <w:tc>
          <w:tcPr>
            <w:tcW w:w="693" w:type="dxa"/>
          </w:tcPr>
          <w:p w14:paraId="1822ADC3" w14:textId="77777777" w:rsidR="00536753" w:rsidRPr="009627FD" w:rsidRDefault="00536753" w:rsidP="00CB2744">
            <w:pPr>
              <w:contextualSpacing/>
              <w:jc w:val="center"/>
              <w:rPr>
                <w:lang w:val="en-US"/>
              </w:rPr>
            </w:pPr>
          </w:p>
        </w:tc>
        <w:tc>
          <w:tcPr>
            <w:tcW w:w="1011" w:type="dxa"/>
          </w:tcPr>
          <w:p w14:paraId="0570BF66" w14:textId="77777777" w:rsidR="00536753" w:rsidRPr="009627FD" w:rsidRDefault="00536753" w:rsidP="00CB2744">
            <w:pPr>
              <w:contextualSpacing/>
              <w:jc w:val="center"/>
              <w:rPr>
                <w:lang w:val="en-US"/>
              </w:rPr>
            </w:pPr>
          </w:p>
        </w:tc>
        <w:tc>
          <w:tcPr>
            <w:tcW w:w="851" w:type="dxa"/>
          </w:tcPr>
          <w:p w14:paraId="516B7050" w14:textId="77777777" w:rsidR="00536753" w:rsidRPr="009627FD" w:rsidRDefault="00536753" w:rsidP="00CB2744">
            <w:pPr>
              <w:contextualSpacing/>
              <w:jc w:val="center"/>
              <w:rPr>
                <w:lang w:val="en-US"/>
              </w:rPr>
            </w:pPr>
          </w:p>
        </w:tc>
        <w:tc>
          <w:tcPr>
            <w:tcW w:w="1553" w:type="dxa"/>
          </w:tcPr>
          <w:p w14:paraId="21C0991C" w14:textId="77777777" w:rsidR="00536753" w:rsidRPr="009627FD" w:rsidRDefault="00536753" w:rsidP="00CB2744">
            <w:pPr>
              <w:contextualSpacing/>
              <w:jc w:val="center"/>
              <w:rPr>
                <w:lang w:val="en-US"/>
              </w:rPr>
            </w:pPr>
            <w:r w:rsidRPr="009627FD">
              <w:rPr>
                <w:lang w:val="en-US"/>
              </w:rPr>
              <w:t>-.76</w:t>
            </w:r>
          </w:p>
        </w:tc>
        <w:tc>
          <w:tcPr>
            <w:tcW w:w="1412" w:type="dxa"/>
          </w:tcPr>
          <w:p w14:paraId="74BE9E29" w14:textId="77777777" w:rsidR="00536753" w:rsidRPr="009627FD" w:rsidRDefault="00536753" w:rsidP="00CB2744">
            <w:pPr>
              <w:contextualSpacing/>
              <w:jc w:val="center"/>
              <w:rPr>
                <w:lang w:val="en-US"/>
              </w:rPr>
            </w:pPr>
            <w:r w:rsidRPr="009627FD">
              <w:rPr>
                <w:lang w:val="en-US"/>
              </w:rPr>
              <w:t>.08</w:t>
            </w:r>
          </w:p>
        </w:tc>
      </w:tr>
      <w:tr w:rsidR="00536753" w:rsidRPr="009627FD" w14:paraId="595F3049" w14:textId="77777777" w:rsidTr="00CB2744">
        <w:tc>
          <w:tcPr>
            <w:tcW w:w="5297" w:type="dxa"/>
          </w:tcPr>
          <w:p w14:paraId="0E297763" w14:textId="77777777" w:rsidR="00536753" w:rsidRPr="009627FD" w:rsidRDefault="00536753" w:rsidP="00CB2744">
            <w:pPr>
              <w:contextualSpacing/>
              <w:rPr>
                <w:lang w:val="en-US"/>
              </w:rPr>
            </w:pPr>
            <w:r w:rsidRPr="009627FD">
              <w:rPr>
                <w:lang w:val="en-US"/>
              </w:rPr>
              <w:t>BFI-10-Conscientiousness</w:t>
            </w:r>
          </w:p>
        </w:tc>
        <w:tc>
          <w:tcPr>
            <w:tcW w:w="1023" w:type="dxa"/>
          </w:tcPr>
          <w:p w14:paraId="67D5D0F4" w14:textId="77777777" w:rsidR="00536753" w:rsidRPr="009627FD" w:rsidRDefault="00536753" w:rsidP="00CB2744">
            <w:pPr>
              <w:contextualSpacing/>
              <w:jc w:val="center"/>
              <w:rPr>
                <w:lang w:val="en-US"/>
              </w:rPr>
            </w:pPr>
            <w:r w:rsidRPr="009627FD">
              <w:rPr>
                <w:lang w:val="en-US"/>
              </w:rPr>
              <w:t>-.91</w:t>
            </w:r>
          </w:p>
        </w:tc>
        <w:tc>
          <w:tcPr>
            <w:tcW w:w="1255" w:type="dxa"/>
          </w:tcPr>
          <w:p w14:paraId="10BDFF21" w14:textId="77777777" w:rsidR="00536753" w:rsidRPr="009627FD" w:rsidRDefault="00536753" w:rsidP="00CB2744">
            <w:pPr>
              <w:contextualSpacing/>
              <w:jc w:val="center"/>
              <w:rPr>
                <w:lang w:val="en-US"/>
              </w:rPr>
            </w:pPr>
            <w:r w:rsidRPr="009627FD">
              <w:rPr>
                <w:lang w:val="en-US"/>
              </w:rPr>
              <w:t>.23</w:t>
            </w:r>
          </w:p>
        </w:tc>
        <w:tc>
          <w:tcPr>
            <w:tcW w:w="849" w:type="dxa"/>
          </w:tcPr>
          <w:p w14:paraId="63F14A56" w14:textId="77777777" w:rsidR="00536753" w:rsidRPr="009627FD" w:rsidRDefault="00536753" w:rsidP="00CB2744">
            <w:pPr>
              <w:contextualSpacing/>
              <w:jc w:val="center"/>
              <w:rPr>
                <w:lang w:val="en-US"/>
              </w:rPr>
            </w:pPr>
            <w:r w:rsidRPr="009627FD">
              <w:rPr>
                <w:lang w:val="en-US"/>
              </w:rPr>
              <w:t>-.16**</w:t>
            </w:r>
          </w:p>
        </w:tc>
        <w:tc>
          <w:tcPr>
            <w:tcW w:w="991" w:type="dxa"/>
          </w:tcPr>
          <w:p w14:paraId="3ABDABAB" w14:textId="77777777" w:rsidR="00536753" w:rsidRPr="009627FD" w:rsidRDefault="00536753" w:rsidP="00CB2744">
            <w:pPr>
              <w:contextualSpacing/>
              <w:jc w:val="center"/>
              <w:rPr>
                <w:lang w:val="en-US"/>
              </w:rPr>
            </w:pPr>
            <w:r w:rsidRPr="009627FD">
              <w:rPr>
                <w:lang w:val="en-US"/>
              </w:rPr>
              <w:t>-3.90</w:t>
            </w:r>
          </w:p>
        </w:tc>
        <w:tc>
          <w:tcPr>
            <w:tcW w:w="708" w:type="dxa"/>
          </w:tcPr>
          <w:p w14:paraId="196FA494" w14:textId="77777777" w:rsidR="00536753" w:rsidRPr="009627FD" w:rsidRDefault="00536753" w:rsidP="00CB2744">
            <w:pPr>
              <w:contextualSpacing/>
              <w:jc w:val="center"/>
              <w:rPr>
                <w:lang w:val="en-US"/>
              </w:rPr>
            </w:pPr>
          </w:p>
        </w:tc>
        <w:tc>
          <w:tcPr>
            <w:tcW w:w="693" w:type="dxa"/>
          </w:tcPr>
          <w:p w14:paraId="6B0972FE" w14:textId="77777777" w:rsidR="00536753" w:rsidRPr="009627FD" w:rsidRDefault="00536753" w:rsidP="00CB2744">
            <w:pPr>
              <w:contextualSpacing/>
              <w:jc w:val="center"/>
              <w:rPr>
                <w:lang w:val="en-US"/>
              </w:rPr>
            </w:pPr>
          </w:p>
        </w:tc>
        <w:tc>
          <w:tcPr>
            <w:tcW w:w="1011" w:type="dxa"/>
          </w:tcPr>
          <w:p w14:paraId="648D6113" w14:textId="77777777" w:rsidR="00536753" w:rsidRPr="009627FD" w:rsidRDefault="00536753" w:rsidP="00CB2744">
            <w:pPr>
              <w:contextualSpacing/>
              <w:jc w:val="center"/>
              <w:rPr>
                <w:lang w:val="en-US"/>
              </w:rPr>
            </w:pPr>
          </w:p>
        </w:tc>
        <w:tc>
          <w:tcPr>
            <w:tcW w:w="851" w:type="dxa"/>
          </w:tcPr>
          <w:p w14:paraId="1ED1F7D6" w14:textId="77777777" w:rsidR="00536753" w:rsidRPr="009627FD" w:rsidRDefault="00536753" w:rsidP="00CB2744">
            <w:pPr>
              <w:contextualSpacing/>
              <w:jc w:val="center"/>
              <w:rPr>
                <w:lang w:val="en-US"/>
              </w:rPr>
            </w:pPr>
          </w:p>
        </w:tc>
        <w:tc>
          <w:tcPr>
            <w:tcW w:w="1553" w:type="dxa"/>
          </w:tcPr>
          <w:p w14:paraId="781D8FBA" w14:textId="77777777" w:rsidR="00536753" w:rsidRPr="009627FD" w:rsidRDefault="00536753" w:rsidP="00CB2744">
            <w:pPr>
              <w:contextualSpacing/>
              <w:jc w:val="center"/>
              <w:rPr>
                <w:lang w:val="en-US"/>
              </w:rPr>
            </w:pPr>
            <w:r w:rsidRPr="009627FD">
              <w:rPr>
                <w:lang w:val="en-US"/>
              </w:rPr>
              <w:t>-1.37</w:t>
            </w:r>
          </w:p>
        </w:tc>
        <w:tc>
          <w:tcPr>
            <w:tcW w:w="1412" w:type="dxa"/>
          </w:tcPr>
          <w:p w14:paraId="211FBB3F" w14:textId="77777777" w:rsidR="00536753" w:rsidRPr="009627FD" w:rsidRDefault="00536753" w:rsidP="00CB2744">
            <w:pPr>
              <w:contextualSpacing/>
              <w:jc w:val="center"/>
              <w:rPr>
                <w:lang w:val="en-US"/>
              </w:rPr>
            </w:pPr>
            <w:r w:rsidRPr="009627FD">
              <w:rPr>
                <w:lang w:val="en-US"/>
              </w:rPr>
              <w:t>-.45</w:t>
            </w:r>
          </w:p>
        </w:tc>
      </w:tr>
      <w:tr w:rsidR="00536753" w:rsidRPr="009627FD" w14:paraId="1C826378" w14:textId="77777777" w:rsidTr="00CB2744">
        <w:trPr>
          <w:trHeight w:val="73"/>
        </w:trPr>
        <w:tc>
          <w:tcPr>
            <w:tcW w:w="5297" w:type="dxa"/>
          </w:tcPr>
          <w:p w14:paraId="33CC368A" w14:textId="77777777" w:rsidR="00536753" w:rsidRPr="009627FD" w:rsidRDefault="00536753" w:rsidP="00CB2744">
            <w:pPr>
              <w:contextualSpacing/>
              <w:rPr>
                <w:lang w:val="en-US"/>
              </w:rPr>
            </w:pPr>
            <w:r w:rsidRPr="009627FD">
              <w:rPr>
                <w:lang w:val="en-US"/>
              </w:rPr>
              <w:t>BFI-10-Emotional stability</w:t>
            </w:r>
          </w:p>
        </w:tc>
        <w:tc>
          <w:tcPr>
            <w:tcW w:w="1023" w:type="dxa"/>
          </w:tcPr>
          <w:p w14:paraId="3C5513B1" w14:textId="77777777" w:rsidR="00536753" w:rsidRPr="009627FD" w:rsidRDefault="00536753" w:rsidP="00CB2744">
            <w:pPr>
              <w:contextualSpacing/>
              <w:jc w:val="center"/>
              <w:rPr>
                <w:lang w:val="en-US"/>
              </w:rPr>
            </w:pPr>
            <w:r w:rsidRPr="009627FD">
              <w:rPr>
                <w:lang w:val="en-US"/>
              </w:rPr>
              <w:t>-.85</w:t>
            </w:r>
          </w:p>
        </w:tc>
        <w:tc>
          <w:tcPr>
            <w:tcW w:w="1255" w:type="dxa"/>
          </w:tcPr>
          <w:p w14:paraId="26E132B0" w14:textId="77777777" w:rsidR="00536753" w:rsidRPr="009627FD" w:rsidRDefault="00536753" w:rsidP="00CB2744">
            <w:pPr>
              <w:contextualSpacing/>
              <w:jc w:val="center"/>
              <w:rPr>
                <w:lang w:val="en-US"/>
              </w:rPr>
            </w:pPr>
            <w:r w:rsidRPr="009627FD">
              <w:rPr>
                <w:lang w:val="en-US"/>
              </w:rPr>
              <w:t>.18</w:t>
            </w:r>
          </w:p>
        </w:tc>
        <w:tc>
          <w:tcPr>
            <w:tcW w:w="849" w:type="dxa"/>
          </w:tcPr>
          <w:p w14:paraId="2862450F" w14:textId="77777777" w:rsidR="00536753" w:rsidRPr="009627FD" w:rsidRDefault="00536753" w:rsidP="00CB2744">
            <w:pPr>
              <w:contextualSpacing/>
              <w:jc w:val="center"/>
              <w:rPr>
                <w:lang w:val="en-US"/>
              </w:rPr>
            </w:pPr>
            <w:r w:rsidRPr="009627FD">
              <w:rPr>
                <w:lang w:val="en-US"/>
              </w:rPr>
              <w:t>-.22**</w:t>
            </w:r>
          </w:p>
        </w:tc>
        <w:tc>
          <w:tcPr>
            <w:tcW w:w="991" w:type="dxa"/>
          </w:tcPr>
          <w:p w14:paraId="5D000FFD" w14:textId="77777777" w:rsidR="00536753" w:rsidRPr="009627FD" w:rsidRDefault="00536753" w:rsidP="00CB2744">
            <w:pPr>
              <w:contextualSpacing/>
              <w:jc w:val="center"/>
              <w:rPr>
                <w:lang w:val="en-US"/>
              </w:rPr>
            </w:pPr>
            <w:r w:rsidRPr="009627FD">
              <w:rPr>
                <w:lang w:val="en-US"/>
              </w:rPr>
              <w:t>-4.85</w:t>
            </w:r>
          </w:p>
        </w:tc>
        <w:tc>
          <w:tcPr>
            <w:tcW w:w="708" w:type="dxa"/>
          </w:tcPr>
          <w:p w14:paraId="667237F2" w14:textId="77777777" w:rsidR="00536753" w:rsidRPr="009627FD" w:rsidRDefault="00536753" w:rsidP="00CB2744">
            <w:pPr>
              <w:contextualSpacing/>
              <w:jc w:val="center"/>
              <w:rPr>
                <w:lang w:val="en-US"/>
              </w:rPr>
            </w:pPr>
          </w:p>
        </w:tc>
        <w:tc>
          <w:tcPr>
            <w:tcW w:w="693" w:type="dxa"/>
          </w:tcPr>
          <w:p w14:paraId="46D9335A" w14:textId="77777777" w:rsidR="00536753" w:rsidRPr="009627FD" w:rsidRDefault="00536753" w:rsidP="00CB2744">
            <w:pPr>
              <w:contextualSpacing/>
              <w:jc w:val="center"/>
              <w:rPr>
                <w:lang w:val="en-US"/>
              </w:rPr>
            </w:pPr>
          </w:p>
        </w:tc>
        <w:tc>
          <w:tcPr>
            <w:tcW w:w="1011" w:type="dxa"/>
          </w:tcPr>
          <w:p w14:paraId="1593E7E1" w14:textId="77777777" w:rsidR="00536753" w:rsidRPr="009627FD" w:rsidRDefault="00536753" w:rsidP="00CB2744">
            <w:pPr>
              <w:contextualSpacing/>
              <w:jc w:val="center"/>
              <w:rPr>
                <w:lang w:val="en-US"/>
              </w:rPr>
            </w:pPr>
          </w:p>
        </w:tc>
        <w:tc>
          <w:tcPr>
            <w:tcW w:w="851" w:type="dxa"/>
          </w:tcPr>
          <w:p w14:paraId="66335098" w14:textId="77777777" w:rsidR="00536753" w:rsidRPr="009627FD" w:rsidRDefault="00536753" w:rsidP="00CB2744">
            <w:pPr>
              <w:contextualSpacing/>
              <w:jc w:val="center"/>
              <w:rPr>
                <w:lang w:val="en-US"/>
              </w:rPr>
            </w:pPr>
          </w:p>
        </w:tc>
        <w:tc>
          <w:tcPr>
            <w:tcW w:w="1553" w:type="dxa"/>
          </w:tcPr>
          <w:p w14:paraId="59A7B75A" w14:textId="77777777" w:rsidR="00536753" w:rsidRPr="009627FD" w:rsidRDefault="00536753" w:rsidP="00CB2744">
            <w:pPr>
              <w:contextualSpacing/>
              <w:jc w:val="center"/>
              <w:rPr>
                <w:lang w:val="en-US"/>
              </w:rPr>
            </w:pPr>
            <w:r w:rsidRPr="009627FD">
              <w:rPr>
                <w:lang w:val="en-US"/>
              </w:rPr>
              <w:t>-1.20</w:t>
            </w:r>
          </w:p>
        </w:tc>
        <w:tc>
          <w:tcPr>
            <w:tcW w:w="1412" w:type="dxa"/>
          </w:tcPr>
          <w:p w14:paraId="1231D343" w14:textId="77777777" w:rsidR="00536753" w:rsidRPr="009627FD" w:rsidRDefault="00536753" w:rsidP="00CB2744">
            <w:pPr>
              <w:contextualSpacing/>
              <w:jc w:val="center"/>
              <w:rPr>
                <w:lang w:val="en-US"/>
              </w:rPr>
            </w:pPr>
            <w:r w:rsidRPr="009627FD">
              <w:rPr>
                <w:lang w:val="en-US"/>
              </w:rPr>
              <w:t>-.51</w:t>
            </w:r>
          </w:p>
        </w:tc>
      </w:tr>
      <w:tr w:rsidR="00536753" w:rsidRPr="009627FD" w14:paraId="1D4CDDA1" w14:textId="77777777" w:rsidTr="00CB2744">
        <w:tc>
          <w:tcPr>
            <w:tcW w:w="5297" w:type="dxa"/>
          </w:tcPr>
          <w:p w14:paraId="512EB9ED" w14:textId="77777777" w:rsidR="00536753" w:rsidRPr="009627FD" w:rsidRDefault="00536753" w:rsidP="00CB2744">
            <w:pPr>
              <w:contextualSpacing/>
              <w:rPr>
                <w:lang w:val="en-US"/>
              </w:rPr>
            </w:pPr>
            <w:r w:rsidRPr="009627FD">
              <w:rPr>
                <w:lang w:val="en-US"/>
              </w:rPr>
              <w:t>BFI-10-Extraversion</w:t>
            </w:r>
          </w:p>
        </w:tc>
        <w:tc>
          <w:tcPr>
            <w:tcW w:w="1023" w:type="dxa"/>
          </w:tcPr>
          <w:p w14:paraId="089F8FF1" w14:textId="77777777" w:rsidR="00536753" w:rsidRPr="009627FD" w:rsidRDefault="00536753" w:rsidP="00CB2744">
            <w:pPr>
              <w:contextualSpacing/>
              <w:jc w:val="center"/>
              <w:rPr>
                <w:lang w:val="en-US"/>
              </w:rPr>
            </w:pPr>
            <w:r w:rsidRPr="009627FD">
              <w:rPr>
                <w:lang w:val="en-US"/>
              </w:rPr>
              <w:t>-.41</w:t>
            </w:r>
          </w:p>
        </w:tc>
        <w:tc>
          <w:tcPr>
            <w:tcW w:w="1255" w:type="dxa"/>
          </w:tcPr>
          <w:p w14:paraId="6C61D808" w14:textId="77777777" w:rsidR="00536753" w:rsidRPr="009627FD" w:rsidRDefault="00536753" w:rsidP="00CB2744">
            <w:pPr>
              <w:contextualSpacing/>
              <w:jc w:val="center"/>
              <w:rPr>
                <w:lang w:val="en-US"/>
              </w:rPr>
            </w:pPr>
            <w:r w:rsidRPr="009627FD">
              <w:rPr>
                <w:lang w:val="en-US"/>
              </w:rPr>
              <w:t>.19</w:t>
            </w:r>
          </w:p>
        </w:tc>
        <w:tc>
          <w:tcPr>
            <w:tcW w:w="849" w:type="dxa"/>
          </w:tcPr>
          <w:p w14:paraId="00A98FB0" w14:textId="77777777" w:rsidR="00536753" w:rsidRPr="009627FD" w:rsidRDefault="00536753" w:rsidP="00CB2744">
            <w:pPr>
              <w:contextualSpacing/>
              <w:jc w:val="center"/>
              <w:rPr>
                <w:lang w:val="en-US"/>
              </w:rPr>
            </w:pPr>
            <w:r w:rsidRPr="009627FD">
              <w:rPr>
                <w:lang w:val="en-US"/>
              </w:rPr>
              <w:t>-.09*</w:t>
            </w:r>
          </w:p>
        </w:tc>
        <w:tc>
          <w:tcPr>
            <w:tcW w:w="991" w:type="dxa"/>
          </w:tcPr>
          <w:p w14:paraId="03FA1242" w14:textId="77777777" w:rsidR="00536753" w:rsidRPr="009627FD" w:rsidRDefault="00536753" w:rsidP="00CB2744">
            <w:pPr>
              <w:contextualSpacing/>
              <w:jc w:val="center"/>
              <w:rPr>
                <w:lang w:val="en-US"/>
              </w:rPr>
            </w:pPr>
            <w:r w:rsidRPr="009627FD">
              <w:rPr>
                <w:lang w:val="en-US"/>
              </w:rPr>
              <w:t>-2.17</w:t>
            </w:r>
          </w:p>
        </w:tc>
        <w:tc>
          <w:tcPr>
            <w:tcW w:w="708" w:type="dxa"/>
          </w:tcPr>
          <w:p w14:paraId="2B9B0DC0" w14:textId="77777777" w:rsidR="00536753" w:rsidRPr="009627FD" w:rsidRDefault="00536753" w:rsidP="00CB2744">
            <w:pPr>
              <w:contextualSpacing/>
              <w:jc w:val="center"/>
              <w:rPr>
                <w:lang w:val="en-US"/>
              </w:rPr>
            </w:pPr>
          </w:p>
        </w:tc>
        <w:tc>
          <w:tcPr>
            <w:tcW w:w="693" w:type="dxa"/>
          </w:tcPr>
          <w:p w14:paraId="766B3E52" w14:textId="77777777" w:rsidR="00536753" w:rsidRPr="009627FD" w:rsidRDefault="00536753" w:rsidP="00CB2744">
            <w:pPr>
              <w:contextualSpacing/>
              <w:jc w:val="center"/>
              <w:rPr>
                <w:lang w:val="en-US"/>
              </w:rPr>
            </w:pPr>
          </w:p>
        </w:tc>
        <w:tc>
          <w:tcPr>
            <w:tcW w:w="1011" w:type="dxa"/>
          </w:tcPr>
          <w:p w14:paraId="0B42B9DB" w14:textId="77777777" w:rsidR="00536753" w:rsidRPr="009627FD" w:rsidRDefault="00536753" w:rsidP="00CB2744">
            <w:pPr>
              <w:contextualSpacing/>
              <w:jc w:val="center"/>
              <w:rPr>
                <w:lang w:val="en-US"/>
              </w:rPr>
            </w:pPr>
          </w:p>
        </w:tc>
        <w:tc>
          <w:tcPr>
            <w:tcW w:w="851" w:type="dxa"/>
          </w:tcPr>
          <w:p w14:paraId="19E0AB34" w14:textId="77777777" w:rsidR="00536753" w:rsidRPr="009627FD" w:rsidRDefault="00536753" w:rsidP="00CB2744">
            <w:pPr>
              <w:contextualSpacing/>
              <w:jc w:val="center"/>
              <w:rPr>
                <w:lang w:val="en-US"/>
              </w:rPr>
            </w:pPr>
          </w:p>
        </w:tc>
        <w:tc>
          <w:tcPr>
            <w:tcW w:w="1553" w:type="dxa"/>
          </w:tcPr>
          <w:p w14:paraId="5B14968C" w14:textId="77777777" w:rsidR="00536753" w:rsidRPr="009627FD" w:rsidRDefault="00536753" w:rsidP="00CB2744">
            <w:pPr>
              <w:contextualSpacing/>
              <w:jc w:val="center"/>
              <w:rPr>
                <w:lang w:val="en-US"/>
              </w:rPr>
            </w:pPr>
            <w:r w:rsidRPr="009627FD">
              <w:rPr>
                <w:lang w:val="en-US"/>
              </w:rPr>
              <w:t>-.79</w:t>
            </w:r>
          </w:p>
        </w:tc>
        <w:tc>
          <w:tcPr>
            <w:tcW w:w="1412" w:type="dxa"/>
          </w:tcPr>
          <w:p w14:paraId="3FE05C97" w14:textId="77777777" w:rsidR="00536753" w:rsidRPr="009627FD" w:rsidRDefault="00536753" w:rsidP="00CB2744">
            <w:pPr>
              <w:contextualSpacing/>
              <w:jc w:val="center"/>
              <w:rPr>
                <w:lang w:val="en-US"/>
              </w:rPr>
            </w:pPr>
            <w:r w:rsidRPr="009627FD">
              <w:rPr>
                <w:lang w:val="en-US"/>
              </w:rPr>
              <w:t>-.04</w:t>
            </w:r>
          </w:p>
        </w:tc>
      </w:tr>
      <w:tr w:rsidR="00536753" w:rsidRPr="009627FD" w14:paraId="2F66534A" w14:textId="77777777" w:rsidTr="00CB2744">
        <w:tc>
          <w:tcPr>
            <w:tcW w:w="5297" w:type="dxa"/>
          </w:tcPr>
          <w:p w14:paraId="28DF3BFC" w14:textId="77777777" w:rsidR="00536753" w:rsidRPr="009627FD" w:rsidRDefault="00536753" w:rsidP="00CB2744">
            <w:pPr>
              <w:contextualSpacing/>
              <w:rPr>
                <w:lang w:val="en-US"/>
              </w:rPr>
            </w:pPr>
            <w:r w:rsidRPr="009627FD">
              <w:rPr>
                <w:lang w:val="en-US"/>
              </w:rPr>
              <w:t>Perception of vulnerability to COVID-19</w:t>
            </w:r>
          </w:p>
        </w:tc>
        <w:tc>
          <w:tcPr>
            <w:tcW w:w="1023" w:type="dxa"/>
          </w:tcPr>
          <w:p w14:paraId="170D0BDD" w14:textId="77777777" w:rsidR="00536753" w:rsidRPr="009627FD" w:rsidRDefault="00536753" w:rsidP="00CB2744">
            <w:pPr>
              <w:contextualSpacing/>
              <w:jc w:val="center"/>
              <w:rPr>
                <w:lang w:val="en-US"/>
              </w:rPr>
            </w:pPr>
            <w:r w:rsidRPr="009627FD">
              <w:rPr>
                <w:lang w:val="en-US"/>
              </w:rPr>
              <w:t>1.02</w:t>
            </w:r>
          </w:p>
        </w:tc>
        <w:tc>
          <w:tcPr>
            <w:tcW w:w="1255" w:type="dxa"/>
          </w:tcPr>
          <w:p w14:paraId="6A8CE48A" w14:textId="77777777" w:rsidR="00536753" w:rsidRPr="009627FD" w:rsidRDefault="00536753" w:rsidP="00CB2744">
            <w:pPr>
              <w:contextualSpacing/>
              <w:jc w:val="center"/>
              <w:rPr>
                <w:lang w:val="en-US"/>
              </w:rPr>
            </w:pPr>
            <w:r w:rsidRPr="009627FD">
              <w:rPr>
                <w:lang w:val="en-US"/>
              </w:rPr>
              <w:t>.79</w:t>
            </w:r>
          </w:p>
        </w:tc>
        <w:tc>
          <w:tcPr>
            <w:tcW w:w="849" w:type="dxa"/>
          </w:tcPr>
          <w:p w14:paraId="3A28785F" w14:textId="77777777" w:rsidR="00536753" w:rsidRPr="009627FD" w:rsidRDefault="00536753" w:rsidP="00CB2744">
            <w:pPr>
              <w:contextualSpacing/>
              <w:jc w:val="center"/>
              <w:rPr>
                <w:lang w:val="en-US"/>
              </w:rPr>
            </w:pPr>
            <w:r w:rsidRPr="009627FD">
              <w:rPr>
                <w:lang w:val="en-US"/>
              </w:rPr>
              <w:t>.06</w:t>
            </w:r>
          </w:p>
        </w:tc>
        <w:tc>
          <w:tcPr>
            <w:tcW w:w="991" w:type="dxa"/>
          </w:tcPr>
          <w:p w14:paraId="3D9EA01D" w14:textId="77777777" w:rsidR="00536753" w:rsidRPr="009627FD" w:rsidRDefault="00536753" w:rsidP="00CB2744">
            <w:pPr>
              <w:contextualSpacing/>
              <w:jc w:val="center"/>
              <w:rPr>
                <w:lang w:val="en-US"/>
              </w:rPr>
            </w:pPr>
            <w:r w:rsidRPr="009627FD">
              <w:rPr>
                <w:lang w:val="en-US"/>
              </w:rPr>
              <w:t>1.29</w:t>
            </w:r>
          </w:p>
        </w:tc>
        <w:tc>
          <w:tcPr>
            <w:tcW w:w="708" w:type="dxa"/>
          </w:tcPr>
          <w:p w14:paraId="09715CF1" w14:textId="77777777" w:rsidR="00536753" w:rsidRPr="009627FD" w:rsidRDefault="00536753" w:rsidP="00CB2744">
            <w:pPr>
              <w:contextualSpacing/>
              <w:jc w:val="center"/>
              <w:rPr>
                <w:lang w:val="en-US"/>
              </w:rPr>
            </w:pPr>
          </w:p>
        </w:tc>
        <w:tc>
          <w:tcPr>
            <w:tcW w:w="693" w:type="dxa"/>
          </w:tcPr>
          <w:p w14:paraId="5D074C4F" w14:textId="77777777" w:rsidR="00536753" w:rsidRPr="009627FD" w:rsidRDefault="00536753" w:rsidP="00CB2744">
            <w:pPr>
              <w:contextualSpacing/>
              <w:jc w:val="center"/>
              <w:rPr>
                <w:lang w:val="en-US"/>
              </w:rPr>
            </w:pPr>
          </w:p>
        </w:tc>
        <w:tc>
          <w:tcPr>
            <w:tcW w:w="1011" w:type="dxa"/>
          </w:tcPr>
          <w:p w14:paraId="7C076CD4" w14:textId="77777777" w:rsidR="00536753" w:rsidRPr="009627FD" w:rsidRDefault="00536753" w:rsidP="00CB2744">
            <w:pPr>
              <w:contextualSpacing/>
              <w:jc w:val="center"/>
              <w:rPr>
                <w:lang w:val="en-US"/>
              </w:rPr>
            </w:pPr>
          </w:p>
        </w:tc>
        <w:tc>
          <w:tcPr>
            <w:tcW w:w="851" w:type="dxa"/>
          </w:tcPr>
          <w:p w14:paraId="43E70411" w14:textId="77777777" w:rsidR="00536753" w:rsidRPr="009627FD" w:rsidRDefault="00536753" w:rsidP="00CB2744">
            <w:pPr>
              <w:contextualSpacing/>
              <w:jc w:val="center"/>
              <w:rPr>
                <w:lang w:val="en-US"/>
              </w:rPr>
            </w:pPr>
          </w:p>
        </w:tc>
        <w:tc>
          <w:tcPr>
            <w:tcW w:w="1553" w:type="dxa"/>
          </w:tcPr>
          <w:p w14:paraId="1093CE2E" w14:textId="77777777" w:rsidR="00536753" w:rsidRPr="009627FD" w:rsidRDefault="00536753" w:rsidP="00CB2744">
            <w:pPr>
              <w:contextualSpacing/>
              <w:jc w:val="center"/>
              <w:rPr>
                <w:lang w:val="en-US"/>
              </w:rPr>
            </w:pPr>
            <w:r w:rsidRPr="009627FD">
              <w:rPr>
                <w:lang w:val="en-US"/>
              </w:rPr>
              <w:t>-.53</w:t>
            </w:r>
          </w:p>
        </w:tc>
        <w:tc>
          <w:tcPr>
            <w:tcW w:w="1412" w:type="dxa"/>
          </w:tcPr>
          <w:p w14:paraId="11597190" w14:textId="77777777" w:rsidR="00536753" w:rsidRPr="009627FD" w:rsidRDefault="00536753" w:rsidP="00CB2744">
            <w:pPr>
              <w:contextualSpacing/>
              <w:jc w:val="center"/>
              <w:rPr>
                <w:lang w:val="en-US"/>
              </w:rPr>
            </w:pPr>
            <w:r w:rsidRPr="009627FD">
              <w:rPr>
                <w:lang w:val="en-US"/>
              </w:rPr>
              <w:t>2.58</w:t>
            </w:r>
          </w:p>
        </w:tc>
      </w:tr>
      <w:tr w:rsidR="00536753" w:rsidRPr="009627FD" w14:paraId="23782407" w14:textId="77777777" w:rsidTr="00CB2744">
        <w:tc>
          <w:tcPr>
            <w:tcW w:w="5297" w:type="dxa"/>
            <w:tcBorders>
              <w:bottom w:val="single" w:sz="4" w:space="0" w:color="auto"/>
            </w:tcBorders>
          </w:tcPr>
          <w:p w14:paraId="03961DA5" w14:textId="21A8A871" w:rsidR="00536753" w:rsidRPr="009627FD" w:rsidRDefault="00536753" w:rsidP="00CB2744">
            <w:pPr>
              <w:contextualSpacing/>
              <w:rPr>
                <w:lang w:val="en-US"/>
              </w:rPr>
            </w:pPr>
            <w:r w:rsidRPr="009627FD">
              <w:rPr>
                <w:lang w:val="en-US"/>
              </w:rPr>
              <w:t xml:space="preserve">FCV-19-Fear of </w:t>
            </w:r>
            <w:r w:rsidR="00580BDB" w:rsidRPr="009627FD">
              <w:rPr>
                <w:lang w:val="en-US"/>
              </w:rPr>
              <w:t>COVID</w:t>
            </w:r>
            <w:r w:rsidR="008746AA" w:rsidRPr="009627FD">
              <w:rPr>
                <w:lang w:val="en-US"/>
              </w:rPr>
              <w:t>-19</w:t>
            </w:r>
          </w:p>
        </w:tc>
        <w:tc>
          <w:tcPr>
            <w:tcW w:w="1023" w:type="dxa"/>
            <w:tcBorders>
              <w:bottom w:val="single" w:sz="4" w:space="0" w:color="auto"/>
            </w:tcBorders>
          </w:tcPr>
          <w:p w14:paraId="30FBFBAA" w14:textId="77777777" w:rsidR="00536753" w:rsidRPr="009627FD" w:rsidRDefault="00536753" w:rsidP="00CB2744">
            <w:pPr>
              <w:contextualSpacing/>
              <w:jc w:val="center"/>
              <w:rPr>
                <w:lang w:val="en-US"/>
              </w:rPr>
            </w:pPr>
            <w:r w:rsidRPr="009627FD">
              <w:rPr>
                <w:lang w:val="en-US"/>
              </w:rPr>
              <w:t>.42</w:t>
            </w:r>
          </w:p>
        </w:tc>
        <w:tc>
          <w:tcPr>
            <w:tcW w:w="1255" w:type="dxa"/>
            <w:tcBorders>
              <w:bottom w:val="single" w:sz="4" w:space="0" w:color="auto"/>
            </w:tcBorders>
          </w:tcPr>
          <w:p w14:paraId="4DF26F7D" w14:textId="77777777" w:rsidR="00536753" w:rsidRPr="009627FD" w:rsidRDefault="00536753" w:rsidP="00CB2744">
            <w:pPr>
              <w:contextualSpacing/>
              <w:jc w:val="center"/>
              <w:rPr>
                <w:lang w:val="en-US"/>
              </w:rPr>
            </w:pPr>
            <w:r w:rsidRPr="009627FD">
              <w:rPr>
                <w:lang w:val="en-US"/>
              </w:rPr>
              <w:t>.07</w:t>
            </w:r>
          </w:p>
        </w:tc>
        <w:tc>
          <w:tcPr>
            <w:tcW w:w="849" w:type="dxa"/>
            <w:tcBorders>
              <w:bottom w:val="single" w:sz="4" w:space="0" w:color="auto"/>
            </w:tcBorders>
          </w:tcPr>
          <w:p w14:paraId="68ABFA3B" w14:textId="77777777" w:rsidR="00536753" w:rsidRPr="009627FD" w:rsidRDefault="00536753" w:rsidP="00CB2744">
            <w:pPr>
              <w:contextualSpacing/>
              <w:jc w:val="center"/>
              <w:rPr>
                <w:lang w:val="en-US"/>
              </w:rPr>
            </w:pPr>
            <w:r w:rsidRPr="009627FD">
              <w:rPr>
                <w:lang w:val="en-US"/>
              </w:rPr>
              <w:t>.29**</w:t>
            </w:r>
          </w:p>
        </w:tc>
        <w:tc>
          <w:tcPr>
            <w:tcW w:w="991" w:type="dxa"/>
            <w:tcBorders>
              <w:bottom w:val="single" w:sz="4" w:space="0" w:color="auto"/>
            </w:tcBorders>
          </w:tcPr>
          <w:p w14:paraId="28AB91E3" w14:textId="77777777" w:rsidR="00536753" w:rsidRPr="009627FD" w:rsidRDefault="00536753" w:rsidP="00CB2744">
            <w:pPr>
              <w:contextualSpacing/>
              <w:jc w:val="center"/>
              <w:rPr>
                <w:lang w:val="en-US"/>
              </w:rPr>
            </w:pPr>
            <w:r w:rsidRPr="009627FD">
              <w:rPr>
                <w:lang w:val="en-US"/>
              </w:rPr>
              <w:t>6.04</w:t>
            </w:r>
          </w:p>
        </w:tc>
        <w:tc>
          <w:tcPr>
            <w:tcW w:w="708" w:type="dxa"/>
            <w:tcBorders>
              <w:bottom w:val="single" w:sz="4" w:space="0" w:color="auto"/>
            </w:tcBorders>
          </w:tcPr>
          <w:p w14:paraId="59086CE2" w14:textId="77777777" w:rsidR="00536753" w:rsidRPr="009627FD" w:rsidRDefault="00536753" w:rsidP="00CB2744">
            <w:pPr>
              <w:contextualSpacing/>
              <w:jc w:val="center"/>
              <w:rPr>
                <w:lang w:val="en-US"/>
              </w:rPr>
            </w:pPr>
          </w:p>
        </w:tc>
        <w:tc>
          <w:tcPr>
            <w:tcW w:w="693" w:type="dxa"/>
            <w:tcBorders>
              <w:bottom w:val="single" w:sz="4" w:space="0" w:color="auto"/>
            </w:tcBorders>
          </w:tcPr>
          <w:p w14:paraId="3345F584" w14:textId="77777777" w:rsidR="00536753" w:rsidRPr="009627FD" w:rsidRDefault="00536753" w:rsidP="00CB2744">
            <w:pPr>
              <w:contextualSpacing/>
              <w:jc w:val="center"/>
              <w:rPr>
                <w:lang w:val="en-US"/>
              </w:rPr>
            </w:pPr>
          </w:p>
        </w:tc>
        <w:tc>
          <w:tcPr>
            <w:tcW w:w="1011" w:type="dxa"/>
            <w:tcBorders>
              <w:bottom w:val="single" w:sz="4" w:space="0" w:color="auto"/>
            </w:tcBorders>
          </w:tcPr>
          <w:p w14:paraId="1DE89382" w14:textId="77777777" w:rsidR="00536753" w:rsidRPr="009627FD" w:rsidRDefault="00536753" w:rsidP="00CB2744">
            <w:pPr>
              <w:contextualSpacing/>
              <w:jc w:val="center"/>
              <w:rPr>
                <w:lang w:val="en-US"/>
              </w:rPr>
            </w:pPr>
          </w:p>
        </w:tc>
        <w:tc>
          <w:tcPr>
            <w:tcW w:w="851" w:type="dxa"/>
            <w:tcBorders>
              <w:bottom w:val="single" w:sz="4" w:space="0" w:color="auto"/>
            </w:tcBorders>
          </w:tcPr>
          <w:p w14:paraId="7E6FB1CC" w14:textId="77777777" w:rsidR="00536753" w:rsidRPr="009627FD" w:rsidRDefault="00536753" w:rsidP="00CB2744">
            <w:pPr>
              <w:contextualSpacing/>
              <w:jc w:val="center"/>
              <w:rPr>
                <w:lang w:val="en-US"/>
              </w:rPr>
            </w:pPr>
          </w:p>
        </w:tc>
        <w:tc>
          <w:tcPr>
            <w:tcW w:w="1553" w:type="dxa"/>
            <w:tcBorders>
              <w:bottom w:val="single" w:sz="4" w:space="0" w:color="auto"/>
            </w:tcBorders>
          </w:tcPr>
          <w:p w14:paraId="1E04DB91" w14:textId="77777777" w:rsidR="00536753" w:rsidRPr="009627FD" w:rsidRDefault="00536753" w:rsidP="00CB2744">
            <w:pPr>
              <w:contextualSpacing/>
              <w:jc w:val="center"/>
              <w:rPr>
                <w:lang w:val="en-US"/>
              </w:rPr>
            </w:pPr>
            <w:r w:rsidRPr="009627FD">
              <w:rPr>
                <w:lang w:val="en-US"/>
              </w:rPr>
              <w:t>.28</w:t>
            </w:r>
          </w:p>
        </w:tc>
        <w:tc>
          <w:tcPr>
            <w:tcW w:w="1412" w:type="dxa"/>
            <w:tcBorders>
              <w:bottom w:val="single" w:sz="4" w:space="0" w:color="auto"/>
            </w:tcBorders>
          </w:tcPr>
          <w:p w14:paraId="3B681847" w14:textId="77777777" w:rsidR="00536753" w:rsidRPr="009627FD" w:rsidRDefault="00536753" w:rsidP="00CB2744">
            <w:pPr>
              <w:contextualSpacing/>
              <w:jc w:val="center"/>
              <w:rPr>
                <w:lang w:val="en-US"/>
              </w:rPr>
            </w:pPr>
            <w:r w:rsidRPr="009627FD">
              <w:rPr>
                <w:lang w:val="en-US"/>
              </w:rPr>
              <w:t>.55</w:t>
            </w:r>
          </w:p>
        </w:tc>
      </w:tr>
      <w:tr w:rsidR="00536753" w:rsidRPr="009627FD" w14:paraId="67030B92" w14:textId="77777777" w:rsidTr="00CB2744">
        <w:tc>
          <w:tcPr>
            <w:tcW w:w="5297" w:type="dxa"/>
            <w:tcBorders>
              <w:top w:val="single" w:sz="4" w:space="0" w:color="auto"/>
            </w:tcBorders>
          </w:tcPr>
          <w:p w14:paraId="530AD7EA" w14:textId="77777777" w:rsidR="00536753" w:rsidRPr="009627FD" w:rsidRDefault="00536753" w:rsidP="00CB2744">
            <w:pPr>
              <w:contextualSpacing/>
              <w:rPr>
                <w:lang w:val="en-US"/>
              </w:rPr>
            </w:pPr>
            <w:r w:rsidRPr="009627FD">
              <w:rPr>
                <w:lang w:val="en-US"/>
              </w:rPr>
              <w:t>Step 5</w:t>
            </w:r>
          </w:p>
        </w:tc>
        <w:tc>
          <w:tcPr>
            <w:tcW w:w="1023" w:type="dxa"/>
            <w:tcBorders>
              <w:top w:val="single" w:sz="4" w:space="0" w:color="auto"/>
            </w:tcBorders>
          </w:tcPr>
          <w:p w14:paraId="620A0EC3" w14:textId="77777777" w:rsidR="00536753" w:rsidRPr="009627FD" w:rsidRDefault="00536753" w:rsidP="00CB2744">
            <w:pPr>
              <w:contextualSpacing/>
              <w:jc w:val="center"/>
              <w:rPr>
                <w:lang w:val="en-US"/>
              </w:rPr>
            </w:pPr>
          </w:p>
        </w:tc>
        <w:tc>
          <w:tcPr>
            <w:tcW w:w="1255" w:type="dxa"/>
            <w:tcBorders>
              <w:top w:val="single" w:sz="4" w:space="0" w:color="auto"/>
            </w:tcBorders>
          </w:tcPr>
          <w:p w14:paraId="36E5381D" w14:textId="77777777" w:rsidR="00536753" w:rsidRPr="009627FD" w:rsidRDefault="00536753" w:rsidP="00CB2744">
            <w:pPr>
              <w:contextualSpacing/>
              <w:jc w:val="center"/>
              <w:rPr>
                <w:lang w:val="en-US"/>
              </w:rPr>
            </w:pPr>
          </w:p>
        </w:tc>
        <w:tc>
          <w:tcPr>
            <w:tcW w:w="849" w:type="dxa"/>
            <w:tcBorders>
              <w:top w:val="single" w:sz="4" w:space="0" w:color="auto"/>
            </w:tcBorders>
          </w:tcPr>
          <w:p w14:paraId="12A6923F" w14:textId="77777777" w:rsidR="00536753" w:rsidRPr="009627FD" w:rsidRDefault="00536753" w:rsidP="00CB2744">
            <w:pPr>
              <w:contextualSpacing/>
              <w:jc w:val="center"/>
              <w:rPr>
                <w:lang w:val="en-US"/>
              </w:rPr>
            </w:pPr>
          </w:p>
        </w:tc>
        <w:tc>
          <w:tcPr>
            <w:tcW w:w="991" w:type="dxa"/>
            <w:tcBorders>
              <w:top w:val="single" w:sz="4" w:space="0" w:color="auto"/>
            </w:tcBorders>
          </w:tcPr>
          <w:p w14:paraId="1B4528F8" w14:textId="77777777" w:rsidR="00536753" w:rsidRPr="009627FD" w:rsidRDefault="00536753" w:rsidP="00CB2744">
            <w:pPr>
              <w:contextualSpacing/>
              <w:jc w:val="center"/>
              <w:rPr>
                <w:lang w:val="en-US"/>
              </w:rPr>
            </w:pPr>
          </w:p>
        </w:tc>
        <w:tc>
          <w:tcPr>
            <w:tcW w:w="708" w:type="dxa"/>
            <w:tcBorders>
              <w:top w:val="single" w:sz="4" w:space="0" w:color="auto"/>
            </w:tcBorders>
          </w:tcPr>
          <w:p w14:paraId="474180C5" w14:textId="77777777" w:rsidR="00536753" w:rsidRPr="009627FD" w:rsidRDefault="00536753" w:rsidP="00CB2744">
            <w:pPr>
              <w:contextualSpacing/>
              <w:jc w:val="center"/>
              <w:rPr>
                <w:lang w:val="en-US"/>
              </w:rPr>
            </w:pPr>
            <w:r w:rsidRPr="009627FD">
              <w:rPr>
                <w:lang w:val="en-US"/>
              </w:rPr>
              <w:t>.53</w:t>
            </w:r>
          </w:p>
        </w:tc>
        <w:tc>
          <w:tcPr>
            <w:tcW w:w="693" w:type="dxa"/>
            <w:tcBorders>
              <w:top w:val="single" w:sz="4" w:space="0" w:color="auto"/>
            </w:tcBorders>
          </w:tcPr>
          <w:p w14:paraId="36F5D4C4" w14:textId="77777777" w:rsidR="00536753" w:rsidRPr="009627FD" w:rsidRDefault="00536753" w:rsidP="00CB2744">
            <w:pPr>
              <w:contextualSpacing/>
              <w:jc w:val="center"/>
              <w:rPr>
                <w:lang w:val="en-US"/>
              </w:rPr>
            </w:pPr>
            <w:r w:rsidRPr="009627FD">
              <w:rPr>
                <w:lang w:val="en-US"/>
              </w:rPr>
              <w:t>.29</w:t>
            </w:r>
          </w:p>
        </w:tc>
        <w:tc>
          <w:tcPr>
            <w:tcW w:w="1011" w:type="dxa"/>
            <w:tcBorders>
              <w:top w:val="single" w:sz="4" w:space="0" w:color="auto"/>
            </w:tcBorders>
          </w:tcPr>
          <w:p w14:paraId="0FF03CD2" w14:textId="77777777" w:rsidR="00536753" w:rsidRPr="009627FD" w:rsidRDefault="00536753" w:rsidP="00CB2744">
            <w:pPr>
              <w:contextualSpacing/>
              <w:jc w:val="center"/>
              <w:rPr>
                <w:lang w:val="en-US"/>
              </w:rPr>
            </w:pPr>
            <w:r w:rsidRPr="009627FD">
              <w:rPr>
                <w:lang w:val="en-US"/>
              </w:rPr>
              <w:t>.27</w:t>
            </w:r>
          </w:p>
        </w:tc>
        <w:tc>
          <w:tcPr>
            <w:tcW w:w="851" w:type="dxa"/>
            <w:tcBorders>
              <w:top w:val="single" w:sz="4" w:space="0" w:color="auto"/>
            </w:tcBorders>
          </w:tcPr>
          <w:p w14:paraId="0E5A010F" w14:textId="77777777" w:rsidR="00536753" w:rsidRPr="009627FD" w:rsidRDefault="00536753" w:rsidP="00CB2744">
            <w:pPr>
              <w:contextualSpacing/>
              <w:jc w:val="center"/>
              <w:rPr>
                <w:lang w:val="en-US"/>
              </w:rPr>
            </w:pPr>
            <w:r w:rsidRPr="009627FD">
              <w:rPr>
                <w:lang w:val="en-US"/>
              </w:rPr>
              <w:t>.007</w:t>
            </w:r>
          </w:p>
        </w:tc>
        <w:tc>
          <w:tcPr>
            <w:tcW w:w="1553" w:type="dxa"/>
            <w:tcBorders>
              <w:top w:val="single" w:sz="4" w:space="0" w:color="auto"/>
            </w:tcBorders>
          </w:tcPr>
          <w:p w14:paraId="2DE75BD7" w14:textId="77777777" w:rsidR="00536753" w:rsidRPr="009627FD" w:rsidRDefault="00536753" w:rsidP="00CB2744">
            <w:pPr>
              <w:contextualSpacing/>
              <w:jc w:val="center"/>
              <w:rPr>
                <w:lang w:val="en-US"/>
              </w:rPr>
            </w:pPr>
          </w:p>
        </w:tc>
        <w:tc>
          <w:tcPr>
            <w:tcW w:w="1412" w:type="dxa"/>
            <w:tcBorders>
              <w:top w:val="single" w:sz="4" w:space="0" w:color="auto"/>
            </w:tcBorders>
          </w:tcPr>
          <w:p w14:paraId="1FBB1435" w14:textId="77777777" w:rsidR="00536753" w:rsidRPr="009627FD" w:rsidRDefault="00536753" w:rsidP="00CB2744">
            <w:pPr>
              <w:contextualSpacing/>
              <w:jc w:val="center"/>
              <w:rPr>
                <w:lang w:val="en-US"/>
              </w:rPr>
            </w:pPr>
          </w:p>
        </w:tc>
      </w:tr>
      <w:tr w:rsidR="00536753" w:rsidRPr="009627FD" w14:paraId="7C09B5A1" w14:textId="77777777" w:rsidTr="00CB2744">
        <w:tc>
          <w:tcPr>
            <w:tcW w:w="5297" w:type="dxa"/>
          </w:tcPr>
          <w:p w14:paraId="7ADFC377" w14:textId="77777777" w:rsidR="00536753" w:rsidRPr="009627FD" w:rsidRDefault="00536753" w:rsidP="00CB2744">
            <w:pPr>
              <w:contextualSpacing/>
              <w:rPr>
                <w:lang w:val="en-US"/>
              </w:rPr>
            </w:pPr>
            <w:r w:rsidRPr="009627FD">
              <w:rPr>
                <w:lang w:val="en-US"/>
              </w:rPr>
              <w:lastRenderedPageBreak/>
              <w:t>Age</w:t>
            </w:r>
          </w:p>
        </w:tc>
        <w:tc>
          <w:tcPr>
            <w:tcW w:w="1023" w:type="dxa"/>
          </w:tcPr>
          <w:p w14:paraId="755AADDA" w14:textId="77777777" w:rsidR="00536753" w:rsidRPr="009627FD" w:rsidRDefault="00536753" w:rsidP="00CB2744">
            <w:pPr>
              <w:contextualSpacing/>
              <w:jc w:val="center"/>
              <w:rPr>
                <w:lang w:val="en-US"/>
              </w:rPr>
            </w:pPr>
            <w:r w:rsidRPr="009627FD">
              <w:rPr>
                <w:lang w:val="en-US"/>
              </w:rPr>
              <w:t>-.02</w:t>
            </w:r>
          </w:p>
        </w:tc>
        <w:tc>
          <w:tcPr>
            <w:tcW w:w="1255" w:type="dxa"/>
          </w:tcPr>
          <w:p w14:paraId="32CC8DB1" w14:textId="77777777" w:rsidR="00536753" w:rsidRPr="009627FD" w:rsidRDefault="00536753" w:rsidP="00CB2744">
            <w:pPr>
              <w:contextualSpacing/>
              <w:jc w:val="center"/>
              <w:rPr>
                <w:lang w:val="en-US"/>
              </w:rPr>
            </w:pPr>
            <w:r w:rsidRPr="009627FD">
              <w:rPr>
                <w:lang w:val="en-US"/>
              </w:rPr>
              <w:t>.03</w:t>
            </w:r>
          </w:p>
        </w:tc>
        <w:tc>
          <w:tcPr>
            <w:tcW w:w="849" w:type="dxa"/>
          </w:tcPr>
          <w:p w14:paraId="6C647EC3" w14:textId="77777777" w:rsidR="00536753" w:rsidRPr="009627FD" w:rsidRDefault="00536753" w:rsidP="00CB2744">
            <w:pPr>
              <w:contextualSpacing/>
              <w:jc w:val="center"/>
              <w:rPr>
                <w:lang w:val="en-US"/>
              </w:rPr>
            </w:pPr>
            <w:r w:rsidRPr="009627FD">
              <w:rPr>
                <w:lang w:val="en-US"/>
              </w:rPr>
              <w:t>-.03</w:t>
            </w:r>
          </w:p>
        </w:tc>
        <w:tc>
          <w:tcPr>
            <w:tcW w:w="991" w:type="dxa"/>
          </w:tcPr>
          <w:p w14:paraId="665FF945" w14:textId="77777777" w:rsidR="00536753" w:rsidRPr="009627FD" w:rsidRDefault="00536753" w:rsidP="00CB2744">
            <w:pPr>
              <w:contextualSpacing/>
              <w:jc w:val="center"/>
              <w:rPr>
                <w:lang w:val="en-US"/>
              </w:rPr>
            </w:pPr>
            <w:r w:rsidRPr="009627FD">
              <w:rPr>
                <w:lang w:val="en-US"/>
              </w:rPr>
              <w:t>-.72</w:t>
            </w:r>
          </w:p>
        </w:tc>
        <w:tc>
          <w:tcPr>
            <w:tcW w:w="708" w:type="dxa"/>
          </w:tcPr>
          <w:p w14:paraId="0AEAC4C8" w14:textId="77777777" w:rsidR="00536753" w:rsidRPr="009627FD" w:rsidRDefault="00536753" w:rsidP="00CB2744">
            <w:pPr>
              <w:contextualSpacing/>
              <w:jc w:val="center"/>
              <w:rPr>
                <w:lang w:val="en-US"/>
              </w:rPr>
            </w:pPr>
          </w:p>
        </w:tc>
        <w:tc>
          <w:tcPr>
            <w:tcW w:w="693" w:type="dxa"/>
          </w:tcPr>
          <w:p w14:paraId="6B8BD1AB" w14:textId="77777777" w:rsidR="00536753" w:rsidRPr="009627FD" w:rsidRDefault="00536753" w:rsidP="00CB2744">
            <w:pPr>
              <w:contextualSpacing/>
              <w:jc w:val="center"/>
              <w:rPr>
                <w:lang w:val="en-US"/>
              </w:rPr>
            </w:pPr>
          </w:p>
        </w:tc>
        <w:tc>
          <w:tcPr>
            <w:tcW w:w="1011" w:type="dxa"/>
          </w:tcPr>
          <w:p w14:paraId="6DF782FB" w14:textId="77777777" w:rsidR="00536753" w:rsidRPr="009627FD" w:rsidRDefault="00536753" w:rsidP="00CB2744">
            <w:pPr>
              <w:contextualSpacing/>
              <w:jc w:val="center"/>
              <w:rPr>
                <w:lang w:val="en-US"/>
              </w:rPr>
            </w:pPr>
          </w:p>
        </w:tc>
        <w:tc>
          <w:tcPr>
            <w:tcW w:w="851" w:type="dxa"/>
          </w:tcPr>
          <w:p w14:paraId="4B68CCBF" w14:textId="77777777" w:rsidR="00536753" w:rsidRPr="009627FD" w:rsidRDefault="00536753" w:rsidP="00CB2744">
            <w:pPr>
              <w:contextualSpacing/>
              <w:jc w:val="center"/>
              <w:rPr>
                <w:lang w:val="en-US"/>
              </w:rPr>
            </w:pPr>
          </w:p>
        </w:tc>
        <w:tc>
          <w:tcPr>
            <w:tcW w:w="1553" w:type="dxa"/>
          </w:tcPr>
          <w:p w14:paraId="0E839514" w14:textId="77777777" w:rsidR="00536753" w:rsidRPr="009627FD" w:rsidRDefault="00536753" w:rsidP="00CB2744">
            <w:pPr>
              <w:contextualSpacing/>
              <w:jc w:val="center"/>
              <w:rPr>
                <w:lang w:val="en-US"/>
              </w:rPr>
            </w:pPr>
            <w:r w:rsidRPr="009627FD">
              <w:rPr>
                <w:lang w:val="en-US"/>
              </w:rPr>
              <w:t>-.08</w:t>
            </w:r>
          </w:p>
        </w:tc>
        <w:tc>
          <w:tcPr>
            <w:tcW w:w="1412" w:type="dxa"/>
          </w:tcPr>
          <w:p w14:paraId="68FAE400" w14:textId="77777777" w:rsidR="00536753" w:rsidRPr="009627FD" w:rsidRDefault="00536753" w:rsidP="00CB2744">
            <w:pPr>
              <w:contextualSpacing/>
              <w:jc w:val="center"/>
              <w:rPr>
                <w:lang w:val="en-US"/>
              </w:rPr>
            </w:pPr>
            <w:r w:rsidRPr="009627FD">
              <w:rPr>
                <w:lang w:val="en-US"/>
              </w:rPr>
              <w:t>.04</w:t>
            </w:r>
          </w:p>
        </w:tc>
      </w:tr>
      <w:tr w:rsidR="00536753" w:rsidRPr="009627FD" w14:paraId="3BFCDAF3" w14:textId="77777777" w:rsidTr="00CB2744">
        <w:tc>
          <w:tcPr>
            <w:tcW w:w="5297" w:type="dxa"/>
          </w:tcPr>
          <w:p w14:paraId="1B89D554" w14:textId="77777777" w:rsidR="00536753" w:rsidRPr="009627FD" w:rsidRDefault="00536753" w:rsidP="00CB2744">
            <w:pPr>
              <w:contextualSpacing/>
              <w:rPr>
                <w:lang w:val="en-US"/>
              </w:rPr>
            </w:pPr>
            <w:r w:rsidRPr="009627FD">
              <w:rPr>
                <w:lang w:val="en-US"/>
              </w:rPr>
              <w:t>Gender</w:t>
            </w:r>
          </w:p>
        </w:tc>
        <w:tc>
          <w:tcPr>
            <w:tcW w:w="1023" w:type="dxa"/>
          </w:tcPr>
          <w:p w14:paraId="11C9CA77" w14:textId="77777777" w:rsidR="00536753" w:rsidRPr="009627FD" w:rsidRDefault="00536753" w:rsidP="00CB2744">
            <w:pPr>
              <w:contextualSpacing/>
              <w:jc w:val="center"/>
              <w:rPr>
                <w:lang w:val="en-US"/>
              </w:rPr>
            </w:pPr>
            <w:r w:rsidRPr="009627FD">
              <w:rPr>
                <w:lang w:val="en-US"/>
              </w:rPr>
              <w:t>.41</w:t>
            </w:r>
          </w:p>
        </w:tc>
        <w:tc>
          <w:tcPr>
            <w:tcW w:w="1255" w:type="dxa"/>
          </w:tcPr>
          <w:p w14:paraId="0568EDA2" w14:textId="77777777" w:rsidR="00536753" w:rsidRPr="009627FD" w:rsidRDefault="00536753" w:rsidP="00CB2744">
            <w:pPr>
              <w:contextualSpacing/>
              <w:jc w:val="center"/>
              <w:rPr>
                <w:lang w:val="en-US"/>
              </w:rPr>
            </w:pPr>
            <w:r w:rsidRPr="009627FD">
              <w:rPr>
                <w:lang w:val="en-US"/>
              </w:rPr>
              <w:t>.84</w:t>
            </w:r>
          </w:p>
        </w:tc>
        <w:tc>
          <w:tcPr>
            <w:tcW w:w="849" w:type="dxa"/>
          </w:tcPr>
          <w:p w14:paraId="25710E62" w14:textId="77777777" w:rsidR="00536753" w:rsidRPr="009627FD" w:rsidRDefault="00536753" w:rsidP="00CB2744">
            <w:pPr>
              <w:contextualSpacing/>
              <w:jc w:val="center"/>
              <w:rPr>
                <w:lang w:val="en-US"/>
              </w:rPr>
            </w:pPr>
            <w:r w:rsidRPr="009627FD">
              <w:rPr>
                <w:lang w:val="en-US"/>
              </w:rPr>
              <w:t>.02</w:t>
            </w:r>
          </w:p>
        </w:tc>
        <w:tc>
          <w:tcPr>
            <w:tcW w:w="991" w:type="dxa"/>
          </w:tcPr>
          <w:p w14:paraId="7D4197B8" w14:textId="77777777" w:rsidR="00536753" w:rsidRPr="009627FD" w:rsidRDefault="00536753" w:rsidP="00CB2744">
            <w:pPr>
              <w:contextualSpacing/>
              <w:jc w:val="center"/>
              <w:rPr>
                <w:lang w:val="en-US"/>
              </w:rPr>
            </w:pPr>
            <w:r w:rsidRPr="009627FD">
              <w:rPr>
                <w:lang w:val="en-US"/>
              </w:rPr>
              <w:t>.48</w:t>
            </w:r>
          </w:p>
        </w:tc>
        <w:tc>
          <w:tcPr>
            <w:tcW w:w="708" w:type="dxa"/>
          </w:tcPr>
          <w:p w14:paraId="5866710B" w14:textId="77777777" w:rsidR="00536753" w:rsidRPr="009627FD" w:rsidRDefault="00536753" w:rsidP="00CB2744">
            <w:pPr>
              <w:contextualSpacing/>
              <w:jc w:val="center"/>
              <w:rPr>
                <w:lang w:val="en-US"/>
              </w:rPr>
            </w:pPr>
          </w:p>
        </w:tc>
        <w:tc>
          <w:tcPr>
            <w:tcW w:w="693" w:type="dxa"/>
          </w:tcPr>
          <w:p w14:paraId="6D0B8EEE" w14:textId="77777777" w:rsidR="00536753" w:rsidRPr="009627FD" w:rsidRDefault="00536753" w:rsidP="00CB2744">
            <w:pPr>
              <w:contextualSpacing/>
              <w:jc w:val="center"/>
              <w:rPr>
                <w:lang w:val="en-US"/>
              </w:rPr>
            </w:pPr>
          </w:p>
        </w:tc>
        <w:tc>
          <w:tcPr>
            <w:tcW w:w="1011" w:type="dxa"/>
          </w:tcPr>
          <w:p w14:paraId="6F773BCA" w14:textId="77777777" w:rsidR="00536753" w:rsidRPr="009627FD" w:rsidRDefault="00536753" w:rsidP="00CB2744">
            <w:pPr>
              <w:contextualSpacing/>
              <w:jc w:val="center"/>
              <w:rPr>
                <w:lang w:val="en-US"/>
              </w:rPr>
            </w:pPr>
          </w:p>
        </w:tc>
        <w:tc>
          <w:tcPr>
            <w:tcW w:w="851" w:type="dxa"/>
          </w:tcPr>
          <w:p w14:paraId="4C3DB3FC" w14:textId="77777777" w:rsidR="00536753" w:rsidRPr="009627FD" w:rsidRDefault="00536753" w:rsidP="00CB2744">
            <w:pPr>
              <w:contextualSpacing/>
              <w:jc w:val="center"/>
              <w:rPr>
                <w:lang w:val="en-US"/>
              </w:rPr>
            </w:pPr>
          </w:p>
        </w:tc>
        <w:tc>
          <w:tcPr>
            <w:tcW w:w="1553" w:type="dxa"/>
          </w:tcPr>
          <w:p w14:paraId="762EB145" w14:textId="77777777" w:rsidR="00536753" w:rsidRPr="009627FD" w:rsidRDefault="00536753" w:rsidP="00CB2744">
            <w:pPr>
              <w:contextualSpacing/>
              <w:jc w:val="center"/>
              <w:rPr>
                <w:lang w:val="en-US"/>
              </w:rPr>
            </w:pPr>
            <w:r w:rsidRPr="009627FD">
              <w:rPr>
                <w:lang w:val="en-US"/>
              </w:rPr>
              <w:t>-1.24</w:t>
            </w:r>
          </w:p>
        </w:tc>
        <w:tc>
          <w:tcPr>
            <w:tcW w:w="1412" w:type="dxa"/>
          </w:tcPr>
          <w:p w14:paraId="7853A564" w14:textId="77777777" w:rsidR="00536753" w:rsidRPr="009627FD" w:rsidRDefault="00536753" w:rsidP="00CB2744">
            <w:pPr>
              <w:contextualSpacing/>
              <w:jc w:val="center"/>
              <w:rPr>
                <w:lang w:val="en-US"/>
              </w:rPr>
            </w:pPr>
            <w:r w:rsidRPr="009627FD">
              <w:rPr>
                <w:lang w:val="en-US"/>
              </w:rPr>
              <w:t>2.06</w:t>
            </w:r>
          </w:p>
        </w:tc>
      </w:tr>
      <w:tr w:rsidR="00536753" w:rsidRPr="009627FD" w14:paraId="3E6A449B" w14:textId="77777777" w:rsidTr="00CB2744">
        <w:tc>
          <w:tcPr>
            <w:tcW w:w="5297" w:type="dxa"/>
          </w:tcPr>
          <w:p w14:paraId="6E686C39" w14:textId="77777777" w:rsidR="00536753" w:rsidRPr="009627FD" w:rsidRDefault="00536753" w:rsidP="00CB2744">
            <w:pPr>
              <w:contextualSpacing/>
              <w:rPr>
                <w:lang w:val="en-US"/>
              </w:rPr>
            </w:pPr>
            <w:r w:rsidRPr="009627FD">
              <w:rPr>
                <w:lang w:val="en-US"/>
              </w:rPr>
              <w:t>BFI-10-Agreeableness</w:t>
            </w:r>
          </w:p>
        </w:tc>
        <w:tc>
          <w:tcPr>
            <w:tcW w:w="1023" w:type="dxa"/>
          </w:tcPr>
          <w:p w14:paraId="370CBFA4" w14:textId="77777777" w:rsidR="00536753" w:rsidRPr="009627FD" w:rsidRDefault="00536753" w:rsidP="00CB2744">
            <w:pPr>
              <w:contextualSpacing/>
              <w:jc w:val="center"/>
              <w:rPr>
                <w:lang w:val="en-US"/>
              </w:rPr>
            </w:pPr>
            <w:r w:rsidRPr="009627FD">
              <w:rPr>
                <w:lang w:val="en-US"/>
              </w:rPr>
              <w:t>-.34</w:t>
            </w:r>
          </w:p>
        </w:tc>
        <w:tc>
          <w:tcPr>
            <w:tcW w:w="1255" w:type="dxa"/>
          </w:tcPr>
          <w:p w14:paraId="7F20D702" w14:textId="77777777" w:rsidR="00536753" w:rsidRPr="009627FD" w:rsidRDefault="00536753" w:rsidP="00CB2744">
            <w:pPr>
              <w:contextualSpacing/>
              <w:jc w:val="center"/>
              <w:rPr>
                <w:lang w:val="en-US"/>
              </w:rPr>
            </w:pPr>
            <w:r w:rsidRPr="009627FD">
              <w:rPr>
                <w:lang w:val="en-US"/>
              </w:rPr>
              <w:t>.21</w:t>
            </w:r>
          </w:p>
        </w:tc>
        <w:tc>
          <w:tcPr>
            <w:tcW w:w="849" w:type="dxa"/>
          </w:tcPr>
          <w:p w14:paraId="29E55F2A" w14:textId="77777777" w:rsidR="00536753" w:rsidRPr="009627FD" w:rsidRDefault="00536753" w:rsidP="00CB2744">
            <w:pPr>
              <w:contextualSpacing/>
              <w:rPr>
                <w:lang w:val="en-US"/>
              </w:rPr>
            </w:pPr>
            <w:r w:rsidRPr="009627FD">
              <w:rPr>
                <w:lang w:val="en-US"/>
              </w:rPr>
              <w:t>-.07</w:t>
            </w:r>
          </w:p>
        </w:tc>
        <w:tc>
          <w:tcPr>
            <w:tcW w:w="991" w:type="dxa"/>
          </w:tcPr>
          <w:p w14:paraId="5F80966A" w14:textId="77777777" w:rsidR="00536753" w:rsidRPr="009627FD" w:rsidRDefault="00536753" w:rsidP="00CB2744">
            <w:pPr>
              <w:contextualSpacing/>
              <w:rPr>
                <w:lang w:val="en-US"/>
              </w:rPr>
            </w:pPr>
            <w:r w:rsidRPr="009627FD">
              <w:rPr>
                <w:lang w:val="en-US"/>
              </w:rPr>
              <w:t>-1.59</w:t>
            </w:r>
          </w:p>
        </w:tc>
        <w:tc>
          <w:tcPr>
            <w:tcW w:w="708" w:type="dxa"/>
          </w:tcPr>
          <w:p w14:paraId="63173746" w14:textId="77777777" w:rsidR="00536753" w:rsidRPr="009627FD" w:rsidRDefault="00536753" w:rsidP="00CB2744">
            <w:pPr>
              <w:contextualSpacing/>
              <w:jc w:val="center"/>
              <w:rPr>
                <w:lang w:val="en-US"/>
              </w:rPr>
            </w:pPr>
          </w:p>
        </w:tc>
        <w:tc>
          <w:tcPr>
            <w:tcW w:w="693" w:type="dxa"/>
          </w:tcPr>
          <w:p w14:paraId="0CB05F4F" w14:textId="77777777" w:rsidR="00536753" w:rsidRPr="009627FD" w:rsidRDefault="00536753" w:rsidP="00CB2744">
            <w:pPr>
              <w:contextualSpacing/>
              <w:jc w:val="center"/>
              <w:rPr>
                <w:lang w:val="en-US"/>
              </w:rPr>
            </w:pPr>
          </w:p>
        </w:tc>
        <w:tc>
          <w:tcPr>
            <w:tcW w:w="1011" w:type="dxa"/>
          </w:tcPr>
          <w:p w14:paraId="65451C3C" w14:textId="77777777" w:rsidR="00536753" w:rsidRPr="009627FD" w:rsidRDefault="00536753" w:rsidP="00CB2744">
            <w:pPr>
              <w:contextualSpacing/>
              <w:jc w:val="center"/>
              <w:rPr>
                <w:lang w:val="en-US"/>
              </w:rPr>
            </w:pPr>
          </w:p>
        </w:tc>
        <w:tc>
          <w:tcPr>
            <w:tcW w:w="851" w:type="dxa"/>
          </w:tcPr>
          <w:p w14:paraId="27590F07" w14:textId="77777777" w:rsidR="00536753" w:rsidRPr="009627FD" w:rsidRDefault="00536753" w:rsidP="00CB2744">
            <w:pPr>
              <w:contextualSpacing/>
              <w:jc w:val="center"/>
              <w:rPr>
                <w:lang w:val="en-US"/>
              </w:rPr>
            </w:pPr>
          </w:p>
        </w:tc>
        <w:tc>
          <w:tcPr>
            <w:tcW w:w="1553" w:type="dxa"/>
          </w:tcPr>
          <w:p w14:paraId="1EA2423B" w14:textId="77777777" w:rsidR="00536753" w:rsidRPr="009627FD" w:rsidRDefault="00536753" w:rsidP="00CB2744">
            <w:pPr>
              <w:contextualSpacing/>
              <w:jc w:val="center"/>
              <w:rPr>
                <w:lang w:val="en-US"/>
              </w:rPr>
            </w:pPr>
            <w:r w:rsidRPr="009627FD">
              <w:rPr>
                <w:lang w:val="en-US"/>
              </w:rPr>
              <w:t>-.76</w:t>
            </w:r>
          </w:p>
        </w:tc>
        <w:tc>
          <w:tcPr>
            <w:tcW w:w="1412" w:type="dxa"/>
          </w:tcPr>
          <w:p w14:paraId="51D39E3C" w14:textId="77777777" w:rsidR="00536753" w:rsidRPr="009627FD" w:rsidRDefault="00536753" w:rsidP="00CB2744">
            <w:pPr>
              <w:contextualSpacing/>
              <w:jc w:val="center"/>
              <w:rPr>
                <w:lang w:val="en-US"/>
              </w:rPr>
            </w:pPr>
            <w:r w:rsidRPr="009627FD">
              <w:rPr>
                <w:lang w:val="en-US"/>
              </w:rPr>
              <w:t>.08</w:t>
            </w:r>
          </w:p>
        </w:tc>
      </w:tr>
      <w:tr w:rsidR="00536753" w:rsidRPr="009627FD" w14:paraId="58257A34" w14:textId="77777777" w:rsidTr="00CB2744">
        <w:tc>
          <w:tcPr>
            <w:tcW w:w="5297" w:type="dxa"/>
          </w:tcPr>
          <w:p w14:paraId="0DD6BBDD" w14:textId="77777777" w:rsidR="00536753" w:rsidRPr="009627FD" w:rsidRDefault="00536753" w:rsidP="00CB2744">
            <w:pPr>
              <w:contextualSpacing/>
              <w:rPr>
                <w:lang w:val="en-US"/>
              </w:rPr>
            </w:pPr>
            <w:r w:rsidRPr="009627FD">
              <w:rPr>
                <w:lang w:val="en-US"/>
              </w:rPr>
              <w:t>BFI-10-Conscientiousness</w:t>
            </w:r>
          </w:p>
        </w:tc>
        <w:tc>
          <w:tcPr>
            <w:tcW w:w="1023" w:type="dxa"/>
          </w:tcPr>
          <w:p w14:paraId="01F1C0B1" w14:textId="77777777" w:rsidR="00536753" w:rsidRPr="009627FD" w:rsidRDefault="00536753" w:rsidP="00CB2744">
            <w:pPr>
              <w:contextualSpacing/>
              <w:jc w:val="center"/>
              <w:rPr>
                <w:lang w:val="en-US"/>
              </w:rPr>
            </w:pPr>
            <w:r w:rsidRPr="009627FD">
              <w:rPr>
                <w:lang w:val="en-US"/>
              </w:rPr>
              <w:t>-.89</w:t>
            </w:r>
          </w:p>
        </w:tc>
        <w:tc>
          <w:tcPr>
            <w:tcW w:w="1255" w:type="dxa"/>
          </w:tcPr>
          <w:p w14:paraId="3279EAA4" w14:textId="77777777" w:rsidR="00536753" w:rsidRPr="009627FD" w:rsidRDefault="00536753" w:rsidP="00CB2744">
            <w:pPr>
              <w:contextualSpacing/>
              <w:jc w:val="center"/>
              <w:rPr>
                <w:lang w:val="en-US"/>
              </w:rPr>
            </w:pPr>
            <w:r w:rsidRPr="009627FD">
              <w:rPr>
                <w:lang w:val="en-US"/>
              </w:rPr>
              <w:t>.23</w:t>
            </w:r>
          </w:p>
        </w:tc>
        <w:tc>
          <w:tcPr>
            <w:tcW w:w="849" w:type="dxa"/>
          </w:tcPr>
          <w:p w14:paraId="0A2B7318" w14:textId="77777777" w:rsidR="00536753" w:rsidRPr="009627FD" w:rsidRDefault="00536753" w:rsidP="00CB2744">
            <w:pPr>
              <w:contextualSpacing/>
              <w:jc w:val="center"/>
              <w:rPr>
                <w:lang w:val="en-US"/>
              </w:rPr>
            </w:pPr>
            <w:r w:rsidRPr="009627FD">
              <w:rPr>
                <w:lang w:val="en-US"/>
              </w:rPr>
              <w:t>-.16**</w:t>
            </w:r>
          </w:p>
        </w:tc>
        <w:tc>
          <w:tcPr>
            <w:tcW w:w="991" w:type="dxa"/>
          </w:tcPr>
          <w:p w14:paraId="3FEB1E36" w14:textId="77777777" w:rsidR="00536753" w:rsidRPr="009627FD" w:rsidRDefault="00536753" w:rsidP="00CB2744">
            <w:pPr>
              <w:contextualSpacing/>
              <w:jc w:val="center"/>
              <w:rPr>
                <w:lang w:val="en-US"/>
              </w:rPr>
            </w:pPr>
            <w:r w:rsidRPr="009627FD">
              <w:rPr>
                <w:lang w:val="en-US"/>
              </w:rPr>
              <w:t>-3.82</w:t>
            </w:r>
          </w:p>
        </w:tc>
        <w:tc>
          <w:tcPr>
            <w:tcW w:w="708" w:type="dxa"/>
          </w:tcPr>
          <w:p w14:paraId="39F2C3D3" w14:textId="77777777" w:rsidR="00536753" w:rsidRPr="009627FD" w:rsidRDefault="00536753" w:rsidP="00CB2744">
            <w:pPr>
              <w:contextualSpacing/>
              <w:jc w:val="center"/>
              <w:rPr>
                <w:lang w:val="en-US"/>
              </w:rPr>
            </w:pPr>
          </w:p>
        </w:tc>
        <w:tc>
          <w:tcPr>
            <w:tcW w:w="693" w:type="dxa"/>
          </w:tcPr>
          <w:p w14:paraId="314F570F" w14:textId="77777777" w:rsidR="00536753" w:rsidRPr="009627FD" w:rsidRDefault="00536753" w:rsidP="00CB2744">
            <w:pPr>
              <w:contextualSpacing/>
              <w:jc w:val="center"/>
              <w:rPr>
                <w:lang w:val="en-US"/>
              </w:rPr>
            </w:pPr>
          </w:p>
        </w:tc>
        <w:tc>
          <w:tcPr>
            <w:tcW w:w="1011" w:type="dxa"/>
          </w:tcPr>
          <w:p w14:paraId="4BCBB962" w14:textId="77777777" w:rsidR="00536753" w:rsidRPr="009627FD" w:rsidRDefault="00536753" w:rsidP="00CB2744">
            <w:pPr>
              <w:contextualSpacing/>
              <w:jc w:val="center"/>
              <w:rPr>
                <w:lang w:val="en-US"/>
              </w:rPr>
            </w:pPr>
          </w:p>
        </w:tc>
        <w:tc>
          <w:tcPr>
            <w:tcW w:w="851" w:type="dxa"/>
          </w:tcPr>
          <w:p w14:paraId="6193C3C2" w14:textId="77777777" w:rsidR="00536753" w:rsidRPr="009627FD" w:rsidRDefault="00536753" w:rsidP="00CB2744">
            <w:pPr>
              <w:contextualSpacing/>
              <w:jc w:val="center"/>
              <w:rPr>
                <w:lang w:val="en-US"/>
              </w:rPr>
            </w:pPr>
          </w:p>
        </w:tc>
        <w:tc>
          <w:tcPr>
            <w:tcW w:w="1553" w:type="dxa"/>
          </w:tcPr>
          <w:p w14:paraId="7CC9DD89" w14:textId="77777777" w:rsidR="00536753" w:rsidRPr="009627FD" w:rsidRDefault="00536753" w:rsidP="00CB2744">
            <w:pPr>
              <w:contextualSpacing/>
              <w:jc w:val="center"/>
              <w:rPr>
                <w:lang w:val="en-US"/>
              </w:rPr>
            </w:pPr>
            <w:r w:rsidRPr="009627FD">
              <w:rPr>
                <w:lang w:val="en-US"/>
              </w:rPr>
              <w:t>-1.35</w:t>
            </w:r>
          </w:p>
        </w:tc>
        <w:tc>
          <w:tcPr>
            <w:tcW w:w="1412" w:type="dxa"/>
          </w:tcPr>
          <w:p w14:paraId="6744DED5" w14:textId="77777777" w:rsidR="00536753" w:rsidRPr="009627FD" w:rsidRDefault="00536753" w:rsidP="00CB2744">
            <w:pPr>
              <w:contextualSpacing/>
              <w:jc w:val="center"/>
              <w:rPr>
                <w:lang w:val="en-US"/>
              </w:rPr>
            </w:pPr>
            <w:r w:rsidRPr="009627FD">
              <w:rPr>
                <w:lang w:val="en-US"/>
              </w:rPr>
              <w:t>-.43</w:t>
            </w:r>
          </w:p>
        </w:tc>
      </w:tr>
      <w:tr w:rsidR="00536753" w:rsidRPr="009627FD" w14:paraId="6E3D0AF7" w14:textId="77777777" w:rsidTr="00CB2744">
        <w:tc>
          <w:tcPr>
            <w:tcW w:w="5297" w:type="dxa"/>
          </w:tcPr>
          <w:p w14:paraId="30CDFB27" w14:textId="77777777" w:rsidR="00536753" w:rsidRPr="009627FD" w:rsidRDefault="00536753" w:rsidP="00CB2744">
            <w:pPr>
              <w:contextualSpacing/>
              <w:rPr>
                <w:lang w:val="en-US"/>
              </w:rPr>
            </w:pPr>
            <w:r w:rsidRPr="009627FD">
              <w:rPr>
                <w:lang w:val="en-US"/>
              </w:rPr>
              <w:t>BFI-10-Emotional stability</w:t>
            </w:r>
          </w:p>
        </w:tc>
        <w:tc>
          <w:tcPr>
            <w:tcW w:w="1023" w:type="dxa"/>
          </w:tcPr>
          <w:p w14:paraId="6928CDF9" w14:textId="77777777" w:rsidR="00536753" w:rsidRPr="009627FD" w:rsidRDefault="00536753" w:rsidP="00CB2744">
            <w:pPr>
              <w:contextualSpacing/>
              <w:jc w:val="center"/>
              <w:rPr>
                <w:lang w:val="en-US"/>
              </w:rPr>
            </w:pPr>
            <w:r w:rsidRPr="009627FD">
              <w:rPr>
                <w:lang w:val="en-US"/>
              </w:rPr>
              <w:t>-.84</w:t>
            </w:r>
          </w:p>
        </w:tc>
        <w:tc>
          <w:tcPr>
            <w:tcW w:w="1255" w:type="dxa"/>
          </w:tcPr>
          <w:p w14:paraId="5D72BC3F" w14:textId="77777777" w:rsidR="00536753" w:rsidRPr="009627FD" w:rsidRDefault="00536753" w:rsidP="00CB2744">
            <w:pPr>
              <w:contextualSpacing/>
              <w:jc w:val="center"/>
              <w:rPr>
                <w:lang w:val="en-US"/>
              </w:rPr>
            </w:pPr>
            <w:r w:rsidRPr="009627FD">
              <w:rPr>
                <w:lang w:val="en-US"/>
              </w:rPr>
              <w:t>.18</w:t>
            </w:r>
          </w:p>
        </w:tc>
        <w:tc>
          <w:tcPr>
            <w:tcW w:w="849" w:type="dxa"/>
          </w:tcPr>
          <w:p w14:paraId="15ACA138" w14:textId="77777777" w:rsidR="00536753" w:rsidRPr="009627FD" w:rsidRDefault="00536753" w:rsidP="00CB2744">
            <w:pPr>
              <w:contextualSpacing/>
              <w:jc w:val="center"/>
              <w:rPr>
                <w:lang w:val="en-US"/>
              </w:rPr>
            </w:pPr>
            <w:r w:rsidRPr="009627FD">
              <w:rPr>
                <w:lang w:val="en-US"/>
              </w:rPr>
              <w:t>-.22**</w:t>
            </w:r>
          </w:p>
        </w:tc>
        <w:tc>
          <w:tcPr>
            <w:tcW w:w="991" w:type="dxa"/>
          </w:tcPr>
          <w:p w14:paraId="1AB19D24" w14:textId="77777777" w:rsidR="00536753" w:rsidRPr="009627FD" w:rsidRDefault="00536753" w:rsidP="00CB2744">
            <w:pPr>
              <w:contextualSpacing/>
              <w:jc w:val="center"/>
              <w:rPr>
                <w:lang w:val="en-US"/>
              </w:rPr>
            </w:pPr>
            <w:r w:rsidRPr="009627FD">
              <w:rPr>
                <w:lang w:val="en-US"/>
              </w:rPr>
              <w:t>-4.75</w:t>
            </w:r>
          </w:p>
        </w:tc>
        <w:tc>
          <w:tcPr>
            <w:tcW w:w="708" w:type="dxa"/>
          </w:tcPr>
          <w:p w14:paraId="2AE61F9B" w14:textId="77777777" w:rsidR="00536753" w:rsidRPr="009627FD" w:rsidRDefault="00536753" w:rsidP="00CB2744">
            <w:pPr>
              <w:contextualSpacing/>
              <w:jc w:val="center"/>
              <w:rPr>
                <w:lang w:val="en-US"/>
              </w:rPr>
            </w:pPr>
          </w:p>
        </w:tc>
        <w:tc>
          <w:tcPr>
            <w:tcW w:w="693" w:type="dxa"/>
          </w:tcPr>
          <w:p w14:paraId="5957599E" w14:textId="77777777" w:rsidR="00536753" w:rsidRPr="009627FD" w:rsidRDefault="00536753" w:rsidP="00CB2744">
            <w:pPr>
              <w:contextualSpacing/>
              <w:jc w:val="center"/>
              <w:rPr>
                <w:lang w:val="en-US"/>
              </w:rPr>
            </w:pPr>
          </w:p>
        </w:tc>
        <w:tc>
          <w:tcPr>
            <w:tcW w:w="1011" w:type="dxa"/>
          </w:tcPr>
          <w:p w14:paraId="0715FA36" w14:textId="77777777" w:rsidR="00536753" w:rsidRPr="009627FD" w:rsidRDefault="00536753" w:rsidP="00CB2744">
            <w:pPr>
              <w:contextualSpacing/>
              <w:jc w:val="center"/>
              <w:rPr>
                <w:lang w:val="en-US"/>
              </w:rPr>
            </w:pPr>
          </w:p>
        </w:tc>
        <w:tc>
          <w:tcPr>
            <w:tcW w:w="851" w:type="dxa"/>
          </w:tcPr>
          <w:p w14:paraId="712CAE19" w14:textId="77777777" w:rsidR="00536753" w:rsidRPr="009627FD" w:rsidRDefault="00536753" w:rsidP="00CB2744">
            <w:pPr>
              <w:contextualSpacing/>
              <w:jc w:val="center"/>
              <w:rPr>
                <w:lang w:val="en-US"/>
              </w:rPr>
            </w:pPr>
          </w:p>
        </w:tc>
        <w:tc>
          <w:tcPr>
            <w:tcW w:w="1553" w:type="dxa"/>
          </w:tcPr>
          <w:p w14:paraId="5A1FF608" w14:textId="77777777" w:rsidR="00536753" w:rsidRPr="009627FD" w:rsidRDefault="00536753" w:rsidP="00CB2744">
            <w:pPr>
              <w:contextualSpacing/>
              <w:jc w:val="center"/>
              <w:rPr>
                <w:lang w:val="en-US"/>
              </w:rPr>
            </w:pPr>
            <w:r w:rsidRPr="009627FD">
              <w:rPr>
                <w:lang w:val="en-US"/>
              </w:rPr>
              <w:t>-1.18</w:t>
            </w:r>
          </w:p>
        </w:tc>
        <w:tc>
          <w:tcPr>
            <w:tcW w:w="1412" w:type="dxa"/>
          </w:tcPr>
          <w:p w14:paraId="172E81FA" w14:textId="77777777" w:rsidR="00536753" w:rsidRPr="009627FD" w:rsidRDefault="00536753" w:rsidP="00CB2744">
            <w:pPr>
              <w:contextualSpacing/>
              <w:jc w:val="center"/>
              <w:rPr>
                <w:lang w:val="en-US"/>
              </w:rPr>
            </w:pPr>
            <w:r w:rsidRPr="009627FD">
              <w:rPr>
                <w:lang w:val="en-US"/>
              </w:rPr>
              <w:t>-.49</w:t>
            </w:r>
          </w:p>
        </w:tc>
      </w:tr>
      <w:tr w:rsidR="00536753" w:rsidRPr="009627FD" w14:paraId="64A6EDBB" w14:textId="77777777" w:rsidTr="00CB2744">
        <w:tc>
          <w:tcPr>
            <w:tcW w:w="5297" w:type="dxa"/>
          </w:tcPr>
          <w:p w14:paraId="36DA99F2" w14:textId="77777777" w:rsidR="00536753" w:rsidRPr="009627FD" w:rsidRDefault="00536753" w:rsidP="00CB2744">
            <w:pPr>
              <w:contextualSpacing/>
              <w:rPr>
                <w:lang w:val="en-US"/>
              </w:rPr>
            </w:pPr>
            <w:r w:rsidRPr="009627FD">
              <w:rPr>
                <w:lang w:val="en-US"/>
              </w:rPr>
              <w:t>BFI-10-Extraversion</w:t>
            </w:r>
          </w:p>
        </w:tc>
        <w:tc>
          <w:tcPr>
            <w:tcW w:w="1023" w:type="dxa"/>
          </w:tcPr>
          <w:p w14:paraId="7B50A843" w14:textId="77777777" w:rsidR="00536753" w:rsidRPr="009627FD" w:rsidRDefault="00536753" w:rsidP="00CB2744">
            <w:pPr>
              <w:contextualSpacing/>
              <w:jc w:val="center"/>
              <w:rPr>
                <w:lang w:val="en-US"/>
              </w:rPr>
            </w:pPr>
            <w:r w:rsidRPr="009627FD">
              <w:rPr>
                <w:lang w:val="en-US"/>
              </w:rPr>
              <w:t>-.43</w:t>
            </w:r>
          </w:p>
        </w:tc>
        <w:tc>
          <w:tcPr>
            <w:tcW w:w="1255" w:type="dxa"/>
          </w:tcPr>
          <w:p w14:paraId="6053F9E4" w14:textId="77777777" w:rsidR="00536753" w:rsidRPr="009627FD" w:rsidRDefault="00536753" w:rsidP="00CB2744">
            <w:pPr>
              <w:contextualSpacing/>
              <w:jc w:val="center"/>
              <w:rPr>
                <w:lang w:val="en-US"/>
              </w:rPr>
            </w:pPr>
            <w:r w:rsidRPr="009627FD">
              <w:rPr>
                <w:lang w:val="en-US"/>
              </w:rPr>
              <w:t>.19</w:t>
            </w:r>
          </w:p>
        </w:tc>
        <w:tc>
          <w:tcPr>
            <w:tcW w:w="849" w:type="dxa"/>
          </w:tcPr>
          <w:p w14:paraId="10A67ADF" w14:textId="77777777" w:rsidR="00536753" w:rsidRPr="009627FD" w:rsidRDefault="00536753" w:rsidP="00CB2744">
            <w:pPr>
              <w:contextualSpacing/>
              <w:jc w:val="center"/>
              <w:rPr>
                <w:lang w:val="en-US"/>
              </w:rPr>
            </w:pPr>
            <w:r w:rsidRPr="009627FD">
              <w:rPr>
                <w:lang w:val="en-US"/>
              </w:rPr>
              <w:t>-.09**</w:t>
            </w:r>
          </w:p>
        </w:tc>
        <w:tc>
          <w:tcPr>
            <w:tcW w:w="991" w:type="dxa"/>
          </w:tcPr>
          <w:p w14:paraId="5DC464B9" w14:textId="77777777" w:rsidR="00536753" w:rsidRPr="009627FD" w:rsidRDefault="00536753" w:rsidP="00CB2744">
            <w:pPr>
              <w:contextualSpacing/>
              <w:jc w:val="center"/>
              <w:rPr>
                <w:lang w:val="en-US"/>
              </w:rPr>
            </w:pPr>
            <w:r w:rsidRPr="009627FD">
              <w:rPr>
                <w:lang w:val="en-US"/>
              </w:rPr>
              <w:t>-2.26</w:t>
            </w:r>
          </w:p>
        </w:tc>
        <w:tc>
          <w:tcPr>
            <w:tcW w:w="708" w:type="dxa"/>
          </w:tcPr>
          <w:p w14:paraId="5258F163" w14:textId="77777777" w:rsidR="00536753" w:rsidRPr="009627FD" w:rsidRDefault="00536753" w:rsidP="00CB2744">
            <w:pPr>
              <w:contextualSpacing/>
              <w:jc w:val="center"/>
              <w:rPr>
                <w:lang w:val="en-US"/>
              </w:rPr>
            </w:pPr>
          </w:p>
        </w:tc>
        <w:tc>
          <w:tcPr>
            <w:tcW w:w="693" w:type="dxa"/>
          </w:tcPr>
          <w:p w14:paraId="3931372F" w14:textId="77777777" w:rsidR="00536753" w:rsidRPr="009627FD" w:rsidRDefault="00536753" w:rsidP="00CB2744">
            <w:pPr>
              <w:contextualSpacing/>
              <w:jc w:val="center"/>
              <w:rPr>
                <w:lang w:val="en-US"/>
              </w:rPr>
            </w:pPr>
          </w:p>
        </w:tc>
        <w:tc>
          <w:tcPr>
            <w:tcW w:w="1011" w:type="dxa"/>
          </w:tcPr>
          <w:p w14:paraId="301EE635" w14:textId="77777777" w:rsidR="00536753" w:rsidRPr="009627FD" w:rsidRDefault="00536753" w:rsidP="00CB2744">
            <w:pPr>
              <w:contextualSpacing/>
              <w:jc w:val="center"/>
              <w:rPr>
                <w:lang w:val="en-US"/>
              </w:rPr>
            </w:pPr>
          </w:p>
        </w:tc>
        <w:tc>
          <w:tcPr>
            <w:tcW w:w="851" w:type="dxa"/>
          </w:tcPr>
          <w:p w14:paraId="2C725AD1" w14:textId="77777777" w:rsidR="00536753" w:rsidRPr="009627FD" w:rsidRDefault="00536753" w:rsidP="00CB2744">
            <w:pPr>
              <w:contextualSpacing/>
              <w:jc w:val="center"/>
              <w:rPr>
                <w:lang w:val="en-US"/>
              </w:rPr>
            </w:pPr>
          </w:p>
        </w:tc>
        <w:tc>
          <w:tcPr>
            <w:tcW w:w="1553" w:type="dxa"/>
          </w:tcPr>
          <w:p w14:paraId="3A12DC6B" w14:textId="77777777" w:rsidR="00536753" w:rsidRPr="009627FD" w:rsidRDefault="00536753" w:rsidP="00CB2744">
            <w:pPr>
              <w:contextualSpacing/>
              <w:jc w:val="center"/>
              <w:rPr>
                <w:lang w:val="en-US"/>
              </w:rPr>
            </w:pPr>
            <w:r w:rsidRPr="009627FD">
              <w:rPr>
                <w:lang w:val="en-US"/>
              </w:rPr>
              <w:t>-.80</w:t>
            </w:r>
          </w:p>
        </w:tc>
        <w:tc>
          <w:tcPr>
            <w:tcW w:w="1412" w:type="dxa"/>
          </w:tcPr>
          <w:p w14:paraId="009EBC35" w14:textId="77777777" w:rsidR="00536753" w:rsidRPr="009627FD" w:rsidRDefault="00536753" w:rsidP="00CB2744">
            <w:pPr>
              <w:contextualSpacing/>
              <w:jc w:val="center"/>
              <w:rPr>
                <w:lang w:val="en-US"/>
              </w:rPr>
            </w:pPr>
            <w:r w:rsidRPr="009627FD">
              <w:rPr>
                <w:lang w:val="en-US"/>
              </w:rPr>
              <w:t>-.06</w:t>
            </w:r>
          </w:p>
        </w:tc>
      </w:tr>
      <w:tr w:rsidR="00536753" w:rsidRPr="009627FD" w14:paraId="03764BF1" w14:textId="77777777" w:rsidTr="00CB2744">
        <w:tc>
          <w:tcPr>
            <w:tcW w:w="5297" w:type="dxa"/>
          </w:tcPr>
          <w:p w14:paraId="72FB0CC7" w14:textId="77777777" w:rsidR="00536753" w:rsidRPr="009627FD" w:rsidRDefault="00536753" w:rsidP="00CB2744">
            <w:pPr>
              <w:contextualSpacing/>
              <w:rPr>
                <w:lang w:val="en-US"/>
              </w:rPr>
            </w:pPr>
            <w:r w:rsidRPr="009627FD">
              <w:rPr>
                <w:lang w:val="en-US"/>
              </w:rPr>
              <w:t>Perception of vulnerability to COVID-19</w:t>
            </w:r>
          </w:p>
        </w:tc>
        <w:tc>
          <w:tcPr>
            <w:tcW w:w="1023" w:type="dxa"/>
          </w:tcPr>
          <w:p w14:paraId="24261E8A" w14:textId="77777777" w:rsidR="00536753" w:rsidRPr="009627FD" w:rsidRDefault="00536753" w:rsidP="00CB2744">
            <w:pPr>
              <w:contextualSpacing/>
              <w:jc w:val="center"/>
              <w:rPr>
                <w:lang w:val="en-US"/>
              </w:rPr>
            </w:pPr>
            <w:r w:rsidRPr="009627FD">
              <w:rPr>
                <w:lang w:val="en-US"/>
              </w:rPr>
              <w:t>1.17</w:t>
            </w:r>
          </w:p>
        </w:tc>
        <w:tc>
          <w:tcPr>
            <w:tcW w:w="1255" w:type="dxa"/>
          </w:tcPr>
          <w:p w14:paraId="656E4B81" w14:textId="77777777" w:rsidR="00536753" w:rsidRPr="009627FD" w:rsidRDefault="00536753" w:rsidP="00CB2744">
            <w:pPr>
              <w:contextualSpacing/>
              <w:jc w:val="center"/>
              <w:rPr>
                <w:lang w:val="en-US"/>
              </w:rPr>
            </w:pPr>
            <w:r w:rsidRPr="009627FD">
              <w:rPr>
                <w:lang w:val="en-US"/>
              </w:rPr>
              <w:t>.79</w:t>
            </w:r>
          </w:p>
        </w:tc>
        <w:tc>
          <w:tcPr>
            <w:tcW w:w="849" w:type="dxa"/>
          </w:tcPr>
          <w:p w14:paraId="5353769E" w14:textId="77777777" w:rsidR="00536753" w:rsidRPr="009627FD" w:rsidRDefault="00536753" w:rsidP="00CB2744">
            <w:pPr>
              <w:contextualSpacing/>
              <w:jc w:val="center"/>
              <w:rPr>
                <w:lang w:val="en-US"/>
              </w:rPr>
            </w:pPr>
            <w:r w:rsidRPr="009627FD">
              <w:rPr>
                <w:lang w:val="en-US"/>
              </w:rPr>
              <w:t>.06</w:t>
            </w:r>
          </w:p>
        </w:tc>
        <w:tc>
          <w:tcPr>
            <w:tcW w:w="991" w:type="dxa"/>
          </w:tcPr>
          <w:p w14:paraId="43FA74AC" w14:textId="77777777" w:rsidR="00536753" w:rsidRPr="009627FD" w:rsidRDefault="00536753" w:rsidP="00CB2744">
            <w:pPr>
              <w:contextualSpacing/>
              <w:jc w:val="center"/>
              <w:rPr>
                <w:lang w:val="en-US"/>
              </w:rPr>
            </w:pPr>
            <w:r w:rsidRPr="009627FD">
              <w:rPr>
                <w:lang w:val="en-US"/>
              </w:rPr>
              <w:t>1.47</w:t>
            </w:r>
          </w:p>
        </w:tc>
        <w:tc>
          <w:tcPr>
            <w:tcW w:w="708" w:type="dxa"/>
          </w:tcPr>
          <w:p w14:paraId="7A5ACC30" w14:textId="77777777" w:rsidR="00536753" w:rsidRPr="009627FD" w:rsidRDefault="00536753" w:rsidP="00CB2744">
            <w:pPr>
              <w:contextualSpacing/>
              <w:jc w:val="center"/>
              <w:rPr>
                <w:lang w:val="en-US"/>
              </w:rPr>
            </w:pPr>
          </w:p>
        </w:tc>
        <w:tc>
          <w:tcPr>
            <w:tcW w:w="693" w:type="dxa"/>
          </w:tcPr>
          <w:p w14:paraId="08584840" w14:textId="77777777" w:rsidR="00536753" w:rsidRPr="009627FD" w:rsidRDefault="00536753" w:rsidP="00CB2744">
            <w:pPr>
              <w:contextualSpacing/>
              <w:jc w:val="center"/>
              <w:rPr>
                <w:lang w:val="en-US"/>
              </w:rPr>
            </w:pPr>
          </w:p>
        </w:tc>
        <w:tc>
          <w:tcPr>
            <w:tcW w:w="1011" w:type="dxa"/>
          </w:tcPr>
          <w:p w14:paraId="3DD867A3" w14:textId="77777777" w:rsidR="00536753" w:rsidRPr="009627FD" w:rsidRDefault="00536753" w:rsidP="00CB2744">
            <w:pPr>
              <w:contextualSpacing/>
              <w:jc w:val="center"/>
              <w:rPr>
                <w:lang w:val="en-US"/>
              </w:rPr>
            </w:pPr>
          </w:p>
        </w:tc>
        <w:tc>
          <w:tcPr>
            <w:tcW w:w="851" w:type="dxa"/>
          </w:tcPr>
          <w:p w14:paraId="320CAE62" w14:textId="77777777" w:rsidR="00536753" w:rsidRPr="009627FD" w:rsidRDefault="00536753" w:rsidP="00CB2744">
            <w:pPr>
              <w:contextualSpacing/>
              <w:jc w:val="center"/>
              <w:rPr>
                <w:lang w:val="en-US"/>
              </w:rPr>
            </w:pPr>
          </w:p>
        </w:tc>
        <w:tc>
          <w:tcPr>
            <w:tcW w:w="1553" w:type="dxa"/>
          </w:tcPr>
          <w:p w14:paraId="2B8ABB19" w14:textId="77777777" w:rsidR="00536753" w:rsidRPr="009627FD" w:rsidRDefault="00536753" w:rsidP="00CB2744">
            <w:pPr>
              <w:contextualSpacing/>
              <w:jc w:val="center"/>
              <w:rPr>
                <w:lang w:val="en-US"/>
              </w:rPr>
            </w:pPr>
            <w:r w:rsidRPr="009627FD">
              <w:rPr>
                <w:lang w:val="en-US"/>
              </w:rPr>
              <w:t>-.39</w:t>
            </w:r>
          </w:p>
        </w:tc>
        <w:tc>
          <w:tcPr>
            <w:tcW w:w="1412" w:type="dxa"/>
          </w:tcPr>
          <w:p w14:paraId="04386B3A" w14:textId="77777777" w:rsidR="00536753" w:rsidRPr="009627FD" w:rsidRDefault="00536753" w:rsidP="00CB2744">
            <w:pPr>
              <w:contextualSpacing/>
              <w:jc w:val="center"/>
              <w:rPr>
                <w:lang w:val="en-US"/>
              </w:rPr>
            </w:pPr>
            <w:r w:rsidRPr="009627FD">
              <w:rPr>
                <w:lang w:val="en-US"/>
              </w:rPr>
              <w:t>2.73</w:t>
            </w:r>
          </w:p>
        </w:tc>
      </w:tr>
      <w:tr w:rsidR="00536753" w:rsidRPr="009627FD" w14:paraId="7C2C93E8" w14:textId="77777777" w:rsidTr="00CB2744">
        <w:tc>
          <w:tcPr>
            <w:tcW w:w="5297" w:type="dxa"/>
          </w:tcPr>
          <w:p w14:paraId="6C4C150B" w14:textId="5E52A8CD" w:rsidR="00536753" w:rsidRPr="009627FD" w:rsidRDefault="00536753" w:rsidP="00CB2744">
            <w:pPr>
              <w:contextualSpacing/>
              <w:rPr>
                <w:lang w:val="en-US"/>
              </w:rPr>
            </w:pPr>
            <w:r w:rsidRPr="009627FD">
              <w:rPr>
                <w:lang w:val="en-US"/>
              </w:rPr>
              <w:t xml:space="preserve">FCV-19-Fear of </w:t>
            </w:r>
            <w:r w:rsidR="00580BDB" w:rsidRPr="009627FD">
              <w:rPr>
                <w:lang w:val="en-US"/>
              </w:rPr>
              <w:t>COVID</w:t>
            </w:r>
            <w:r w:rsidR="008746AA" w:rsidRPr="009627FD">
              <w:rPr>
                <w:lang w:val="en-US"/>
              </w:rPr>
              <w:t>-19</w:t>
            </w:r>
          </w:p>
        </w:tc>
        <w:tc>
          <w:tcPr>
            <w:tcW w:w="1023" w:type="dxa"/>
          </w:tcPr>
          <w:p w14:paraId="3DD0458D" w14:textId="77777777" w:rsidR="00536753" w:rsidRPr="009627FD" w:rsidRDefault="00536753" w:rsidP="00CB2744">
            <w:pPr>
              <w:contextualSpacing/>
              <w:jc w:val="center"/>
              <w:rPr>
                <w:lang w:val="en-US"/>
              </w:rPr>
            </w:pPr>
            <w:r w:rsidRPr="009627FD">
              <w:rPr>
                <w:lang w:val="en-US"/>
              </w:rPr>
              <w:t>.33</w:t>
            </w:r>
          </w:p>
        </w:tc>
        <w:tc>
          <w:tcPr>
            <w:tcW w:w="1255" w:type="dxa"/>
          </w:tcPr>
          <w:p w14:paraId="7A09041E" w14:textId="77777777" w:rsidR="00536753" w:rsidRPr="009627FD" w:rsidRDefault="00536753" w:rsidP="00CB2744">
            <w:pPr>
              <w:contextualSpacing/>
              <w:jc w:val="center"/>
              <w:rPr>
                <w:lang w:val="en-US"/>
              </w:rPr>
            </w:pPr>
            <w:r w:rsidRPr="009627FD">
              <w:rPr>
                <w:lang w:val="en-US"/>
              </w:rPr>
              <w:t>.08</w:t>
            </w:r>
          </w:p>
        </w:tc>
        <w:tc>
          <w:tcPr>
            <w:tcW w:w="849" w:type="dxa"/>
          </w:tcPr>
          <w:p w14:paraId="46EFE131" w14:textId="77777777" w:rsidR="00536753" w:rsidRPr="009627FD" w:rsidRDefault="00536753" w:rsidP="00CB2744">
            <w:pPr>
              <w:contextualSpacing/>
              <w:jc w:val="center"/>
              <w:rPr>
                <w:lang w:val="en-US"/>
              </w:rPr>
            </w:pPr>
            <w:r w:rsidRPr="009627FD">
              <w:rPr>
                <w:lang w:val="en-US"/>
              </w:rPr>
              <w:t>.22**</w:t>
            </w:r>
          </w:p>
        </w:tc>
        <w:tc>
          <w:tcPr>
            <w:tcW w:w="991" w:type="dxa"/>
          </w:tcPr>
          <w:p w14:paraId="7B9EFD06" w14:textId="77777777" w:rsidR="00536753" w:rsidRPr="009627FD" w:rsidRDefault="00536753" w:rsidP="00CB2744">
            <w:pPr>
              <w:contextualSpacing/>
              <w:jc w:val="center"/>
              <w:rPr>
                <w:lang w:val="en-US"/>
              </w:rPr>
            </w:pPr>
            <w:r w:rsidRPr="009627FD">
              <w:rPr>
                <w:lang w:val="en-US"/>
              </w:rPr>
              <w:t>4.14</w:t>
            </w:r>
          </w:p>
        </w:tc>
        <w:tc>
          <w:tcPr>
            <w:tcW w:w="708" w:type="dxa"/>
          </w:tcPr>
          <w:p w14:paraId="1D5DC26C" w14:textId="77777777" w:rsidR="00536753" w:rsidRPr="009627FD" w:rsidRDefault="00536753" w:rsidP="00CB2744">
            <w:pPr>
              <w:contextualSpacing/>
              <w:jc w:val="center"/>
              <w:rPr>
                <w:lang w:val="en-US"/>
              </w:rPr>
            </w:pPr>
          </w:p>
        </w:tc>
        <w:tc>
          <w:tcPr>
            <w:tcW w:w="693" w:type="dxa"/>
          </w:tcPr>
          <w:p w14:paraId="30F86ACC" w14:textId="77777777" w:rsidR="00536753" w:rsidRPr="009627FD" w:rsidRDefault="00536753" w:rsidP="00CB2744">
            <w:pPr>
              <w:contextualSpacing/>
              <w:jc w:val="center"/>
              <w:rPr>
                <w:lang w:val="en-US"/>
              </w:rPr>
            </w:pPr>
          </w:p>
        </w:tc>
        <w:tc>
          <w:tcPr>
            <w:tcW w:w="1011" w:type="dxa"/>
          </w:tcPr>
          <w:p w14:paraId="4525EB7A" w14:textId="77777777" w:rsidR="00536753" w:rsidRPr="009627FD" w:rsidRDefault="00536753" w:rsidP="00CB2744">
            <w:pPr>
              <w:contextualSpacing/>
              <w:jc w:val="center"/>
              <w:rPr>
                <w:lang w:val="en-US"/>
              </w:rPr>
            </w:pPr>
          </w:p>
        </w:tc>
        <w:tc>
          <w:tcPr>
            <w:tcW w:w="851" w:type="dxa"/>
          </w:tcPr>
          <w:p w14:paraId="5AC77937" w14:textId="77777777" w:rsidR="00536753" w:rsidRPr="009627FD" w:rsidRDefault="00536753" w:rsidP="00CB2744">
            <w:pPr>
              <w:contextualSpacing/>
              <w:jc w:val="center"/>
              <w:rPr>
                <w:lang w:val="en-US"/>
              </w:rPr>
            </w:pPr>
          </w:p>
        </w:tc>
        <w:tc>
          <w:tcPr>
            <w:tcW w:w="1553" w:type="dxa"/>
          </w:tcPr>
          <w:p w14:paraId="31822147" w14:textId="77777777" w:rsidR="00536753" w:rsidRPr="009627FD" w:rsidRDefault="00536753" w:rsidP="00CB2744">
            <w:pPr>
              <w:contextualSpacing/>
              <w:jc w:val="center"/>
              <w:rPr>
                <w:lang w:val="en-US"/>
              </w:rPr>
            </w:pPr>
            <w:r w:rsidRPr="009627FD">
              <w:rPr>
                <w:lang w:val="en-US"/>
              </w:rPr>
              <w:t>.18</w:t>
            </w:r>
          </w:p>
        </w:tc>
        <w:tc>
          <w:tcPr>
            <w:tcW w:w="1412" w:type="dxa"/>
          </w:tcPr>
          <w:p w14:paraId="684362A7" w14:textId="77777777" w:rsidR="00536753" w:rsidRPr="009627FD" w:rsidRDefault="00536753" w:rsidP="00CB2744">
            <w:pPr>
              <w:contextualSpacing/>
              <w:jc w:val="center"/>
              <w:rPr>
                <w:lang w:val="en-US"/>
              </w:rPr>
            </w:pPr>
            <w:r w:rsidRPr="009627FD">
              <w:rPr>
                <w:lang w:val="en-US"/>
              </w:rPr>
              <w:t>.49</w:t>
            </w:r>
          </w:p>
        </w:tc>
      </w:tr>
      <w:tr w:rsidR="00536753" w:rsidRPr="009627FD" w14:paraId="3DB688D9" w14:textId="77777777" w:rsidTr="00CB2744">
        <w:tc>
          <w:tcPr>
            <w:tcW w:w="5297" w:type="dxa"/>
          </w:tcPr>
          <w:p w14:paraId="5533130E" w14:textId="77777777" w:rsidR="00536753" w:rsidRPr="009627FD" w:rsidRDefault="00536753" w:rsidP="00CB2744">
            <w:pPr>
              <w:contextualSpacing/>
              <w:rPr>
                <w:lang w:val="en-US"/>
              </w:rPr>
            </w:pPr>
            <w:r w:rsidRPr="009627FD">
              <w:rPr>
                <w:lang w:val="en-US"/>
              </w:rPr>
              <w:t>C-19ASS-Persevaration</w:t>
            </w:r>
          </w:p>
        </w:tc>
        <w:tc>
          <w:tcPr>
            <w:tcW w:w="1023" w:type="dxa"/>
          </w:tcPr>
          <w:p w14:paraId="236EEFF5" w14:textId="77777777" w:rsidR="00536753" w:rsidRPr="009627FD" w:rsidRDefault="00536753" w:rsidP="00CB2744">
            <w:pPr>
              <w:contextualSpacing/>
              <w:jc w:val="center"/>
              <w:rPr>
                <w:lang w:val="en-US"/>
              </w:rPr>
            </w:pPr>
            <w:r w:rsidRPr="009627FD">
              <w:rPr>
                <w:lang w:val="en-US"/>
              </w:rPr>
              <w:t>.18</w:t>
            </w:r>
          </w:p>
        </w:tc>
        <w:tc>
          <w:tcPr>
            <w:tcW w:w="1255" w:type="dxa"/>
          </w:tcPr>
          <w:p w14:paraId="71F844BF" w14:textId="77777777" w:rsidR="00536753" w:rsidRPr="009627FD" w:rsidRDefault="00536753" w:rsidP="00CB2744">
            <w:pPr>
              <w:contextualSpacing/>
              <w:jc w:val="center"/>
              <w:rPr>
                <w:lang w:val="en-US"/>
              </w:rPr>
            </w:pPr>
            <w:r w:rsidRPr="009627FD">
              <w:rPr>
                <w:lang w:val="en-US"/>
              </w:rPr>
              <w:t>.09</w:t>
            </w:r>
          </w:p>
        </w:tc>
        <w:tc>
          <w:tcPr>
            <w:tcW w:w="849" w:type="dxa"/>
          </w:tcPr>
          <w:p w14:paraId="5C723CCF" w14:textId="77777777" w:rsidR="00536753" w:rsidRPr="009627FD" w:rsidRDefault="00536753" w:rsidP="00CB2744">
            <w:pPr>
              <w:contextualSpacing/>
              <w:jc w:val="center"/>
              <w:rPr>
                <w:lang w:val="en-US"/>
              </w:rPr>
            </w:pPr>
            <w:r w:rsidRPr="009627FD">
              <w:rPr>
                <w:lang w:val="en-US"/>
              </w:rPr>
              <w:t>.11*</w:t>
            </w:r>
          </w:p>
        </w:tc>
        <w:tc>
          <w:tcPr>
            <w:tcW w:w="991" w:type="dxa"/>
          </w:tcPr>
          <w:p w14:paraId="2593C0EB" w14:textId="77777777" w:rsidR="00536753" w:rsidRPr="009627FD" w:rsidRDefault="00536753" w:rsidP="00CB2744">
            <w:pPr>
              <w:contextualSpacing/>
              <w:jc w:val="center"/>
              <w:rPr>
                <w:lang w:val="en-US"/>
              </w:rPr>
            </w:pPr>
            <w:r w:rsidRPr="009627FD">
              <w:rPr>
                <w:lang w:val="en-US"/>
              </w:rPr>
              <w:t>1.97</w:t>
            </w:r>
          </w:p>
        </w:tc>
        <w:tc>
          <w:tcPr>
            <w:tcW w:w="708" w:type="dxa"/>
          </w:tcPr>
          <w:p w14:paraId="305CCA8B" w14:textId="77777777" w:rsidR="00536753" w:rsidRPr="009627FD" w:rsidRDefault="00536753" w:rsidP="00CB2744">
            <w:pPr>
              <w:contextualSpacing/>
              <w:jc w:val="center"/>
              <w:rPr>
                <w:lang w:val="en-US"/>
              </w:rPr>
            </w:pPr>
          </w:p>
        </w:tc>
        <w:tc>
          <w:tcPr>
            <w:tcW w:w="693" w:type="dxa"/>
          </w:tcPr>
          <w:p w14:paraId="72D301CC" w14:textId="77777777" w:rsidR="00536753" w:rsidRPr="009627FD" w:rsidRDefault="00536753" w:rsidP="00CB2744">
            <w:pPr>
              <w:contextualSpacing/>
              <w:jc w:val="center"/>
              <w:rPr>
                <w:lang w:val="en-US"/>
              </w:rPr>
            </w:pPr>
          </w:p>
        </w:tc>
        <w:tc>
          <w:tcPr>
            <w:tcW w:w="1011" w:type="dxa"/>
          </w:tcPr>
          <w:p w14:paraId="23F8DE01" w14:textId="77777777" w:rsidR="00536753" w:rsidRPr="009627FD" w:rsidRDefault="00536753" w:rsidP="00CB2744">
            <w:pPr>
              <w:contextualSpacing/>
              <w:jc w:val="center"/>
              <w:rPr>
                <w:lang w:val="en-US"/>
              </w:rPr>
            </w:pPr>
          </w:p>
        </w:tc>
        <w:tc>
          <w:tcPr>
            <w:tcW w:w="851" w:type="dxa"/>
          </w:tcPr>
          <w:p w14:paraId="1D699F9C" w14:textId="77777777" w:rsidR="00536753" w:rsidRPr="009627FD" w:rsidRDefault="00536753" w:rsidP="00CB2744">
            <w:pPr>
              <w:contextualSpacing/>
              <w:jc w:val="center"/>
              <w:rPr>
                <w:lang w:val="en-US"/>
              </w:rPr>
            </w:pPr>
          </w:p>
        </w:tc>
        <w:tc>
          <w:tcPr>
            <w:tcW w:w="1553" w:type="dxa"/>
          </w:tcPr>
          <w:p w14:paraId="781CF5F1" w14:textId="77777777" w:rsidR="00536753" w:rsidRPr="009627FD" w:rsidRDefault="00536753" w:rsidP="00CB2744">
            <w:pPr>
              <w:contextualSpacing/>
              <w:jc w:val="center"/>
              <w:rPr>
                <w:lang w:val="en-US"/>
              </w:rPr>
            </w:pPr>
            <w:r w:rsidRPr="009627FD">
              <w:rPr>
                <w:lang w:val="en-US"/>
              </w:rPr>
              <w:t>.001</w:t>
            </w:r>
          </w:p>
        </w:tc>
        <w:tc>
          <w:tcPr>
            <w:tcW w:w="1412" w:type="dxa"/>
          </w:tcPr>
          <w:p w14:paraId="0A140954" w14:textId="77777777" w:rsidR="00536753" w:rsidRPr="009627FD" w:rsidRDefault="00536753" w:rsidP="00CB2744">
            <w:pPr>
              <w:contextualSpacing/>
              <w:jc w:val="center"/>
              <w:rPr>
                <w:lang w:val="en-US"/>
              </w:rPr>
            </w:pPr>
            <w:r w:rsidRPr="009627FD">
              <w:rPr>
                <w:lang w:val="en-US"/>
              </w:rPr>
              <w:t>.36</w:t>
            </w:r>
          </w:p>
        </w:tc>
      </w:tr>
      <w:tr w:rsidR="00536753" w:rsidRPr="009627FD" w14:paraId="2CC555C3" w14:textId="77777777" w:rsidTr="00CB2744">
        <w:tc>
          <w:tcPr>
            <w:tcW w:w="5297" w:type="dxa"/>
            <w:tcBorders>
              <w:bottom w:val="single" w:sz="4" w:space="0" w:color="auto"/>
            </w:tcBorders>
          </w:tcPr>
          <w:p w14:paraId="1EACC28D" w14:textId="77777777" w:rsidR="00536753" w:rsidRPr="009627FD" w:rsidRDefault="00536753" w:rsidP="00CB2744">
            <w:pPr>
              <w:contextualSpacing/>
              <w:rPr>
                <w:lang w:val="en-US"/>
              </w:rPr>
            </w:pPr>
            <w:r w:rsidRPr="009627FD">
              <w:rPr>
                <w:lang w:val="en-US"/>
              </w:rPr>
              <w:t>C-19ASS-Avoidance</w:t>
            </w:r>
          </w:p>
        </w:tc>
        <w:tc>
          <w:tcPr>
            <w:tcW w:w="1023" w:type="dxa"/>
            <w:tcBorders>
              <w:bottom w:val="single" w:sz="4" w:space="0" w:color="auto"/>
            </w:tcBorders>
          </w:tcPr>
          <w:p w14:paraId="64B06D44" w14:textId="77777777" w:rsidR="00536753" w:rsidRPr="009627FD" w:rsidRDefault="00536753" w:rsidP="00CB2744">
            <w:pPr>
              <w:contextualSpacing/>
              <w:jc w:val="center"/>
              <w:rPr>
                <w:lang w:val="en-US"/>
              </w:rPr>
            </w:pPr>
            <w:r w:rsidRPr="009627FD">
              <w:rPr>
                <w:lang w:val="en-US"/>
              </w:rPr>
              <w:t>-.03</w:t>
            </w:r>
          </w:p>
        </w:tc>
        <w:tc>
          <w:tcPr>
            <w:tcW w:w="1255" w:type="dxa"/>
            <w:tcBorders>
              <w:bottom w:val="single" w:sz="4" w:space="0" w:color="auto"/>
            </w:tcBorders>
          </w:tcPr>
          <w:p w14:paraId="5F5CC5EF" w14:textId="77777777" w:rsidR="00536753" w:rsidRPr="009627FD" w:rsidRDefault="00536753" w:rsidP="00CB2744">
            <w:pPr>
              <w:contextualSpacing/>
              <w:jc w:val="center"/>
              <w:rPr>
                <w:lang w:val="en-US"/>
              </w:rPr>
            </w:pPr>
            <w:r w:rsidRPr="009627FD">
              <w:rPr>
                <w:lang w:val="en-US"/>
              </w:rPr>
              <w:t>.12</w:t>
            </w:r>
          </w:p>
        </w:tc>
        <w:tc>
          <w:tcPr>
            <w:tcW w:w="849" w:type="dxa"/>
            <w:tcBorders>
              <w:bottom w:val="single" w:sz="4" w:space="0" w:color="auto"/>
            </w:tcBorders>
          </w:tcPr>
          <w:p w14:paraId="052241D0" w14:textId="77777777" w:rsidR="00536753" w:rsidRPr="009627FD" w:rsidRDefault="00536753" w:rsidP="00CB2744">
            <w:pPr>
              <w:contextualSpacing/>
              <w:jc w:val="center"/>
              <w:rPr>
                <w:lang w:val="en-US"/>
              </w:rPr>
            </w:pPr>
            <w:r w:rsidRPr="009627FD">
              <w:rPr>
                <w:lang w:val="en-US"/>
              </w:rPr>
              <w:t>-.01</w:t>
            </w:r>
          </w:p>
        </w:tc>
        <w:tc>
          <w:tcPr>
            <w:tcW w:w="991" w:type="dxa"/>
            <w:tcBorders>
              <w:bottom w:val="single" w:sz="4" w:space="0" w:color="auto"/>
            </w:tcBorders>
          </w:tcPr>
          <w:p w14:paraId="0E436FD4" w14:textId="77777777" w:rsidR="00536753" w:rsidRPr="009627FD" w:rsidRDefault="00536753" w:rsidP="00CB2744">
            <w:pPr>
              <w:contextualSpacing/>
              <w:jc w:val="center"/>
              <w:rPr>
                <w:lang w:val="en-US"/>
              </w:rPr>
            </w:pPr>
            <w:r w:rsidRPr="009627FD">
              <w:rPr>
                <w:lang w:val="en-US"/>
              </w:rPr>
              <w:t>-.24</w:t>
            </w:r>
          </w:p>
        </w:tc>
        <w:tc>
          <w:tcPr>
            <w:tcW w:w="708" w:type="dxa"/>
            <w:tcBorders>
              <w:bottom w:val="single" w:sz="4" w:space="0" w:color="auto"/>
            </w:tcBorders>
          </w:tcPr>
          <w:p w14:paraId="4C25D262" w14:textId="77777777" w:rsidR="00536753" w:rsidRPr="009627FD" w:rsidRDefault="00536753" w:rsidP="00CB2744">
            <w:pPr>
              <w:contextualSpacing/>
              <w:jc w:val="center"/>
              <w:rPr>
                <w:lang w:val="en-US"/>
              </w:rPr>
            </w:pPr>
          </w:p>
        </w:tc>
        <w:tc>
          <w:tcPr>
            <w:tcW w:w="693" w:type="dxa"/>
            <w:tcBorders>
              <w:bottom w:val="single" w:sz="4" w:space="0" w:color="auto"/>
            </w:tcBorders>
          </w:tcPr>
          <w:p w14:paraId="6204E68C" w14:textId="77777777" w:rsidR="00536753" w:rsidRPr="009627FD" w:rsidRDefault="00536753" w:rsidP="00CB2744">
            <w:pPr>
              <w:contextualSpacing/>
              <w:jc w:val="center"/>
              <w:rPr>
                <w:lang w:val="en-US"/>
              </w:rPr>
            </w:pPr>
          </w:p>
        </w:tc>
        <w:tc>
          <w:tcPr>
            <w:tcW w:w="1011" w:type="dxa"/>
            <w:tcBorders>
              <w:bottom w:val="single" w:sz="4" w:space="0" w:color="auto"/>
            </w:tcBorders>
          </w:tcPr>
          <w:p w14:paraId="710D66BE" w14:textId="77777777" w:rsidR="00536753" w:rsidRPr="009627FD" w:rsidRDefault="00536753" w:rsidP="00CB2744">
            <w:pPr>
              <w:contextualSpacing/>
              <w:jc w:val="center"/>
              <w:rPr>
                <w:lang w:val="en-US"/>
              </w:rPr>
            </w:pPr>
          </w:p>
        </w:tc>
        <w:tc>
          <w:tcPr>
            <w:tcW w:w="851" w:type="dxa"/>
            <w:tcBorders>
              <w:bottom w:val="single" w:sz="4" w:space="0" w:color="auto"/>
            </w:tcBorders>
          </w:tcPr>
          <w:p w14:paraId="2A2B77B8" w14:textId="77777777" w:rsidR="00536753" w:rsidRPr="009627FD" w:rsidRDefault="00536753" w:rsidP="00CB2744">
            <w:pPr>
              <w:contextualSpacing/>
              <w:jc w:val="center"/>
              <w:rPr>
                <w:lang w:val="en-US"/>
              </w:rPr>
            </w:pPr>
          </w:p>
        </w:tc>
        <w:tc>
          <w:tcPr>
            <w:tcW w:w="1553" w:type="dxa"/>
            <w:tcBorders>
              <w:bottom w:val="single" w:sz="4" w:space="0" w:color="auto"/>
            </w:tcBorders>
          </w:tcPr>
          <w:p w14:paraId="609C8883" w14:textId="77777777" w:rsidR="00536753" w:rsidRPr="009627FD" w:rsidRDefault="00536753" w:rsidP="00CB2744">
            <w:pPr>
              <w:contextualSpacing/>
              <w:jc w:val="center"/>
              <w:rPr>
                <w:lang w:val="en-US"/>
              </w:rPr>
            </w:pPr>
            <w:r w:rsidRPr="009627FD">
              <w:rPr>
                <w:lang w:val="en-US"/>
              </w:rPr>
              <w:t>-.27</w:t>
            </w:r>
          </w:p>
        </w:tc>
        <w:tc>
          <w:tcPr>
            <w:tcW w:w="1412" w:type="dxa"/>
            <w:tcBorders>
              <w:bottom w:val="single" w:sz="4" w:space="0" w:color="auto"/>
            </w:tcBorders>
          </w:tcPr>
          <w:p w14:paraId="702DEC0B" w14:textId="77777777" w:rsidR="00536753" w:rsidRPr="009627FD" w:rsidRDefault="00536753" w:rsidP="00CB2744">
            <w:pPr>
              <w:contextualSpacing/>
              <w:jc w:val="center"/>
              <w:rPr>
                <w:lang w:val="en-US"/>
              </w:rPr>
            </w:pPr>
            <w:r w:rsidRPr="009627FD">
              <w:rPr>
                <w:lang w:val="en-US"/>
              </w:rPr>
              <w:t>.21</w:t>
            </w:r>
          </w:p>
        </w:tc>
      </w:tr>
    </w:tbl>
    <w:p w14:paraId="6DE4F02C" w14:textId="2DBA2739" w:rsidR="002D79F3" w:rsidRPr="009627FD" w:rsidRDefault="009B50DA" w:rsidP="009B50DA">
      <w:pPr>
        <w:spacing w:line="360" w:lineRule="auto"/>
        <w:rPr>
          <w:lang w:val="en-US"/>
        </w:rPr>
      </w:pPr>
      <w:r w:rsidRPr="009627FD">
        <w:rPr>
          <w:lang w:val="en-US"/>
        </w:rPr>
        <w:t xml:space="preserve">Notes: N=484; </w:t>
      </w:r>
      <w:r w:rsidR="002D79F3" w:rsidRPr="009627FD">
        <w:rPr>
          <w:lang w:val="en-US"/>
        </w:rPr>
        <w:t>**p&lt;0.001*p&lt;.05</w:t>
      </w:r>
      <w:r w:rsidRPr="009627FD">
        <w:rPr>
          <w:lang w:val="en-US"/>
        </w:rPr>
        <w:t xml:space="preserve">; </w:t>
      </w:r>
      <w:r w:rsidR="006A02AF" w:rsidRPr="009627FD">
        <w:rPr>
          <w:lang w:val="en-US"/>
        </w:rPr>
        <w:t>Gender</w:t>
      </w:r>
      <w:r w:rsidR="002F17E4" w:rsidRPr="009627FD">
        <w:rPr>
          <w:lang w:val="en-US"/>
        </w:rPr>
        <w:t xml:space="preserve"> </w:t>
      </w:r>
      <w:r w:rsidR="006A02AF" w:rsidRPr="009627FD">
        <w:rPr>
          <w:lang w:val="en-US"/>
        </w:rPr>
        <w:t xml:space="preserve">= </w:t>
      </w:r>
      <w:r w:rsidR="005C084B" w:rsidRPr="009627FD">
        <w:rPr>
          <w:lang w:val="en-US"/>
        </w:rPr>
        <w:t>1</w:t>
      </w:r>
      <w:r w:rsidR="006A02AF" w:rsidRPr="009627FD">
        <w:rPr>
          <w:lang w:val="en-US"/>
        </w:rPr>
        <w:t>=</w:t>
      </w:r>
      <w:r w:rsidR="005C084B" w:rsidRPr="009627FD">
        <w:rPr>
          <w:lang w:val="en-US"/>
        </w:rPr>
        <w:t>Male</w:t>
      </w:r>
      <w:r w:rsidR="006A02AF" w:rsidRPr="009627FD">
        <w:rPr>
          <w:lang w:val="en-US"/>
        </w:rPr>
        <w:t xml:space="preserve">, </w:t>
      </w:r>
      <w:r w:rsidR="005C084B" w:rsidRPr="009627FD">
        <w:rPr>
          <w:lang w:val="en-US"/>
        </w:rPr>
        <w:t>2</w:t>
      </w:r>
      <w:r w:rsidR="006A02AF" w:rsidRPr="009627FD">
        <w:rPr>
          <w:lang w:val="en-US"/>
        </w:rPr>
        <w:t>=</w:t>
      </w:r>
      <w:r w:rsidR="005C084B" w:rsidRPr="009627FD">
        <w:rPr>
          <w:lang w:val="en-US"/>
        </w:rPr>
        <w:t>Fem</w:t>
      </w:r>
      <w:r w:rsidR="002F17E4" w:rsidRPr="009627FD">
        <w:rPr>
          <w:lang w:val="en-US"/>
        </w:rPr>
        <w:t>ale</w:t>
      </w:r>
      <w:r w:rsidR="006A02AF" w:rsidRPr="009627FD">
        <w:rPr>
          <w:lang w:val="en-US"/>
        </w:rPr>
        <w:t xml:space="preserve">; </w:t>
      </w:r>
      <w:r w:rsidR="00BF76E4" w:rsidRPr="009627FD">
        <w:rPr>
          <w:lang w:val="en-US"/>
        </w:rPr>
        <w:t>Perception of vulnerability to COVID-19= 1=</w:t>
      </w:r>
      <w:r w:rsidR="001E4CC8" w:rsidRPr="009627FD">
        <w:rPr>
          <w:lang w:val="en-US"/>
        </w:rPr>
        <w:t>Y</w:t>
      </w:r>
      <w:r w:rsidR="00BF76E4" w:rsidRPr="009627FD">
        <w:rPr>
          <w:lang w:val="en-US"/>
        </w:rPr>
        <w:t>es, 2=</w:t>
      </w:r>
      <w:r w:rsidR="001E4CC8" w:rsidRPr="009627FD">
        <w:rPr>
          <w:lang w:val="en-US"/>
        </w:rPr>
        <w:t>N</w:t>
      </w:r>
      <w:r w:rsidR="00BF76E4" w:rsidRPr="009627FD">
        <w:rPr>
          <w:lang w:val="en-US"/>
        </w:rPr>
        <w:t xml:space="preserve">o; </w:t>
      </w:r>
      <w:r w:rsidR="002D79F3" w:rsidRPr="009627FD">
        <w:rPr>
          <w:lang w:val="en-US"/>
        </w:rPr>
        <w:t xml:space="preserve">BFI-10- = Big Five Inventory; FCV-19 = Fear of </w:t>
      </w:r>
      <w:r w:rsidR="00580BDB" w:rsidRPr="009627FD">
        <w:rPr>
          <w:lang w:val="en-US"/>
        </w:rPr>
        <w:t>COVID</w:t>
      </w:r>
      <w:r w:rsidR="008746AA" w:rsidRPr="009627FD">
        <w:rPr>
          <w:lang w:val="en-US"/>
        </w:rPr>
        <w:t>-19</w:t>
      </w:r>
      <w:r w:rsidR="00580BDB" w:rsidRPr="009627FD">
        <w:rPr>
          <w:lang w:val="en-US"/>
        </w:rPr>
        <w:t xml:space="preserve"> </w:t>
      </w:r>
      <w:r w:rsidR="002D79F3" w:rsidRPr="009627FD">
        <w:rPr>
          <w:lang w:val="en-US"/>
        </w:rPr>
        <w:t>Scale; C-19ASS = COVID-19 Anxiety Syndrome Scale</w:t>
      </w:r>
      <w:r w:rsidR="00007F0B" w:rsidRPr="009627FD">
        <w:rPr>
          <w:lang w:val="en-US"/>
        </w:rPr>
        <w:t>.</w:t>
      </w:r>
    </w:p>
    <w:p w14:paraId="14750C05" w14:textId="77777777" w:rsidR="002D79F3" w:rsidRPr="009627FD" w:rsidRDefault="002D79F3" w:rsidP="002D79F3">
      <w:pPr>
        <w:spacing w:line="360" w:lineRule="auto"/>
        <w:rPr>
          <w:b/>
          <w:lang w:val="en-US"/>
        </w:rPr>
      </w:pPr>
    </w:p>
    <w:p w14:paraId="0D08FD78" w14:textId="77777777" w:rsidR="002D79F3" w:rsidRPr="009627FD" w:rsidRDefault="002D79F3" w:rsidP="002D79F3">
      <w:pPr>
        <w:spacing w:line="360" w:lineRule="auto"/>
        <w:rPr>
          <w:b/>
          <w:lang w:val="en-US"/>
        </w:rPr>
      </w:pPr>
    </w:p>
    <w:p w14:paraId="3F153200" w14:textId="77777777" w:rsidR="008F7A1A" w:rsidRPr="009627FD" w:rsidRDefault="00D53AF9">
      <w:pPr>
        <w:rPr>
          <w:rFonts w:eastAsiaTheme="minorEastAsia"/>
          <w:lang w:val="en-US"/>
        </w:rPr>
        <w:sectPr w:rsidR="008F7A1A" w:rsidRPr="009627FD" w:rsidSect="002D79F3">
          <w:pgSz w:w="16840" w:h="11901" w:orient="landscape"/>
          <w:pgMar w:top="1134" w:right="851" w:bottom="1134" w:left="851" w:header="709" w:footer="709" w:gutter="0"/>
          <w:cols w:space="708"/>
          <w:docGrid w:linePitch="360"/>
        </w:sectPr>
      </w:pPr>
      <w:r w:rsidRPr="009627FD">
        <w:rPr>
          <w:rFonts w:eastAsiaTheme="minorEastAsia"/>
          <w:lang w:val="en-US"/>
        </w:rPr>
        <w:br w:type="page"/>
      </w:r>
    </w:p>
    <w:p w14:paraId="37FEBF3C" w14:textId="229B68EE" w:rsidR="00A63CC3" w:rsidRPr="009627FD" w:rsidRDefault="00A63CC3">
      <w:pPr>
        <w:rPr>
          <w:rFonts w:eastAsiaTheme="minorEastAsia"/>
          <w:lang w:val="en-US"/>
        </w:rPr>
      </w:pPr>
      <w:r w:rsidRPr="009627FD">
        <w:rPr>
          <w:rFonts w:eastAsiaTheme="minorEastAsia"/>
          <w:b/>
          <w:lang w:val="en-US"/>
        </w:rPr>
        <w:lastRenderedPageBreak/>
        <w:t>Figure 1</w:t>
      </w:r>
      <w:r w:rsidRPr="009627FD">
        <w:rPr>
          <w:rFonts w:eastAsiaTheme="minorEastAsia"/>
          <w:lang w:val="en-US"/>
        </w:rPr>
        <w:t>.  Hypothesized model</w:t>
      </w:r>
    </w:p>
    <w:p w14:paraId="0C10C7EB" w14:textId="77777777" w:rsidR="003C6172" w:rsidRPr="009627FD" w:rsidRDefault="003C6172">
      <w:pPr>
        <w:rPr>
          <w:rFonts w:eastAsiaTheme="minorEastAsia"/>
          <w:lang w:val="en-US"/>
        </w:rPr>
      </w:pPr>
    </w:p>
    <w:p w14:paraId="52CA1EB5" w14:textId="40EBF86E" w:rsidR="008F7A1A" w:rsidRPr="009627FD" w:rsidRDefault="00FF6D62">
      <w:pPr>
        <w:rPr>
          <w:rFonts w:eastAsiaTheme="minorEastAsia"/>
          <w:lang w:val="en-US"/>
        </w:rPr>
        <w:sectPr w:rsidR="008F7A1A" w:rsidRPr="009627FD" w:rsidSect="008F7A1A">
          <w:pgSz w:w="11901" w:h="16840"/>
          <w:pgMar w:top="851" w:right="1134" w:bottom="851" w:left="1134" w:header="709" w:footer="709" w:gutter="0"/>
          <w:cols w:space="708"/>
          <w:docGrid w:linePitch="360"/>
        </w:sectPr>
      </w:pPr>
      <w:r w:rsidRPr="009627FD">
        <w:rPr>
          <w:rFonts w:eastAsiaTheme="minorEastAsia"/>
          <w:noProof/>
        </w:rPr>
        <w:drawing>
          <wp:inline distT="0" distB="0" distL="0" distR="0" wp14:anchorId="37A67658" wp14:editId="0816D468">
            <wp:extent cx="4994728" cy="2389505"/>
            <wp:effectExtent l="0" t="0" r="9525" b="0"/>
            <wp:docPr id="5" name="Immagine 5" descr="MacDisk:Users:GiovanniMansueto:Desktop:Progetti di Ricerca:Spada M:COVID ANXIETY SYNDROME spada:CRF_Covid Spada :Draft paper covid spada ita:Presentazione12: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Disk:Users:GiovanniMansueto:Desktop:Progetti di Ricerca:Spada M:COVID ANXIETY SYNDROME spada:CRF_Covid Spada :Draft paper covid spada ita:Presentazione12:ok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95396" cy="2389824"/>
                    </a:xfrm>
                    <a:prstGeom prst="rect">
                      <a:avLst/>
                    </a:prstGeom>
                    <a:noFill/>
                    <a:ln>
                      <a:noFill/>
                    </a:ln>
                  </pic:spPr>
                </pic:pic>
              </a:graphicData>
            </a:graphic>
          </wp:inline>
        </w:drawing>
      </w:r>
    </w:p>
    <w:p w14:paraId="581E0D8C" w14:textId="54811A30" w:rsidR="005226D8" w:rsidRPr="009627FD" w:rsidRDefault="009E7D4B">
      <w:pPr>
        <w:rPr>
          <w:rFonts w:eastAsiaTheme="minorEastAsia"/>
          <w:lang w:val="en-US"/>
        </w:rPr>
      </w:pPr>
      <w:r w:rsidRPr="009627FD">
        <w:rPr>
          <w:rFonts w:eastAsiaTheme="minorEastAsia"/>
          <w:b/>
          <w:lang w:val="en-US"/>
        </w:rPr>
        <w:lastRenderedPageBreak/>
        <w:t>Figure 2</w:t>
      </w:r>
      <w:r w:rsidRPr="009627FD">
        <w:rPr>
          <w:rFonts w:eastAsiaTheme="minorEastAsia"/>
          <w:lang w:val="en-US"/>
        </w:rPr>
        <w:t xml:space="preserve">. Tested Model of the Inter-relationships between the Study Variables  </w:t>
      </w:r>
    </w:p>
    <w:p w14:paraId="13FAA47B" w14:textId="77D697F3" w:rsidR="005226D8" w:rsidRPr="009627FD" w:rsidRDefault="005226D8">
      <w:pPr>
        <w:rPr>
          <w:rFonts w:eastAsiaTheme="minorEastAsia"/>
          <w:lang w:val="en-US"/>
        </w:rPr>
      </w:pPr>
    </w:p>
    <w:p w14:paraId="1184B663" w14:textId="336DC5E5" w:rsidR="005226D8" w:rsidRPr="009627FD" w:rsidRDefault="005226D8">
      <w:pPr>
        <w:rPr>
          <w:rFonts w:eastAsiaTheme="minorEastAsia"/>
          <w:lang w:val="en-US"/>
        </w:rPr>
      </w:pPr>
    </w:p>
    <w:p w14:paraId="6EC4114E" w14:textId="0BE8F844" w:rsidR="00F96A49" w:rsidRPr="009627FD" w:rsidRDefault="00FF6D62" w:rsidP="004800CD">
      <w:pPr>
        <w:spacing w:line="360" w:lineRule="auto"/>
        <w:rPr>
          <w:rFonts w:eastAsiaTheme="minorEastAsia"/>
          <w:lang w:val="en-US"/>
        </w:rPr>
      </w:pPr>
      <w:r w:rsidRPr="009627FD">
        <w:rPr>
          <w:rFonts w:eastAsiaTheme="minorEastAsia"/>
          <w:noProof/>
        </w:rPr>
        <w:drawing>
          <wp:inline distT="0" distB="0" distL="0" distR="0" wp14:anchorId="0388F9A3" wp14:editId="38DD86C8">
            <wp:extent cx="6108700" cy="4000500"/>
            <wp:effectExtent l="0" t="0" r="12700" b="12700"/>
            <wp:docPr id="2" name="Immagine 2" descr="MacDisk:Users:GiovanniMansueto:Desktop:Presentazione1:Schermata 2022-02-03 alle 17.2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Disk:Users:GiovanniMansueto:Desktop:Presentazione1:Schermata 2022-02-03 alle 17.22.5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08700" cy="4000500"/>
                    </a:xfrm>
                    <a:prstGeom prst="rect">
                      <a:avLst/>
                    </a:prstGeom>
                    <a:noFill/>
                    <a:ln>
                      <a:noFill/>
                    </a:ln>
                  </pic:spPr>
                </pic:pic>
              </a:graphicData>
            </a:graphic>
          </wp:inline>
        </w:drawing>
      </w:r>
    </w:p>
    <w:p w14:paraId="2B55B42E" w14:textId="5A92CF41" w:rsidR="005226D8" w:rsidRPr="009627FD" w:rsidRDefault="005226D8" w:rsidP="001E51E6">
      <w:pPr>
        <w:rPr>
          <w:iCs/>
          <w:lang w:val="en-US"/>
        </w:rPr>
        <w:sectPr w:rsidR="005226D8" w:rsidRPr="009627FD" w:rsidSect="008F7A1A">
          <w:pgSz w:w="11901" w:h="16840"/>
          <w:pgMar w:top="851" w:right="1134" w:bottom="851" w:left="1134" w:header="709" w:footer="709" w:gutter="0"/>
          <w:cols w:space="708"/>
          <w:docGrid w:linePitch="360"/>
        </w:sectPr>
      </w:pPr>
      <w:r w:rsidRPr="009627FD">
        <w:rPr>
          <w:rFonts w:eastAsiaTheme="minorEastAsia"/>
          <w:lang w:val="en-US"/>
        </w:rPr>
        <w:t>Not</w:t>
      </w:r>
      <w:r w:rsidR="00FF6D62" w:rsidRPr="009627FD">
        <w:rPr>
          <w:rFonts w:eastAsiaTheme="minorEastAsia"/>
          <w:lang w:val="en-US"/>
        </w:rPr>
        <w:t>es: N= 4</w:t>
      </w:r>
      <w:r w:rsidRPr="009627FD">
        <w:rPr>
          <w:rFonts w:eastAsiaTheme="minorEastAsia"/>
          <w:lang w:val="en-US"/>
        </w:rPr>
        <w:t xml:space="preserve">84; *p &lt; .05; **p &lt; .01, ***p &lt; .001; </w:t>
      </w:r>
      <w:r w:rsidR="002F17E4" w:rsidRPr="009627FD">
        <w:rPr>
          <w:lang w:val="en-US"/>
        </w:rPr>
        <w:t>Gender (1=Male, 2=Female);</w:t>
      </w:r>
      <w:r w:rsidR="002F17E4" w:rsidRPr="009627FD">
        <w:rPr>
          <w:rFonts w:eastAsiaTheme="minorEastAsia"/>
          <w:lang w:val="en-US"/>
        </w:rPr>
        <w:t xml:space="preserve"> </w:t>
      </w:r>
      <w:r w:rsidR="00BF76E4" w:rsidRPr="009627FD">
        <w:rPr>
          <w:lang w:val="en-US"/>
        </w:rPr>
        <w:t>Perception of vulnerability to COVID-19</w:t>
      </w:r>
      <w:r w:rsidR="001E4CC8" w:rsidRPr="009627FD">
        <w:rPr>
          <w:lang w:val="en-US"/>
        </w:rPr>
        <w:t xml:space="preserve"> (</w:t>
      </w:r>
      <w:r w:rsidR="00BF76E4" w:rsidRPr="009627FD">
        <w:rPr>
          <w:lang w:val="en-US"/>
        </w:rPr>
        <w:t>1=Yes, 2=No)</w:t>
      </w:r>
      <w:r w:rsidR="00BF76E4" w:rsidRPr="009627FD">
        <w:rPr>
          <w:rFonts w:eastAsiaTheme="minorEastAsia"/>
          <w:lang w:val="en-US"/>
        </w:rPr>
        <w:t xml:space="preserve"> </w:t>
      </w:r>
      <w:r w:rsidRPr="009627FD">
        <w:rPr>
          <w:rFonts w:eastAsiaTheme="minorEastAsia"/>
          <w:lang w:val="en-US"/>
        </w:rPr>
        <w:t xml:space="preserve">Health Worker </w:t>
      </w:r>
      <w:r w:rsidRPr="009627FD">
        <w:rPr>
          <w:lang w:val="en-US"/>
        </w:rPr>
        <w:t>(0= No, 1= Yes); Perceived vulnerability to COVID-19 (0= No, 1= Yes)</w:t>
      </w:r>
      <w:r w:rsidR="00FE44C6" w:rsidRPr="009627FD">
        <w:rPr>
          <w:lang w:val="en-US"/>
        </w:rPr>
        <w:t>. BFI-10</w:t>
      </w:r>
      <w:r w:rsidR="004800CD" w:rsidRPr="009627FD">
        <w:rPr>
          <w:lang w:val="en-US"/>
        </w:rPr>
        <w:t>= Big Five Inventory-10; C-19ASS: COVID-1</w:t>
      </w:r>
      <w:r w:rsidR="00FE44C6" w:rsidRPr="009627FD">
        <w:rPr>
          <w:lang w:val="en-US"/>
        </w:rPr>
        <w:t>9 Anxiety Syndrome Scale; PHQ-9</w:t>
      </w:r>
      <w:r w:rsidR="004800CD" w:rsidRPr="009627FD">
        <w:rPr>
          <w:lang w:val="en-US"/>
        </w:rPr>
        <w:t xml:space="preserve">= </w:t>
      </w:r>
      <w:r w:rsidR="004800CD" w:rsidRPr="009627FD">
        <w:rPr>
          <w:iCs/>
          <w:lang w:val="en-US"/>
        </w:rPr>
        <w:t xml:space="preserve">Patient Health Questionnaire 9; GAD-7= Generalized Anxiety Disorder 7; HAQ= Health </w:t>
      </w:r>
      <w:r w:rsidR="001E51E6" w:rsidRPr="009627FD">
        <w:rPr>
          <w:rFonts w:eastAsiaTheme="minorEastAsia"/>
          <w:lang w:val="en-US"/>
        </w:rPr>
        <w:t>Anxiety Questionnaire.</w:t>
      </w:r>
    </w:p>
    <w:p w14:paraId="77E23649" w14:textId="435EC210" w:rsidR="00D66018" w:rsidRPr="009627FD" w:rsidRDefault="008B701A" w:rsidP="00195701">
      <w:pPr>
        <w:spacing w:line="360" w:lineRule="auto"/>
        <w:jc w:val="center"/>
        <w:rPr>
          <w:b/>
          <w:lang w:val="en-US"/>
        </w:rPr>
      </w:pPr>
      <w:r w:rsidRPr="009627FD">
        <w:rPr>
          <w:b/>
          <w:lang w:val="en-US"/>
        </w:rPr>
        <w:lastRenderedPageBreak/>
        <w:t>Appendix</w:t>
      </w:r>
    </w:p>
    <w:p w14:paraId="2547AC2B" w14:textId="77777777" w:rsidR="00195701" w:rsidRPr="009627FD" w:rsidRDefault="00195701" w:rsidP="00195701">
      <w:pPr>
        <w:spacing w:line="360" w:lineRule="auto"/>
        <w:jc w:val="center"/>
        <w:rPr>
          <w:b/>
          <w:lang w:val="en-US"/>
        </w:rPr>
      </w:pPr>
    </w:p>
    <w:p w14:paraId="6E736FAD" w14:textId="1E034BA4" w:rsidR="00D66018" w:rsidRPr="009627FD" w:rsidRDefault="00D66018" w:rsidP="0001105C">
      <w:pPr>
        <w:widowControl w:val="0"/>
        <w:autoSpaceDE w:val="0"/>
        <w:autoSpaceDN w:val="0"/>
        <w:contextualSpacing/>
        <w:jc w:val="center"/>
        <w:rPr>
          <w:b/>
          <w:lang w:val="en-US"/>
        </w:rPr>
      </w:pPr>
      <w:r w:rsidRPr="009627FD">
        <w:rPr>
          <w:b/>
          <w:lang w:val="en-US"/>
        </w:rPr>
        <w:t>Italian version of the COVID-19 Anxiety Syndrome Scale</w:t>
      </w:r>
      <w:r w:rsidR="00821CEA" w:rsidRPr="009627FD">
        <w:rPr>
          <w:b/>
          <w:lang w:val="en-US"/>
        </w:rPr>
        <w:t xml:space="preserve"> (C-19ASS ITA)</w:t>
      </w:r>
    </w:p>
    <w:p w14:paraId="003E3856" w14:textId="77777777" w:rsidR="00D66018" w:rsidRPr="009627FD" w:rsidRDefault="00D66018" w:rsidP="0001105C">
      <w:pPr>
        <w:widowControl w:val="0"/>
        <w:autoSpaceDE w:val="0"/>
        <w:autoSpaceDN w:val="0"/>
        <w:contextualSpacing/>
        <w:jc w:val="center"/>
        <w:rPr>
          <w:b/>
          <w:lang w:val="en-US"/>
        </w:rPr>
      </w:pPr>
    </w:p>
    <w:p w14:paraId="6E03E68C" w14:textId="77777777" w:rsidR="00D66018" w:rsidRPr="009627FD" w:rsidRDefault="00D66018" w:rsidP="0001105C">
      <w:pPr>
        <w:contextualSpacing/>
      </w:pPr>
      <w:r w:rsidRPr="009627FD">
        <w:t xml:space="preserve">Di seguito sono elencate una serie di affermazioni riguardanti il ​​modo in cui le persone affrontano la minaccia del coronavirus (COVID-19). Per favore valuta la misura in cui ciascuna affermazione si applica a lei </w:t>
      </w:r>
      <w:r w:rsidRPr="009627FD">
        <w:rPr>
          <w:b/>
        </w:rPr>
        <w:t>nelle ultime due settimane</w:t>
      </w:r>
      <w:r w:rsidRPr="009627FD">
        <w:t>.</w:t>
      </w:r>
    </w:p>
    <w:p w14:paraId="26B0889E" w14:textId="77777777" w:rsidR="00D66018" w:rsidRPr="009627FD" w:rsidRDefault="00D66018" w:rsidP="0001105C">
      <w:pPr>
        <w:contextualSpacing/>
      </w:pPr>
    </w:p>
    <w:p w14:paraId="5D75CBB8" w14:textId="77777777" w:rsidR="00D66018" w:rsidRPr="009627FD" w:rsidRDefault="00D66018" w:rsidP="0001105C">
      <w:pPr>
        <w:widowControl w:val="0"/>
        <w:autoSpaceDE w:val="0"/>
        <w:autoSpaceDN w:val="0"/>
        <w:contextualSpacing/>
        <w:jc w:val="both"/>
      </w:pPr>
      <w:r w:rsidRPr="009627FD">
        <w:t>0= Per niente</w:t>
      </w:r>
    </w:p>
    <w:p w14:paraId="0B154623" w14:textId="77777777" w:rsidR="00D66018" w:rsidRPr="009627FD" w:rsidRDefault="00D66018" w:rsidP="0001105C">
      <w:pPr>
        <w:widowControl w:val="0"/>
        <w:autoSpaceDE w:val="0"/>
        <w:autoSpaceDN w:val="0"/>
        <w:contextualSpacing/>
        <w:jc w:val="both"/>
      </w:pPr>
      <w:r w:rsidRPr="009627FD">
        <w:t>1= Raramente, meno di un giorno o due</w:t>
      </w:r>
    </w:p>
    <w:p w14:paraId="4A305C98" w14:textId="77777777" w:rsidR="00D66018" w:rsidRPr="009627FD" w:rsidRDefault="00D66018" w:rsidP="0001105C">
      <w:pPr>
        <w:widowControl w:val="0"/>
        <w:autoSpaceDE w:val="0"/>
        <w:autoSpaceDN w:val="0"/>
        <w:contextualSpacing/>
        <w:jc w:val="both"/>
      </w:pPr>
      <w:r w:rsidRPr="009627FD">
        <w:t>2= Diversi giorni</w:t>
      </w:r>
    </w:p>
    <w:p w14:paraId="3C5D0FAE" w14:textId="77777777" w:rsidR="00D66018" w:rsidRPr="009627FD" w:rsidRDefault="00D66018" w:rsidP="0001105C">
      <w:pPr>
        <w:widowControl w:val="0"/>
        <w:autoSpaceDE w:val="0"/>
        <w:autoSpaceDN w:val="0"/>
        <w:contextualSpacing/>
        <w:jc w:val="both"/>
      </w:pPr>
      <w:r w:rsidRPr="009627FD">
        <w:t>3= Più di 7 giorni</w:t>
      </w:r>
    </w:p>
    <w:p w14:paraId="592F6598" w14:textId="77777777" w:rsidR="00D66018" w:rsidRPr="009627FD" w:rsidRDefault="00D66018" w:rsidP="0001105C">
      <w:pPr>
        <w:contextualSpacing/>
      </w:pPr>
      <w:r w:rsidRPr="009627FD">
        <w:t>4= Quasi ogni giorno</w:t>
      </w:r>
    </w:p>
    <w:p w14:paraId="0A595AD4" w14:textId="77777777" w:rsidR="00D66018" w:rsidRPr="009627FD" w:rsidRDefault="00D66018" w:rsidP="0001105C">
      <w:pPr>
        <w:contextualSpacing/>
        <w:rPr>
          <w:b/>
        </w:rPr>
      </w:pPr>
    </w:p>
    <w:p w14:paraId="51EA72DC" w14:textId="77777777" w:rsidR="00D66018" w:rsidRPr="009627FD" w:rsidRDefault="00D66018" w:rsidP="0001105C">
      <w:pPr>
        <w:pStyle w:val="ListParagraph"/>
        <w:numPr>
          <w:ilvl w:val="0"/>
          <w:numId w:val="8"/>
        </w:numPr>
        <w:rPr>
          <w:b/>
        </w:rPr>
      </w:pPr>
      <w:r w:rsidRPr="009627FD">
        <w:t xml:space="preserve">Ho evitato di usare i mezzi di trasporto pubblici a causa della paura di contrarre il coronavirus (COVID-19). </w:t>
      </w:r>
      <w:r w:rsidRPr="009627FD">
        <w:rPr>
          <w:rFonts w:eastAsia="MS Mincho"/>
        </w:rPr>
        <w:t> </w:t>
      </w:r>
    </w:p>
    <w:p w14:paraId="2A45359E" w14:textId="77777777" w:rsidR="00D66018" w:rsidRPr="009627FD" w:rsidRDefault="00D66018" w:rsidP="0001105C">
      <w:pPr>
        <w:pStyle w:val="ListParagraph"/>
        <w:widowControl w:val="0"/>
        <w:autoSpaceDE w:val="0"/>
        <w:autoSpaceDN w:val="0"/>
        <w:jc w:val="both"/>
      </w:pPr>
      <w:r w:rsidRPr="009627FD">
        <w:t>0= Per niente</w:t>
      </w:r>
    </w:p>
    <w:p w14:paraId="3C26C41E" w14:textId="77777777" w:rsidR="00D66018" w:rsidRPr="009627FD" w:rsidRDefault="00D66018" w:rsidP="0001105C">
      <w:pPr>
        <w:pStyle w:val="ListParagraph"/>
        <w:widowControl w:val="0"/>
        <w:autoSpaceDE w:val="0"/>
        <w:autoSpaceDN w:val="0"/>
        <w:jc w:val="both"/>
      </w:pPr>
      <w:r w:rsidRPr="009627FD">
        <w:t>1= Raramente, meno di un giorno o due</w:t>
      </w:r>
    </w:p>
    <w:p w14:paraId="363E84F2" w14:textId="77777777" w:rsidR="00D66018" w:rsidRPr="009627FD" w:rsidRDefault="00D66018" w:rsidP="0001105C">
      <w:pPr>
        <w:pStyle w:val="ListParagraph"/>
        <w:widowControl w:val="0"/>
        <w:autoSpaceDE w:val="0"/>
        <w:autoSpaceDN w:val="0"/>
        <w:jc w:val="both"/>
      </w:pPr>
      <w:r w:rsidRPr="009627FD">
        <w:t>2= Diversi giorni</w:t>
      </w:r>
    </w:p>
    <w:p w14:paraId="177F0DC9" w14:textId="77777777" w:rsidR="00D66018" w:rsidRPr="009627FD" w:rsidRDefault="00D66018" w:rsidP="0001105C">
      <w:pPr>
        <w:pStyle w:val="ListParagraph"/>
        <w:widowControl w:val="0"/>
        <w:autoSpaceDE w:val="0"/>
        <w:autoSpaceDN w:val="0"/>
        <w:jc w:val="both"/>
      </w:pPr>
      <w:r w:rsidRPr="009627FD">
        <w:t>3= Più di 7 giorni</w:t>
      </w:r>
    </w:p>
    <w:p w14:paraId="48200E34" w14:textId="30D916BB" w:rsidR="00D66018" w:rsidRPr="009627FD" w:rsidRDefault="00D66018" w:rsidP="0001105C">
      <w:pPr>
        <w:pStyle w:val="ListParagraph"/>
      </w:pPr>
      <w:r w:rsidRPr="009627FD">
        <w:t>4= Quasi ogni giorno</w:t>
      </w:r>
    </w:p>
    <w:p w14:paraId="1349CF2A" w14:textId="77777777" w:rsidR="00EA4D53" w:rsidRPr="009627FD" w:rsidRDefault="00EA4D53" w:rsidP="0001105C">
      <w:pPr>
        <w:pStyle w:val="ListParagraph"/>
      </w:pPr>
    </w:p>
    <w:p w14:paraId="10CDC1A1" w14:textId="77777777" w:rsidR="00D66018" w:rsidRPr="009627FD" w:rsidRDefault="00D66018" w:rsidP="0001105C">
      <w:pPr>
        <w:pStyle w:val="ListParagraph"/>
        <w:numPr>
          <w:ilvl w:val="0"/>
          <w:numId w:val="8"/>
        </w:numPr>
        <w:rPr>
          <w:b/>
        </w:rPr>
      </w:pPr>
      <w:r w:rsidRPr="009627FD">
        <w:t>Mi sono controllato per i sintomi del coronavirus (COVID-19).</w:t>
      </w:r>
    </w:p>
    <w:p w14:paraId="4089EC18" w14:textId="77777777" w:rsidR="00D66018" w:rsidRPr="009627FD" w:rsidRDefault="00D66018" w:rsidP="0001105C">
      <w:pPr>
        <w:pStyle w:val="ListParagraph"/>
        <w:widowControl w:val="0"/>
        <w:autoSpaceDE w:val="0"/>
        <w:autoSpaceDN w:val="0"/>
        <w:jc w:val="both"/>
      </w:pPr>
      <w:r w:rsidRPr="009627FD">
        <w:t>0= Per niente</w:t>
      </w:r>
    </w:p>
    <w:p w14:paraId="06332DD0" w14:textId="77777777" w:rsidR="00D66018" w:rsidRPr="009627FD" w:rsidRDefault="00D66018" w:rsidP="0001105C">
      <w:pPr>
        <w:pStyle w:val="ListParagraph"/>
        <w:widowControl w:val="0"/>
        <w:autoSpaceDE w:val="0"/>
        <w:autoSpaceDN w:val="0"/>
        <w:jc w:val="both"/>
      </w:pPr>
      <w:r w:rsidRPr="009627FD">
        <w:t>1= Raramente, meno di un giorno o due</w:t>
      </w:r>
    </w:p>
    <w:p w14:paraId="747136E9" w14:textId="77777777" w:rsidR="00D66018" w:rsidRPr="009627FD" w:rsidRDefault="00D66018" w:rsidP="0001105C">
      <w:pPr>
        <w:pStyle w:val="ListParagraph"/>
        <w:widowControl w:val="0"/>
        <w:autoSpaceDE w:val="0"/>
        <w:autoSpaceDN w:val="0"/>
        <w:jc w:val="both"/>
      </w:pPr>
      <w:r w:rsidRPr="009627FD">
        <w:t>2= Diversi giorni</w:t>
      </w:r>
    </w:p>
    <w:p w14:paraId="36548B3F" w14:textId="77777777" w:rsidR="00D66018" w:rsidRPr="009627FD" w:rsidRDefault="00D66018" w:rsidP="0001105C">
      <w:pPr>
        <w:pStyle w:val="ListParagraph"/>
        <w:widowControl w:val="0"/>
        <w:autoSpaceDE w:val="0"/>
        <w:autoSpaceDN w:val="0"/>
        <w:jc w:val="both"/>
      </w:pPr>
      <w:r w:rsidRPr="009627FD">
        <w:t>3= Più di 7 giorni</w:t>
      </w:r>
    </w:p>
    <w:p w14:paraId="78882D99" w14:textId="514A3276" w:rsidR="00D66018" w:rsidRPr="009627FD" w:rsidRDefault="00D66018" w:rsidP="0001105C">
      <w:pPr>
        <w:pStyle w:val="ListParagraph"/>
      </w:pPr>
      <w:r w:rsidRPr="009627FD">
        <w:t>4= Quasi ogni giorno</w:t>
      </w:r>
    </w:p>
    <w:p w14:paraId="267EC0A5" w14:textId="77777777" w:rsidR="00EA4D53" w:rsidRPr="009627FD" w:rsidRDefault="00EA4D53" w:rsidP="0001105C">
      <w:pPr>
        <w:pStyle w:val="ListParagraph"/>
      </w:pPr>
    </w:p>
    <w:p w14:paraId="3F68E038" w14:textId="77777777" w:rsidR="00D66018" w:rsidRPr="009627FD" w:rsidRDefault="00D66018" w:rsidP="0001105C">
      <w:pPr>
        <w:pStyle w:val="ListParagraph"/>
        <w:numPr>
          <w:ilvl w:val="0"/>
          <w:numId w:val="8"/>
        </w:numPr>
        <w:rPr>
          <w:b/>
        </w:rPr>
      </w:pPr>
      <w:r w:rsidRPr="009627FD">
        <w:t>Ho evitato di uscire in luoghi pubblici (negozi, parchi) a causa della paura di contrarre il coronavirus (COVID-19).</w:t>
      </w:r>
    </w:p>
    <w:p w14:paraId="356E92DF" w14:textId="77777777" w:rsidR="00D66018" w:rsidRPr="009627FD" w:rsidRDefault="00D66018" w:rsidP="0001105C">
      <w:pPr>
        <w:pStyle w:val="ListParagraph"/>
        <w:widowControl w:val="0"/>
        <w:autoSpaceDE w:val="0"/>
        <w:autoSpaceDN w:val="0"/>
        <w:jc w:val="both"/>
      </w:pPr>
      <w:r w:rsidRPr="009627FD">
        <w:t>0= Per niente</w:t>
      </w:r>
    </w:p>
    <w:p w14:paraId="6E053646" w14:textId="77777777" w:rsidR="00D66018" w:rsidRPr="009627FD" w:rsidRDefault="00D66018" w:rsidP="0001105C">
      <w:pPr>
        <w:pStyle w:val="ListParagraph"/>
        <w:widowControl w:val="0"/>
        <w:autoSpaceDE w:val="0"/>
        <w:autoSpaceDN w:val="0"/>
        <w:jc w:val="both"/>
      </w:pPr>
      <w:r w:rsidRPr="009627FD">
        <w:t>1= Raramente, meno di un giorno o due</w:t>
      </w:r>
    </w:p>
    <w:p w14:paraId="58FFFD49" w14:textId="77777777" w:rsidR="00D66018" w:rsidRPr="009627FD" w:rsidRDefault="00D66018" w:rsidP="0001105C">
      <w:pPr>
        <w:pStyle w:val="ListParagraph"/>
        <w:widowControl w:val="0"/>
        <w:autoSpaceDE w:val="0"/>
        <w:autoSpaceDN w:val="0"/>
        <w:jc w:val="both"/>
      </w:pPr>
      <w:r w:rsidRPr="009627FD">
        <w:t>2= Diversi giorni</w:t>
      </w:r>
    </w:p>
    <w:p w14:paraId="6FA4BC0C" w14:textId="77777777" w:rsidR="00D66018" w:rsidRPr="009627FD" w:rsidRDefault="00D66018" w:rsidP="0001105C">
      <w:pPr>
        <w:pStyle w:val="ListParagraph"/>
        <w:widowControl w:val="0"/>
        <w:autoSpaceDE w:val="0"/>
        <w:autoSpaceDN w:val="0"/>
        <w:jc w:val="both"/>
      </w:pPr>
      <w:r w:rsidRPr="009627FD">
        <w:t>3= Più di 7 giorni</w:t>
      </w:r>
    </w:p>
    <w:p w14:paraId="2C1C4794" w14:textId="0490B592" w:rsidR="00D66018" w:rsidRPr="009627FD" w:rsidRDefault="00D66018" w:rsidP="0001105C">
      <w:pPr>
        <w:pStyle w:val="ListParagraph"/>
      </w:pPr>
      <w:r w:rsidRPr="009627FD">
        <w:t>4= Quasi ogni giorno</w:t>
      </w:r>
    </w:p>
    <w:p w14:paraId="3E926746" w14:textId="77777777" w:rsidR="00D66018" w:rsidRPr="009627FD" w:rsidRDefault="00D66018" w:rsidP="0001105C">
      <w:pPr>
        <w:pStyle w:val="ListParagraph"/>
      </w:pPr>
    </w:p>
    <w:p w14:paraId="53F2B3A9" w14:textId="77777777" w:rsidR="00D66018" w:rsidRPr="009627FD" w:rsidRDefault="00D66018" w:rsidP="0001105C">
      <w:pPr>
        <w:pStyle w:val="ListParagraph"/>
        <w:numPr>
          <w:ilvl w:val="0"/>
          <w:numId w:val="8"/>
        </w:numPr>
        <w:rPr>
          <w:b/>
        </w:rPr>
      </w:pPr>
      <w:r w:rsidRPr="009627FD">
        <w:t>Sono stato preoccupato per non aver aderito rigorosamente alle linee guida sul distanziamento sociale per il coronavirus (COVID-19).</w:t>
      </w:r>
    </w:p>
    <w:p w14:paraId="20E32B65" w14:textId="77777777" w:rsidR="00D66018" w:rsidRPr="009627FD" w:rsidRDefault="00D66018" w:rsidP="0001105C">
      <w:pPr>
        <w:pStyle w:val="ListParagraph"/>
        <w:widowControl w:val="0"/>
        <w:autoSpaceDE w:val="0"/>
        <w:autoSpaceDN w:val="0"/>
        <w:jc w:val="both"/>
      </w:pPr>
      <w:r w:rsidRPr="009627FD">
        <w:t>0= Per niente</w:t>
      </w:r>
    </w:p>
    <w:p w14:paraId="460482BB" w14:textId="77777777" w:rsidR="00D66018" w:rsidRPr="009627FD" w:rsidRDefault="00D66018" w:rsidP="0001105C">
      <w:pPr>
        <w:pStyle w:val="ListParagraph"/>
        <w:widowControl w:val="0"/>
        <w:autoSpaceDE w:val="0"/>
        <w:autoSpaceDN w:val="0"/>
        <w:jc w:val="both"/>
      </w:pPr>
      <w:r w:rsidRPr="009627FD">
        <w:t>1= Raramente, meno di un giorno o due</w:t>
      </w:r>
    </w:p>
    <w:p w14:paraId="36180CE3" w14:textId="77777777" w:rsidR="00D66018" w:rsidRPr="009627FD" w:rsidRDefault="00D66018" w:rsidP="0001105C">
      <w:pPr>
        <w:pStyle w:val="ListParagraph"/>
        <w:widowControl w:val="0"/>
        <w:autoSpaceDE w:val="0"/>
        <w:autoSpaceDN w:val="0"/>
        <w:jc w:val="both"/>
      </w:pPr>
      <w:r w:rsidRPr="009627FD">
        <w:t>2= Diversi giorni</w:t>
      </w:r>
    </w:p>
    <w:p w14:paraId="53B328D8" w14:textId="77777777" w:rsidR="00D66018" w:rsidRPr="009627FD" w:rsidRDefault="00D66018" w:rsidP="0001105C">
      <w:pPr>
        <w:pStyle w:val="ListParagraph"/>
        <w:widowControl w:val="0"/>
        <w:autoSpaceDE w:val="0"/>
        <w:autoSpaceDN w:val="0"/>
        <w:jc w:val="both"/>
      </w:pPr>
      <w:r w:rsidRPr="009627FD">
        <w:t>3= Più di 7 giorni</w:t>
      </w:r>
    </w:p>
    <w:p w14:paraId="1B32D225" w14:textId="77777777" w:rsidR="00D66018" w:rsidRPr="009627FD" w:rsidRDefault="00D66018" w:rsidP="0001105C">
      <w:pPr>
        <w:pStyle w:val="ListParagraph"/>
      </w:pPr>
      <w:r w:rsidRPr="009627FD">
        <w:t>4= Quasi ogni giorno</w:t>
      </w:r>
    </w:p>
    <w:p w14:paraId="07B48998" w14:textId="77777777" w:rsidR="00D66018" w:rsidRPr="009627FD" w:rsidRDefault="00D66018" w:rsidP="0001105C">
      <w:pPr>
        <w:pStyle w:val="ListParagraph"/>
        <w:rPr>
          <w:b/>
        </w:rPr>
      </w:pPr>
    </w:p>
    <w:p w14:paraId="340F4FE1" w14:textId="77777777" w:rsidR="00D66018" w:rsidRPr="009627FD" w:rsidRDefault="00D66018" w:rsidP="0001105C">
      <w:pPr>
        <w:pStyle w:val="ListParagraph"/>
        <w:numPr>
          <w:ilvl w:val="0"/>
          <w:numId w:val="8"/>
        </w:numPr>
        <w:rPr>
          <w:b/>
        </w:rPr>
      </w:pPr>
      <w:r w:rsidRPr="009627FD">
        <w:t>Ho evitato di toccare oggetti nei luoghi pubblici a causa della paura di contrarre il coronavirus (COVID-19).</w:t>
      </w:r>
    </w:p>
    <w:p w14:paraId="4A784567" w14:textId="77777777" w:rsidR="00D66018" w:rsidRPr="009627FD" w:rsidRDefault="00D66018" w:rsidP="0001105C">
      <w:pPr>
        <w:pStyle w:val="ListParagraph"/>
        <w:widowControl w:val="0"/>
        <w:autoSpaceDE w:val="0"/>
        <w:autoSpaceDN w:val="0"/>
        <w:jc w:val="both"/>
      </w:pPr>
      <w:r w:rsidRPr="009627FD">
        <w:t>0= Per niente</w:t>
      </w:r>
    </w:p>
    <w:p w14:paraId="030B5205" w14:textId="77777777" w:rsidR="00D66018" w:rsidRPr="009627FD" w:rsidRDefault="00D66018" w:rsidP="0001105C">
      <w:pPr>
        <w:pStyle w:val="ListParagraph"/>
        <w:widowControl w:val="0"/>
        <w:autoSpaceDE w:val="0"/>
        <w:autoSpaceDN w:val="0"/>
        <w:jc w:val="both"/>
      </w:pPr>
      <w:r w:rsidRPr="009627FD">
        <w:t>1= Raramente, meno di un giorno o due</w:t>
      </w:r>
    </w:p>
    <w:p w14:paraId="645635DF" w14:textId="77777777" w:rsidR="00D66018" w:rsidRPr="009627FD" w:rsidRDefault="00D66018" w:rsidP="0001105C">
      <w:pPr>
        <w:pStyle w:val="ListParagraph"/>
        <w:widowControl w:val="0"/>
        <w:autoSpaceDE w:val="0"/>
        <w:autoSpaceDN w:val="0"/>
        <w:jc w:val="both"/>
      </w:pPr>
      <w:r w:rsidRPr="009627FD">
        <w:t>2= Diversi giorni</w:t>
      </w:r>
    </w:p>
    <w:p w14:paraId="5A5DA4B9" w14:textId="77777777" w:rsidR="00D66018" w:rsidRPr="009627FD" w:rsidRDefault="00D66018" w:rsidP="0001105C">
      <w:pPr>
        <w:pStyle w:val="ListParagraph"/>
        <w:widowControl w:val="0"/>
        <w:autoSpaceDE w:val="0"/>
        <w:autoSpaceDN w:val="0"/>
        <w:jc w:val="both"/>
      </w:pPr>
      <w:r w:rsidRPr="009627FD">
        <w:t>3= Più di 7 giorni</w:t>
      </w:r>
    </w:p>
    <w:p w14:paraId="55852F96" w14:textId="77777777" w:rsidR="00D66018" w:rsidRPr="009627FD" w:rsidRDefault="00D66018" w:rsidP="0001105C">
      <w:pPr>
        <w:pStyle w:val="ListParagraph"/>
      </w:pPr>
      <w:r w:rsidRPr="009627FD">
        <w:t>4= Quasi ogni giorno</w:t>
      </w:r>
    </w:p>
    <w:p w14:paraId="717F7A49" w14:textId="77777777" w:rsidR="00D66018" w:rsidRPr="009627FD" w:rsidRDefault="00D66018" w:rsidP="0001105C">
      <w:pPr>
        <w:pStyle w:val="ListParagraph"/>
        <w:rPr>
          <w:b/>
        </w:rPr>
      </w:pPr>
    </w:p>
    <w:p w14:paraId="428338D5" w14:textId="77777777" w:rsidR="00D66018" w:rsidRPr="009627FD" w:rsidRDefault="00D66018" w:rsidP="0001105C">
      <w:pPr>
        <w:pStyle w:val="ListParagraph"/>
        <w:numPr>
          <w:ilvl w:val="0"/>
          <w:numId w:val="8"/>
        </w:numPr>
        <w:rPr>
          <w:b/>
        </w:rPr>
      </w:pPr>
      <w:r w:rsidRPr="009627FD">
        <w:t>Ho letto di notizie legate al coronavirus (COVID-19) compromettendo l’impegno nel lavoro (ad esempio scrivere email, lavorare su documenti di testo o fogli di calcolo).</w:t>
      </w:r>
    </w:p>
    <w:p w14:paraId="3F281606" w14:textId="77777777" w:rsidR="00D66018" w:rsidRPr="009627FD" w:rsidRDefault="00D66018" w:rsidP="0001105C">
      <w:pPr>
        <w:pStyle w:val="ListParagraph"/>
        <w:widowControl w:val="0"/>
        <w:autoSpaceDE w:val="0"/>
        <w:autoSpaceDN w:val="0"/>
        <w:jc w:val="both"/>
      </w:pPr>
      <w:r w:rsidRPr="009627FD">
        <w:t>0= Per niente</w:t>
      </w:r>
    </w:p>
    <w:p w14:paraId="7FE1CB6D" w14:textId="77777777" w:rsidR="00D66018" w:rsidRPr="009627FD" w:rsidRDefault="00D66018" w:rsidP="0001105C">
      <w:pPr>
        <w:pStyle w:val="ListParagraph"/>
        <w:widowControl w:val="0"/>
        <w:autoSpaceDE w:val="0"/>
        <w:autoSpaceDN w:val="0"/>
        <w:jc w:val="both"/>
      </w:pPr>
      <w:r w:rsidRPr="009627FD">
        <w:t>1= Raramente, meno di un giorno o due</w:t>
      </w:r>
    </w:p>
    <w:p w14:paraId="14462058" w14:textId="77777777" w:rsidR="00D66018" w:rsidRPr="009627FD" w:rsidRDefault="00D66018" w:rsidP="0001105C">
      <w:pPr>
        <w:pStyle w:val="ListParagraph"/>
        <w:widowControl w:val="0"/>
        <w:autoSpaceDE w:val="0"/>
        <w:autoSpaceDN w:val="0"/>
        <w:jc w:val="both"/>
      </w:pPr>
      <w:r w:rsidRPr="009627FD">
        <w:t>2= Diversi giorni</w:t>
      </w:r>
    </w:p>
    <w:p w14:paraId="61537A4D" w14:textId="77777777" w:rsidR="00D66018" w:rsidRPr="009627FD" w:rsidRDefault="00D66018" w:rsidP="0001105C">
      <w:pPr>
        <w:pStyle w:val="ListParagraph"/>
        <w:widowControl w:val="0"/>
        <w:autoSpaceDE w:val="0"/>
        <w:autoSpaceDN w:val="0"/>
        <w:jc w:val="both"/>
      </w:pPr>
      <w:r w:rsidRPr="009627FD">
        <w:t>3= Più di 7 giorni</w:t>
      </w:r>
    </w:p>
    <w:p w14:paraId="5A87CDDD" w14:textId="77777777" w:rsidR="00D66018" w:rsidRPr="009627FD" w:rsidRDefault="00D66018" w:rsidP="0001105C">
      <w:pPr>
        <w:pStyle w:val="ListParagraph"/>
      </w:pPr>
      <w:r w:rsidRPr="009627FD">
        <w:t>4= Quasi ogni giorno</w:t>
      </w:r>
    </w:p>
    <w:p w14:paraId="26F174B9" w14:textId="77777777" w:rsidR="00D66018" w:rsidRPr="009627FD" w:rsidRDefault="00D66018" w:rsidP="0001105C">
      <w:pPr>
        <w:pStyle w:val="ListParagraph"/>
        <w:rPr>
          <w:b/>
        </w:rPr>
      </w:pPr>
    </w:p>
    <w:p w14:paraId="194EC40B" w14:textId="77777777" w:rsidR="00D66018" w:rsidRPr="009627FD" w:rsidRDefault="00D66018" w:rsidP="0001105C">
      <w:pPr>
        <w:pStyle w:val="ListParagraph"/>
        <w:numPr>
          <w:ilvl w:val="0"/>
          <w:numId w:val="8"/>
        </w:numPr>
        <w:rPr>
          <w:b/>
        </w:rPr>
      </w:pPr>
      <w:r w:rsidRPr="009627FD">
        <w:t>Ho controllato i segni del coronavirus (COVID-19) nei membri della mia famiglia e nella persona amata.</w:t>
      </w:r>
    </w:p>
    <w:p w14:paraId="7DC3A9CB" w14:textId="77777777" w:rsidR="00D66018" w:rsidRPr="009627FD" w:rsidRDefault="00D66018" w:rsidP="0001105C">
      <w:pPr>
        <w:pStyle w:val="ListParagraph"/>
        <w:widowControl w:val="0"/>
        <w:autoSpaceDE w:val="0"/>
        <w:autoSpaceDN w:val="0"/>
        <w:jc w:val="both"/>
      </w:pPr>
      <w:r w:rsidRPr="009627FD">
        <w:t>0= Per niente</w:t>
      </w:r>
    </w:p>
    <w:p w14:paraId="5655C73F" w14:textId="77777777" w:rsidR="00D66018" w:rsidRPr="009627FD" w:rsidRDefault="00D66018" w:rsidP="0001105C">
      <w:pPr>
        <w:pStyle w:val="ListParagraph"/>
        <w:widowControl w:val="0"/>
        <w:autoSpaceDE w:val="0"/>
        <w:autoSpaceDN w:val="0"/>
        <w:jc w:val="both"/>
      </w:pPr>
      <w:r w:rsidRPr="009627FD">
        <w:t>1= Raramente, meno di un giorno o due</w:t>
      </w:r>
    </w:p>
    <w:p w14:paraId="33C98CBC" w14:textId="77777777" w:rsidR="00D66018" w:rsidRPr="009627FD" w:rsidRDefault="00D66018" w:rsidP="0001105C">
      <w:pPr>
        <w:pStyle w:val="ListParagraph"/>
        <w:widowControl w:val="0"/>
        <w:autoSpaceDE w:val="0"/>
        <w:autoSpaceDN w:val="0"/>
        <w:jc w:val="both"/>
      </w:pPr>
      <w:r w:rsidRPr="009627FD">
        <w:t>2= Diversi giorni</w:t>
      </w:r>
    </w:p>
    <w:p w14:paraId="5628E1C3" w14:textId="77777777" w:rsidR="00D66018" w:rsidRPr="009627FD" w:rsidRDefault="00D66018" w:rsidP="0001105C">
      <w:pPr>
        <w:pStyle w:val="ListParagraph"/>
        <w:widowControl w:val="0"/>
        <w:autoSpaceDE w:val="0"/>
        <w:autoSpaceDN w:val="0"/>
        <w:jc w:val="both"/>
      </w:pPr>
      <w:r w:rsidRPr="009627FD">
        <w:t>3= Più di 7 giorni</w:t>
      </w:r>
    </w:p>
    <w:p w14:paraId="7969CB08" w14:textId="77777777" w:rsidR="00D66018" w:rsidRPr="009627FD" w:rsidRDefault="00D66018" w:rsidP="0001105C">
      <w:pPr>
        <w:pStyle w:val="ListParagraph"/>
      </w:pPr>
      <w:r w:rsidRPr="009627FD">
        <w:t>4= Quasi ogni giorno</w:t>
      </w:r>
    </w:p>
    <w:p w14:paraId="6C08E0E7" w14:textId="77777777" w:rsidR="00D66018" w:rsidRPr="009627FD" w:rsidRDefault="00D66018" w:rsidP="0001105C">
      <w:pPr>
        <w:pStyle w:val="ListParagraph"/>
      </w:pPr>
    </w:p>
    <w:p w14:paraId="6C006D44" w14:textId="77777777" w:rsidR="00D66018" w:rsidRPr="009627FD" w:rsidRDefault="00D66018" w:rsidP="0001105C">
      <w:pPr>
        <w:pStyle w:val="ListParagraph"/>
        <w:numPr>
          <w:ilvl w:val="0"/>
          <w:numId w:val="8"/>
        </w:numPr>
        <w:rPr>
          <w:b/>
        </w:rPr>
      </w:pPr>
      <w:r w:rsidRPr="009627FD">
        <w:t xml:space="preserve">Ho prestato molta attenzione alle persone che mostravano possibili sintomi del coronavirus (COVID-19).  </w:t>
      </w:r>
    </w:p>
    <w:p w14:paraId="676CCD6D" w14:textId="77777777" w:rsidR="00D66018" w:rsidRPr="009627FD" w:rsidRDefault="00D66018" w:rsidP="0001105C">
      <w:pPr>
        <w:pStyle w:val="ListParagraph"/>
        <w:widowControl w:val="0"/>
        <w:autoSpaceDE w:val="0"/>
        <w:autoSpaceDN w:val="0"/>
        <w:jc w:val="both"/>
      </w:pPr>
      <w:r w:rsidRPr="009627FD">
        <w:t>0= Per niente</w:t>
      </w:r>
    </w:p>
    <w:p w14:paraId="5411B506" w14:textId="77777777" w:rsidR="00D66018" w:rsidRPr="009627FD" w:rsidRDefault="00D66018" w:rsidP="0001105C">
      <w:pPr>
        <w:pStyle w:val="ListParagraph"/>
        <w:widowControl w:val="0"/>
        <w:autoSpaceDE w:val="0"/>
        <w:autoSpaceDN w:val="0"/>
        <w:jc w:val="both"/>
      </w:pPr>
      <w:r w:rsidRPr="009627FD">
        <w:t>1= Raramente, meno di un giorno o due</w:t>
      </w:r>
    </w:p>
    <w:p w14:paraId="465A8CA2" w14:textId="77777777" w:rsidR="00D66018" w:rsidRPr="009627FD" w:rsidRDefault="00D66018" w:rsidP="0001105C">
      <w:pPr>
        <w:pStyle w:val="ListParagraph"/>
        <w:widowControl w:val="0"/>
        <w:autoSpaceDE w:val="0"/>
        <w:autoSpaceDN w:val="0"/>
        <w:jc w:val="both"/>
      </w:pPr>
      <w:r w:rsidRPr="009627FD">
        <w:t>2= Diversi giorni</w:t>
      </w:r>
    </w:p>
    <w:p w14:paraId="1AD1FA72" w14:textId="77777777" w:rsidR="00D66018" w:rsidRPr="009627FD" w:rsidRDefault="00D66018" w:rsidP="0001105C">
      <w:pPr>
        <w:pStyle w:val="ListParagraph"/>
        <w:widowControl w:val="0"/>
        <w:autoSpaceDE w:val="0"/>
        <w:autoSpaceDN w:val="0"/>
        <w:jc w:val="both"/>
      </w:pPr>
      <w:r w:rsidRPr="009627FD">
        <w:t>3= Più di 7 giorni</w:t>
      </w:r>
    </w:p>
    <w:p w14:paraId="7D113820" w14:textId="2BA8F0A2" w:rsidR="00D66018" w:rsidRPr="009627FD" w:rsidRDefault="00D66018" w:rsidP="0001105C">
      <w:pPr>
        <w:pStyle w:val="ListParagraph"/>
      </w:pPr>
      <w:r w:rsidRPr="009627FD">
        <w:t>4= Quasi ogni giorno</w:t>
      </w:r>
    </w:p>
    <w:p w14:paraId="0B24544A" w14:textId="77777777" w:rsidR="00D66018" w:rsidRPr="009627FD" w:rsidRDefault="00D66018" w:rsidP="0001105C">
      <w:pPr>
        <w:pStyle w:val="ListParagraph"/>
      </w:pPr>
    </w:p>
    <w:p w14:paraId="18A30CFA" w14:textId="77777777" w:rsidR="00D66018" w:rsidRPr="009627FD" w:rsidRDefault="00D66018" w:rsidP="0001105C">
      <w:pPr>
        <w:pStyle w:val="ListParagraph"/>
        <w:numPr>
          <w:ilvl w:val="0"/>
          <w:numId w:val="8"/>
        </w:numPr>
        <w:rPr>
          <w:b/>
        </w:rPr>
      </w:pPr>
      <w:r w:rsidRPr="009627FD">
        <w:t>Ho immaginato cosa potrebbe succedere ai membri della mia famiglia se avessero contratto il coronavirus (COVID-19).</w:t>
      </w:r>
    </w:p>
    <w:p w14:paraId="42359548" w14:textId="77777777" w:rsidR="00D66018" w:rsidRPr="009627FD" w:rsidRDefault="00D66018" w:rsidP="0001105C">
      <w:pPr>
        <w:pStyle w:val="ListParagraph"/>
        <w:widowControl w:val="0"/>
        <w:autoSpaceDE w:val="0"/>
        <w:autoSpaceDN w:val="0"/>
        <w:jc w:val="both"/>
      </w:pPr>
      <w:r w:rsidRPr="009627FD">
        <w:t>0= Per niente</w:t>
      </w:r>
    </w:p>
    <w:p w14:paraId="1CACC96B" w14:textId="77777777" w:rsidR="00D66018" w:rsidRPr="009627FD" w:rsidRDefault="00D66018" w:rsidP="0001105C">
      <w:pPr>
        <w:pStyle w:val="ListParagraph"/>
        <w:widowControl w:val="0"/>
        <w:autoSpaceDE w:val="0"/>
        <w:autoSpaceDN w:val="0"/>
        <w:jc w:val="both"/>
      </w:pPr>
      <w:r w:rsidRPr="009627FD">
        <w:t>1= Raramente, meno di un giorno o due</w:t>
      </w:r>
    </w:p>
    <w:p w14:paraId="2BB7D4AE" w14:textId="77777777" w:rsidR="00D66018" w:rsidRPr="009627FD" w:rsidRDefault="00D66018" w:rsidP="0001105C">
      <w:pPr>
        <w:pStyle w:val="ListParagraph"/>
        <w:widowControl w:val="0"/>
        <w:autoSpaceDE w:val="0"/>
        <w:autoSpaceDN w:val="0"/>
        <w:jc w:val="both"/>
      </w:pPr>
      <w:r w:rsidRPr="009627FD">
        <w:t>2= Diversi giorni</w:t>
      </w:r>
    </w:p>
    <w:p w14:paraId="4666E3A3" w14:textId="77777777" w:rsidR="00D66018" w:rsidRPr="009627FD" w:rsidRDefault="00D66018" w:rsidP="0001105C">
      <w:pPr>
        <w:pStyle w:val="ListParagraph"/>
        <w:widowControl w:val="0"/>
        <w:autoSpaceDE w:val="0"/>
        <w:autoSpaceDN w:val="0"/>
        <w:jc w:val="both"/>
      </w:pPr>
      <w:r w:rsidRPr="009627FD">
        <w:t>3= Più di 7 giorni</w:t>
      </w:r>
    </w:p>
    <w:p w14:paraId="7437C88A" w14:textId="77777777" w:rsidR="00D66018" w:rsidRPr="0096187B" w:rsidRDefault="00D66018" w:rsidP="0001105C">
      <w:pPr>
        <w:pStyle w:val="ListParagraph"/>
      </w:pPr>
      <w:r w:rsidRPr="009627FD">
        <w:t>4= Quasi ogni giorno</w:t>
      </w:r>
    </w:p>
    <w:p w14:paraId="395A2E1D" w14:textId="7F92D8C9" w:rsidR="00195DD2" w:rsidRPr="0070788D" w:rsidRDefault="009D4989" w:rsidP="009D4989">
      <w:pPr>
        <w:spacing w:line="360" w:lineRule="auto"/>
        <w:jc w:val="center"/>
      </w:pPr>
      <w:r w:rsidRPr="0070788D">
        <w:t xml:space="preserve"> </w:t>
      </w:r>
    </w:p>
    <w:p w14:paraId="1B155EA8" w14:textId="77777777" w:rsidR="00D66018" w:rsidRPr="0070788D" w:rsidRDefault="00D66018" w:rsidP="0001105C">
      <w:pPr>
        <w:spacing w:line="360" w:lineRule="auto"/>
        <w:rPr>
          <w:b/>
        </w:rPr>
      </w:pPr>
    </w:p>
    <w:sectPr w:rsidR="00D66018" w:rsidRPr="0070788D" w:rsidSect="002D79F3">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CDC7" w14:textId="77777777" w:rsidR="005D691B" w:rsidRDefault="005D691B" w:rsidP="0035696F">
      <w:r>
        <w:separator/>
      </w:r>
    </w:p>
  </w:endnote>
  <w:endnote w:type="continuationSeparator" w:id="0">
    <w:p w14:paraId="3A91A7A4" w14:textId="77777777" w:rsidR="005D691B" w:rsidRDefault="005D691B" w:rsidP="0035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287A" w14:textId="77777777" w:rsidR="00DB52F2" w:rsidRDefault="00DB52F2" w:rsidP="00DD1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616DE" w14:textId="77777777" w:rsidR="00DB52F2" w:rsidRDefault="00DB52F2" w:rsidP="0035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C60" w14:textId="77777777" w:rsidR="00DB52F2" w:rsidRPr="00971F49" w:rsidRDefault="00DB52F2" w:rsidP="00DD16C5">
    <w:pPr>
      <w:pStyle w:val="Footer"/>
      <w:framePr w:wrap="around" w:vAnchor="text" w:hAnchor="margin" w:xAlign="right" w:y="1"/>
      <w:rPr>
        <w:rStyle w:val="PageNumber"/>
        <w:sz w:val="20"/>
        <w:szCs w:val="20"/>
      </w:rPr>
    </w:pPr>
    <w:r w:rsidRPr="00971F49">
      <w:rPr>
        <w:rStyle w:val="PageNumber"/>
        <w:sz w:val="20"/>
        <w:szCs w:val="20"/>
      </w:rPr>
      <w:fldChar w:fldCharType="begin"/>
    </w:r>
    <w:r w:rsidRPr="00971F49">
      <w:rPr>
        <w:rStyle w:val="PageNumber"/>
        <w:sz w:val="20"/>
        <w:szCs w:val="20"/>
      </w:rPr>
      <w:instrText xml:space="preserve">PAGE  </w:instrText>
    </w:r>
    <w:r w:rsidRPr="00971F49">
      <w:rPr>
        <w:rStyle w:val="PageNumber"/>
        <w:sz w:val="20"/>
        <w:szCs w:val="20"/>
      </w:rPr>
      <w:fldChar w:fldCharType="separate"/>
    </w:r>
    <w:r w:rsidR="00117391">
      <w:rPr>
        <w:rStyle w:val="PageNumber"/>
        <w:noProof/>
        <w:sz w:val="20"/>
        <w:szCs w:val="20"/>
      </w:rPr>
      <w:t>1</w:t>
    </w:r>
    <w:r w:rsidRPr="00971F49">
      <w:rPr>
        <w:rStyle w:val="PageNumber"/>
        <w:sz w:val="20"/>
        <w:szCs w:val="20"/>
      </w:rPr>
      <w:fldChar w:fldCharType="end"/>
    </w:r>
  </w:p>
  <w:p w14:paraId="66034265" w14:textId="77777777" w:rsidR="00DB52F2" w:rsidRDefault="00DB52F2" w:rsidP="00356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1CB" w14:textId="77777777" w:rsidR="005D691B" w:rsidRDefault="005D691B" w:rsidP="0035696F">
      <w:r>
        <w:separator/>
      </w:r>
    </w:p>
  </w:footnote>
  <w:footnote w:type="continuationSeparator" w:id="0">
    <w:p w14:paraId="6C1FA36D" w14:textId="77777777" w:rsidR="005D691B" w:rsidRDefault="005D691B" w:rsidP="0035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3059" w14:textId="14130778" w:rsidR="00DB52F2" w:rsidRPr="006371C0" w:rsidRDefault="00DB52F2" w:rsidP="006371C0">
    <w:pPr>
      <w:pStyle w:val="Header"/>
      <w:jc w:val="right"/>
    </w:pPr>
    <w:r w:rsidRPr="00290924">
      <w:rPr>
        <w:b/>
        <w:color w:val="000000" w:themeColor="text1"/>
        <w:lang w:val="en-US"/>
      </w:rPr>
      <w:t xml:space="preserve">The Italian </w:t>
    </w:r>
    <w:r>
      <w:rPr>
        <w:b/>
        <w:color w:val="000000" w:themeColor="text1"/>
        <w:lang w:val="en-US"/>
      </w:rPr>
      <w:t xml:space="preserve">C-19ASS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15000"/>
    <w:multiLevelType w:val="hybridMultilevel"/>
    <w:tmpl w:val="86C49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8E3E28"/>
    <w:multiLevelType w:val="hybridMultilevel"/>
    <w:tmpl w:val="789A14E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F8166A"/>
    <w:multiLevelType w:val="hybridMultilevel"/>
    <w:tmpl w:val="E5D4A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5129D6"/>
    <w:multiLevelType w:val="hybridMultilevel"/>
    <w:tmpl w:val="5A42019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EE00A29"/>
    <w:multiLevelType w:val="hybridMultilevel"/>
    <w:tmpl w:val="F2F2E4B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6A3D6112"/>
    <w:multiLevelType w:val="hybridMultilevel"/>
    <w:tmpl w:val="50206D52"/>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7" w15:restartNumberingAfterBreak="0">
    <w:nsid w:val="703D16F4"/>
    <w:multiLevelType w:val="hybridMultilevel"/>
    <w:tmpl w:val="A5E6E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3A3EC1"/>
    <w:multiLevelType w:val="multilevel"/>
    <w:tmpl w:val="541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45B1A"/>
    <w:multiLevelType w:val="hybridMultilevel"/>
    <w:tmpl w:val="7FEC0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912927">
    <w:abstractNumId w:val="0"/>
  </w:num>
  <w:num w:numId="2" w16cid:durableId="1725517452">
    <w:abstractNumId w:val="3"/>
  </w:num>
  <w:num w:numId="3" w16cid:durableId="1070734528">
    <w:abstractNumId w:val="6"/>
  </w:num>
  <w:num w:numId="4" w16cid:durableId="1554387643">
    <w:abstractNumId w:val="1"/>
  </w:num>
  <w:num w:numId="5" w16cid:durableId="1286236812">
    <w:abstractNumId w:val="9"/>
  </w:num>
  <w:num w:numId="6" w16cid:durableId="168957061">
    <w:abstractNumId w:val="7"/>
  </w:num>
  <w:num w:numId="7" w16cid:durableId="401830020">
    <w:abstractNumId w:val="5"/>
  </w:num>
  <w:num w:numId="8" w16cid:durableId="2081905944">
    <w:abstractNumId w:val="2"/>
  </w:num>
  <w:num w:numId="9" w16cid:durableId="1998611983">
    <w:abstractNumId w:val="8"/>
  </w:num>
  <w:num w:numId="10" w16cid:durableId="694574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D9"/>
    <w:rsid w:val="00004827"/>
    <w:rsid w:val="00004868"/>
    <w:rsid w:val="00007F0B"/>
    <w:rsid w:val="0001105C"/>
    <w:rsid w:val="000122FC"/>
    <w:rsid w:val="000129B5"/>
    <w:rsid w:val="00017521"/>
    <w:rsid w:val="00017F39"/>
    <w:rsid w:val="00020745"/>
    <w:rsid w:val="000217C8"/>
    <w:rsid w:val="0002325C"/>
    <w:rsid w:val="000249F4"/>
    <w:rsid w:val="00024E36"/>
    <w:rsid w:val="00025867"/>
    <w:rsid w:val="00026E76"/>
    <w:rsid w:val="00027EA0"/>
    <w:rsid w:val="000311ED"/>
    <w:rsid w:val="00033423"/>
    <w:rsid w:val="000340CA"/>
    <w:rsid w:val="000352F0"/>
    <w:rsid w:val="00037806"/>
    <w:rsid w:val="00043584"/>
    <w:rsid w:val="00043836"/>
    <w:rsid w:val="00044645"/>
    <w:rsid w:val="00046AF3"/>
    <w:rsid w:val="00052207"/>
    <w:rsid w:val="00052D30"/>
    <w:rsid w:val="00056D35"/>
    <w:rsid w:val="00057E9F"/>
    <w:rsid w:val="0006079C"/>
    <w:rsid w:val="00060DA1"/>
    <w:rsid w:val="00062F35"/>
    <w:rsid w:val="000653AA"/>
    <w:rsid w:val="00066302"/>
    <w:rsid w:val="00067C88"/>
    <w:rsid w:val="00072892"/>
    <w:rsid w:val="000746E5"/>
    <w:rsid w:val="00074C26"/>
    <w:rsid w:val="000763D1"/>
    <w:rsid w:val="000838FA"/>
    <w:rsid w:val="000848DD"/>
    <w:rsid w:val="00087BA9"/>
    <w:rsid w:val="00092E92"/>
    <w:rsid w:val="00095F88"/>
    <w:rsid w:val="0009680C"/>
    <w:rsid w:val="00097029"/>
    <w:rsid w:val="000A0EA1"/>
    <w:rsid w:val="000A1A16"/>
    <w:rsid w:val="000A4404"/>
    <w:rsid w:val="000A528F"/>
    <w:rsid w:val="000A6FD8"/>
    <w:rsid w:val="000A7078"/>
    <w:rsid w:val="000B0D90"/>
    <w:rsid w:val="000B16AF"/>
    <w:rsid w:val="000B2DD4"/>
    <w:rsid w:val="000B31F4"/>
    <w:rsid w:val="000B5AE1"/>
    <w:rsid w:val="000B74FB"/>
    <w:rsid w:val="000B7C8C"/>
    <w:rsid w:val="000C03C1"/>
    <w:rsid w:val="000C0908"/>
    <w:rsid w:val="000C0A9D"/>
    <w:rsid w:val="000C0E1E"/>
    <w:rsid w:val="000C3A31"/>
    <w:rsid w:val="000C4182"/>
    <w:rsid w:val="000C48D9"/>
    <w:rsid w:val="000C52E4"/>
    <w:rsid w:val="000C7797"/>
    <w:rsid w:val="000D110C"/>
    <w:rsid w:val="000D1527"/>
    <w:rsid w:val="000D29E6"/>
    <w:rsid w:val="000D3EB9"/>
    <w:rsid w:val="000D60FE"/>
    <w:rsid w:val="000D624C"/>
    <w:rsid w:val="000E1B98"/>
    <w:rsid w:val="000E26D0"/>
    <w:rsid w:val="000E4898"/>
    <w:rsid w:val="000F16E6"/>
    <w:rsid w:val="000F1A8A"/>
    <w:rsid w:val="000F1DC1"/>
    <w:rsid w:val="000F209A"/>
    <w:rsid w:val="000F43F3"/>
    <w:rsid w:val="000F7219"/>
    <w:rsid w:val="000F743F"/>
    <w:rsid w:val="000F7721"/>
    <w:rsid w:val="000F7A22"/>
    <w:rsid w:val="000F7E0B"/>
    <w:rsid w:val="000F7F3E"/>
    <w:rsid w:val="00101CD1"/>
    <w:rsid w:val="00105888"/>
    <w:rsid w:val="00110B3D"/>
    <w:rsid w:val="00112E16"/>
    <w:rsid w:val="00113ADB"/>
    <w:rsid w:val="00113DF4"/>
    <w:rsid w:val="00113E55"/>
    <w:rsid w:val="00117391"/>
    <w:rsid w:val="001209BA"/>
    <w:rsid w:val="00121D35"/>
    <w:rsid w:val="00123CEB"/>
    <w:rsid w:val="00125DD7"/>
    <w:rsid w:val="00127754"/>
    <w:rsid w:val="00132656"/>
    <w:rsid w:val="001339FF"/>
    <w:rsid w:val="00135834"/>
    <w:rsid w:val="00137F61"/>
    <w:rsid w:val="00141324"/>
    <w:rsid w:val="001432DD"/>
    <w:rsid w:val="00147438"/>
    <w:rsid w:val="00147A1B"/>
    <w:rsid w:val="001505EB"/>
    <w:rsid w:val="001522D8"/>
    <w:rsid w:val="00152822"/>
    <w:rsid w:val="001546ED"/>
    <w:rsid w:val="00160CB0"/>
    <w:rsid w:val="00163304"/>
    <w:rsid w:val="001636F6"/>
    <w:rsid w:val="00164A04"/>
    <w:rsid w:val="00165147"/>
    <w:rsid w:val="001668E0"/>
    <w:rsid w:val="001701AF"/>
    <w:rsid w:val="001704FE"/>
    <w:rsid w:val="001730C6"/>
    <w:rsid w:val="00173660"/>
    <w:rsid w:val="00177454"/>
    <w:rsid w:val="00181F5A"/>
    <w:rsid w:val="0018345C"/>
    <w:rsid w:val="00187B95"/>
    <w:rsid w:val="0019172E"/>
    <w:rsid w:val="00191899"/>
    <w:rsid w:val="00192A79"/>
    <w:rsid w:val="001931CD"/>
    <w:rsid w:val="00193713"/>
    <w:rsid w:val="00195701"/>
    <w:rsid w:val="00195DD2"/>
    <w:rsid w:val="0019625B"/>
    <w:rsid w:val="00196EC7"/>
    <w:rsid w:val="00197A85"/>
    <w:rsid w:val="001A1709"/>
    <w:rsid w:val="001A2579"/>
    <w:rsid w:val="001A3DC2"/>
    <w:rsid w:val="001A4184"/>
    <w:rsid w:val="001B65FC"/>
    <w:rsid w:val="001C0105"/>
    <w:rsid w:val="001C26C5"/>
    <w:rsid w:val="001C44D8"/>
    <w:rsid w:val="001C581F"/>
    <w:rsid w:val="001D0CAF"/>
    <w:rsid w:val="001D50A7"/>
    <w:rsid w:val="001D55F5"/>
    <w:rsid w:val="001D571B"/>
    <w:rsid w:val="001D69D9"/>
    <w:rsid w:val="001D77F0"/>
    <w:rsid w:val="001D7D97"/>
    <w:rsid w:val="001E0F76"/>
    <w:rsid w:val="001E26E8"/>
    <w:rsid w:val="001E3144"/>
    <w:rsid w:val="001E346F"/>
    <w:rsid w:val="001E4C65"/>
    <w:rsid w:val="001E4CC8"/>
    <w:rsid w:val="001E4D0C"/>
    <w:rsid w:val="001E51E6"/>
    <w:rsid w:val="001E72C5"/>
    <w:rsid w:val="001F1160"/>
    <w:rsid w:val="001F4826"/>
    <w:rsid w:val="001F6530"/>
    <w:rsid w:val="00203A97"/>
    <w:rsid w:val="0020751C"/>
    <w:rsid w:val="00210297"/>
    <w:rsid w:val="002119D1"/>
    <w:rsid w:val="00217FEB"/>
    <w:rsid w:val="00222AA9"/>
    <w:rsid w:val="00222E02"/>
    <w:rsid w:val="00230035"/>
    <w:rsid w:val="0023285E"/>
    <w:rsid w:val="00233194"/>
    <w:rsid w:val="00235914"/>
    <w:rsid w:val="00236D4F"/>
    <w:rsid w:val="00241269"/>
    <w:rsid w:val="0024205F"/>
    <w:rsid w:val="0024278A"/>
    <w:rsid w:val="00247101"/>
    <w:rsid w:val="002474A6"/>
    <w:rsid w:val="00252009"/>
    <w:rsid w:val="002528D1"/>
    <w:rsid w:val="00257E34"/>
    <w:rsid w:val="002605D1"/>
    <w:rsid w:val="00260A88"/>
    <w:rsid w:val="00260EAB"/>
    <w:rsid w:val="00261549"/>
    <w:rsid w:val="002634EF"/>
    <w:rsid w:val="0026670A"/>
    <w:rsid w:val="0027375B"/>
    <w:rsid w:val="00274C02"/>
    <w:rsid w:val="0027619B"/>
    <w:rsid w:val="00277D91"/>
    <w:rsid w:val="0028073E"/>
    <w:rsid w:val="00282E1F"/>
    <w:rsid w:val="00283326"/>
    <w:rsid w:val="0028362B"/>
    <w:rsid w:val="00283EBB"/>
    <w:rsid w:val="002875A2"/>
    <w:rsid w:val="002907AE"/>
    <w:rsid w:val="00290924"/>
    <w:rsid w:val="00291E90"/>
    <w:rsid w:val="00297718"/>
    <w:rsid w:val="002A44F9"/>
    <w:rsid w:val="002A534F"/>
    <w:rsid w:val="002B0D31"/>
    <w:rsid w:val="002B259E"/>
    <w:rsid w:val="002B2660"/>
    <w:rsid w:val="002B3172"/>
    <w:rsid w:val="002B5885"/>
    <w:rsid w:val="002B6D4A"/>
    <w:rsid w:val="002C1ED2"/>
    <w:rsid w:val="002C2DCB"/>
    <w:rsid w:val="002D3262"/>
    <w:rsid w:val="002D38A9"/>
    <w:rsid w:val="002D597C"/>
    <w:rsid w:val="002D6A26"/>
    <w:rsid w:val="002D701D"/>
    <w:rsid w:val="002D7829"/>
    <w:rsid w:val="002D79F3"/>
    <w:rsid w:val="002E0C4E"/>
    <w:rsid w:val="002E126D"/>
    <w:rsid w:val="002E3833"/>
    <w:rsid w:val="002F17E4"/>
    <w:rsid w:val="002F5844"/>
    <w:rsid w:val="002F6499"/>
    <w:rsid w:val="00301850"/>
    <w:rsid w:val="003043FC"/>
    <w:rsid w:val="003047AA"/>
    <w:rsid w:val="00306C95"/>
    <w:rsid w:val="00307214"/>
    <w:rsid w:val="003171B6"/>
    <w:rsid w:val="00320AB2"/>
    <w:rsid w:val="0032252D"/>
    <w:rsid w:val="00330C8B"/>
    <w:rsid w:val="00331404"/>
    <w:rsid w:val="00333DD6"/>
    <w:rsid w:val="00334DF6"/>
    <w:rsid w:val="003368A5"/>
    <w:rsid w:val="00337E08"/>
    <w:rsid w:val="00341123"/>
    <w:rsid w:val="0034193A"/>
    <w:rsid w:val="00342EA4"/>
    <w:rsid w:val="00344210"/>
    <w:rsid w:val="00344706"/>
    <w:rsid w:val="00344E37"/>
    <w:rsid w:val="003465F4"/>
    <w:rsid w:val="00347AAB"/>
    <w:rsid w:val="00353638"/>
    <w:rsid w:val="0035696F"/>
    <w:rsid w:val="00360937"/>
    <w:rsid w:val="003628F4"/>
    <w:rsid w:val="00363112"/>
    <w:rsid w:val="00367EE1"/>
    <w:rsid w:val="00370CE1"/>
    <w:rsid w:val="003710E0"/>
    <w:rsid w:val="00374C7B"/>
    <w:rsid w:val="00377DDB"/>
    <w:rsid w:val="003826B1"/>
    <w:rsid w:val="00384721"/>
    <w:rsid w:val="00387039"/>
    <w:rsid w:val="003935B6"/>
    <w:rsid w:val="00395492"/>
    <w:rsid w:val="00397700"/>
    <w:rsid w:val="003A309E"/>
    <w:rsid w:val="003A3FF1"/>
    <w:rsid w:val="003A60E8"/>
    <w:rsid w:val="003A6386"/>
    <w:rsid w:val="003A658B"/>
    <w:rsid w:val="003A7DC4"/>
    <w:rsid w:val="003B27D7"/>
    <w:rsid w:val="003B2C71"/>
    <w:rsid w:val="003B2E67"/>
    <w:rsid w:val="003B4ABC"/>
    <w:rsid w:val="003B68E2"/>
    <w:rsid w:val="003C6172"/>
    <w:rsid w:val="003D0084"/>
    <w:rsid w:val="003D0E4C"/>
    <w:rsid w:val="003D5986"/>
    <w:rsid w:val="003D7BAE"/>
    <w:rsid w:val="003E0F73"/>
    <w:rsid w:val="003E1100"/>
    <w:rsid w:val="003E2963"/>
    <w:rsid w:val="003E355D"/>
    <w:rsid w:val="003E3CD1"/>
    <w:rsid w:val="003E5685"/>
    <w:rsid w:val="003E5EA3"/>
    <w:rsid w:val="003F384E"/>
    <w:rsid w:val="003F4B05"/>
    <w:rsid w:val="00410674"/>
    <w:rsid w:val="00410805"/>
    <w:rsid w:val="00410F09"/>
    <w:rsid w:val="00410FC7"/>
    <w:rsid w:val="00411405"/>
    <w:rsid w:val="004118B1"/>
    <w:rsid w:val="00411CA4"/>
    <w:rsid w:val="004124DE"/>
    <w:rsid w:val="004175D5"/>
    <w:rsid w:val="00421C57"/>
    <w:rsid w:val="00425D74"/>
    <w:rsid w:val="00426844"/>
    <w:rsid w:val="00426A14"/>
    <w:rsid w:val="00427B7A"/>
    <w:rsid w:val="0043040E"/>
    <w:rsid w:val="004320F6"/>
    <w:rsid w:val="00432443"/>
    <w:rsid w:val="0044128E"/>
    <w:rsid w:val="00445409"/>
    <w:rsid w:val="00446B53"/>
    <w:rsid w:val="00447D30"/>
    <w:rsid w:val="004563CA"/>
    <w:rsid w:val="00457C88"/>
    <w:rsid w:val="00466239"/>
    <w:rsid w:val="00466B6B"/>
    <w:rsid w:val="0047106B"/>
    <w:rsid w:val="004741D9"/>
    <w:rsid w:val="00475C6D"/>
    <w:rsid w:val="004800CD"/>
    <w:rsid w:val="00480E01"/>
    <w:rsid w:val="00480F57"/>
    <w:rsid w:val="00482253"/>
    <w:rsid w:val="00484613"/>
    <w:rsid w:val="00484AF7"/>
    <w:rsid w:val="00485060"/>
    <w:rsid w:val="00487D3A"/>
    <w:rsid w:val="00490D12"/>
    <w:rsid w:val="0049187A"/>
    <w:rsid w:val="00491E89"/>
    <w:rsid w:val="004948E2"/>
    <w:rsid w:val="00495CFF"/>
    <w:rsid w:val="00496ADF"/>
    <w:rsid w:val="004A312D"/>
    <w:rsid w:val="004A7A7A"/>
    <w:rsid w:val="004B04D2"/>
    <w:rsid w:val="004B2303"/>
    <w:rsid w:val="004B3183"/>
    <w:rsid w:val="004B3BED"/>
    <w:rsid w:val="004B6543"/>
    <w:rsid w:val="004C0925"/>
    <w:rsid w:val="004C7DAE"/>
    <w:rsid w:val="004D1505"/>
    <w:rsid w:val="004D2A98"/>
    <w:rsid w:val="004D3533"/>
    <w:rsid w:val="004D76C4"/>
    <w:rsid w:val="004E093E"/>
    <w:rsid w:val="004E34C4"/>
    <w:rsid w:val="004E6868"/>
    <w:rsid w:val="004E6F49"/>
    <w:rsid w:val="004F11D7"/>
    <w:rsid w:val="004F5FF2"/>
    <w:rsid w:val="005018E1"/>
    <w:rsid w:val="00502F3F"/>
    <w:rsid w:val="005032F0"/>
    <w:rsid w:val="00504086"/>
    <w:rsid w:val="0050439A"/>
    <w:rsid w:val="00507075"/>
    <w:rsid w:val="005116AC"/>
    <w:rsid w:val="00514A6D"/>
    <w:rsid w:val="005163EE"/>
    <w:rsid w:val="00517F83"/>
    <w:rsid w:val="00520E59"/>
    <w:rsid w:val="005226D8"/>
    <w:rsid w:val="00522ACB"/>
    <w:rsid w:val="00523CE4"/>
    <w:rsid w:val="005240BB"/>
    <w:rsid w:val="0052616E"/>
    <w:rsid w:val="005302AA"/>
    <w:rsid w:val="00536753"/>
    <w:rsid w:val="00536A46"/>
    <w:rsid w:val="00537C88"/>
    <w:rsid w:val="00540EF9"/>
    <w:rsid w:val="005421BE"/>
    <w:rsid w:val="005421D5"/>
    <w:rsid w:val="00542FCD"/>
    <w:rsid w:val="005456C4"/>
    <w:rsid w:val="00550D96"/>
    <w:rsid w:val="00552358"/>
    <w:rsid w:val="005525B6"/>
    <w:rsid w:val="005576F8"/>
    <w:rsid w:val="0055785E"/>
    <w:rsid w:val="00563AFF"/>
    <w:rsid w:val="00566761"/>
    <w:rsid w:val="00567780"/>
    <w:rsid w:val="00567890"/>
    <w:rsid w:val="0057238D"/>
    <w:rsid w:val="005739CC"/>
    <w:rsid w:val="00573B9B"/>
    <w:rsid w:val="0057437F"/>
    <w:rsid w:val="00580BDB"/>
    <w:rsid w:val="0058127A"/>
    <w:rsid w:val="005820AC"/>
    <w:rsid w:val="005825F1"/>
    <w:rsid w:val="00582E6B"/>
    <w:rsid w:val="00583AB4"/>
    <w:rsid w:val="005849F4"/>
    <w:rsid w:val="00585A1C"/>
    <w:rsid w:val="00592E17"/>
    <w:rsid w:val="00596985"/>
    <w:rsid w:val="005A0204"/>
    <w:rsid w:val="005A0750"/>
    <w:rsid w:val="005A137C"/>
    <w:rsid w:val="005A147D"/>
    <w:rsid w:val="005A30C2"/>
    <w:rsid w:val="005A3791"/>
    <w:rsid w:val="005A670A"/>
    <w:rsid w:val="005A6AEF"/>
    <w:rsid w:val="005A7828"/>
    <w:rsid w:val="005B1143"/>
    <w:rsid w:val="005B4520"/>
    <w:rsid w:val="005B5BB0"/>
    <w:rsid w:val="005C084B"/>
    <w:rsid w:val="005C0FC2"/>
    <w:rsid w:val="005C2613"/>
    <w:rsid w:val="005C46C5"/>
    <w:rsid w:val="005C513A"/>
    <w:rsid w:val="005C58B7"/>
    <w:rsid w:val="005C721F"/>
    <w:rsid w:val="005C748E"/>
    <w:rsid w:val="005D1F76"/>
    <w:rsid w:val="005D48EB"/>
    <w:rsid w:val="005D60F0"/>
    <w:rsid w:val="005D691B"/>
    <w:rsid w:val="005D6A61"/>
    <w:rsid w:val="005D760B"/>
    <w:rsid w:val="005E0D19"/>
    <w:rsid w:val="005E1768"/>
    <w:rsid w:val="005E2D2E"/>
    <w:rsid w:val="005F06FF"/>
    <w:rsid w:val="005F2CD4"/>
    <w:rsid w:val="005F6BED"/>
    <w:rsid w:val="005F7708"/>
    <w:rsid w:val="00600486"/>
    <w:rsid w:val="00600752"/>
    <w:rsid w:val="006053C7"/>
    <w:rsid w:val="00607701"/>
    <w:rsid w:val="00607A54"/>
    <w:rsid w:val="006138F4"/>
    <w:rsid w:val="0061543F"/>
    <w:rsid w:val="00615D7E"/>
    <w:rsid w:val="0061722B"/>
    <w:rsid w:val="00617A9F"/>
    <w:rsid w:val="006206F2"/>
    <w:rsid w:val="00622BB5"/>
    <w:rsid w:val="00623FA6"/>
    <w:rsid w:val="00627701"/>
    <w:rsid w:val="0063017E"/>
    <w:rsid w:val="00631B15"/>
    <w:rsid w:val="0063265C"/>
    <w:rsid w:val="00635091"/>
    <w:rsid w:val="006371C0"/>
    <w:rsid w:val="00640844"/>
    <w:rsid w:val="006429DB"/>
    <w:rsid w:val="006432D0"/>
    <w:rsid w:val="00644228"/>
    <w:rsid w:val="00650613"/>
    <w:rsid w:val="00654E5D"/>
    <w:rsid w:val="00655B99"/>
    <w:rsid w:val="006567BE"/>
    <w:rsid w:val="00657C83"/>
    <w:rsid w:val="0066084E"/>
    <w:rsid w:val="00660A95"/>
    <w:rsid w:val="00661FDA"/>
    <w:rsid w:val="00664E3F"/>
    <w:rsid w:val="006706D7"/>
    <w:rsid w:val="00670C1B"/>
    <w:rsid w:val="006714A5"/>
    <w:rsid w:val="006718E0"/>
    <w:rsid w:val="00673387"/>
    <w:rsid w:val="00680539"/>
    <w:rsid w:val="006824D2"/>
    <w:rsid w:val="00684818"/>
    <w:rsid w:val="00684ED1"/>
    <w:rsid w:val="006922DD"/>
    <w:rsid w:val="00693CE9"/>
    <w:rsid w:val="00695916"/>
    <w:rsid w:val="00695D7B"/>
    <w:rsid w:val="006A02AF"/>
    <w:rsid w:val="006A06B6"/>
    <w:rsid w:val="006A1E97"/>
    <w:rsid w:val="006A231E"/>
    <w:rsid w:val="006A235E"/>
    <w:rsid w:val="006A55AE"/>
    <w:rsid w:val="006A6A80"/>
    <w:rsid w:val="006B1D32"/>
    <w:rsid w:val="006B585F"/>
    <w:rsid w:val="006C0E47"/>
    <w:rsid w:val="006C4AA0"/>
    <w:rsid w:val="006D0170"/>
    <w:rsid w:val="006D2EDC"/>
    <w:rsid w:val="006D4FB3"/>
    <w:rsid w:val="006D6456"/>
    <w:rsid w:val="006E0FF9"/>
    <w:rsid w:val="006E3309"/>
    <w:rsid w:val="006E3470"/>
    <w:rsid w:val="006E3B94"/>
    <w:rsid w:val="006E526B"/>
    <w:rsid w:val="006E559D"/>
    <w:rsid w:val="006F06B6"/>
    <w:rsid w:val="006F2A65"/>
    <w:rsid w:val="006F3C28"/>
    <w:rsid w:val="006F3E9B"/>
    <w:rsid w:val="006F4230"/>
    <w:rsid w:val="006F65E9"/>
    <w:rsid w:val="006F72AA"/>
    <w:rsid w:val="006F73C4"/>
    <w:rsid w:val="007002E1"/>
    <w:rsid w:val="007046C4"/>
    <w:rsid w:val="007072E9"/>
    <w:rsid w:val="0070788D"/>
    <w:rsid w:val="00711EA2"/>
    <w:rsid w:val="00714C74"/>
    <w:rsid w:val="00715869"/>
    <w:rsid w:val="0071774F"/>
    <w:rsid w:val="00722A14"/>
    <w:rsid w:val="00730CDC"/>
    <w:rsid w:val="0073109B"/>
    <w:rsid w:val="00732236"/>
    <w:rsid w:val="00732929"/>
    <w:rsid w:val="007401CA"/>
    <w:rsid w:val="00742E84"/>
    <w:rsid w:val="00743ED1"/>
    <w:rsid w:val="00744117"/>
    <w:rsid w:val="007444EA"/>
    <w:rsid w:val="00746BAF"/>
    <w:rsid w:val="00746E2E"/>
    <w:rsid w:val="0074785F"/>
    <w:rsid w:val="00750209"/>
    <w:rsid w:val="007531EA"/>
    <w:rsid w:val="007532E2"/>
    <w:rsid w:val="00754B57"/>
    <w:rsid w:val="00754D11"/>
    <w:rsid w:val="007566F1"/>
    <w:rsid w:val="007575A4"/>
    <w:rsid w:val="0076020F"/>
    <w:rsid w:val="00760521"/>
    <w:rsid w:val="00760ABD"/>
    <w:rsid w:val="0076147D"/>
    <w:rsid w:val="00762756"/>
    <w:rsid w:val="00773610"/>
    <w:rsid w:val="00775A06"/>
    <w:rsid w:val="00776B69"/>
    <w:rsid w:val="00790544"/>
    <w:rsid w:val="0079149D"/>
    <w:rsid w:val="00791520"/>
    <w:rsid w:val="00792E60"/>
    <w:rsid w:val="007A138E"/>
    <w:rsid w:val="007A20FF"/>
    <w:rsid w:val="007B040D"/>
    <w:rsid w:val="007B05C9"/>
    <w:rsid w:val="007B060F"/>
    <w:rsid w:val="007B0755"/>
    <w:rsid w:val="007B093E"/>
    <w:rsid w:val="007B166E"/>
    <w:rsid w:val="007B23C1"/>
    <w:rsid w:val="007B4BC7"/>
    <w:rsid w:val="007B4FF8"/>
    <w:rsid w:val="007B7869"/>
    <w:rsid w:val="007C034F"/>
    <w:rsid w:val="007C04B9"/>
    <w:rsid w:val="007C05C3"/>
    <w:rsid w:val="007C13E3"/>
    <w:rsid w:val="007C33E4"/>
    <w:rsid w:val="007C7057"/>
    <w:rsid w:val="007C71E3"/>
    <w:rsid w:val="007D05FD"/>
    <w:rsid w:val="007D313B"/>
    <w:rsid w:val="007D3BF1"/>
    <w:rsid w:val="007D4C68"/>
    <w:rsid w:val="007D6554"/>
    <w:rsid w:val="007D7A07"/>
    <w:rsid w:val="007E1807"/>
    <w:rsid w:val="007E3445"/>
    <w:rsid w:val="007E6546"/>
    <w:rsid w:val="007E7E90"/>
    <w:rsid w:val="007F27DD"/>
    <w:rsid w:val="007F2951"/>
    <w:rsid w:val="007F371F"/>
    <w:rsid w:val="008000B2"/>
    <w:rsid w:val="008017A4"/>
    <w:rsid w:val="00802907"/>
    <w:rsid w:val="008038E0"/>
    <w:rsid w:val="00803AD9"/>
    <w:rsid w:val="00805AA3"/>
    <w:rsid w:val="00810023"/>
    <w:rsid w:val="00810FCB"/>
    <w:rsid w:val="00812ABD"/>
    <w:rsid w:val="00814748"/>
    <w:rsid w:val="00814E55"/>
    <w:rsid w:val="008158F9"/>
    <w:rsid w:val="00816012"/>
    <w:rsid w:val="0081647A"/>
    <w:rsid w:val="00817C15"/>
    <w:rsid w:val="00820DC3"/>
    <w:rsid w:val="00821569"/>
    <w:rsid w:val="00821CEA"/>
    <w:rsid w:val="00821D19"/>
    <w:rsid w:val="00825982"/>
    <w:rsid w:val="00826785"/>
    <w:rsid w:val="00826903"/>
    <w:rsid w:val="00831C1A"/>
    <w:rsid w:val="00832469"/>
    <w:rsid w:val="00833774"/>
    <w:rsid w:val="00834DEF"/>
    <w:rsid w:val="00840A3A"/>
    <w:rsid w:val="008420AA"/>
    <w:rsid w:val="008426AB"/>
    <w:rsid w:val="00844356"/>
    <w:rsid w:val="0084580E"/>
    <w:rsid w:val="00852B8C"/>
    <w:rsid w:val="00857E77"/>
    <w:rsid w:val="0086104E"/>
    <w:rsid w:val="00863267"/>
    <w:rsid w:val="00863571"/>
    <w:rsid w:val="00863A7C"/>
    <w:rsid w:val="0086724D"/>
    <w:rsid w:val="00871555"/>
    <w:rsid w:val="00872700"/>
    <w:rsid w:val="00874036"/>
    <w:rsid w:val="008746AA"/>
    <w:rsid w:val="00875677"/>
    <w:rsid w:val="00876773"/>
    <w:rsid w:val="008803F8"/>
    <w:rsid w:val="00880C98"/>
    <w:rsid w:val="0088306B"/>
    <w:rsid w:val="00883E75"/>
    <w:rsid w:val="008904E3"/>
    <w:rsid w:val="00890DD6"/>
    <w:rsid w:val="00891F44"/>
    <w:rsid w:val="0089310F"/>
    <w:rsid w:val="0089339A"/>
    <w:rsid w:val="0089482C"/>
    <w:rsid w:val="0089762A"/>
    <w:rsid w:val="008A3A35"/>
    <w:rsid w:val="008A45FC"/>
    <w:rsid w:val="008B3030"/>
    <w:rsid w:val="008B3B55"/>
    <w:rsid w:val="008B43C5"/>
    <w:rsid w:val="008B641B"/>
    <w:rsid w:val="008B701A"/>
    <w:rsid w:val="008B715C"/>
    <w:rsid w:val="008B7723"/>
    <w:rsid w:val="008C0F0A"/>
    <w:rsid w:val="008C4002"/>
    <w:rsid w:val="008D2AF8"/>
    <w:rsid w:val="008D35E7"/>
    <w:rsid w:val="008D4459"/>
    <w:rsid w:val="008D600E"/>
    <w:rsid w:val="008D60AF"/>
    <w:rsid w:val="008D70F6"/>
    <w:rsid w:val="008E153B"/>
    <w:rsid w:val="008E154B"/>
    <w:rsid w:val="008E2F6F"/>
    <w:rsid w:val="008E48D6"/>
    <w:rsid w:val="008E7572"/>
    <w:rsid w:val="008F011D"/>
    <w:rsid w:val="008F0399"/>
    <w:rsid w:val="008F44D8"/>
    <w:rsid w:val="008F4F64"/>
    <w:rsid w:val="008F7A1A"/>
    <w:rsid w:val="0090245D"/>
    <w:rsid w:val="00904B67"/>
    <w:rsid w:val="00906654"/>
    <w:rsid w:val="0090720C"/>
    <w:rsid w:val="00907AD8"/>
    <w:rsid w:val="009103F6"/>
    <w:rsid w:val="00911D5E"/>
    <w:rsid w:val="0091212D"/>
    <w:rsid w:val="00912BE9"/>
    <w:rsid w:val="009146A4"/>
    <w:rsid w:val="00917E4D"/>
    <w:rsid w:val="00920B3E"/>
    <w:rsid w:val="00922520"/>
    <w:rsid w:val="00924B34"/>
    <w:rsid w:val="00924E85"/>
    <w:rsid w:val="00925045"/>
    <w:rsid w:val="00926F31"/>
    <w:rsid w:val="009306F7"/>
    <w:rsid w:val="009308F5"/>
    <w:rsid w:val="00932391"/>
    <w:rsid w:val="009326FD"/>
    <w:rsid w:val="0093430D"/>
    <w:rsid w:val="00940391"/>
    <w:rsid w:val="00940DDE"/>
    <w:rsid w:val="00941ED1"/>
    <w:rsid w:val="00942690"/>
    <w:rsid w:val="00943685"/>
    <w:rsid w:val="009440FA"/>
    <w:rsid w:val="00945500"/>
    <w:rsid w:val="0094758C"/>
    <w:rsid w:val="00953175"/>
    <w:rsid w:val="00953DAD"/>
    <w:rsid w:val="009554C3"/>
    <w:rsid w:val="009604F0"/>
    <w:rsid w:val="009605E5"/>
    <w:rsid w:val="00960BC1"/>
    <w:rsid w:val="0096187B"/>
    <w:rsid w:val="00961E70"/>
    <w:rsid w:val="00961F25"/>
    <w:rsid w:val="009623B0"/>
    <w:rsid w:val="009627FD"/>
    <w:rsid w:val="009662B3"/>
    <w:rsid w:val="009662FF"/>
    <w:rsid w:val="00971F49"/>
    <w:rsid w:val="0097316F"/>
    <w:rsid w:val="00973D32"/>
    <w:rsid w:val="00974611"/>
    <w:rsid w:val="00976E64"/>
    <w:rsid w:val="00980534"/>
    <w:rsid w:val="00980C5A"/>
    <w:rsid w:val="00983545"/>
    <w:rsid w:val="009856E0"/>
    <w:rsid w:val="0098576B"/>
    <w:rsid w:val="00994939"/>
    <w:rsid w:val="009A0F6B"/>
    <w:rsid w:val="009A140C"/>
    <w:rsid w:val="009A52F8"/>
    <w:rsid w:val="009A57F1"/>
    <w:rsid w:val="009A72DC"/>
    <w:rsid w:val="009B0306"/>
    <w:rsid w:val="009B3922"/>
    <w:rsid w:val="009B4A77"/>
    <w:rsid w:val="009B50DA"/>
    <w:rsid w:val="009B6067"/>
    <w:rsid w:val="009B640D"/>
    <w:rsid w:val="009C07E1"/>
    <w:rsid w:val="009C121F"/>
    <w:rsid w:val="009C2D9D"/>
    <w:rsid w:val="009C453F"/>
    <w:rsid w:val="009C4B1D"/>
    <w:rsid w:val="009C6967"/>
    <w:rsid w:val="009D02BE"/>
    <w:rsid w:val="009D2294"/>
    <w:rsid w:val="009D4989"/>
    <w:rsid w:val="009D5E79"/>
    <w:rsid w:val="009D6B2B"/>
    <w:rsid w:val="009D6C18"/>
    <w:rsid w:val="009D6FD0"/>
    <w:rsid w:val="009E0924"/>
    <w:rsid w:val="009E10B7"/>
    <w:rsid w:val="009E4452"/>
    <w:rsid w:val="009E58F9"/>
    <w:rsid w:val="009E6026"/>
    <w:rsid w:val="009E7A89"/>
    <w:rsid w:val="009E7D4B"/>
    <w:rsid w:val="009F0009"/>
    <w:rsid w:val="009F4DC3"/>
    <w:rsid w:val="009F7985"/>
    <w:rsid w:val="00A00564"/>
    <w:rsid w:val="00A044B5"/>
    <w:rsid w:val="00A054BC"/>
    <w:rsid w:val="00A120CB"/>
    <w:rsid w:val="00A1670A"/>
    <w:rsid w:val="00A1699F"/>
    <w:rsid w:val="00A17C91"/>
    <w:rsid w:val="00A20D2E"/>
    <w:rsid w:val="00A2293F"/>
    <w:rsid w:val="00A23BDC"/>
    <w:rsid w:val="00A2436E"/>
    <w:rsid w:val="00A25301"/>
    <w:rsid w:val="00A26098"/>
    <w:rsid w:val="00A303F8"/>
    <w:rsid w:val="00A30D75"/>
    <w:rsid w:val="00A32FB1"/>
    <w:rsid w:val="00A355E6"/>
    <w:rsid w:val="00A371FC"/>
    <w:rsid w:val="00A37BDB"/>
    <w:rsid w:val="00A40822"/>
    <w:rsid w:val="00A4280B"/>
    <w:rsid w:val="00A475FF"/>
    <w:rsid w:val="00A50D47"/>
    <w:rsid w:val="00A53F56"/>
    <w:rsid w:val="00A54959"/>
    <w:rsid w:val="00A5505B"/>
    <w:rsid w:val="00A558E9"/>
    <w:rsid w:val="00A55909"/>
    <w:rsid w:val="00A57A19"/>
    <w:rsid w:val="00A600D3"/>
    <w:rsid w:val="00A60336"/>
    <w:rsid w:val="00A6353C"/>
    <w:rsid w:val="00A63CC3"/>
    <w:rsid w:val="00A6529D"/>
    <w:rsid w:val="00A727DB"/>
    <w:rsid w:val="00A75D38"/>
    <w:rsid w:val="00A77683"/>
    <w:rsid w:val="00A8019C"/>
    <w:rsid w:val="00A80D5D"/>
    <w:rsid w:val="00A8372A"/>
    <w:rsid w:val="00A84181"/>
    <w:rsid w:val="00A8564A"/>
    <w:rsid w:val="00A90221"/>
    <w:rsid w:val="00A9104E"/>
    <w:rsid w:val="00A925D1"/>
    <w:rsid w:val="00A95280"/>
    <w:rsid w:val="00A95A8B"/>
    <w:rsid w:val="00A96E26"/>
    <w:rsid w:val="00AA6D3C"/>
    <w:rsid w:val="00AB2A99"/>
    <w:rsid w:val="00AB414B"/>
    <w:rsid w:val="00AB5A12"/>
    <w:rsid w:val="00AB6BCB"/>
    <w:rsid w:val="00AB6FA9"/>
    <w:rsid w:val="00AC1745"/>
    <w:rsid w:val="00AC2B52"/>
    <w:rsid w:val="00AC2C51"/>
    <w:rsid w:val="00AC3A51"/>
    <w:rsid w:val="00AC5C13"/>
    <w:rsid w:val="00AC64B6"/>
    <w:rsid w:val="00AD0E84"/>
    <w:rsid w:val="00AD4BC7"/>
    <w:rsid w:val="00AE13FD"/>
    <w:rsid w:val="00AE2E8D"/>
    <w:rsid w:val="00AE377B"/>
    <w:rsid w:val="00AE4E0A"/>
    <w:rsid w:val="00AE5C9B"/>
    <w:rsid w:val="00AF1462"/>
    <w:rsid w:val="00AF3A4A"/>
    <w:rsid w:val="00AF3E4B"/>
    <w:rsid w:val="00B01A85"/>
    <w:rsid w:val="00B02E7C"/>
    <w:rsid w:val="00B04A9D"/>
    <w:rsid w:val="00B07FD9"/>
    <w:rsid w:val="00B10697"/>
    <w:rsid w:val="00B157C1"/>
    <w:rsid w:val="00B22C14"/>
    <w:rsid w:val="00B23BE0"/>
    <w:rsid w:val="00B2567E"/>
    <w:rsid w:val="00B3238C"/>
    <w:rsid w:val="00B328C1"/>
    <w:rsid w:val="00B3381E"/>
    <w:rsid w:val="00B35929"/>
    <w:rsid w:val="00B3784F"/>
    <w:rsid w:val="00B40144"/>
    <w:rsid w:val="00B4214A"/>
    <w:rsid w:val="00B46F84"/>
    <w:rsid w:val="00B47068"/>
    <w:rsid w:val="00B55CB9"/>
    <w:rsid w:val="00B57710"/>
    <w:rsid w:val="00B60173"/>
    <w:rsid w:val="00B61D67"/>
    <w:rsid w:val="00B63650"/>
    <w:rsid w:val="00B66FC9"/>
    <w:rsid w:val="00B6741B"/>
    <w:rsid w:val="00B702E2"/>
    <w:rsid w:val="00B72659"/>
    <w:rsid w:val="00B73261"/>
    <w:rsid w:val="00B75DC9"/>
    <w:rsid w:val="00B76547"/>
    <w:rsid w:val="00B767DC"/>
    <w:rsid w:val="00B76AAE"/>
    <w:rsid w:val="00B82802"/>
    <w:rsid w:val="00B838E8"/>
    <w:rsid w:val="00B83FA3"/>
    <w:rsid w:val="00B93037"/>
    <w:rsid w:val="00B9512A"/>
    <w:rsid w:val="00B97FA2"/>
    <w:rsid w:val="00BA0204"/>
    <w:rsid w:val="00BA0FB1"/>
    <w:rsid w:val="00BA4074"/>
    <w:rsid w:val="00BB455C"/>
    <w:rsid w:val="00BB5185"/>
    <w:rsid w:val="00BB537C"/>
    <w:rsid w:val="00BB6324"/>
    <w:rsid w:val="00BB6851"/>
    <w:rsid w:val="00BC2B60"/>
    <w:rsid w:val="00BC476A"/>
    <w:rsid w:val="00BC4D47"/>
    <w:rsid w:val="00BC5739"/>
    <w:rsid w:val="00BC62D1"/>
    <w:rsid w:val="00BD2F3C"/>
    <w:rsid w:val="00BD363E"/>
    <w:rsid w:val="00BD3708"/>
    <w:rsid w:val="00BD6188"/>
    <w:rsid w:val="00BD65AC"/>
    <w:rsid w:val="00BE0D79"/>
    <w:rsid w:val="00BE0E28"/>
    <w:rsid w:val="00BE1E27"/>
    <w:rsid w:val="00BE59A2"/>
    <w:rsid w:val="00BF1456"/>
    <w:rsid w:val="00BF1CB5"/>
    <w:rsid w:val="00BF5EE4"/>
    <w:rsid w:val="00BF76E4"/>
    <w:rsid w:val="00C02BB3"/>
    <w:rsid w:val="00C04F61"/>
    <w:rsid w:val="00C05724"/>
    <w:rsid w:val="00C1343D"/>
    <w:rsid w:val="00C137CB"/>
    <w:rsid w:val="00C146A6"/>
    <w:rsid w:val="00C1752B"/>
    <w:rsid w:val="00C22938"/>
    <w:rsid w:val="00C23065"/>
    <w:rsid w:val="00C25158"/>
    <w:rsid w:val="00C26586"/>
    <w:rsid w:val="00C26DB1"/>
    <w:rsid w:val="00C27CF1"/>
    <w:rsid w:val="00C31D19"/>
    <w:rsid w:val="00C32BEC"/>
    <w:rsid w:val="00C3345A"/>
    <w:rsid w:val="00C342B3"/>
    <w:rsid w:val="00C352A8"/>
    <w:rsid w:val="00C37620"/>
    <w:rsid w:val="00C4061E"/>
    <w:rsid w:val="00C4418E"/>
    <w:rsid w:val="00C5090F"/>
    <w:rsid w:val="00C53330"/>
    <w:rsid w:val="00C55CD8"/>
    <w:rsid w:val="00C60BD7"/>
    <w:rsid w:val="00C61BE2"/>
    <w:rsid w:val="00C640BA"/>
    <w:rsid w:val="00C65488"/>
    <w:rsid w:val="00C66DF9"/>
    <w:rsid w:val="00C70D4B"/>
    <w:rsid w:val="00C7472F"/>
    <w:rsid w:val="00C753EC"/>
    <w:rsid w:val="00C75ACF"/>
    <w:rsid w:val="00C75CC6"/>
    <w:rsid w:val="00C767C3"/>
    <w:rsid w:val="00C819F8"/>
    <w:rsid w:val="00C820E8"/>
    <w:rsid w:val="00C83AB0"/>
    <w:rsid w:val="00C851B1"/>
    <w:rsid w:val="00C87945"/>
    <w:rsid w:val="00C87CE9"/>
    <w:rsid w:val="00C87FAC"/>
    <w:rsid w:val="00C90C8E"/>
    <w:rsid w:val="00C90E15"/>
    <w:rsid w:val="00C91004"/>
    <w:rsid w:val="00C92291"/>
    <w:rsid w:val="00C92516"/>
    <w:rsid w:val="00C928A9"/>
    <w:rsid w:val="00C94715"/>
    <w:rsid w:val="00C9625D"/>
    <w:rsid w:val="00C964EB"/>
    <w:rsid w:val="00CA0C2A"/>
    <w:rsid w:val="00CA0E5A"/>
    <w:rsid w:val="00CA7083"/>
    <w:rsid w:val="00CB2744"/>
    <w:rsid w:val="00CB4637"/>
    <w:rsid w:val="00CB725C"/>
    <w:rsid w:val="00CB728A"/>
    <w:rsid w:val="00CC0B2E"/>
    <w:rsid w:val="00CC1318"/>
    <w:rsid w:val="00CC2772"/>
    <w:rsid w:val="00CC2AA4"/>
    <w:rsid w:val="00CC3293"/>
    <w:rsid w:val="00CC68F5"/>
    <w:rsid w:val="00CC6A4A"/>
    <w:rsid w:val="00CD01BA"/>
    <w:rsid w:val="00CD2BC2"/>
    <w:rsid w:val="00CD5A95"/>
    <w:rsid w:val="00CD78B2"/>
    <w:rsid w:val="00CE0D57"/>
    <w:rsid w:val="00CE30E3"/>
    <w:rsid w:val="00CE5A46"/>
    <w:rsid w:val="00CE7BDD"/>
    <w:rsid w:val="00CF36AD"/>
    <w:rsid w:val="00D0036D"/>
    <w:rsid w:val="00D02A8A"/>
    <w:rsid w:val="00D070F0"/>
    <w:rsid w:val="00D079F0"/>
    <w:rsid w:val="00D11D71"/>
    <w:rsid w:val="00D1255F"/>
    <w:rsid w:val="00D2164D"/>
    <w:rsid w:val="00D23A6E"/>
    <w:rsid w:val="00D23C1A"/>
    <w:rsid w:val="00D2450B"/>
    <w:rsid w:val="00D24FCC"/>
    <w:rsid w:val="00D26DAC"/>
    <w:rsid w:val="00D27B35"/>
    <w:rsid w:val="00D3014B"/>
    <w:rsid w:val="00D31E91"/>
    <w:rsid w:val="00D320CC"/>
    <w:rsid w:val="00D32AE0"/>
    <w:rsid w:val="00D33AFA"/>
    <w:rsid w:val="00D3469F"/>
    <w:rsid w:val="00D34D83"/>
    <w:rsid w:val="00D352FE"/>
    <w:rsid w:val="00D35336"/>
    <w:rsid w:val="00D35507"/>
    <w:rsid w:val="00D4138E"/>
    <w:rsid w:val="00D41E18"/>
    <w:rsid w:val="00D4308D"/>
    <w:rsid w:val="00D44B91"/>
    <w:rsid w:val="00D50CA6"/>
    <w:rsid w:val="00D53AF9"/>
    <w:rsid w:val="00D54FE5"/>
    <w:rsid w:val="00D552A5"/>
    <w:rsid w:val="00D572AD"/>
    <w:rsid w:val="00D602AE"/>
    <w:rsid w:val="00D60E0D"/>
    <w:rsid w:val="00D611E4"/>
    <w:rsid w:val="00D61815"/>
    <w:rsid w:val="00D62C78"/>
    <w:rsid w:val="00D6314F"/>
    <w:rsid w:val="00D63AA7"/>
    <w:rsid w:val="00D65062"/>
    <w:rsid w:val="00D66018"/>
    <w:rsid w:val="00D671F7"/>
    <w:rsid w:val="00D67352"/>
    <w:rsid w:val="00D67579"/>
    <w:rsid w:val="00D76658"/>
    <w:rsid w:val="00D766DA"/>
    <w:rsid w:val="00D76AC3"/>
    <w:rsid w:val="00D76F74"/>
    <w:rsid w:val="00D77BE1"/>
    <w:rsid w:val="00D77FFC"/>
    <w:rsid w:val="00D820B1"/>
    <w:rsid w:val="00D83C0A"/>
    <w:rsid w:val="00D85A52"/>
    <w:rsid w:val="00D86324"/>
    <w:rsid w:val="00D86A90"/>
    <w:rsid w:val="00D90DEB"/>
    <w:rsid w:val="00D93C6D"/>
    <w:rsid w:val="00D9404B"/>
    <w:rsid w:val="00D94D60"/>
    <w:rsid w:val="00D9720E"/>
    <w:rsid w:val="00DA2B68"/>
    <w:rsid w:val="00DA4923"/>
    <w:rsid w:val="00DA5136"/>
    <w:rsid w:val="00DA57C6"/>
    <w:rsid w:val="00DA60CD"/>
    <w:rsid w:val="00DA7FAF"/>
    <w:rsid w:val="00DB040D"/>
    <w:rsid w:val="00DB063E"/>
    <w:rsid w:val="00DB0A33"/>
    <w:rsid w:val="00DB2A85"/>
    <w:rsid w:val="00DB4FA4"/>
    <w:rsid w:val="00DB52F2"/>
    <w:rsid w:val="00DB7539"/>
    <w:rsid w:val="00DB7815"/>
    <w:rsid w:val="00DC2BDF"/>
    <w:rsid w:val="00DC377A"/>
    <w:rsid w:val="00DD16C5"/>
    <w:rsid w:val="00DD252D"/>
    <w:rsid w:val="00DD30D1"/>
    <w:rsid w:val="00DD68C7"/>
    <w:rsid w:val="00DD6DA0"/>
    <w:rsid w:val="00DE0D8E"/>
    <w:rsid w:val="00DE2639"/>
    <w:rsid w:val="00DE36AC"/>
    <w:rsid w:val="00DE6614"/>
    <w:rsid w:val="00DE7DF9"/>
    <w:rsid w:val="00DF1435"/>
    <w:rsid w:val="00DF6481"/>
    <w:rsid w:val="00E005FA"/>
    <w:rsid w:val="00E00C4B"/>
    <w:rsid w:val="00E023E7"/>
    <w:rsid w:val="00E031D2"/>
    <w:rsid w:val="00E03B45"/>
    <w:rsid w:val="00E078C0"/>
    <w:rsid w:val="00E10A4C"/>
    <w:rsid w:val="00E133C4"/>
    <w:rsid w:val="00E13568"/>
    <w:rsid w:val="00E16051"/>
    <w:rsid w:val="00E166B4"/>
    <w:rsid w:val="00E21410"/>
    <w:rsid w:val="00E2174C"/>
    <w:rsid w:val="00E26827"/>
    <w:rsid w:val="00E27318"/>
    <w:rsid w:val="00E27472"/>
    <w:rsid w:val="00E33AE7"/>
    <w:rsid w:val="00E41388"/>
    <w:rsid w:val="00E44320"/>
    <w:rsid w:val="00E45F0E"/>
    <w:rsid w:val="00E470DF"/>
    <w:rsid w:val="00E5270F"/>
    <w:rsid w:val="00E546F9"/>
    <w:rsid w:val="00E54CBF"/>
    <w:rsid w:val="00E57521"/>
    <w:rsid w:val="00E57CD3"/>
    <w:rsid w:val="00E57D0D"/>
    <w:rsid w:val="00E60FC2"/>
    <w:rsid w:val="00E621AC"/>
    <w:rsid w:val="00E62546"/>
    <w:rsid w:val="00E62A31"/>
    <w:rsid w:val="00E6394B"/>
    <w:rsid w:val="00E645E5"/>
    <w:rsid w:val="00E74A53"/>
    <w:rsid w:val="00E74C3D"/>
    <w:rsid w:val="00E75AE4"/>
    <w:rsid w:val="00E7692C"/>
    <w:rsid w:val="00E76936"/>
    <w:rsid w:val="00E77A23"/>
    <w:rsid w:val="00E86BD9"/>
    <w:rsid w:val="00E905B0"/>
    <w:rsid w:val="00E931BA"/>
    <w:rsid w:val="00E95782"/>
    <w:rsid w:val="00EA040D"/>
    <w:rsid w:val="00EA2795"/>
    <w:rsid w:val="00EA3D49"/>
    <w:rsid w:val="00EA4D53"/>
    <w:rsid w:val="00EA5ABA"/>
    <w:rsid w:val="00EA7752"/>
    <w:rsid w:val="00EB0D86"/>
    <w:rsid w:val="00EB5443"/>
    <w:rsid w:val="00EB56A2"/>
    <w:rsid w:val="00EB6DC3"/>
    <w:rsid w:val="00EC1739"/>
    <w:rsid w:val="00EC45FE"/>
    <w:rsid w:val="00EC61FD"/>
    <w:rsid w:val="00EC6B8E"/>
    <w:rsid w:val="00EC736B"/>
    <w:rsid w:val="00ED0408"/>
    <w:rsid w:val="00ED0E23"/>
    <w:rsid w:val="00EE071B"/>
    <w:rsid w:val="00EE1F2F"/>
    <w:rsid w:val="00EE46AF"/>
    <w:rsid w:val="00EE4A3D"/>
    <w:rsid w:val="00EE5E1D"/>
    <w:rsid w:val="00EF0093"/>
    <w:rsid w:val="00EF2474"/>
    <w:rsid w:val="00EF610B"/>
    <w:rsid w:val="00EF69E2"/>
    <w:rsid w:val="00EF6AF2"/>
    <w:rsid w:val="00EF7615"/>
    <w:rsid w:val="00F03031"/>
    <w:rsid w:val="00F05EC0"/>
    <w:rsid w:val="00F076B1"/>
    <w:rsid w:val="00F12575"/>
    <w:rsid w:val="00F201CF"/>
    <w:rsid w:val="00F218A1"/>
    <w:rsid w:val="00F2409E"/>
    <w:rsid w:val="00F254CF"/>
    <w:rsid w:val="00F264BF"/>
    <w:rsid w:val="00F27655"/>
    <w:rsid w:val="00F34EA5"/>
    <w:rsid w:val="00F36393"/>
    <w:rsid w:val="00F41458"/>
    <w:rsid w:val="00F419D0"/>
    <w:rsid w:val="00F43A55"/>
    <w:rsid w:val="00F45792"/>
    <w:rsid w:val="00F4661B"/>
    <w:rsid w:val="00F476EE"/>
    <w:rsid w:val="00F47D4A"/>
    <w:rsid w:val="00F52AC1"/>
    <w:rsid w:val="00F52EEF"/>
    <w:rsid w:val="00F552D1"/>
    <w:rsid w:val="00F56EA7"/>
    <w:rsid w:val="00F60E1A"/>
    <w:rsid w:val="00F61D80"/>
    <w:rsid w:val="00F64457"/>
    <w:rsid w:val="00F65FAE"/>
    <w:rsid w:val="00F730F4"/>
    <w:rsid w:val="00F73CBE"/>
    <w:rsid w:val="00F746A9"/>
    <w:rsid w:val="00F75913"/>
    <w:rsid w:val="00F77396"/>
    <w:rsid w:val="00F77959"/>
    <w:rsid w:val="00F81060"/>
    <w:rsid w:val="00F818AD"/>
    <w:rsid w:val="00F82A8F"/>
    <w:rsid w:val="00F83D01"/>
    <w:rsid w:val="00F84B2B"/>
    <w:rsid w:val="00F85EA4"/>
    <w:rsid w:val="00F86549"/>
    <w:rsid w:val="00F874DB"/>
    <w:rsid w:val="00F905B9"/>
    <w:rsid w:val="00F931A6"/>
    <w:rsid w:val="00F96A49"/>
    <w:rsid w:val="00FA1007"/>
    <w:rsid w:val="00FA356F"/>
    <w:rsid w:val="00FA4CA5"/>
    <w:rsid w:val="00FB39AC"/>
    <w:rsid w:val="00FB46E1"/>
    <w:rsid w:val="00FB56EA"/>
    <w:rsid w:val="00FB5B8C"/>
    <w:rsid w:val="00FB5FD3"/>
    <w:rsid w:val="00FB6457"/>
    <w:rsid w:val="00FB6931"/>
    <w:rsid w:val="00FC486C"/>
    <w:rsid w:val="00FC4C16"/>
    <w:rsid w:val="00FC4F83"/>
    <w:rsid w:val="00FC6636"/>
    <w:rsid w:val="00FC7B55"/>
    <w:rsid w:val="00FD00C4"/>
    <w:rsid w:val="00FD0DAF"/>
    <w:rsid w:val="00FD0E48"/>
    <w:rsid w:val="00FD188E"/>
    <w:rsid w:val="00FD3A24"/>
    <w:rsid w:val="00FD6ABC"/>
    <w:rsid w:val="00FD7310"/>
    <w:rsid w:val="00FE0581"/>
    <w:rsid w:val="00FE23D7"/>
    <w:rsid w:val="00FE256D"/>
    <w:rsid w:val="00FE44C6"/>
    <w:rsid w:val="00FE4B76"/>
    <w:rsid w:val="00FF4872"/>
    <w:rsid w:val="00FF5015"/>
    <w:rsid w:val="00FF52A6"/>
    <w:rsid w:val="00FF52E2"/>
    <w:rsid w:val="00FF6D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68A4F"/>
  <w14:defaultImageDpi w14:val="300"/>
  <w15:docId w15:val="{1C967D1F-FC91-4550-9553-BCBCDD5F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48D9"/>
    <w:rPr>
      <w:sz w:val="18"/>
      <w:szCs w:val="18"/>
    </w:rPr>
  </w:style>
  <w:style w:type="paragraph" w:styleId="CommentText">
    <w:name w:val="annotation text"/>
    <w:basedOn w:val="Normal"/>
    <w:link w:val="CommentTextChar"/>
    <w:uiPriority w:val="99"/>
    <w:unhideWhenUsed/>
    <w:rsid w:val="000C48D9"/>
  </w:style>
  <w:style w:type="character" w:customStyle="1" w:styleId="CommentTextChar">
    <w:name w:val="Comment Text Char"/>
    <w:basedOn w:val="DefaultParagraphFont"/>
    <w:link w:val="CommentText"/>
    <w:uiPriority w:val="99"/>
    <w:rsid w:val="000C48D9"/>
    <w:rPr>
      <w:rFonts w:eastAsiaTheme="minorHAnsi"/>
      <w:lang w:val="en-US" w:eastAsia="en-US"/>
    </w:rPr>
  </w:style>
  <w:style w:type="paragraph" w:styleId="BalloonText">
    <w:name w:val="Balloon Text"/>
    <w:basedOn w:val="Normal"/>
    <w:link w:val="BalloonTextChar"/>
    <w:uiPriority w:val="99"/>
    <w:semiHidden/>
    <w:unhideWhenUsed/>
    <w:rsid w:val="000C4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8D9"/>
    <w:rPr>
      <w:rFonts w:ascii="Lucida Grande" w:eastAsiaTheme="minorHAnsi"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E41388"/>
    <w:rPr>
      <w:b/>
      <w:bCs/>
      <w:sz w:val="20"/>
      <w:szCs w:val="20"/>
    </w:rPr>
  </w:style>
  <w:style w:type="character" w:customStyle="1" w:styleId="CommentSubjectChar">
    <w:name w:val="Comment Subject Char"/>
    <w:basedOn w:val="CommentTextChar"/>
    <w:link w:val="CommentSubject"/>
    <w:uiPriority w:val="99"/>
    <w:semiHidden/>
    <w:rsid w:val="00E41388"/>
    <w:rPr>
      <w:rFonts w:eastAsiaTheme="minorHAnsi"/>
      <w:b/>
      <w:bCs/>
      <w:sz w:val="20"/>
      <w:szCs w:val="20"/>
      <w:lang w:val="en-US" w:eastAsia="en-US"/>
    </w:rPr>
  </w:style>
  <w:style w:type="paragraph" w:styleId="ListParagraph">
    <w:name w:val="List Paragraph"/>
    <w:basedOn w:val="Normal"/>
    <w:uiPriority w:val="34"/>
    <w:qFormat/>
    <w:rsid w:val="004948E2"/>
    <w:pPr>
      <w:ind w:left="720"/>
      <w:contextualSpacing/>
    </w:pPr>
  </w:style>
  <w:style w:type="table" w:styleId="TableGrid">
    <w:name w:val="Table Grid"/>
    <w:basedOn w:val="TableNormal"/>
    <w:uiPriority w:val="39"/>
    <w:rsid w:val="00C1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036"/>
    <w:rPr>
      <w:rFonts w:eastAsiaTheme="minorHAnsi"/>
      <w:sz w:val="22"/>
      <w:szCs w:val="22"/>
      <w:lang w:val="en-US" w:eastAsia="en-US"/>
    </w:rPr>
  </w:style>
  <w:style w:type="paragraph" w:styleId="Footer">
    <w:name w:val="footer"/>
    <w:basedOn w:val="Normal"/>
    <w:link w:val="FooterChar"/>
    <w:uiPriority w:val="99"/>
    <w:unhideWhenUsed/>
    <w:rsid w:val="0035696F"/>
    <w:pPr>
      <w:tabs>
        <w:tab w:val="center" w:pos="4819"/>
        <w:tab w:val="right" w:pos="9638"/>
      </w:tabs>
    </w:pPr>
  </w:style>
  <w:style w:type="character" w:customStyle="1" w:styleId="FooterChar">
    <w:name w:val="Footer Char"/>
    <w:basedOn w:val="DefaultParagraphFont"/>
    <w:link w:val="Footer"/>
    <w:uiPriority w:val="99"/>
    <w:rsid w:val="0035696F"/>
    <w:rPr>
      <w:rFonts w:eastAsiaTheme="minorHAnsi"/>
      <w:sz w:val="22"/>
      <w:szCs w:val="22"/>
      <w:lang w:val="en-US" w:eastAsia="en-US"/>
    </w:rPr>
  </w:style>
  <w:style w:type="character" w:styleId="PageNumber">
    <w:name w:val="page number"/>
    <w:basedOn w:val="DefaultParagraphFont"/>
    <w:uiPriority w:val="99"/>
    <w:semiHidden/>
    <w:unhideWhenUsed/>
    <w:rsid w:val="0035696F"/>
  </w:style>
  <w:style w:type="character" w:customStyle="1" w:styleId="author">
    <w:name w:val="author"/>
    <w:basedOn w:val="DefaultParagraphFont"/>
    <w:rsid w:val="00C91004"/>
  </w:style>
  <w:style w:type="character" w:customStyle="1" w:styleId="pubyear">
    <w:name w:val="pubyear"/>
    <w:basedOn w:val="DefaultParagraphFont"/>
    <w:rsid w:val="00C91004"/>
  </w:style>
  <w:style w:type="character" w:customStyle="1" w:styleId="articletitle">
    <w:name w:val="articletitle"/>
    <w:basedOn w:val="DefaultParagraphFont"/>
    <w:rsid w:val="00C91004"/>
  </w:style>
  <w:style w:type="character" w:customStyle="1" w:styleId="journaltitle">
    <w:name w:val="journaltitle"/>
    <w:basedOn w:val="DefaultParagraphFont"/>
    <w:rsid w:val="00C91004"/>
  </w:style>
  <w:style w:type="character" w:customStyle="1" w:styleId="vol">
    <w:name w:val="vol"/>
    <w:basedOn w:val="DefaultParagraphFont"/>
    <w:rsid w:val="00C91004"/>
  </w:style>
  <w:style w:type="character" w:customStyle="1" w:styleId="pagefirst">
    <w:name w:val="pagefirst"/>
    <w:basedOn w:val="DefaultParagraphFont"/>
    <w:rsid w:val="00C91004"/>
  </w:style>
  <w:style w:type="character" w:customStyle="1" w:styleId="pagelast">
    <w:name w:val="pagelast"/>
    <w:basedOn w:val="DefaultParagraphFont"/>
    <w:rsid w:val="00C91004"/>
  </w:style>
  <w:style w:type="paragraph" w:styleId="Bibliography">
    <w:name w:val="Bibliography"/>
    <w:basedOn w:val="Normal"/>
    <w:next w:val="Normal"/>
    <w:uiPriority w:val="37"/>
    <w:unhideWhenUsed/>
    <w:rsid w:val="009E7D4B"/>
    <w:rPr>
      <w:lang w:val="en-GB"/>
    </w:rPr>
  </w:style>
  <w:style w:type="character" w:styleId="Hyperlink">
    <w:name w:val="Hyperlink"/>
    <w:basedOn w:val="DefaultParagraphFont"/>
    <w:uiPriority w:val="99"/>
    <w:unhideWhenUsed/>
    <w:rsid w:val="008158F9"/>
    <w:rPr>
      <w:color w:val="0000FF" w:themeColor="hyperlink"/>
      <w:u w:val="single"/>
    </w:rPr>
  </w:style>
  <w:style w:type="paragraph" w:styleId="Header">
    <w:name w:val="header"/>
    <w:basedOn w:val="Normal"/>
    <w:link w:val="HeaderChar"/>
    <w:uiPriority w:val="99"/>
    <w:unhideWhenUsed/>
    <w:rsid w:val="00427B7A"/>
    <w:pPr>
      <w:tabs>
        <w:tab w:val="center" w:pos="4513"/>
        <w:tab w:val="right" w:pos="9026"/>
      </w:tabs>
    </w:pPr>
  </w:style>
  <w:style w:type="character" w:customStyle="1" w:styleId="HeaderChar">
    <w:name w:val="Header Char"/>
    <w:basedOn w:val="DefaultParagraphFont"/>
    <w:link w:val="Header"/>
    <w:uiPriority w:val="99"/>
    <w:rsid w:val="00427B7A"/>
    <w:rPr>
      <w:rFonts w:eastAsiaTheme="minorHAnsi"/>
      <w:sz w:val="22"/>
      <w:szCs w:val="22"/>
      <w:lang w:val="en-US" w:eastAsia="en-US"/>
    </w:rPr>
  </w:style>
  <w:style w:type="paragraph" w:styleId="BodyText">
    <w:name w:val="Body Text"/>
    <w:basedOn w:val="Normal"/>
    <w:link w:val="BodyTextChar"/>
    <w:rsid w:val="001F4826"/>
    <w:pPr>
      <w:spacing w:line="360" w:lineRule="auto"/>
    </w:pPr>
    <w:rPr>
      <w:szCs w:val="20"/>
      <w:lang w:eastAsia="en-GB"/>
    </w:rPr>
  </w:style>
  <w:style w:type="character" w:customStyle="1" w:styleId="BodyTextChar">
    <w:name w:val="Body Text Char"/>
    <w:basedOn w:val="DefaultParagraphFont"/>
    <w:link w:val="BodyText"/>
    <w:rsid w:val="001F4826"/>
    <w:rPr>
      <w:rFonts w:ascii="Times New Roman" w:eastAsia="Times New Roman" w:hAnsi="Times New Roman" w:cs="Times New Roman"/>
      <w:sz w:val="22"/>
      <w:szCs w:val="20"/>
      <w:lang w:val="en-US" w:eastAsia="en-GB"/>
    </w:rPr>
  </w:style>
  <w:style w:type="paragraph" w:customStyle="1" w:styleId="Default">
    <w:name w:val="Default"/>
    <w:uiPriority w:val="99"/>
    <w:rsid w:val="001F4826"/>
    <w:pPr>
      <w:autoSpaceDE w:val="0"/>
      <w:autoSpaceDN w:val="0"/>
      <w:adjustRightInd w:val="0"/>
    </w:pPr>
    <w:rPr>
      <w:rFonts w:ascii="Times New Roman" w:eastAsia="Times New Roman" w:hAnsi="Times New Roman" w:cs="Times New Roman"/>
      <w:color w:val="000000"/>
      <w:lang w:val="en-GB" w:eastAsia="en-GB"/>
    </w:rPr>
  </w:style>
  <w:style w:type="character" w:customStyle="1" w:styleId="Menzionenonrisolta1">
    <w:name w:val="Menzione non risolta1"/>
    <w:basedOn w:val="DefaultParagraphFont"/>
    <w:uiPriority w:val="99"/>
    <w:semiHidden/>
    <w:unhideWhenUsed/>
    <w:rsid w:val="008746AA"/>
    <w:rPr>
      <w:color w:val="605E5C"/>
      <w:shd w:val="clear" w:color="auto" w:fill="E1DFDD"/>
    </w:rPr>
  </w:style>
  <w:style w:type="character" w:customStyle="1" w:styleId="UnresolvedMention1">
    <w:name w:val="Unresolved Mention1"/>
    <w:basedOn w:val="DefaultParagraphFont"/>
    <w:uiPriority w:val="99"/>
    <w:semiHidden/>
    <w:unhideWhenUsed/>
    <w:rsid w:val="00260EAB"/>
    <w:rPr>
      <w:color w:val="605E5C"/>
      <w:shd w:val="clear" w:color="auto" w:fill="E1DFDD"/>
    </w:rPr>
  </w:style>
  <w:style w:type="character" w:styleId="FollowedHyperlink">
    <w:name w:val="FollowedHyperlink"/>
    <w:basedOn w:val="DefaultParagraphFont"/>
    <w:uiPriority w:val="99"/>
    <w:semiHidden/>
    <w:unhideWhenUsed/>
    <w:rsid w:val="00260EAB"/>
    <w:rPr>
      <w:color w:val="800080" w:themeColor="followedHyperlink"/>
      <w:u w:val="single"/>
    </w:rPr>
  </w:style>
  <w:style w:type="character" w:customStyle="1" w:styleId="s4">
    <w:name w:val="s4"/>
    <w:basedOn w:val="DefaultParagraphFont"/>
    <w:rsid w:val="0072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293">
      <w:bodyDiv w:val="1"/>
      <w:marLeft w:val="0"/>
      <w:marRight w:val="0"/>
      <w:marTop w:val="0"/>
      <w:marBottom w:val="0"/>
      <w:divBdr>
        <w:top w:val="none" w:sz="0" w:space="0" w:color="auto"/>
        <w:left w:val="none" w:sz="0" w:space="0" w:color="auto"/>
        <w:bottom w:val="none" w:sz="0" w:space="0" w:color="auto"/>
        <w:right w:val="none" w:sz="0" w:space="0" w:color="auto"/>
      </w:divBdr>
    </w:div>
    <w:div w:id="20739890">
      <w:bodyDiv w:val="1"/>
      <w:marLeft w:val="0"/>
      <w:marRight w:val="0"/>
      <w:marTop w:val="0"/>
      <w:marBottom w:val="0"/>
      <w:divBdr>
        <w:top w:val="none" w:sz="0" w:space="0" w:color="auto"/>
        <w:left w:val="none" w:sz="0" w:space="0" w:color="auto"/>
        <w:bottom w:val="none" w:sz="0" w:space="0" w:color="auto"/>
        <w:right w:val="none" w:sz="0" w:space="0" w:color="auto"/>
      </w:divBdr>
    </w:div>
    <w:div w:id="26760114">
      <w:bodyDiv w:val="1"/>
      <w:marLeft w:val="0"/>
      <w:marRight w:val="0"/>
      <w:marTop w:val="0"/>
      <w:marBottom w:val="0"/>
      <w:divBdr>
        <w:top w:val="none" w:sz="0" w:space="0" w:color="auto"/>
        <w:left w:val="none" w:sz="0" w:space="0" w:color="auto"/>
        <w:bottom w:val="none" w:sz="0" w:space="0" w:color="auto"/>
        <w:right w:val="none" w:sz="0" w:space="0" w:color="auto"/>
      </w:divBdr>
    </w:div>
    <w:div w:id="32584092">
      <w:bodyDiv w:val="1"/>
      <w:marLeft w:val="0"/>
      <w:marRight w:val="0"/>
      <w:marTop w:val="0"/>
      <w:marBottom w:val="0"/>
      <w:divBdr>
        <w:top w:val="none" w:sz="0" w:space="0" w:color="auto"/>
        <w:left w:val="none" w:sz="0" w:space="0" w:color="auto"/>
        <w:bottom w:val="none" w:sz="0" w:space="0" w:color="auto"/>
        <w:right w:val="none" w:sz="0" w:space="0" w:color="auto"/>
      </w:divBdr>
    </w:div>
    <w:div w:id="83770493">
      <w:bodyDiv w:val="1"/>
      <w:marLeft w:val="0"/>
      <w:marRight w:val="0"/>
      <w:marTop w:val="0"/>
      <w:marBottom w:val="0"/>
      <w:divBdr>
        <w:top w:val="none" w:sz="0" w:space="0" w:color="auto"/>
        <w:left w:val="none" w:sz="0" w:space="0" w:color="auto"/>
        <w:bottom w:val="none" w:sz="0" w:space="0" w:color="auto"/>
        <w:right w:val="none" w:sz="0" w:space="0" w:color="auto"/>
      </w:divBdr>
    </w:div>
    <w:div w:id="85931176">
      <w:bodyDiv w:val="1"/>
      <w:marLeft w:val="0"/>
      <w:marRight w:val="0"/>
      <w:marTop w:val="0"/>
      <w:marBottom w:val="0"/>
      <w:divBdr>
        <w:top w:val="none" w:sz="0" w:space="0" w:color="auto"/>
        <w:left w:val="none" w:sz="0" w:space="0" w:color="auto"/>
        <w:bottom w:val="none" w:sz="0" w:space="0" w:color="auto"/>
        <w:right w:val="none" w:sz="0" w:space="0" w:color="auto"/>
      </w:divBdr>
    </w:div>
    <w:div w:id="124005511">
      <w:bodyDiv w:val="1"/>
      <w:marLeft w:val="0"/>
      <w:marRight w:val="0"/>
      <w:marTop w:val="0"/>
      <w:marBottom w:val="0"/>
      <w:divBdr>
        <w:top w:val="none" w:sz="0" w:space="0" w:color="auto"/>
        <w:left w:val="none" w:sz="0" w:space="0" w:color="auto"/>
        <w:bottom w:val="none" w:sz="0" w:space="0" w:color="auto"/>
        <w:right w:val="none" w:sz="0" w:space="0" w:color="auto"/>
      </w:divBdr>
    </w:div>
    <w:div w:id="125706250">
      <w:bodyDiv w:val="1"/>
      <w:marLeft w:val="0"/>
      <w:marRight w:val="0"/>
      <w:marTop w:val="0"/>
      <w:marBottom w:val="0"/>
      <w:divBdr>
        <w:top w:val="none" w:sz="0" w:space="0" w:color="auto"/>
        <w:left w:val="none" w:sz="0" w:space="0" w:color="auto"/>
        <w:bottom w:val="none" w:sz="0" w:space="0" w:color="auto"/>
        <w:right w:val="none" w:sz="0" w:space="0" w:color="auto"/>
      </w:divBdr>
    </w:div>
    <w:div w:id="156117695">
      <w:bodyDiv w:val="1"/>
      <w:marLeft w:val="0"/>
      <w:marRight w:val="0"/>
      <w:marTop w:val="0"/>
      <w:marBottom w:val="0"/>
      <w:divBdr>
        <w:top w:val="none" w:sz="0" w:space="0" w:color="auto"/>
        <w:left w:val="none" w:sz="0" w:space="0" w:color="auto"/>
        <w:bottom w:val="none" w:sz="0" w:space="0" w:color="auto"/>
        <w:right w:val="none" w:sz="0" w:space="0" w:color="auto"/>
      </w:divBdr>
    </w:div>
    <w:div w:id="186332221">
      <w:bodyDiv w:val="1"/>
      <w:marLeft w:val="0"/>
      <w:marRight w:val="0"/>
      <w:marTop w:val="0"/>
      <w:marBottom w:val="0"/>
      <w:divBdr>
        <w:top w:val="none" w:sz="0" w:space="0" w:color="auto"/>
        <w:left w:val="none" w:sz="0" w:space="0" w:color="auto"/>
        <w:bottom w:val="none" w:sz="0" w:space="0" w:color="auto"/>
        <w:right w:val="none" w:sz="0" w:space="0" w:color="auto"/>
      </w:divBdr>
    </w:div>
    <w:div w:id="189607214">
      <w:bodyDiv w:val="1"/>
      <w:marLeft w:val="0"/>
      <w:marRight w:val="0"/>
      <w:marTop w:val="0"/>
      <w:marBottom w:val="0"/>
      <w:divBdr>
        <w:top w:val="none" w:sz="0" w:space="0" w:color="auto"/>
        <w:left w:val="none" w:sz="0" w:space="0" w:color="auto"/>
        <w:bottom w:val="none" w:sz="0" w:space="0" w:color="auto"/>
        <w:right w:val="none" w:sz="0" w:space="0" w:color="auto"/>
      </w:divBdr>
    </w:div>
    <w:div w:id="192615776">
      <w:bodyDiv w:val="1"/>
      <w:marLeft w:val="0"/>
      <w:marRight w:val="0"/>
      <w:marTop w:val="0"/>
      <w:marBottom w:val="0"/>
      <w:divBdr>
        <w:top w:val="none" w:sz="0" w:space="0" w:color="auto"/>
        <w:left w:val="none" w:sz="0" w:space="0" w:color="auto"/>
        <w:bottom w:val="none" w:sz="0" w:space="0" w:color="auto"/>
        <w:right w:val="none" w:sz="0" w:space="0" w:color="auto"/>
      </w:divBdr>
    </w:div>
    <w:div w:id="194585808">
      <w:bodyDiv w:val="1"/>
      <w:marLeft w:val="0"/>
      <w:marRight w:val="0"/>
      <w:marTop w:val="0"/>
      <w:marBottom w:val="0"/>
      <w:divBdr>
        <w:top w:val="none" w:sz="0" w:space="0" w:color="auto"/>
        <w:left w:val="none" w:sz="0" w:space="0" w:color="auto"/>
        <w:bottom w:val="none" w:sz="0" w:space="0" w:color="auto"/>
        <w:right w:val="none" w:sz="0" w:space="0" w:color="auto"/>
      </w:divBdr>
    </w:div>
    <w:div w:id="203372452">
      <w:bodyDiv w:val="1"/>
      <w:marLeft w:val="0"/>
      <w:marRight w:val="0"/>
      <w:marTop w:val="0"/>
      <w:marBottom w:val="0"/>
      <w:divBdr>
        <w:top w:val="none" w:sz="0" w:space="0" w:color="auto"/>
        <w:left w:val="none" w:sz="0" w:space="0" w:color="auto"/>
        <w:bottom w:val="none" w:sz="0" w:space="0" w:color="auto"/>
        <w:right w:val="none" w:sz="0" w:space="0" w:color="auto"/>
      </w:divBdr>
      <w:divsChild>
        <w:div w:id="909771753">
          <w:marLeft w:val="0"/>
          <w:marRight w:val="0"/>
          <w:marTop w:val="0"/>
          <w:marBottom w:val="0"/>
          <w:divBdr>
            <w:top w:val="none" w:sz="0" w:space="0" w:color="auto"/>
            <w:left w:val="none" w:sz="0" w:space="0" w:color="auto"/>
            <w:bottom w:val="none" w:sz="0" w:space="0" w:color="auto"/>
            <w:right w:val="none" w:sz="0" w:space="0" w:color="auto"/>
          </w:divBdr>
          <w:divsChild>
            <w:div w:id="1101147060">
              <w:marLeft w:val="0"/>
              <w:marRight w:val="0"/>
              <w:marTop w:val="0"/>
              <w:marBottom w:val="0"/>
              <w:divBdr>
                <w:top w:val="none" w:sz="0" w:space="0" w:color="auto"/>
                <w:left w:val="none" w:sz="0" w:space="0" w:color="auto"/>
                <w:bottom w:val="none" w:sz="0" w:space="0" w:color="auto"/>
                <w:right w:val="none" w:sz="0" w:space="0" w:color="auto"/>
              </w:divBdr>
              <w:divsChild>
                <w:div w:id="649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4171">
      <w:bodyDiv w:val="1"/>
      <w:marLeft w:val="0"/>
      <w:marRight w:val="0"/>
      <w:marTop w:val="0"/>
      <w:marBottom w:val="0"/>
      <w:divBdr>
        <w:top w:val="none" w:sz="0" w:space="0" w:color="auto"/>
        <w:left w:val="none" w:sz="0" w:space="0" w:color="auto"/>
        <w:bottom w:val="none" w:sz="0" w:space="0" w:color="auto"/>
        <w:right w:val="none" w:sz="0" w:space="0" w:color="auto"/>
      </w:divBdr>
    </w:div>
    <w:div w:id="229730465">
      <w:bodyDiv w:val="1"/>
      <w:marLeft w:val="0"/>
      <w:marRight w:val="0"/>
      <w:marTop w:val="0"/>
      <w:marBottom w:val="0"/>
      <w:divBdr>
        <w:top w:val="none" w:sz="0" w:space="0" w:color="auto"/>
        <w:left w:val="none" w:sz="0" w:space="0" w:color="auto"/>
        <w:bottom w:val="none" w:sz="0" w:space="0" w:color="auto"/>
        <w:right w:val="none" w:sz="0" w:space="0" w:color="auto"/>
      </w:divBdr>
    </w:div>
    <w:div w:id="247230598">
      <w:bodyDiv w:val="1"/>
      <w:marLeft w:val="0"/>
      <w:marRight w:val="0"/>
      <w:marTop w:val="0"/>
      <w:marBottom w:val="0"/>
      <w:divBdr>
        <w:top w:val="none" w:sz="0" w:space="0" w:color="auto"/>
        <w:left w:val="none" w:sz="0" w:space="0" w:color="auto"/>
        <w:bottom w:val="none" w:sz="0" w:space="0" w:color="auto"/>
        <w:right w:val="none" w:sz="0" w:space="0" w:color="auto"/>
      </w:divBdr>
    </w:div>
    <w:div w:id="264272097">
      <w:bodyDiv w:val="1"/>
      <w:marLeft w:val="0"/>
      <w:marRight w:val="0"/>
      <w:marTop w:val="0"/>
      <w:marBottom w:val="0"/>
      <w:divBdr>
        <w:top w:val="none" w:sz="0" w:space="0" w:color="auto"/>
        <w:left w:val="none" w:sz="0" w:space="0" w:color="auto"/>
        <w:bottom w:val="none" w:sz="0" w:space="0" w:color="auto"/>
        <w:right w:val="none" w:sz="0" w:space="0" w:color="auto"/>
      </w:divBdr>
    </w:div>
    <w:div w:id="300116379">
      <w:bodyDiv w:val="1"/>
      <w:marLeft w:val="0"/>
      <w:marRight w:val="0"/>
      <w:marTop w:val="0"/>
      <w:marBottom w:val="0"/>
      <w:divBdr>
        <w:top w:val="none" w:sz="0" w:space="0" w:color="auto"/>
        <w:left w:val="none" w:sz="0" w:space="0" w:color="auto"/>
        <w:bottom w:val="none" w:sz="0" w:space="0" w:color="auto"/>
        <w:right w:val="none" w:sz="0" w:space="0" w:color="auto"/>
      </w:divBdr>
      <w:divsChild>
        <w:div w:id="819737332">
          <w:marLeft w:val="0"/>
          <w:marRight w:val="0"/>
          <w:marTop w:val="0"/>
          <w:marBottom w:val="0"/>
          <w:divBdr>
            <w:top w:val="none" w:sz="0" w:space="0" w:color="auto"/>
            <w:left w:val="none" w:sz="0" w:space="0" w:color="auto"/>
            <w:bottom w:val="none" w:sz="0" w:space="0" w:color="auto"/>
            <w:right w:val="none" w:sz="0" w:space="0" w:color="auto"/>
          </w:divBdr>
        </w:div>
      </w:divsChild>
    </w:div>
    <w:div w:id="301229759">
      <w:bodyDiv w:val="1"/>
      <w:marLeft w:val="0"/>
      <w:marRight w:val="0"/>
      <w:marTop w:val="0"/>
      <w:marBottom w:val="0"/>
      <w:divBdr>
        <w:top w:val="none" w:sz="0" w:space="0" w:color="auto"/>
        <w:left w:val="none" w:sz="0" w:space="0" w:color="auto"/>
        <w:bottom w:val="none" w:sz="0" w:space="0" w:color="auto"/>
        <w:right w:val="none" w:sz="0" w:space="0" w:color="auto"/>
      </w:divBdr>
    </w:div>
    <w:div w:id="333188720">
      <w:bodyDiv w:val="1"/>
      <w:marLeft w:val="0"/>
      <w:marRight w:val="0"/>
      <w:marTop w:val="0"/>
      <w:marBottom w:val="0"/>
      <w:divBdr>
        <w:top w:val="none" w:sz="0" w:space="0" w:color="auto"/>
        <w:left w:val="none" w:sz="0" w:space="0" w:color="auto"/>
        <w:bottom w:val="none" w:sz="0" w:space="0" w:color="auto"/>
        <w:right w:val="none" w:sz="0" w:space="0" w:color="auto"/>
      </w:divBdr>
    </w:div>
    <w:div w:id="334041722">
      <w:bodyDiv w:val="1"/>
      <w:marLeft w:val="0"/>
      <w:marRight w:val="0"/>
      <w:marTop w:val="0"/>
      <w:marBottom w:val="0"/>
      <w:divBdr>
        <w:top w:val="none" w:sz="0" w:space="0" w:color="auto"/>
        <w:left w:val="none" w:sz="0" w:space="0" w:color="auto"/>
        <w:bottom w:val="none" w:sz="0" w:space="0" w:color="auto"/>
        <w:right w:val="none" w:sz="0" w:space="0" w:color="auto"/>
      </w:divBdr>
    </w:div>
    <w:div w:id="350187918">
      <w:bodyDiv w:val="1"/>
      <w:marLeft w:val="0"/>
      <w:marRight w:val="0"/>
      <w:marTop w:val="0"/>
      <w:marBottom w:val="0"/>
      <w:divBdr>
        <w:top w:val="none" w:sz="0" w:space="0" w:color="auto"/>
        <w:left w:val="none" w:sz="0" w:space="0" w:color="auto"/>
        <w:bottom w:val="none" w:sz="0" w:space="0" w:color="auto"/>
        <w:right w:val="none" w:sz="0" w:space="0" w:color="auto"/>
      </w:divBdr>
    </w:div>
    <w:div w:id="353042947">
      <w:bodyDiv w:val="1"/>
      <w:marLeft w:val="0"/>
      <w:marRight w:val="0"/>
      <w:marTop w:val="0"/>
      <w:marBottom w:val="0"/>
      <w:divBdr>
        <w:top w:val="none" w:sz="0" w:space="0" w:color="auto"/>
        <w:left w:val="none" w:sz="0" w:space="0" w:color="auto"/>
        <w:bottom w:val="none" w:sz="0" w:space="0" w:color="auto"/>
        <w:right w:val="none" w:sz="0" w:space="0" w:color="auto"/>
      </w:divBdr>
    </w:div>
    <w:div w:id="359284665">
      <w:bodyDiv w:val="1"/>
      <w:marLeft w:val="0"/>
      <w:marRight w:val="0"/>
      <w:marTop w:val="0"/>
      <w:marBottom w:val="0"/>
      <w:divBdr>
        <w:top w:val="none" w:sz="0" w:space="0" w:color="auto"/>
        <w:left w:val="none" w:sz="0" w:space="0" w:color="auto"/>
        <w:bottom w:val="none" w:sz="0" w:space="0" w:color="auto"/>
        <w:right w:val="none" w:sz="0" w:space="0" w:color="auto"/>
      </w:divBdr>
    </w:div>
    <w:div w:id="361445627">
      <w:bodyDiv w:val="1"/>
      <w:marLeft w:val="0"/>
      <w:marRight w:val="0"/>
      <w:marTop w:val="0"/>
      <w:marBottom w:val="0"/>
      <w:divBdr>
        <w:top w:val="none" w:sz="0" w:space="0" w:color="auto"/>
        <w:left w:val="none" w:sz="0" w:space="0" w:color="auto"/>
        <w:bottom w:val="none" w:sz="0" w:space="0" w:color="auto"/>
        <w:right w:val="none" w:sz="0" w:space="0" w:color="auto"/>
      </w:divBdr>
    </w:div>
    <w:div w:id="363020002">
      <w:bodyDiv w:val="1"/>
      <w:marLeft w:val="0"/>
      <w:marRight w:val="0"/>
      <w:marTop w:val="0"/>
      <w:marBottom w:val="0"/>
      <w:divBdr>
        <w:top w:val="none" w:sz="0" w:space="0" w:color="auto"/>
        <w:left w:val="none" w:sz="0" w:space="0" w:color="auto"/>
        <w:bottom w:val="none" w:sz="0" w:space="0" w:color="auto"/>
        <w:right w:val="none" w:sz="0" w:space="0" w:color="auto"/>
      </w:divBdr>
    </w:div>
    <w:div w:id="383801001">
      <w:bodyDiv w:val="1"/>
      <w:marLeft w:val="0"/>
      <w:marRight w:val="0"/>
      <w:marTop w:val="0"/>
      <w:marBottom w:val="0"/>
      <w:divBdr>
        <w:top w:val="none" w:sz="0" w:space="0" w:color="auto"/>
        <w:left w:val="none" w:sz="0" w:space="0" w:color="auto"/>
        <w:bottom w:val="none" w:sz="0" w:space="0" w:color="auto"/>
        <w:right w:val="none" w:sz="0" w:space="0" w:color="auto"/>
      </w:divBdr>
    </w:div>
    <w:div w:id="411005186">
      <w:bodyDiv w:val="1"/>
      <w:marLeft w:val="0"/>
      <w:marRight w:val="0"/>
      <w:marTop w:val="0"/>
      <w:marBottom w:val="0"/>
      <w:divBdr>
        <w:top w:val="none" w:sz="0" w:space="0" w:color="auto"/>
        <w:left w:val="none" w:sz="0" w:space="0" w:color="auto"/>
        <w:bottom w:val="none" w:sz="0" w:space="0" w:color="auto"/>
        <w:right w:val="none" w:sz="0" w:space="0" w:color="auto"/>
      </w:divBdr>
    </w:div>
    <w:div w:id="414977933">
      <w:bodyDiv w:val="1"/>
      <w:marLeft w:val="0"/>
      <w:marRight w:val="0"/>
      <w:marTop w:val="0"/>
      <w:marBottom w:val="0"/>
      <w:divBdr>
        <w:top w:val="none" w:sz="0" w:space="0" w:color="auto"/>
        <w:left w:val="none" w:sz="0" w:space="0" w:color="auto"/>
        <w:bottom w:val="none" w:sz="0" w:space="0" w:color="auto"/>
        <w:right w:val="none" w:sz="0" w:space="0" w:color="auto"/>
      </w:divBdr>
    </w:div>
    <w:div w:id="416832221">
      <w:bodyDiv w:val="1"/>
      <w:marLeft w:val="0"/>
      <w:marRight w:val="0"/>
      <w:marTop w:val="0"/>
      <w:marBottom w:val="0"/>
      <w:divBdr>
        <w:top w:val="none" w:sz="0" w:space="0" w:color="auto"/>
        <w:left w:val="none" w:sz="0" w:space="0" w:color="auto"/>
        <w:bottom w:val="none" w:sz="0" w:space="0" w:color="auto"/>
        <w:right w:val="none" w:sz="0" w:space="0" w:color="auto"/>
      </w:divBdr>
    </w:div>
    <w:div w:id="428357492">
      <w:bodyDiv w:val="1"/>
      <w:marLeft w:val="0"/>
      <w:marRight w:val="0"/>
      <w:marTop w:val="0"/>
      <w:marBottom w:val="0"/>
      <w:divBdr>
        <w:top w:val="none" w:sz="0" w:space="0" w:color="auto"/>
        <w:left w:val="none" w:sz="0" w:space="0" w:color="auto"/>
        <w:bottom w:val="none" w:sz="0" w:space="0" w:color="auto"/>
        <w:right w:val="none" w:sz="0" w:space="0" w:color="auto"/>
      </w:divBdr>
    </w:div>
    <w:div w:id="436290421">
      <w:bodyDiv w:val="1"/>
      <w:marLeft w:val="0"/>
      <w:marRight w:val="0"/>
      <w:marTop w:val="0"/>
      <w:marBottom w:val="0"/>
      <w:divBdr>
        <w:top w:val="none" w:sz="0" w:space="0" w:color="auto"/>
        <w:left w:val="none" w:sz="0" w:space="0" w:color="auto"/>
        <w:bottom w:val="none" w:sz="0" w:space="0" w:color="auto"/>
        <w:right w:val="none" w:sz="0" w:space="0" w:color="auto"/>
      </w:divBdr>
      <w:divsChild>
        <w:div w:id="1003356991">
          <w:marLeft w:val="0"/>
          <w:marRight w:val="0"/>
          <w:marTop w:val="0"/>
          <w:marBottom w:val="0"/>
          <w:divBdr>
            <w:top w:val="none" w:sz="0" w:space="0" w:color="auto"/>
            <w:left w:val="none" w:sz="0" w:space="0" w:color="auto"/>
            <w:bottom w:val="none" w:sz="0" w:space="0" w:color="auto"/>
            <w:right w:val="none" w:sz="0" w:space="0" w:color="auto"/>
          </w:divBdr>
          <w:divsChild>
            <w:div w:id="442040675">
              <w:marLeft w:val="0"/>
              <w:marRight w:val="0"/>
              <w:marTop w:val="0"/>
              <w:marBottom w:val="0"/>
              <w:divBdr>
                <w:top w:val="none" w:sz="0" w:space="0" w:color="auto"/>
                <w:left w:val="none" w:sz="0" w:space="0" w:color="auto"/>
                <w:bottom w:val="none" w:sz="0" w:space="0" w:color="auto"/>
                <w:right w:val="none" w:sz="0" w:space="0" w:color="auto"/>
              </w:divBdr>
              <w:divsChild>
                <w:div w:id="2046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3952">
      <w:bodyDiv w:val="1"/>
      <w:marLeft w:val="0"/>
      <w:marRight w:val="0"/>
      <w:marTop w:val="0"/>
      <w:marBottom w:val="0"/>
      <w:divBdr>
        <w:top w:val="none" w:sz="0" w:space="0" w:color="auto"/>
        <w:left w:val="none" w:sz="0" w:space="0" w:color="auto"/>
        <w:bottom w:val="none" w:sz="0" w:space="0" w:color="auto"/>
        <w:right w:val="none" w:sz="0" w:space="0" w:color="auto"/>
      </w:divBdr>
      <w:divsChild>
        <w:div w:id="1724594277">
          <w:marLeft w:val="0"/>
          <w:marRight w:val="0"/>
          <w:marTop w:val="0"/>
          <w:marBottom w:val="0"/>
          <w:divBdr>
            <w:top w:val="none" w:sz="0" w:space="0" w:color="auto"/>
            <w:left w:val="none" w:sz="0" w:space="0" w:color="auto"/>
            <w:bottom w:val="none" w:sz="0" w:space="0" w:color="auto"/>
            <w:right w:val="none" w:sz="0" w:space="0" w:color="auto"/>
          </w:divBdr>
          <w:divsChild>
            <w:div w:id="808128806">
              <w:marLeft w:val="0"/>
              <w:marRight w:val="0"/>
              <w:marTop w:val="0"/>
              <w:marBottom w:val="0"/>
              <w:divBdr>
                <w:top w:val="none" w:sz="0" w:space="0" w:color="auto"/>
                <w:left w:val="none" w:sz="0" w:space="0" w:color="auto"/>
                <w:bottom w:val="none" w:sz="0" w:space="0" w:color="auto"/>
                <w:right w:val="none" w:sz="0" w:space="0" w:color="auto"/>
              </w:divBdr>
              <w:divsChild>
                <w:div w:id="1065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3144">
      <w:bodyDiv w:val="1"/>
      <w:marLeft w:val="0"/>
      <w:marRight w:val="0"/>
      <w:marTop w:val="0"/>
      <w:marBottom w:val="0"/>
      <w:divBdr>
        <w:top w:val="none" w:sz="0" w:space="0" w:color="auto"/>
        <w:left w:val="none" w:sz="0" w:space="0" w:color="auto"/>
        <w:bottom w:val="none" w:sz="0" w:space="0" w:color="auto"/>
        <w:right w:val="none" w:sz="0" w:space="0" w:color="auto"/>
      </w:divBdr>
    </w:div>
    <w:div w:id="455568731">
      <w:bodyDiv w:val="1"/>
      <w:marLeft w:val="0"/>
      <w:marRight w:val="0"/>
      <w:marTop w:val="0"/>
      <w:marBottom w:val="0"/>
      <w:divBdr>
        <w:top w:val="none" w:sz="0" w:space="0" w:color="auto"/>
        <w:left w:val="none" w:sz="0" w:space="0" w:color="auto"/>
        <w:bottom w:val="none" w:sz="0" w:space="0" w:color="auto"/>
        <w:right w:val="none" w:sz="0" w:space="0" w:color="auto"/>
      </w:divBdr>
    </w:div>
    <w:div w:id="506942146">
      <w:bodyDiv w:val="1"/>
      <w:marLeft w:val="0"/>
      <w:marRight w:val="0"/>
      <w:marTop w:val="0"/>
      <w:marBottom w:val="0"/>
      <w:divBdr>
        <w:top w:val="none" w:sz="0" w:space="0" w:color="auto"/>
        <w:left w:val="none" w:sz="0" w:space="0" w:color="auto"/>
        <w:bottom w:val="none" w:sz="0" w:space="0" w:color="auto"/>
        <w:right w:val="none" w:sz="0" w:space="0" w:color="auto"/>
      </w:divBdr>
    </w:div>
    <w:div w:id="513034809">
      <w:bodyDiv w:val="1"/>
      <w:marLeft w:val="0"/>
      <w:marRight w:val="0"/>
      <w:marTop w:val="0"/>
      <w:marBottom w:val="0"/>
      <w:divBdr>
        <w:top w:val="none" w:sz="0" w:space="0" w:color="auto"/>
        <w:left w:val="none" w:sz="0" w:space="0" w:color="auto"/>
        <w:bottom w:val="none" w:sz="0" w:space="0" w:color="auto"/>
        <w:right w:val="none" w:sz="0" w:space="0" w:color="auto"/>
      </w:divBdr>
    </w:div>
    <w:div w:id="522715841">
      <w:bodyDiv w:val="1"/>
      <w:marLeft w:val="0"/>
      <w:marRight w:val="0"/>
      <w:marTop w:val="0"/>
      <w:marBottom w:val="0"/>
      <w:divBdr>
        <w:top w:val="none" w:sz="0" w:space="0" w:color="auto"/>
        <w:left w:val="none" w:sz="0" w:space="0" w:color="auto"/>
        <w:bottom w:val="none" w:sz="0" w:space="0" w:color="auto"/>
        <w:right w:val="none" w:sz="0" w:space="0" w:color="auto"/>
      </w:divBdr>
    </w:div>
    <w:div w:id="541093904">
      <w:bodyDiv w:val="1"/>
      <w:marLeft w:val="0"/>
      <w:marRight w:val="0"/>
      <w:marTop w:val="0"/>
      <w:marBottom w:val="0"/>
      <w:divBdr>
        <w:top w:val="none" w:sz="0" w:space="0" w:color="auto"/>
        <w:left w:val="none" w:sz="0" w:space="0" w:color="auto"/>
        <w:bottom w:val="none" w:sz="0" w:space="0" w:color="auto"/>
        <w:right w:val="none" w:sz="0" w:space="0" w:color="auto"/>
      </w:divBdr>
    </w:div>
    <w:div w:id="556479145">
      <w:bodyDiv w:val="1"/>
      <w:marLeft w:val="0"/>
      <w:marRight w:val="0"/>
      <w:marTop w:val="0"/>
      <w:marBottom w:val="0"/>
      <w:divBdr>
        <w:top w:val="none" w:sz="0" w:space="0" w:color="auto"/>
        <w:left w:val="none" w:sz="0" w:space="0" w:color="auto"/>
        <w:bottom w:val="none" w:sz="0" w:space="0" w:color="auto"/>
        <w:right w:val="none" w:sz="0" w:space="0" w:color="auto"/>
      </w:divBdr>
    </w:div>
    <w:div w:id="636841971">
      <w:bodyDiv w:val="1"/>
      <w:marLeft w:val="0"/>
      <w:marRight w:val="0"/>
      <w:marTop w:val="0"/>
      <w:marBottom w:val="0"/>
      <w:divBdr>
        <w:top w:val="none" w:sz="0" w:space="0" w:color="auto"/>
        <w:left w:val="none" w:sz="0" w:space="0" w:color="auto"/>
        <w:bottom w:val="none" w:sz="0" w:space="0" w:color="auto"/>
        <w:right w:val="none" w:sz="0" w:space="0" w:color="auto"/>
      </w:divBdr>
    </w:div>
    <w:div w:id="659357736">
      <w:bodyDiv w:val="1"/>
      <w:marLeft w:val="0"/>
      <w:marRight w:val="0"/>
      <w:marTop w:val="0"/>
      <w:marBottom w:val="0"/>
      <w:divBdr>
        <w:top w:val="none" w:sz="0" w:space="0" w:color="auto"/>
        <w:left w:val="none" w:sz="0" w:space="0" w:color="auto"/>
        <w:bottom w:val="none" w:sz="0" w:space="0" w:color="auto"/>
        <w:right w:val="none" w:sz="0" w:space="0" w:color="auto"/>
      </w:divBdr>
    </w:div>
    <w:div w:id="662929389">
      <w:bodyDiv w:val="1"/>
      <w:marLeft w:val="0"/>
      <w:marRight w:val="0"/>
      <w:marTop w:val="0"/>
      <w:marBottom w:val="0"/>
      <w:divBdr>
        <w:top w:val="none" w:sz="0" w:space="0" w:color="auto"/>
        <w:left w:val="none" w:sz="0" w:space="0" w:color="auto"/>
        <w:bottom w:val="none" w:sz="0" w:space="0" w:color="auto"/>
        <w:right w:val="none" w:sz="0" w:space="0" w:color="auto"/>
      </w:divBdr>
    </w:div>
    <w:div w:id="676732317">
      <w:bodyDiv w:val="1"/>
      <w:marLeft w:val="0"/>
      <w:marRight w:val="0"/>
      <w:marTop w:val="0"/>
      <w:marBottom w:val="0"/>
      <w:divBdr>
        <w:top w:val="none" w:sz="0" w:space="0" w:color="auto"/>
        <w:left w:val="none" w:sz="0" w:space="0" w:color="auto"/>
        <w:bottom w:val="none" w:sz="0" w:space="0" w:color="auto"/>
        <w:right w:val="none" w:sz="0" w:space="0" w:color="auto"/>
      </w:divBdr>
    </w:div>
    <w:div w:id="698970818">
      <w:bodyDiv w:val="1"/>
      <w:marLeft w:val="0"/>
      <w:marRight w:val="0"/>
      <w:marTop w:val="0"/>
      <w:marBottom w:val="0"/>
      <w:divBdr>
        <w:top w:val="none" w:sz="0" w:space="0" w:color="auto"/>
        <w:left w:val="none" w:sz="0" w:space="0" w:color="auto"/>
        <w:bottom w:val="none" w:sz="0" w:space="0" w:color="auto"/>
        <w:right w:val="none" w:sz="0" w:space="0" w:color="auto"/>
      </w:divBdr>
    </w:div>
    <w:div w:id="712000445">
      <w:bodyDiv w:val="1"/>
      <w:marLeft w:val="0"/>
      <w:marRight w:val="0"/>
      <w:marTop w:val="0"/>
      <w:marBottom w:val="0"/>
      <w:divBdr>
        <w:top w:val="none" w:sz="0" w:space="0" w:color="auto"/>
        <w:left w:val="none" w:sz="0" w:space="0" w:color="auto"/>
        <w:bottom w:val="none" w:sz="0" w:space="0" w:color="auto"/>
        <w:right w:val="none" w:sz="0" w:space="0" w:color="auto"/>
      </w:divBdr>
    </w:div>
    <w:div w:id="741290797">
      <w:bodyDiv w:val="1"/>
      <w:marLeft w:val="0"/>
      <w:marRight w:val="0"/>
      <w:marTop w:val="0"/>
      <w:marBottom w:val="0"/>
      <w:divBdr>
        <w:top w:val="none" w:sz="0" w:space="0" w:color="auto"/>
        <w:left w:val="none" w:sz="0" w:space="0" w:color="auto"/>
        <w:bottom w:val="none" w:sz="0" w:space="0" w:color="auto"/>
        <w:right w:val="none" w:sz="0" w:space="0" w:color="auto"/>
      </w:divBdr>
    </w:div>
    <w:div w:id="761801248">
      <w:bodyDiv w:val="1"/>
      <w:marLeft w:val="0"/>
      <w:marRight w:val="0"/>
      <w:marTop w:val="0"/>
      <w:marBottom w:val="0"/>
      <w:divBdr>
        <w:top w:val="none" w:sz="0" w:space="0" w:color="auto"/>
        <w:left w:val="none" w:sz="0" w:space="0" w:color="auto"/>
        <w:bottom w:val="none" w:sz="0" w:space="0" w:color="auto"/>
        <w:right w:val="none" w:sz="0" w:space="0" w:color="auto"/>
      </w:divBdr>
      <w:divsChild>
        <w:div w:id="595211596">
          <w:marLeft w:val="0"/>
          <w:marRight w:val="0"/>
          <w:marTop w:val="0"/>
          <w:marBottom w:val="0"/>
          <w:divBdr>
            <w:top w:val="none" w:sz="0" w:space="0" w:color="auto"/>
            <w:left w:val="none" w:sz="0" w:space="0" w:color="auto"/>
            <w:bottom w:val="none" w:sz="0" w:space="0" w:color="auto"/>
            <w:right w:val="none" w:sz="0" w:space="0" w:color="auto"/>
          </w:divBdr>
        </w:div>
      </w:divsChild>
    </w:div>
    <w:div w:id="767316986">
      <w:bodyDiv w:val="1"/>
      <w:marLeft w:val="0"/>
      <w:marRight w:val="0"/>
      <w:marTop w:val="0"/>
      <w:marBottom w:val="0"/>
      <w:divBdr>
        <w:top w:val="none" w:sz="0" w:space="0" w:color="auto"/>
        <w:left w:val="none" w:sz="0" w:space="0" w:color="auto"/>
        <w:bottom w:val="none" w:sz="0" w:space="0" w:color="auto"/>
        <w:right w:val="none" w:sz="0" w:space="0" w:color="auto"/>
      </w:divBdr>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812140923">
      <w:bodyDiv w:val="1"/>
      <w:marLeft w:val="0"/>
      <w:marRight w:val="0"/>
      <w:marTop w:val="0"/>
      <w:marBottom w:val="0"/>
      <w:divBdr>
        <w:top w:val="none" w:sz="0" w:space="0" w:color="auto"/>
        <w:left w:val="none" w:sz="0" w:space="0" w:color="auto"/>
        <w:bottom w:val="none" w:sz="0" w:space="0" w:color="auto"/>
        <w:right w:val="none" w:sz="0" w:space="0" w:color="auto"/>
      </w:divBdr>
    </w:div>
    <w:div w:id="831874192">
      <w:bodyDiv w:val="1"/>
      <w:marLeft w:val="0"/>
      <w:marRight w:val="0"/>
      <w:marTop w:val="0"/>
      <w:marBottom w:val="0"/>
      <w:divBdr>
        <w:top w:val="none" w:sz="0" w:space="0" w:color="auto"/>
        <w:left w:val="none" w:sz="0" w:space="0" w:color="auto"/>
        <w:bottom w:val="none" w:sz="0" w:space="0" w:color="auto"/>
        <w:right w:val="none" w:sz="0" w:space="0" w:color="auto"/>
      </w:divBdr>
    </w:div>
    <w:div w:id="836193531">
      <w:bodyDiv w:val="1"/>
      <w:marLeft w:val="0"/>
      <w:marRight w:val="0"/>
      <w:marTop w:val="0"/>
      <w:marBottom w:val="0"/>
      <w:divBdr>
        <w:top w:val="none" w:sz="0" w:space="0" w:color="auto"/>
        <w:left w:val="none" w:sz="0" w:space="0" w:color="auto"/>
        <w:bottom w:val="none" w:sz="0" w:space="0" w:color="auto"/>
        <w:right w:val="none" w:sz="0" w:space="0" w:color="auto"/>
      </w:divBdr>
    </w:div>
    <w:div w:id="850530732">
      <w:bodyDiv w:val="1"/>
      <w:marLeft w:val="0"/>
      <w:marRight w:val="0"/>
      <w:marTop w:val="0"/>
      <w:marBottom w:val="0"/>
      <w:divBdr>
        <w:top w:val="none" w:sz="0" w:space="0" w:color="auto"/>
        <w:left w:val="none" w:sz="0" w:space="0" w:color="auto"/>
        <w:bottom w:val="none" w:sz="0" w:space="0" w:color="auto"/>
        <w:right w:val="none" w:sz="0" w:space="0" w:color="auto"/>
      </w:divBdr>
    </w:div>
    <w:div w:id="853031925">
      <w:bodyDiv w:val="1"/>
      <w:marLeft w:val="0"/>
      <w:marRight w:val="0"/>
      <w:marTop w:val="0"/>
      <w:marBottom w:val="0"/>
      <w:divBdr>
        <w:top w:val="none" w:sz="0" w:space="0" w:color="auto"/>
        <w:left w:val="none" w:sz="0" w:space="0" w:color="auto"/>
        <w:bottom w:val="none" w:sz="0" w:space="0" w:color="auto"/>
        <w:right w:val="none" w:sz="0" w:space="0" w:color="auto"/>
      </w:divBdr>
    </w:div>
    <w:div w:id="853344384">
      <w:bodyDiv w:val="1"/>
      <w:marLeft w:val="0"/>
      <w:marRight w:val="0"/>
      <w:marTop w:val="0"/>
      <w:marBottom w:val="0"/>
      <w:divBdr>
        <w:top w:val="none" w:sz="0" w:space="0" w:color="auto"/>
        <w:left w:val="none" w:sz="0" w:space="0" w:color="auto"/>
        <w:bottom w:val="none" w:sz="0" w:space="0" w:color="auto"/>
        <w:right w:val="none" w:sz="0" w:space="0" w:color="auto"/>
      </w:divBdr>
    </w:div>
    <w:div w:id="877741011">
      <w:bodyDiv w:val="1"/>
      <w:marLeft w:val="0"/>
      <w:marRight w:val="0"/>
      <w:marTop w:val="0"/>
      <w:marBottom w:val="0"/>
      <w:divBdr>
        <w:top w:val="none" w:sz="0" w:space="0" w:color="auto"/>
        <w:left w:val="none" w:sz="0" w:space="0" w:color="auto"/>
        <w:bottom w:val="none" w:sz="0" w:space="0" w:color="auto"/>
        <w:right w:val="none" w:sz="0" w:space="0" w:color="auto"/>
      </w:divBdr>
    </w:div>
    <w:div w:id="894463975">
      <w:bodyDiv w:val="1"/>
      <w:marLeft w:val="0"/>
      <w:marRight w:val="0"/>
      <w:marTop w:val="0"/>
      <w:marBottom w:val="0"/>
      <w:divBdr>
        <w:top w:val="none" w:sz="0" w:space="0" w:color="auto"/>
        <w:left w:val="none" w:sz="0" w:space="0" w:color="auto"/>
        <w:bottom w:val="none" w:sz="0" w:space="0" w:color="auto"/>
        <w:right w:val="none" w:sz="0" w:space="0" w:color="auto"/>
      </w:divBdr>
    </w:div>
    <w:div w:id="913389904">
      <w:bodyDiv w:val="1"/>
      <w:marLeft w:val="0"/>
      <w:marRight w:val="0"/>
      <w:marTop w:val="0"/>
      <w:marBottom w:val="0"/>
      <w:divBdr>
        <w:top w:val="none" w:sz="0" w:space="0" w:color="auto"/>
        <w:left w:val="none" w:sz="0" w:space="0" w:color="auto"/>
        <w:bottom w:val="none" w:sz="0" w:space="0" w:color="auto"/>
        <w:right w:val="none" w:sz="0" w:space="0" w:color="auto"/>
      </w:divBdr>
    </w:div>
    <w:div w:id="929461273">
      <w:bodyDiv w:val="1"/>
      <w:marLeft w:val="0"/>
      <w:marRight w:val="0"/>
      <w:marTop w:val="0"/>
      <w:marBottom w:val="0"/>
      <w:divBdr>
        <w:top w:val="none" w:sz="0" w:space="0" w:color="auto"/>
        <w:left w:val="none" w:sz="0" w:space="0" w:color="auto"/>
        <w:bottom w:val="none" w:sz="0" w:space="0" w:color="auto"/>
        <w:right w:val="none" w:sz="0" w:space="0" w:color="auto"/>
      </w:divBdr>
    </w:div>
    <w:div w:id="930355631">
      <w:bodyDiv w:val="1"/>
      <w:marLeft w:val="0"/>
      <w:marRight w:val="0"/>
      <w:marTop w:val="0"/>
      <w:marBottom w:val="0"/>
      <w:divBdr>
        <w:top w:val="none" w:sz="0" w:space="0" w:color="auto"/>
        <w:left w:val="none" w:sz="0" w:space="0" w:color="auto"/>
        <w:bottom w:val="none" w:sz="0" w:space="0" w:color="auto"/>
        <w:right w:val="none" w:sz="0" w:space="0" w:color="auto"/>
      </w:divBdr>
    </w:div>
    <w:div w:id="931012744">
      <w:bodyDiv w:val="1"/>
      <w:marLeft w:val="0"/>
      <w:marRight w:val="0"/>
      <w:marTop w:val="0"/>
      <w:marBottom w:val="0"/>
      <w:divBdr>
        <w:top w:val="none" w:sz="0" w:space="0" w:color="auto"/>
        <w:left w:val="none" w:sz="0" w:space="0" w:color="auto"/>
        <w:bottom w:val="none" w:sz="0" w:space="0" w:color="auto"/>
        <w:right w:val="none" w:sz="0" w:space="0" w:color="auto"/>
      </w:divBdr>
    </w:div>
    <w:div w:id="962494217">
      <w:bodyDiv w:val="1"/>
      <w:marLeft w:val="0"/>
      <w:marRight w:val="0"/>
      <w:marTop w:val="0"/>
      <w:marBottom w:val="0"/>
      <w:divBdr>
        <w:top w:val="none" w:sz="0" w:space="0" w:color="auto"/>
        <w:left w:val="none" w:sz="0" w:space="0" w:color="auto"/>
        <w:bottom w:val="none" w:sz="0" w:space="0" w:color="auto"/>
        <w:right w:val="none" w:sz="0" w:space="0" w:color="auto"/>
      </w:divBdr>
      <w:divsChild>
        <w:div w:id="1004043178">
          <w:marLeft w:val="0"/>
          <w:marRight w:val="0"/>
          <w:marTop w:val="0"/>
          <w:marBottom w:val="0"/>
          <w:divBdr>
            <w:top w:val="none" w:sz="0" w:space="0" w:color="auto"/>
            <w:left w:val="none" w:sz="0" w:space="0" w:color="auto"/>
            <w:bottom w:val="none" w:sz="0" w:space="0" w:color="auto"/>
            <w:right w:val="none" w:sz="0" w:space="0" w:color="auto"/>
          </w:divBdr>
        </w:div>
      </w:divsChild>
    </w:div>
    <w:div w:id="999456048">
      <w:bodyDiv w:val="1"/>
      <w:marLeft w:val="0"/>
      <w:marRight w:val="0"/>
      <w:marTop w:val="0"/>
      <w:marBottom w:val="0"/>
      <w:divBdr>
        <w:top w:val="none" w:sz="0" w:space="0" w:color="auto"/>
        <w:left w:val="none" w:sz="0" w:space="0" w:color="auto"/>
        <w:bottom w:val="none" w:sz="0" w:space="0" w:color="auto"/>
        <w:right w:val="none" w:sz="0" w:space="0" w:color="auto"/>
      </w:divBdr>
    </w:div>
    <w:div w:id="1010134440">
      <w:bodyDiv w:val="1"/>
      <w:marLeft w:val="0"/>
      <w:marRight w:val="0"/>
      <w:marTop w:val="0"/>
      <w:marBottom w:val="0"/>
      <w:divBdr>
        <w:top w:val="none" w:sz="0" w:space="0" w:color="auto"/>
        <w:left w:val="none" w:sz="0" w:space="0" w:color="auto"/>
        <w:bottom w:val="none" w:sz="0" w:space="0" w:color="auto"/>
        <w:right w:val="none" w:sz="0" w:space="0" w:color="auto"/>
      </w:divBdr>
      <w:divsChild>
        <w:div w:id="43987092">
          <w:marLeft w:val="0"/>
          <w:marRight w:val="0"/>
          <w:marTop w:val="0"/>
          <w:marBottom w:val="0"/>
          <w:divBdr>
            <w:top w:val="none" w:sz="0" w:space="0" w:color="auto"/>
            <w:left w:val="none" w:sz="0" w:space="0" w:color="auto"/>
            <w:bottom w:val="none" w:sz="0" w:space="0" w:color="auto"/>
            <w:right w:val="none" w:sz="0" w:space="0" w:color="auto"/>
          </w:divBdr>
          <w:divsChild>
            <w:div w:id="198126518">
              <w:marLeft w:val="0"/>
              <w:marRight w:val="0"/>
              <w:marTop w:val="0"/>
              <w:marBottom w:val="0"/>
              <w:divBdr>
                <w:top w:val="none" w:sz="0" w:space="0" w:color="auto"/>
                <w:left w:val="none" w:sz="0" w:space="0" w:color="auto"/>
                <w:bottom w:val="none" w:sz="0" w:space="0" w:color="auto"/>
                <w:right w:val="none" w:sz="0" w:space="0" w:color="auto"/>
              </w:divBdr>
              <w:divsChild>
                <w:div w:id="18094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3649">
      <w:bodyDiv w:val="1"/>
      <w:marLeft w:val="0"/>
      <w:marRight w:val="0"/>
      <w:marTop w:val="0"/>
      <w:marBottom w:val="0"/>
      <w:divBdr>
        <w:top w:val="none" w:sz="0" w:space="0" w:color="auto"/>
        <w:left w:val="none" w:sz="0" w:space="0" w:color="auto"/>
        <w:bottom w:val="none" w:sz="0" w:space="0" w:color="auto"/>
        <w:right w:val="none" w:sz="0" w:space="0" w:color="auto"/>
      </w:divBdr>
    </w:div>
    <w:div w:id="1035039245">
      <w:bodyDiv w:val="1"/>
      <w:marLeft w:val="0"/>
      <w:marRight w:val="0"/>
      <w:marTop w:val="0"/>
      <w:marBottom w:val="0"/>
      <w:divBdr>
        <w:top w:val="none" w:sz="0" w:space="0" w:color="auto"/>
        <w:left w:val="none" w:sz="0" w:space="0" w:color="auto"/>
        <w:bottom w:val="none" w:sz="0" w:space="0" w:color="auto"/>
        <w:right w:val="none" w:sz="0" w:space="0" w:color="auto"/>
      </w:divBdr>
    </w:div>
    <w:div w:id="1035235601">
      <w:bodyDiv w:val="1"/>
      <w:marLeft w:val="0"/>
      <w:marRight w:val="0"/>
      <w:marTop w:val="0"/>
      <w:marBottom w:val="0"/>
      <w:divBdr>
        <w:top w:val="none" w:sz="0" w:space="0" w:color="auto"/>
        <w:left w:val="none" w:sz="0" w:space="0" w:color="auto"/>
        <w:bottom w:val="none" w:sz="0" w:space="0" w:color="auto"/>
        <w:right w:val="none" w:sz="0" w:space="0" w:color="auto"/>
      </w:divBdr>
    </w:div>
    <w:div w:id="1073116284">
      <w:bodyDiv w:val="1"/>
      <w:marLeft w:val="0"/>
      <w:marRight w:val="0"/>
      <w:marTop w:val="0"/>
      <w:marBottom w:val="0"/>
      <w:divBdr>
        <w:top w:val="none" w:sz="0" w:space="0" w:color="auto"/>
        <w:left w:val="none" w:sz="0" w:space="0" w:color="auto"/>
        <w:bottom w:val="none" w:sz="0" w:space="0" w:color="auto"/>
        <w:right w:val="none" w:sz="0" w:space="0" w:color="auto"/>
      </w:divBdr>
    </w:div>
    <w:div w:id="1098676944">
      <w:bodyDiv w:val="1"/>
      <w:marLeft w:val="0"/>
      <w:marRight w:val="0"/>
      <w:marTop w:val="0"/>
      <w:marBottom w:val="0"/>
      <w:divBdr>
        <w:top w:val="none" w:sz="0" w:space="0" w:color="auto"/>
        <w:left w:val="none" w:sz="0" w:space="0" w:color="auto"/>
        <w:bottom w:val="none" w:sz="0" w:space="0" w:color="auto"/>
        <w:right w:val="none" w:sz="0" w:space="0" w:color="auto"/>
      </w:divBdr>
    </w:div>
    <w:div w:id="1112939107">
      <w:bodyDiv w:val="1"/>
      <w:marLeft w:val="0"/>
      <w:marRight w:val="0"/>
      <w:marTop w:val="0"/>
      <w:marBottom w:val="0"/>
      <w:divBdr>
        <w:top w:val="none" w:sz="0" w:space="0" w:color="auto"/>
        <w:left w:val="none" w:sz="0" w:space="0" w:color="auto"/>
        <w:bottom w:val="none" w:sz="0" w:space="0" w:color="auto"/>
        <w:right w:val="none" w:sz="0" w:space="0" w:color="auto"/>
      </w:divBdr>
    </w:div>
    <w:div w:id="1117871840">
      <w:bodyDiv w:val="1"/>
      <w:marLeft w:val="0"/>
      <w:marRight w:val="0"/>
      <w:marTop w:val="0"/>
      <w:marBottom w:val="0"/>
      <w:divBdr>
        <w:top w:val="none" w:sz="0" w:space="0" w:color="auto"/>
        <w:left w:val="none" w:sz="0" w:space="0" w:color="auto"/>
        <w:bottom w:val="none" w:sz="0" w:space="0" w:color="auto"/>
        <w:right w:val="none" w:sz="0" w:space="0" w:color="auto"/>
      </w:divBdr>
    </w:div>
    <w:div w:id="1136950826">
      <w:bodyDiv w:val="1"/>
      <w:marLeft w:val="0"/>
      <w:marRight w:val="0"/>
      <w:marTop w:val="0"/>
      <w:marBottom w:val="0"/>
      <w:divBdr>
        <w:top w:val="none" w:sz="0" w:space="0" w:color="auto"/>
        <w:left w:val="none" w:sz="0" w:space="0" w:color="auto"/>
        <w:bottom w:val="none" w:sz="0" w:space="0" w:color="auto"/>
        <w:right w:val="none" w:sz="0" w:space="0" w:color="auto"/>
      </w:divBdr>
    </w:div>
    <w:div w:id="1142388983">
      <w:bodyDiv w:val="1"/>
      <w:marLeft w:val="0"/>
      <w:marRight w:val="0"/>
      <w:marTop w:val="0"/>
      <w:marBottom w:val="0"/>
      <w:divBdr>
        <w:top w:val="none" w:sz="0" w:space="0" w:color="auto"/>
        <w:left w:val="none" w:sz="0" w:space="0" w:color="auto"/>
        <w:bottom w:val="none" w:sz="0" w:space="0" w:color="auto"/>
        <w:right w:val="none" w:sz="0" w:space="0" w:color="auto"/>
      </w:divBdr>
    </w:div>
    <w:div w:id="1148859415">
      <w:bodyDiv w:val="1"/>
      <w:marLeft w:val="0"/>
      <w:marRight w:val="0"/>
      <w:marTop w:val="0"/>
      <w:marBottom w:val="0"/>
      <w:divBdr>
        <w:top w:val="none" w:sz="0" w:space="0" w:color="auto"/>
        <w:left w:val="none" w:sz="0" w:space="0" w:color="auto"/>
        <w:bottom w:val="none" w:sz="0" w:space="0" w:color="auto"/>
        <w:right w:val="none" w:sz="0" w:space="0" w:color="auto"/>
      </w:divBdr>
    </w:div>
    <w:div w:id="1154763556">
      <w:bodyDiv w:val="1"/>
      <w:marLeft w:val="0"/>
      <w:marRight w:val="0"/>
      <w:marTop w:val="0"/>
      <w:marBottom w:val="0"/>
      <w:divBdr>
        <w:top w:val="none" w:sz="0" w:space="0" w:color="auto"/>
        <w:left w:val="none" w:sz="0" w:space="0" w:color="auto"/>
        <w:bottom w:val="none" w:sz="0" w:space="0" w:color="auto"/>
        <w:right w:val="none" w:sz="0" w:space="0" w:color="auto"/>
      </w:divBdr>
    </w:div>
    <w:div w:id="1173955141">
      <w:bodyDiv w:val="1"/>
      <w:marLeft w:val="0"/>
      <w:marRight w:val="0"/>
      <w:marTop w:val="0"/>
      <w:marBottom w:val="0"/>
      <w:divBdr>
        <w:top w:val="none" w:sz="0" w:space="0" w:color="auto"/>
        <w:left w:val="none" w:sz="0" w:space="0" w:color="auto"/>
        <w:bottom w:val="none" w:sz="0" w:space="0" w:color="auto"/>
        <w:right w:val="none" w:sz="0" w:space="0" w:color="auto"/>
      </w:divBdr>
    </w:div>
    <w:div w:id="1180848351">
      <w:bodyDiv w:val="1"/>
      <w:marLeft w:val="0"/>
      <w:marRight w:val="0"/>
      <w:marTop w:val="0"/>
      <w:marBottom w:val="0"/>
      <w:divBdr>
        <w:top w:val="none" w:sz="0" w:space="0" w:color="auto"/>
        <w:left w:val="none" w:sz="0" w:space="0" w:color="auto"/>
        <w:bottom w:val="none" w:sz="0" w:space="0" w:color="auto"/>
        <w:right w:val="none" w:sz="0" w:space="0" w:color="auto"/>
      </w:divBdr>
    </w:div>
    <w:div w:id="1185047847">
      <w:bodyDiv w:val="1"/>
      <w:marLeft w:val="0"/>
      <w:marRight w:val="0"/>
      <w:marTop w:val="0"/>
      <w:marBottom w:val="0"/>
      <w:divBdr>
        <w:top w:val="none" w:sz="0" w:space="0" w:color="auto"/>
        <w:left w:val="none" w:sz="0" w:space="0" w:color="auto"/>
        <w:bottom w:val="none" w:sz="0" w:space="0" w:color="auto"/>
        <w:right w:val="none" w:sz="0" w:space="0" w:color="auto"/>
      </w:divBdr>
    </w:div>
    <w:div w:id="1260602883">
      <w:bodyDiv w:val="1"/>
      <w:marLeft w:val="0"/>
      <w:marRight w:val="0"/>
      <w:marTop w:val="0"/>
      <w:marBottom w:val="0"/>
      <w:divBdr>
        <w:top w:val="none" w:sz="0" w:space="0" w:color="auto"/>
        <w:left w:val="none" w:sz="0" w:space="0" w:color="auto"/>
        <w:bottom w:val="none" w:sz="0" w:space="0" w:color="auto"/>
        <w:right w:val="none" w:sz="0" w:space="0" w:color="auto"/>
      </w:divBdr>
      <w:divsChild>
        <w:div w:id="1625695406">
          <w:marLeft w:val="0"/>
          <w:marRight w:val="0"/>
          <w:marTop w:val="0"/>
          <w:marBottom w:val="0"/>
          <w:divBdr>
            <w:top w:val="none" w:sz="0" w:space="0" w:color="auto"/>
            <w:left w:val="none" w:sz="0" w:space="0" w:color="auto"/>
            <w:bottom w:val="none" w:sz="0" w:space="0" w:color="auto"/>
            <w:right w:val="none" w:sz="0" w:space="0" w:color="auto"/>
          </w:divBdr>
          <w:divsChild>
            <w:div w:id="1183057846">
              <w:marLeft w:val="0"/>
              <w:marRight w:val="0"/>
              <w:marTop w:val="0"/>
              <w:marBottom w:val="0"/>
              <w:divBdr>
                <w:top w:val="none" w:sz="0" w:space="0" w:color="auto"/>
                <w:left w:val="none" w:sz="0" w:space="0" w:color="auto"/>
                <w:bottom w:val="none" w:sz="0" w:space="0" w:color="auto"/>
                <w:right w:val="none" w:sz="0" w:space="0" w:color="auto"/>
              </w:divBdr>
              <w:divsChild>
                <w:div w:id="5627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4324">
      <w:bodyDiv w:val="1"/>
      <w:marLeft w:val="0"/>
      <w:marRight w:val="0"/>
      <w:marTop w:val="0"/>
      <w:marBottom w:val="0"/>
      <w:divBdr>
        <w:top w:val="none" w:sz="0" w:space="0" w:color="auto"/>
        <w:left w:val="none" w:sz="0" w:space="0" w:color="auto"/>
        <w:bottom w:val="none" w:sz="0" w:space="0" w:color="auto"/>
        <w:right w:val="none" w:sz="0" w:space="0" w:color="auto"/>
      </w:divBdr>
    </w:div>
    <w:div w:id="1336692258">
      <w:bodyDiv w:val="1"/>
      <w:marLeft w:val="0"/>
      <w:marRight w:val="0"/>
      <w:marTop w:val="0"/>
      <w:marBottom w:val="0"/>
      <w:divBdr>
        <w:top w:val="none" w:sz="0" w:space="0" w:color="auto"/>
        <w:left w:val="none" w:sz="0" w:space="0" w:color="auto"/>
        <w:bottom w:val="none" w:sz="0" w:space="0" w:color="auto"/>
        <w:right w:val="none" w:sz="0" w:space="0" w:color="auto"/>
      </w:divBdr>
    </w:div>
    <w:div w:id="1393457405">
      <w:bodyDiv w:val="1"/>
      <w:marLeft w:val="0"/>
      <w:marRight w:val="0"/>
      <w:marTop w:val="0"/>
      <w:marBottom w:val="0"/>
      <w:divBdr>
        <w:top w:val="none" w:sz="0" w:space="0" w:color="auto"/>
        <w:left w:val="none" w:sz="0" w:space="0" w:color="auto"/>
        <w:bottom w:val="none" w:sz="0" w:space="0" w:color="auto"/>
        <w:right w:val="none" w:sz="0" w:space="0" w:color="auto"/>
      </w:divBdr>
    </w:div>
    <w:div w:id="1467775832">
      <w:bodyDiv w:val="1"/>
      <w:marLeft w:val="0"/>
      <w:marRight w:val="0"/>
      <w:marTop w:val="0"/>
      <w:marBottom w:val="0"/>
      <w:divBdr>
        <w:top w:val="none" w:sz="0" w:space="0" w:color="auto"/>
        <w:left w:val="none" w:sz="0" w:space="0" w:color="auto"/>
        <w:bottom w:val="none" w:sz="0" w:space="0" w:color="auto"/>
        <w:right w:val="none" w:sz="0" w:space="0" w:color="auto"/>
      </w:divBdr>
    </w:div>
    <w:div w:id="1539124550">
      <w:bodyDiv w:val="1"/>
      <w:marLeft w:val="0"/>
      <w:marRight w:val="0"/>
      <w:marTop w:val="0"/>
      <w:marBottom w:val="0"/>
      <w:divBdr>
        <w:top w:val="none" w:sz="0" w:space="0" w:color="auto"/>
        <w:left w:val="none" w:sz="0" w:space="0" w:color="auto"/>
        <w:bottom w:val="none" w:sz="0" w:space="0" w:color="auto"/>
        <w:right w:val="none" w:sz="0" w:space="0" w:color="auto"/>
      </w:divBdr>
    </w:div>
    <w:div w:id="1548646056">
      <w:bodyDiv w:val="1"/>
      <w:marLeft w:val="0"/>
      <w:marRight w:val="0"/>
      <w:marTop w:val="0"/>
      <w:marBottom w:val="0"/>
      <w:divBdr>
        <w:top w:val="none" w:sz="0" w:space="0" w:color="auto"/>
        <w:left w:val="none" w:sz="0" w:space="0" w:color="auto"/>
        <w:bottom w:val="none" w:sz="0" w:space="0" w:color="auto"/>
        <w:right w:val="none" w:sz="0" w:space="0" w:color="auto"/>
      </w:divBdr>
    </w:div>
    <w:div w:id="1563252948">
      <w:bodyDiv w:val="1"/>
      <w:marLeft w:val="0"/>
      <w:marRight w:val="0"/>
      <w:marTop w:val="0"/>
      <w:marBottom w:val="0"/>
      <w:divBdr>
        <w:top w:val="none" w:sz="0" w:space="0" w:color="auto"/>
        <w:left w:val="none" w:sz="0" w:space="0" w:color="auto"/>
        <w:bottom w:val="none" w:sz="0" w:space="0" w:color="auto"/>
        <w:right w:val="none" w:sz="0" w:space="0" w:color="auto"/>
      </w:divBdr>
    </w:div>
    <w:div w:id="1564948880">
      <w:bodyDiv w:val="1"/>
      <w:marLeft w:val="0"/>
      <w:marRight w:val="0"/>
      <w:marTop w:val="0"/>
      <w:marBottom w:val="0"/>
      <w:divBdr>
        <w:top w:val="none" w:sz="0" w:space="0" w:color="auto"/>
        <w:left w:val="none" w:sz="0" w:space="0" w:color="auto"/>
        <w:bottom w:val="none" w:sz="0" w:space="0" w:color="auto"/>
        <w:right w:val="none" w:sz="0" w:space="0" w:color="auto"/>
      </w:divBdr>
    </w:div>
    <w:div w:id="1565949709">
      <w:bodyDiv w:val="1"/>
      <w:marLeft w:val="0"/>
      <w:marRight w:val="0"/>
      <w:marTop w:val="0"/>
      <w:marBottom w:val="0"/>
      <w:divBdr>
        <w:top w:val="none" w:sz="0" w:space="0" w:color="auto"/>
        <w:left w:val="none" w:sz="0" w:space="0" w:color="auto"/>
        <w:bottom w:val="none" w:sz="0" w:space="0" w:color="auto"/>
        <w:right w:val="none" w:sz="0" w:space="0" w:color="auto"/>
      </w:divBdr>
    </w:div>
    <w:div w:id="1592082098">
      <w:bodyDiv w:val="1"/>
      <w:marLeft w:val="0"/>
      <w:marRight w:val="0"/>
      <w:marTop w:val="0"/>
      <w:marBottom w:val="0"/>
      <w:divBdr>
        <w:top w:val="none" w:sz="0" w:space="0" w:color="auto"/>
        <w:left w:val="none" w:sz="0" w:space="0" w:color="auto"/>
        <w:bottom w:val="none" w:sz="0" w:space="0" w:color="auto"/>
        <w:right w:val="none" w:sz="0" w:space="0" w:color="auto"/>
      </w:divBdr>
    </w:div>
    <w:div w:id="1597515971">
      <w:bodyDiv w:val="1"/>
      <w:marLeft w:val="0"/>
      <w:marRight w:val="0"/>
      <w:marTop w:val="0"/>
      <w:marBottom w:val="0"/>
      <w:divBdr>
        <w:top w:val="none" w:sz="0" w:space="0" w:color="auto"/>
        <w:left w:val="none" w:sz="0" w:space="0" w:color="auto"/>
        <w:bottom w:val="none" w:sz="0" w:space="0" w:color="auto"/>
        <w:right w:val="none" w:sz="0" w:space="0" w:color="auto"/>
      </w:divBdr>
    </w:div>
    <w:div w:id="1615096851">
      <w:bodyDiv w:val="1"/>
      <w:marLeft w:val="0"/>
      <w:marRight w:val="0"/>
      <w:marTop w:val="0"/>
      <w:marBottom w:val="0"/>
      <w:divBdr>
        <w:top w:val="none" w:sz="0" w:space="0" w:color="auto"/>
        <w:left w:val="none" w:sz="0" w:space="0" w:color="auto"/>
        <w:bottom w:val="none" w:sz="0" w:space="0" w:color="auto"/>
        <w:right w:val="none" w:sz="0" w:space="0" w:color="auto"/>
      </w:divBdr>
    </w:div>
    <w:div w:id="1629776578">
      <w:bodyDiv w:val="1"/>
      <w:marLeft w:val="0"/>
      <w:marRight w:val="0"/>
      <w:marTop w:val="0"/>
      <w:marBottom w:val="0"/>
      <w:divBdr>
        <w:top w:val="none" w:sz="0" w:space="0" w:color="auto"/>
        <w:left w:val="none" w:sz="0" w:space="0" w:color="auto"/>
        <w:bottom w:val="none" w:sz="0" w:space="0" w:color="auto"/>
        <w:right w:val="none" w:sz="0" w:space="0" w:color="auto"/>
      </w:divBdr>
    </w:div>
    <w:div w:id="1653215205">
      <w:bodyDiv w:val="1"/>
      <w:marLeft w:val="0"/>
      <w:marRight w:val="0"/>
      <w:marTop w:val="0"/>
      <w:marBottom w:val="0"/>
      <w:divBdr>
        <w:top w:val="none" w:sz="0" w:space="0" w:color="auto"/>
        <w:left w:val="none" w:sz="0" w:space="0" w:color="auto"/>
        <w:bottom w:val="none" w:sz="0" w:space="0" w:color="auto"/>
        <w:right w:val="none" w:sz="0" w:space="0" w:color="auto"/>
      </w:divBdr>
    </w:div>
    <w:div w:id="1664551188">
      <w:bodyDiv w:val="1"/>
      <w:marLeft w:val="0"/>
      <w:marRight w:val="0"/>
      <w:marTop w:val="0"/>
      <w:marBottom w:val="0"/>
      <w:divBdr>
        <w:top w:val="none" w:sz="0" w:space="0" w:color="auto"/>
        <w:left w:val="none" w:sz="0" w:space="0" w:color="auto"/>
        <w:bottom w:val="none" w:sz="0" w:space="0" w:color="auto"/>
        <w:right w:val="none" w:sz="0" w:space="0" w:color="auto"/>
      </w:divBdr>
    </w:div>
    <w:div w:id="1678575461">
      <w:bodyDiv w:val="1"/>
      <w:marLeft w:val="0"/>
      <w:marRight w:val="0"/>
      <w:marTop w:val="0"/>
      <w:marBottom w:val="0"/>
      <w:divBdr>
        <w:top w:val="none" w:sz="0" w:space="0" w:color="auto"/>
        <w:left w:val="none" w:sz="0" w:space="0" w:color="auto"/>
        <w:bottom w:val="none" w:sz="0" w:space="0" w:color="auto"/>
        <w:right w:val="none" w:sz="0" w:space="0" w:color="auto"/>
      </w:divBdr>
    </w:div>
    <w:div w:id="1721784716">
      <w:bodyDiv w:val="1"/>
      <w:marLeft w:val="0"/>
      <w:marRight w:val="0"/>
      <w:marTop w:val="0"/>
      <w:marBottom w:val="0"/>
      <w:divBdr>
        <w:top w:val="none" w:sz="0" w:space="0" w:color="auto"/>
        <w:left w:val="none" w:sz="0" w:space="0" w:color="auto"/>
        <w:bottom w:val="none" w:sz="0" w:space="0" w:color="auto"/>
        <w:right w:val="none" w:sz="0" w:space="0" w:color="auto"/>
      </w:divBdr>
    </w:div>
    <w:div w:id="1722360942">
      <w:bodyDiv w:val="1"/>
      <w:marLeft w:val="0"/>
      <w:marRight w:val="0"/>
      <w:marTop w:val="0"/>
      <w:marBottom w:val="0"/>
      <w:divBdr>
        <w:top w:val="none" w:sz="0" w:space="0" w:color="auto"/>
        <w:left w:val="none" w:sz="0" w:space="0" w:color="auto"/>
        <w:bottom w:val="none" w:sz="0" w:space="0" w:color="auto"/>
        <w:right w:val="none" w:sz="0" w:space="0" w:color="auto"/>
      </w:divBdr>
    </w:div>
    <w:div w:id="1723868792">
      <w:bodyDiv w:val="1"/>
      <w:marLeft w:val="0"/>
      <w:marRight w:val="0"/>
      <w:marTop w:val="0"/>
      <w:marBottom w:val="0"/>
      <w:divBdr>
        <w:top w:val="none" w:sz="0" w:space="0" w:color="auto"/>
        <w:left w:val="none" w:sz="0" w:space="0" w:color="auto"/>
        <w:bottom w:val="none" w:sz="0" w:space="0" w:color="auto"/>
        <w:right w:val="none" w:sz="0" w:space="0" w:color="auto"/>
      </w:divBdr>
    </w:div>
    <w:div w:id="1725255348">
      <w:bodyDiv w:val="1"/>
      <w:marLeft w:val="0"/>
      <w:marRight w:val="0"/>
      <w:marTop w:val="0"/>
      <w:marBottom w:val="0"/>
      <w:divBdr>
        <w:top w:val="none" w:sz="0" w:space="0" w:color="auto"/>
        <w:left w:val="none" w:sz="0" w:space="0" w:color="auto"/>
        <w:bottom w:val="none" w:sz="0" w:space="0" w:color="auto"/>
        <w:right w:val="none" w:sz="0" w:space="0" w:color="auto"/>
      </w:divBdr>
    </w:div>
    <w:div w:id="1802261875">
      <w:bodyDiv w:val="1"/>
      <w:marLeft w:val="0"/>
      <w:marRight w:val="0"/>
      <w:marTop w:val="0"/>
      <w:marBottom w:val="0"/>
      <w:divBdr>
        <w:top w:val="none" w:sz="0" w:space="0" w:color="auto"/>
        <w:left w:val="none" w:sz="0" w:space="0" w:color="auto"/>
        <w:bottom w:val="none" w:sz="0" w:space="0" w:color="auto"/>
        <w:right w:val="none" w:sz="0" w:space="0" w:color="auto"/>
      </w:divBdr>
    </w:div>
    <w:div w:id="1808473717">
      <w:bodyDiv w:val="1"/>
      <w:marLeft w:val="0"/>
      <w:marRight w:val="0"/>
      <w:marTop w:val="0"/>
      <w:marBottom w:val="0"/>
      <w:divBdr>
        <w:top w:val="none" w:sz="0" w:space="0" w:color="auto"/>
        <w:left w:val="none" w:sz="0" w:space="0" w:color="auto"/>
        <w:bottom w:val="none" w:sz="0" w:space="0" w:color="auto"/>
        <w:right w:val="none" w:sz="0" w:space="0" w:color="auto"/>
      </w:divBdr>
    </w:div>
    <w:div w:id="1846745103">
      <w:bodyDiv w:val="1"/>
      <w:marLeft w:val="0"/>
      <w:marRight w:val="0"/>
      <w:marTop w:val="0"/>
      <w:marBottom w:val="0"/>
      <w:divBdr>
        <w:top w:val="none" w:sz="0" w:space="0" w:color="auto"/>
        <w:left w:val="none" w:sz="0" w:space="0" w:color="auto"/>
        <w:bottom w:val="none" w:sz="0" w:space="0" w:color="auto"/>
        <w:right w:val="none" w:sz="0" w:space="0" w:color="auto"/>
      </w:divBdr>
    </w:div>
    <w:div w:id="1855456626">
      <w:bodyDiv w:val="1"/>
      <w:marLeft w:val="0"/>
      <w:marRight w:val="0"/>
      <w:marTop w:val="0"/>
      <w:marBottom w:val="0"/>
      <w:divBdr>
        <w:top w:val="none" w:sz="0" w:space="0" w:color="auto"/>
        <w:left w:val="none" w:sz="0" w:space="0" w:color="auto"/>
        <w:bottom w:val="none" w:sz="0" w:space="0" w:color="auto"/>
        <w:right w:val="none" w:sz="0" w:space="0" w:color="auto"/>
      </w:divBdr>
    </w:div>
    <w:div w:id="1908152305">
      <w:bodyDiv w:val="1"/>
      <w:marLeft w:val="0"/>
      <w:marRight w:val="0"/>
      <w:marTop w:val="0"/>
      <w:marBottom w:val="0"/>
      <w:divBdr>
        <w:top w:val="none" w:sz="0" w:space="0" w:color="auto"/>
        <w:left w:val="none" w:sz="0" w:space="0" w:color="auto"/>
        <w:bottom w:val="none" w:sz="0" w:space="0" w:color="auto"/>
        <w:right w:val="none" w:sz="0" w:space="0" w:color="auto"/>
      </w:divBdr>
    </w:div>
    <w:div w:id="1918901801">
      <w:bodyDiv w:val="1"/>
      <w:marLeft w:val="0"/>
      <w:marRight w:val="0"/>
      <w:marTop w:val="0"/>
      <w:marBottom w:val="0"/>
      <w:divBdr>
        <w:top w:val="none" w:sz="0" w:space="0" w:color="auto"/>
        <w:left w:val="none" w:sz="0" w:space="0" w:color="auto"/>
        <w:bottom w:val="none" w:sz="0" w:space="0" w:color="auto"/>
        <w:right w:val="none" w:sz="0" w:space="0" w:color="auto"/>
      </w:divBdr>
    </w:div>
    <w:div w:id="1924143926">
      <w:bodyDiv w:val="1"/>
      <w:marLeft w:val="0"/>
      <w:marRight w:val="0"/>
      <w:marTop w:val="0"/>
      <w:marBottom w:val="0"/>
      <w:divBdr>
        <w:top w:val="none" w:sz="0" w:space="0" w:color="auto"/>
        <w:left w:val="none" w:sz="0" w:space="0" w:color="auto"/>
        <w:bottom w:val="none" w:sz="0" w:space="0" w:color="auto"/>
        <w:right w:val="none" w:sz="0" w:space="0" w:color="auto"/>
      </w:divBdr>
    </w:div>
    <w:div w:id="1925141720">
      <w:bodyDiv w:val="1"/>
      <w:marLeft w:val="0"/>
      <w:marRight w:val="0"/>
      <w:marTop w:val="0"/>
      <w:marBottom w:val="0"/>
      <w:divBdr>
        <w:top w:val="none" w:sz="0" w:space="0" w:color="auto"/>
        <w:left w:val="none" w:sz="0" w:space="0" w:color="auto"/>
        <w:bottom w:val="none" w:sz="0" w:space="0" w:color="auto"/>
        <w:right w:val="none" w:sz="0" w:space="0" w:color="auto"/>
      </w:divBdr>
    </w:div>
    <w:div w:id="1949122460">
      <w:bodyDiv w:val="1"/>
      <w:marLeft w:val="0"/>
      <w:marRight w:val="0"/>
      <w:marTop w:val="0"/>
      <w:marBottom w:val="0"/>
      <w:divBdr>
        <w:top w:val="none" w:sz="0" w:space="0" w:color="auto"/>
        <w:left w:val="none" w:sz="0" w:space="0" w:color="auto"/>
        <w:bottom w:val="none" w:sz="0" w:space="0" w:color="auto"/>
        <w:right w:val="none" w:sz="0" w:space="0" w:color="auto"/>
      </w:divBdr>
    </w:div>
    <w:div w:id="1967351185">
      <w:bodyDiv w:val="1"/>
      <w:marLeft w:val="0"/>
      <w:marRight w:val="0"/>
      <w:marTop w:val="0"/>
      <w:marBottom w:val="0"/>
      <w:divBdr>
        <w:top w:val="none" w:sz="0" w:space="0" w:color="auto"/>
        <w:left w:val="none" w:sz="0" w:space="0" w:color="auto"/>
        <w:bottom w:val="none" w:sz="0" w:space="0" w:color="auto"/>
        <w:right w:val="none" w:sz="0" w:space="0" w:color="auto"/>
      </w:divBdr>
    </w:div>
    <w:div w:id="1969120612">
      <w:bodyDiv w:val="1"/>
      <w:marLeft w:val="0"/>
      <w:marRight w:val="0"/>
      <w:marTop w:val="0"/>
      <w:marBottom w:val="0"/>
      <w:divBdr>
        <w:top w:val="none" w:sz="0" w:space="0" w:color="auto"/>
        <w:left w:val="none" w:sz="0" w:space="0" w:color="auto"/>
        <w:bottom w:val="none" w:sz="0" w:space="0" w:color="auto"/>
        <w:right w:val="none" w:sz="0" w:space="0" w:color="auto"/>
      </w:divBdr>
    </w:div>
    <w:div w:id="1987125090">
      <w:bodyDiv w:val="1"/>
      <w:marLeft w:val="0"/>
      <w:marRight w:val="0"/>
      <w:marTop w:val="0"/>
      <w:marBottom w:val="0"/>
      <w:divBdr>
        <w:top w:val="none" w:sz="0" w:space="0" w:color="auto"/>
        <w:left w:val="none" w:sz="0" w:space="0" w:color="auto"/>
        <w:bottom w:val="none" w:sz="0" w:space="0" w:color="auto"/>
        <w:right w:val="none" w:sz="0" w:space="0" w:color="auto"/>
      </w:divBdr>
    </w:div>
    <w:div w:id="1997145823">
      <w:bodyDiv w:val="1"/>
      <w:marLeft w:val="0"/>
      <w:marRight w:val="0"/>
      <w:marTop w:val="0"/>
      <w:marBottom w:val="0"/>
      <w:divBdr>
        <w:top w:val="none" w:sz="0" w:space="0" w:color="auto"/>
        <w:left w:val="none" w:sz="0" w:space="0" w:color="auto"/>
        <w:bottom w:val="none" w:sz="0" w:space="0" w:color="auto"/>
        <w:right w:val="none" w:sz="0" w:space="0" w:color="auto"/>
      </w:divBdr>
    </w:div>
    <w:div w:id="1999378046">
      <w:bodyDiv w:val="1"/>
      <w:marLeft w:val="0"/>
      <w:marRight w:val="0"/>
      <w:marTop w:val="0"/>
      <w:marBottom w:val="0"/>
      <w:divBdr>
        <w:top w:val="none" w:sz="0" w:space="0" w:color="auto"/>
        <w:left w:val="none" w:sz="0" w:space="0" w:color="auto"/>
        <w:bottom w:val="none" w:sz="0" w:space="0" w:color="auto"/>
        <w:right w:val="none" w:sz="0" w:space="0" w:color="auto"/>
      </w:divBdr>
    </w:div>
    <w:div w:id="2016303654">
      <w:bodyDiv w:val="1"/>
      <w:marLeft w:val="0"/>
      <w:marRight w:val="0"/>
      <w:marTop w:val="0"/>
      <w:marBottom w:val="0"/>
      <w:divBdr>
        <w:top w:val="none" w:sz="0" w:space="0" w:color="auto"/>
        <w:left w:val="none" w:sz="0" w:space="0" w:color="auto"/>
        <w:bottom w:val="none" w:sz="0" w:space="0" w:color="auto"/>
        <w:right w:val="none" w:sz="0" w:space="0" w:color="auto"/>
      </w:divBdr>
    </w:div>
    <w:div w:id="2033606162">
      <w:bodyDiv w:val="1"/>
      <w:marLeft w:val="0"/>
      <w:marRight w:val="0"/>
      <w:marTop w:val="0"/>
      <w:marBottom w:val="0"/>
      <w:divBdr>
        <w:top w:val="none" w:sz="0" w:space="0" w:color="auto"/>
        <w:left w:val="none" w:sz="0" w:space="0" w:color="auto"/>
        <w:bottom w:val="none" w:sz="0" w:space="0" w:color="auto"/>
        <w:right w:val="none" w:sz="0" w:space="0" w:color="auto"/>
      </w:divBdr>
      <w:divsChild>
        <w:div w:id="399986105">
          <w:marLeft w:val="0"/>
          <w:marRight w:val="0"/>
          <w:marTop w:val="0"/>
          <w:marBottom w:val="0"/>
          <w:divBdr>
            <w:top w:val="none" w:sz="0" w:space="0" w:color="auto"/>
            <w:left w:val="none" w:sz="0" w:space="0" w:color="auto"/>
            <w:bottom w:val="none" w:sz="0" w:space="0" w:color="auto"/>
            <w:right w:val="none" w:sz="0" w:space="0" w:color="auto"/>
          </w:divBdr>
        </w:div>
      </w:divsChild>
    </w:div>
    <w:div w:id="2043509657">
      <w:bodyDiv w:val="1"/>
      <w:marLeft w:val="0"/>
      <w:marRight w:val="0"/>
      <w:marTop w:val="0"/>
      <w:marBottom w:val="0"/>
      <w:divBdr>
        <w:top w:val="none" w:sz="0" w:space="0" w:color="auto"/>
        <w:left w:val="none" w:sz="0" w:space="0" w:color="auto"/>
        <w:bottom w:val="none" w:sz="0" w:space="0" w:color="auto"/>
        <w:right w:val="none" w:sz="0" w:space="0" w:color="auto"/>
      </w:divBdr>
    </w:div>
    <w:div w:id="2060547361">
      <w:bodyDiv w:val="1"/>
      <w:marLeft w:val="0"/>
      <w:marRight w:val="0"/>
      <w:marTop w:val="0"/>
      <w:marBottom w:val="0"/>
      <w:divBdr>
        <w:top w:val="none" w:sz="0" w:space="0" w:color="auto"/>
        <w:left w:val="none" w:sz="0" w:space="0" w:color="auto"/>
        <w:bottom w:val="none" w:sz="0" w:space="0" w:color="auto"/>
        <w:right w:val="none" w:sz="0" w:space="0" w:color="auto"/>
      </w:divBdr>
    </w:div>
    <w:div w:id="2072732021">
      <w:bodyDiv w:val="1"/>
      <w:marLeft w:val="0"/>
      <w:marRight w:val="0"/>
      <w:marTop w:val="0"/>
      <w:marBottom w:val="0"/>
      <w:divBdr>
        <w:top w:val="none" w:sz="0" w:space="0" w:color="auto"/>
        <w:left w:val="none" w:sz="0" w:space="0" w:color="auto"/>
        <w:bottom w:val="none" w:sz="0" w:space="0" w:color="auto"/>
        <w:right w:val="none" w:sz="0" w:space="0" w:color="auto"/>
      </w:divBdr>
    </w:div>
    <w:div w:id="2077900743">
      <w:bodyDiv w:val="1"/>
      <w:marLeft w:val="0"/>
      <w:marRight w:val="0"/>
      <w:marTop w:val="0"/>
      <w:marBottom w:val="0"/>
      <w:divBdr>
        <w:top w:val="none" w:sz="0" w:space="0" w:color="auto"/>
        <w:left w:val="none" w:sz="0" w:space="0" w:color="auto"/>
        <w:bottom w:val="none" w:sz="0" w:space="0" w:color="auto"/>
        <w:right w:val="none" w:sz="0" w:space="0" w:color="auto"/>
      </w:divBdr>
    </w:div>
    <w:div w:id="2102020775">
      <w:bodyDiv w:val="1"/>
      <w:marLeft w:val="0"/>
      <w:marRight w:val="0"/>
      <w:marTop w:val="0"/>
      <w:marBottom w:val="0"/>
      <w:divBdr>
        <w:top w:val="none" w:sz="0" w:space="0" w:color="auto"/>
        <w:left w:val="none" w:sz="0" w:space="0" w:color="auto"/>
        <w:bottom w:val="none" w:sz="0" w:space="0" w:color="auto"/>
        <w:right w:val="none" w:sz="0" w:space="0" w:color="auto"/>
      </w:divBdr>
    </w:div>
    <w:div w:id="2117823479">
      <w:bodyDiv w:val="1"/>
      <w:marLeft w:val="0"/>
      <w:marRight w:val="0"/>
      <w:marTop w:val="0"/>
      <w:marBottom w:val="0"/>
      <w:divBdr>
        <w:top w:val="none" w:sz="0" w:space="0" w:color="auto"/>
        <w:left w:val="none" w:sz="0" w:space="0" w:color="auto"/>
        <w:bottom w:val="none" w:sz="0" w:space="0" w:color="auto"/>
        <w:right w:val="none" w:sz="0" w:space="0" w:color="auto"/>
      </w:divBdr>
      <w:divsChild>
        <w:div w:id="724987098">
          <w:marLeft w:val="0"/>
          <w:marRight w:val="0"/>
          <w:marTop w:val="0"/>
          <w:marBottom w:val="0"/>
          <w:divBdr>
            <w:top w:val="none" w:sz="0" w:space="0" w:color="auto"/>
            <w:left w:val="none" w:sz="0" w:space="0" w:color="auto"/>
            <w:bottom w:val="none" w:sz="0" w:space="0" w:color="auto"/>
            <w:right w:val="none" w:sz="0" w:space="0" w:color="auto"/>
          </w:divBdr>
          <w:divsChild>
            <w:div w:id="463692311">
              <w:marLeft w:val="0"/>
              <w:marRight w:val="0"/>
              <w:marTop w:val="0"/>
              <w:marBottom w:val="0"/>
              <w:divBdr>
                <w:top w:val="none" w:sz="0" w:space="0" w:color="auto"/>
                <w:left w:val="none" w:sz="0" w:space="0" w:color="auto"/>
                <w:bottom w:val="none" w:sz="0" w:space="0" w:color="auto"/>
                <w:right w:val="none" w:sz="0" w:space="0" w:color="auto"/>
              </w:divBdr>
              <w:divsChild>
                <w:div w:id="684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839">
      <w:bodyDiv w:val="1"/>
      <w:marLeft w:val="0"/>
      <w:marRight w:val="0"/>
      <w:marTop w:val="0"/>
      <w:marBottom w:val="0"/>
      <w:divBdr>
        <w:top w:val="none" w:sz="0" w:space="0" w:color="auto"/>
        <w:left w:val="none" w:sz="0" w:space="0" w:color="auto"/>
        <w:bottom w:val="none" w:sz="0" w:space="0" w:color="auto"/>
        <w:right w:val="none" w:sz="0" w:space="0" w:color="auto"/>
      </w:divBdr>
      <w:divsChild>
        <w:div w:id="877276333">
          <w:marLeft w:val="0"/>
          <w:marRight w:val="0"/>
          <w:marTop w:val="0"/>
          <w:marBottom w:val="0"/>
          <w:divBdr>
            <w:top w:val="none" w:sz="0" w:space="0" w:color="auto"/>
            <w:left w:val="none" w:sz="0" w:space="0" w:color="auto"/>
            <w:bottom w:val="none" w:sz="0" w:space="0" w:color="auto"/>
            <w:right w:val="none" w:sz="0" w:space="0" w:color="auto"/>
          </w:divBdr>
          <w:divsChild>
            <w:div w:id="533008326">
              <w:marLeft w:val="0"/>
              <w:marRight w:val="0"/>
              <w:marTop w:val="0"/>
              <w:marBottom w:val="0"/>
              <w:divBdr>
                <w:top w:val="none" w:sz="0" w:space="0" w:color="auto"/>
                <w:left w:val="none" w:sz="0" w:space="0" w:color="auto"/>
                <w:bottom w:val="none" w:sz="0" w:space="0" w:color="auto"/>
                <w:right w:val="none" w:sz="0" w:space="0" w:color="auto"/>
              </w:divBdr>
              <w:divsChild>
                <w:div w:id="4425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3256">
      <w:bodyDiv w:val="1"/>
      <w:marLeft w:val="0"/>
      <w:marRight w:val="0"/>
      <w:marTop w:val="0"/>
      <w:marBottom w:val="0"/>
      <w:divBdr>
        <w:top w:val="none" w:sz="0" w:space="0" w:color="auto"/>
        <w:left w:val="none" w:sz="0" w:space="0" w:color="auto"/>
        <w:bottom w:val="none" w:sz="0" w:space="0" w:color="auto"/>
        <w:right w:val="none" w:sz="0" w:space="0" w:color="auto"/>
      </w:divBdr>
    </w:div>
    <w:div w:id="2139488889">
      <w:bodyDiv w:val="1"/>
      <w:marLeft w:val="0"/>
      <w:marRight w:val="0"/>
      <w:marTop w:val="0"/>
      <w:marBottom w:val="0"/>
      <w:divBdr>
        <w:top w:val="none" w:sz="0" w:space="0" w:color="auto"/>
        <w:left w:val="none" w:sz="0" w:space="0" w:color="auto"/>
        <w:bottom w:val="none" w:sz="0" w:space="0" w:color="auto"/>
        <w:right w:val="none" w:sz="0" w:space="0" w:color="auto"/>
      </w:divBdr>
      <w:divsChild>
        <w:div w:id="1245215182">
          <w:marLeft w:val="0"/>
          <w:marRight w:val="0"/>
          <w:marTop w:val="0"/>
          <w:marBottom w:val="0"/>
          <w:divBdr>
            <w:top w:val="none" w:sz="0" w:space="0" w:color="auto"/>
            <w:left w:val="none" w:sz="0" w:space="0" w:color="auto"/>
            <w:bottom w:val="none" w:sz="0" w:space="0" w:color="auto"/>
            <w:right w:val="none" w:sz="0" w:space="0" w:color="auto"/>
          </w:divBdr>
          <w:divsChild>
            <w:div w:id="2040858229">
              <w:marLeft w:val="0"/>
              <w:marRight w:val="0"/>
              <w:marTop w:val="0"/>
              <w:marBottom w:val="0"/>
              <w:divBdr>
                <w:top w:val="none" w:sz="0" w:space="0" w:color="auto"/>
                <w:left w:val="none" w:sz="0" w:space="0" w:color="auto"/>
                <w:bottom w:val="none" w:sz="0" w:space="0" w:color="auto"/>
                <w:right w:val="none" w:sz="0" w:space="0" w:color="auto"/>
              </w:divBdr>
              <w:divsChild>
                <w:div w:id="3539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cpp.2686" TargetMode="External"/><Relationship Id="rId18" Type="http://schemas.openxmlformats.org/officeDocument/2006/relationships/hyperlink" Target="https://doi.org/10.1098/rspa.1937.0109" TargetMode="External"/><Relationship Id="rId26" Type="http://schemas.openxmlformats.org/officeDocument/2006/relationships/hyperlink" Target="https://doi.org/10.31234/osf.io/z2x9aDe" TargetMode="External"/><Relationship Id="rId39" Type="http://schemas.openxmlformats.org/officeDocument/2006/relationships/hyperlink" Target="https://doi.org/10.1080/07481187.2020.1748481" TargetMode="External"/><Relationship Id="rId21" Type="http://schemas.openxmlformats.org/officeDocument/2006/relationships/hyperlink" Target="doi:%2010.1016/j.psychres.2020.113596" TargetMode="External"/><Relationship Id="rId34" Type="http://schemas.openxmlformats.org/officeDocument/2006/relationships/hyperlink" Target="https://doi.org/10.1002/da.20167" TargetMode="External"/><Relationship Id="rId42" Type="http://schemas.openxmlformats.org/officeDocument/2006/relationships/hyperlink" Target="https://doi.org/10.1016/j.genhosppsych.2014.09.009" TargetMode="External"/><Relationship Id="rId47" Type="http://schemas.openxmlformats.org/officeDocument/2006/relationships/hyperlink" Target="https://doi.org/10.1016/j.psychres.2020.113322" TargetMode="External"/><Relationship Id="rId50" Type="http://schemas.openxmlformats.org/officeDocument/2006/relationships/hyperlink" Target="https://doi.org/10.1016/S0887-6185(02)00237-2" TargetMode="External"/><Relationship Id="rId55" Type="http://schemas.openxmlformats.org/officeDocument/2006/relationships/hyperlink" Target="https://doi.org/10.1300/J015V06N03_07"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1469-020-00337-6" TargetMode="External"/><Relationship Id="rId29" Type="http://schemas.openxmlformats.org/officeDocument/2006/relationships/hyperlink" Target="https://doi.org/10.1002/cpp.2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clp.23082" TargetMode="External"/><Relationship Id="rId24" Type="http://schemas.openxmlformats.org/officeDocument/2006/relationships/hyperlink" Target="https://doi.org/10.1207/s15327906mbr0102_10" TargetMode="External"/><Relationship Id="rId32" Type="http://schemas.openxmlformats.org/officeDocument/2006/relationships/hyperlink" Target="https://doi.org/10.1016/j.heliyon.2021.e08699" TargetMode="External"/><Relationship Id="rId37" Type="http://schemas.openxmlformats.org/officeDocument/2006/relationships/hyperlink" Target="https://doi.org/10.1046/j.1525-1497.2001.016009606.x" TargetMode="External"/><Relationship Id="rId40" Type="http://schemas.openxmlformats.org/officeDocument/2006/relationships/hyperlink" Target="https://doi.org/10.1111/j.2044-8287.1996.tb00498.x" TargetMode="External"/><Relationship Id="rId45" Type="http://schemas.openxmlformats.org/officeDocument/2006/relationships/hyperlink" Target="https://doi.org/10.1192/bjp.180.5.461" TargetMode="External"/><Relationship Id="rId53" Type="http://schemas.openxmlformats.org/officeDocument/2006/relationships/hyperlink" Target="https://doi.org/10.1111/j.1365-2753.2010.01434.x" TargetMode="External"/><Relationship Id="rId58" Type="http://schemas.openxmlformats.org/officeDocument/2006/relationships/hyperlink" Target="https://doi.org/10.%201159/00050776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86/s12888-021-03565-9" TargetMode="External"/><Relationship Id="rId23" Type="http://schemas.openxmlformats.org/officeDocument/2006/relationships/hyperlink" Target="file:///C:\Users\utente\Downloads\.%20https:\doi.org\10.1159\000516599" TargetMode="External"/><Relationship Id="rId28" Type="http://schemas.openxmlformats.org/officeDocument/2006/relationships/hyperlink" Target="https://doi.org/10.1023/A:1005553414688" TargetMode="External"/><Relationship Id="rId36" Type="http://schemas.openxmlformats.org/officeDocument/2006/relationships/hyperlink" Target="https://doi.org/10.1002/gps.4670" TargetMode="External"/><Relationship Id="rId49" Type="http://schemas.openxmlformats.org/officeDocument/2006/relationships/hyperlink" Target="https://doi.org/10.1016/j.jrp.2006.02.001" TargetMode="External"/><Relationship Id="rId57" Type="http://schemas.openxmlformats.org/officeDocument/2006/relationships/hyperlink" Target="https://doi.org/10.1016/j.addbeh.2020.106754" TargetMode="External"/><Relationship Id="rId61" Type="http://schemas.openxmlformats.org/officeDocument/2006/relationships/header" Target="header1.xml"/><Relationship Id="rId10" Type="http://schemas.openxmlformats.org/officeDocument/2006/relationships/hyperlink" Target="https://doi.org/10.1002/cpp.2639" TargetMode="External"/><Relationship Id="rId19" Type="http://schemas.openxmlformats.org/officeDocument/2006/relationships/hyperlink" Target="https://doi.org/10.1016/j.scitotenv.2020.142799" TargetMode="External"/><Relationship Id="rId31" Type="http://schemas.openxmlformats.org/officeDocument/2006/relationships/hyperlink" Target="https://doi.org/10.1016/j.paid.2014.11.053" TargetMode="External"/><Relationship Id="rId44" Type="http://schemas.openxmlformats.org/officeDocument/2006/relationships/hyperlink" Target="https://doi.org/10.1080/00221325.1991.9914687" TargetMode="External"/><Relationship Id="rId52" Type="http://schemas.openxmlformats.org/officeDocument/2006/relationships/hyperlink" Target="https://doi.org/10.1007/s11469-020-00277-1" TargetMode="External"/><Relationship Id="rId60" Type="http://schemas.openxmlformats.org/officeDocument/2006/relationships/hyperlink" Target="https://doi.org/10.1159/000507639"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utente\Downloads\giovanni.mansueto@unifi.it" TargetMode="External"/><Relationship Id="rId14" Type="http://schemas.openxmlformats.org/officeDocument/2006/relationships/hyperlink" Target="https://doi.org/10.1007/s11469-020-00270-8" TargetMode="External"/><Relationship Id="rId22" Type="http://schemas.openxmlformats.org/officeDocument/2006/relationships/hyperlink" Target="https://doi.org/10.1159/000513733" TargetMode="External"/><Relationship Id="rId27" Type="http://schemas.openxmlformats.org/officeDocument/2006/relationships/hyperlink" Target="https://doi.org/10.1023/A:1021890322153" TargetMode="External"/><Relationship Id="rId30" Type="http://schemas.openxmlformats.org/officeDocument/2006/relationships/hyperlink" Target="https://doi.org/10.1016/j.janxdis.2020.102291" TargetMode="External"/><Relationship Id="rId35" Type="http://schemas.openxmlformats.org/officeDocument/2006/relationships/hyperlink" Target="https://doi.org/10.1007/BF02291817" TargetMode="External"/><Relationship Id="rId43" Type="http://schemas.openxmlformats.org/officeDocument/2006/relationships/hyperlink" Target="https://doi.org/10.1002/cpp.2644" TargetMode="External"/><Relationship Id="rId48" Type="http://schemas.openxmlformats.org/officeDocument/2006/relationships/hyperlink" Target="https://doi.org/10.1159/000511823" TargetMode="External"/><Relationship Id="rId56" Type="http://schemas.openxmlformats.org/officeDocument/2006/relationships/hyperlink" Target="https://doi.org/10.1016/j.janxdis.2020.102232" TargetMode="External"/><Relationship Id="rId64" Type="http://schemas.openxmlformats.org/officeDocument/2006/relationships/image" Target="media/image1.png"/><Relationship Id="rId8" Type="http://schemas.openxmlformats.org/officeDocument/2006/relationships/hyperlink" Target="mailto:g.mansueto@milano-sfu.it" TargetMode="External"/><Relationship Id="rId51" Type="http://schemas.openxmlformats.org/officeDocument/2006/relationships/hyperlink" Target="https://doi.org/10.18637/jss.v048.i02" TargetMode="External"/><Relationship Id="rId3" Type="http://schemas.openxmlformats.org/officeDocument/2006/relationships/styles" Target="styles.xml"/><Relationship Id="rId12" Type="http://schemas.openxmlformats.org/officeDocument/2006/relationships/hyperlink" Target="https://doi.org/10.1002/cpp.2628" TargetMode="External"/><Relationship Id="rId17" Type="http://schemas.openxmlformats.org/officeDocument/2006/relationships/hyperlink" Target="https://doi.org/10.%201177/2167702613505532" TargetMode="External"/><Relationship Id="rId25" Type="http://schemas.openxmlformats.org/officeDocument/2006/relationships/hyperlink" Target="https://doi.org/10.1159/000513968" TargetMode="External"/><Relationship Id="rId33" Type="http://schemas.openxmlformats.org/officeDocument/2006/relationships/hyperlink" Target="https://doi.org/10.1080/10705519909540118" TargetMode="External"/><Relationship Id="rId38" Type="http://schemas.openxmlformats.org/officeDocument/2006/relationships/hyperlink" Target="https://doi.org/10.1016/j.bbi.2020.04.067" TargetMode="External"/><Relationship Id="rId46" Type="http://schemas.openxmlformats.org/officeDocument/2006/relationships/hyperlink" Target="https://doi.org/10.1016/j.jad.2020.10.053" TargetMode="External"/><Relationship Id="rId59" Type="http://schemas.openxmlformats.org/officeDocument/2006/relationships/hyperlink" Target="https://doi.org/10.1159/%20000512843" TargetMode="External"/><Relationship Id="rId67" Type="http://schemas.openxmlformats.org/officeDocument/2006/relationships/theme" Target="theme/theme1.xml"/><Relationship Id="rId20" Type="http://schemas.openxmlformats.org/officeDocument/2006/relationships/hyperlink" Target="https://doi.org/10.1016/S1473-%203099(20)30458-8" TargetMode="External"/><Relationship Id="rId41" Type="http://schemas.openxmlformats.org/officeDocument/2006/relationships/hyperlink" Target="https://doi.org/10.1016/j.jad.2021.03.061" TargetMode="External"/><Relationship Id="rId54" Type="http://schemas.openxmlformats.org/officeDocument/2006/relationships/hyperlink" Target="https://doi.org/10.1001/archinte.166.10.1092" TargetMode="External"/><Relationship Id="rId6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FD60-758E-F944-8C77-A825CF69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13536</Words>
  <Characters>77157</Characters>
  <Application>Microsoft Office Word</Application>
  <DocSecurity>0</DocSecurity>
  <Lines>642</Lines>
  <Paragraphs>181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Mansueto, G. et al. The Italian COVID-19 Anxiety Syndrome Scale (C-19ASS)</vt:lpstr>
      <vt:lpstr>Mansueto, G. et al. The Italian COVID-19 Anxiety Syndrome Scale (C-19ASS)</vt:lpstr>
    </vt:vector>
  </TitlesOfParts>
  <Company/>
  <LinksUpToDate>false</LinksUpToDate>
  <CharactersWithSpaces>90512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Mansueto, G. et al. The Italian COVID-19 Anxiety Syndrome Scale (C-19ASS)</dc:title>
  <dc:subject/>
  <dc:creator>Giovanni Mansueto</dc:creator>
  <cp:keywords/>
  <dc:description/>
  <cp:lastModifiedBy>Spada, Marcantonio</cp:lastModifiedBy>
  <cp:revision>4</cp:revision>
  <dcterms:created xsi:type="dcterms:W3CDTF">2022-05-07T14:48:00Z</dcterms:created>
  <dcterms:modified xsi:type="dcterms:W3CDTF">2022-05-07T14:53:00Z</dcterms:modified>
</cp:coreProperties>
</file>