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cs="Calibri"/>
          <w:color w:val="133263"/>
          <w:sz w:val="36"/>
          <w:szCs w:val="36"/>
        </w:rPr>
      </w:pPr>
      <w:r w:rsidRPr="00F60BC2">
        <w:rPr>
          <w:rFonts w:cs="Calibri"/>
          <w:color w:val="133263"/>
          <w:sz w:val="36"/>
          <w:szCs w:val="36"/>
        </w:rPr>
        <w:t>Pastoral care and intellectual disability. A person-centred approach</w:t>
      </w: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  <w:sz w:val="20"/>
          <w:szCs w:val="20"/>
        </w:rPr>
      </w:pPr>
      <w:r w:rsidRPr="00F60BC2">
        <w:rPr>
          <w:rFonts w:cs="Calibri-Bold"/>
          <w:b/>
          <w:bCs/>
          <w:color w:val="000000"/>
          <w:sz w:val="24"/>
          <w:szCs w:val="24"/>
        </w:rPr>
        <w:t xml:space="preserve">Nicola Martin </w:t>
      </w:r>
      <w:r w:rsidRPr="00F60BC2">
        <w:rPr>
          <w:rFonts w:cs="Calibri-Bold"/>
          <w:b/>
          <w:bCs/>
          <w:color w:val="0000FF"/>
          <w:sz w:val="20"/>
          <w:szCs w:val="20"/>
        </w:rPr>
        <w:t>1 *</w:t>
      </w: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18"/>
          <w:szCs w:val="18"/>
        </w:rPr>
      </w:pPr>
      <w:r w:rsidRPr="00F60BC2">
        <w:rPr>
          <w:rFonts w:cs="Calibri-Italic"/>
          <w:i/>
          <w:iCs/>
          <w:color w:val="000000"/>
          <w:sz w:val="15"/>
          <w:szCs w:val="15"/>
        </w:rPr>
        <w:t>1</w:t>
      </w:r>
      <w:r w:rsidRPr="00F60BC2">
        <w:rPr>
          <w:rFonts w:cs="Calibri-Italic"/>
          <w:i/>
          <w:iCs/>
          <w:color w:val="000000"/>
          <w:sz w:val="18"/>
          <w:szCs w:val="18"/>
        </w:rPr>
        <w:t>London South Bank University, London, UK</w:t>
      </w:r>
    </w:p>
    <w:p w:rsid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18"/>
          <w:szCs w:val="18"/>
        </w:rPr>
      </w:pPr>
      <w:hyperlink r:id="rId4" w:history="1">
        <w:r w:rsidRPr="006C7A17">
          <w:rPr>
            <w:rStyle w:val="Hyperlink"/>
            <w:rFonts w:cs="Calibri-Italic"/>
            <w:i/>
            <w:iCs/>
            <w:sz w:val="18"/>
            <w:szCs w:val="18"/>
          </w:rPr>
          <w:t>*Martinn4@lsbu.ac.uk</w:t>
        </w:r>
      </w:hyperlink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18"/>
          <w:szCs w:val="18"/>
        </w:rPr>
      </w:pP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  <w:r w:rsidRPr="00F60BC2">
        <w:rPr>
          <w:rFonts w:eastAsia="TimesNewRomanPSMT" w:cs="TimesNewRomanPSMT"/>
          <w:color w:val="000000"/>
          <w:sz w:val="20"/>
          <w:szCs w:val="20"/>
        </w:rPr>
        <w:t xml:space="preserve">Anna Katherine </w:t>
      </w:r>
      <w:proofErr w:type="spellStart"/>
      <w:r w:rsidRPr="00F60BC2">
        <w:rPr>
          <w:rFonts w:eastAsia="TimesNewRomanPSMT" w:cs="TimesNewRomanPSMT"/>
          <w:color w:val="000000"/>
          <w:sz w:val="20"/>
          <w:szCs w:val="20"/>
        </w:rPr>
        <w:t>Shurley</w:t>
      </w:r>
      <w:proofErr w:type="spellEnd"/>
      <w:r w:rsidRPr="00F60BC2">
        <w:rPr>
          <w:rFonts w:eastAsia="TimesNewRomanPSMT" w:cs="TimesNewRomanPSMT"/>
          <w:color w:val="000000"/>
          <w:sz w:val="20"/>
          <w:szCs w:val="20"/>
        </w:rPr>
        <w:t xml:space="preserve"> is a Baptist Minister who has worked as a chaplain in the USA with children and adults</w:t>
      </w:r>
    </w:p>
    <w:p w:rsid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  <w:proofErr w:type="gramStart"/>
      <w:r w:rsidRPr="00F60BC2">
        <w:rPr>
          <w:rFonts w:eastAsia="TimesNewRomanPSMT" w:cs="TimesNewRomanPSMT"/>
          <w:color w:val="000000"/>
          <w:sz w:val="20"/>
          <w:szCs w:val="20"/>
        </w:rPr>
        <w:t>identified</w:t>
      </w:r>
      <w:proofErr w:type="gramEnd"/>
      <w:r w:rsidRPr="00F60BC2">
        <w:rPr>
          <w:rFonts w:eastAsia="TimesNewRomanPSMT" w:cs="TimesNewRomanPSMT"/>
          <w:color w:val="000000"/>
          <w:sz w:val="20"/>
          <w:szCs w:val="20"/>
        </w:rPr>
        <w:t xml:space="preserve"> with intellectual impairments. Her work is part of a series of eight titles to date which focus on disability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within the discipline of theology. Examples within the series include ‘The Bible and Disability: A Commentary’, edited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by Melcher, Parsons, and Young (</w:t>
      </w:r>
      <w:r w:rsidRPr="00F60BC2">
        <w:rPr>
          <w:rFonts w:eastAsia="TimesNewRomanPSMT" w:cs="TimesNewRomanPSMT"/>
          <w:color w:val="0000FF"/>
          <w:sz w:val="20"/>
          <w:szCs w:val="20"/>
        </w:rPr>
        <w:t>2017</w:t>
      </w:r>
      <w:r w:rsidRPr="00F60BC2">
        <w:rPr>
          <w:rFonts w:eastAsia="TimesNewRomanPSMT" w:cs="TimesNewRomanPSMT"/>
          <w:color w:val="000000"/>
          <w:sz w:val="20"/>
          <w:szCs w:val="20"/>
        </w:rPr>
        <w:t>), and ‘Theology and Downs Syndrome: Reimagining Disability in Late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Modernity’, authored by Amos Yong (</w:t>
      </w:r>
      <w:r w:rsidRPr="00F60BC2">
        <w:rPr>
          <w:rFonts w:eastAsia="TimesNewRomanPSMT" w:cs="TimesNewRomanPSMT"/>
          <w:color w:val="0000FF"/>
          <w:sz w:val="20"/>
          <w:szCs w:val="20"/>
        </w:rPr>
        <w:t>2007</w:t>
      </w:r>
      <w:r w:rsidRPr="00F60BC2">
        <w:rPr>
          <w:rFonts w:eastAsia="TimesNewRomanPSMT" w:cs="TimesNewRomanPSMT"/>
          <w:color w:val="000000"/>
          <w:sz w:val="20"/>
          <w:szCs w:val="20"/>
        </w:rPr>
        <w:t xml:space="preserve">). </w:t>
      </w:r>
      <w:proofErr w:type="spellStart"/>
      <w:r w:rsidRPr="00F60BC2">
        <w:rPr>
          <w:rFonts w:eastAsia="TimesNewRomanPSMT" w:cs="TimesNewRomanPSMT"/>
          <w:color w:val="000000"/>
          <w:sz w:val="20"/>
          <w:szCs w:val="20"/>
        </w:rPr>
        <w:t>Shurley</w:t>
      </w:r>
      <w:proofErr w:type="spellEnd"/>
      <w:r w:rsidRPr="00F60BC2">
        <w:rPr>
          <w:rFonts w:eastAsia="TimesNewRomanPSMT" w:cs="TimesNewRomanPSMT"/>
          <w:color w:val="000000"/>
          <w:sz w:val="20"/>
          <w:szCs w:val="20"/>
        </w:rPr>
        <w:t xml:space="preserve"> describes the purpose of the series as being to ‘encourage theoretical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engagement with secular disability studies while supporting the re-examination of established religious doctrine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and practice’ (v). She emphasises the importance of exploring the intersection between religion, theology and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 xml:space="preserve">disability and of understanding the worldviews of disabled people and family members. </w:t>
      </w:r>
      <w:proofErr w:type="spellStart"/>
      <w:r w:rsidRPr="00F60BC2">
        <w:rPr>
          <w:rFonts w:eastAsia="TimesNewRomanPSMT" w:cs="TimesNewRomanPSMT"/>
          <w:color w:val="000000"/>
          <w:sz w:val="20"/>
          <w:szCs w:val="20"/>
        </w:rPr>
        <w:t>Shurley</w:t>
      </w:r>
      <w:proofErr w:type="spellEnd"/>
      <w:r w:rsidRPr="00F60BC2">
        <w:rPr>
          <w:rFonts w:eastAsia="TimesNewRomanPSMT" w:cs="TimesNewRomanPSMT"/>
          <w:color w:val="000000"/>
          <w:sz w:val="20"/>
          <w:szCs w:val="20"/>
        </w:rPr>
        <w:t xml:space="preserve"> is very clear in her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view that the church community can play a vital role in the social inclusion and well-being of people with intellectual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impairments and their families. She illustrates her discussion of these themes with examples from her own practice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which come across as warm and humane. The idea of social inclusion beyond the church is outside the scope of this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 xml:space="preserve">work. </w:t>
      </w:r>
      <w:proofErr w:type="spellStart"/>
      <w:r w:rsidRPr="00F60BC2">
        <w:rPr>
          <w:rFonts w:eastAsia="TimesNewRomanPSMT" w:cs="TimesNewRomanPSMT"/>
          <w:color w:val="000000"/>
          <w:sz w:val="20"/>
          <w:szCs w:val="20"/>
        </w:rPr>
        <w:t>Shurley</w:t>
      </w:r>
      <w:proofErr w:type="spellEnd"/>
      <w:r w:rsidRPr="00F60BC2">
        <w:rPr>
          <w:rFonts w:eastAsia="TimesNewRomanPSMT" w:cs="TimesNewRomanPSMT"/>
          <w:color w:val="000000"/>
          <w:sz w:val="20"/>
          <w:szCs w:val="20"/>
        </w:rPr>
        <w:t>’s contribution could usefully sit alongside texts which consider broader approaches to ensuring that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 xml:space="preserve">people with intellectual impairments and their families are embraced and valued by society. God is central to </w:t>
      </w:r>
      <w:proofErr w:type="spellStart"/>
      <w:r w:rsidRPr="00F60BC2">
        <w:rPr>
          <w:rFonts w:eastAsia="TimesNewRomanPSMT" w:cs="TimesNewRomanPSMT"/>
          <w:color w:val="000000"/>
          <w:sz w:val="20"/>
          <w:szCs w:val="20"/>
        </w:rPr>
        <w:t>Shurley’s</w:t>
      </w:r>
      <w:proofErr w:type="spellEnd"/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ideas and she is transparent about her ontological position in this respect. For people who do not believe in God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but do believe in social justice, valuing people and creating a more inclusive society, the centrality of God in this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work might be challenging.</w:t>
      </w: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</w:p>
    <w:p w:rsid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  <w:r w:rsidRPr="00F60BC2">
        <w:rPr>
          <w:rFonts w:eastAsia="TimesNewRomanPS-ItalicMT" w:cs="TimesNewRomanPS-ItalicMT"/>
          <w:i/>
          <w:iCs/>
          <w:color w:val="000000"/>
          <w:sz w:val="20"/>
          <w:szCs w:val="20"/>
        </w:rPr>
        <w:t xml:space="preserve">Pastoral Care and Intellectual Disability </w:t>
      </w:r>
      <w:r w:rsidRPr="00F60BC2">
        <w:rPr>
          <w:rFonts w:eastAsia="TimesNewRomanPSMT" w:cs="TimesNewRomanPSMT"/>
          <w:color w:val="000000"/>
          <w:sz w:val="20"/>
          <w:szCs w:val="20"/>
        </w:rPr>
        <w:t>is made up of five short chapters which explore themes under the headings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of collaborating, empowering, calling, playing and witnessing. These titles are helpfully explained by subheadings.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 xml:space="preserve">Playing, for example, is about ‘person centred pastoral care in practice’. </w:t>
      </w:r>
      <w:proofErr w:type="spellStart"/>
      <w:r w:rsidRPr="00F60BC2">
        <w:rPr>
          <w:rFonts w:eastAsia="TimesNewRomanPSMT" w:cs="TimesNewRomanPSMT"/>
          <w:color w:val="000000"/>
          <w:sz w:val="20"/>
          <w:szCs w:val="20"/>
        </w:rPr>
        <w:t>Shurley</w:t>
      </w:r>
      <w:proofErr w:type="spellEnd"/>
      <w:r w:rsidRPr="00F60BC2">
        <w:rPr>
          <w:rFonts w:eastAsia="TimesNewRomanPSMT" w:cs="TimesNewRomanPSMT"/>
          <w:color w:val="000000"/>
          <w:sz w:val="20"/>
          <w:szCs w:val="20"/>
        </w:rPr>
        <w:t xml:space="preserve"> includes an extensive section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of notes at the end. While doing so makes the work easier to read in one way, it also made the structure feel a little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awkward. Some of the information in the notes could have been incorporated usefully within the chapters and doing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so could have elevated the discussion in places beyond the anecdotal. Undoubtedly the work is well researched, but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this did not always come across strongly because of the separation of some key aspects into the notes chapter. Real</w:t>
      </w:r>
      <w:r>
        <w:rPr>
          <w:rFonts w:eastAsia="TimesNewRomanPSMT" w:cs="TimesNewRomanPSMT"/>
          <w:color w:val="000000"/>
          <w:sz w:val="20"/>
          <w:szCs w:val="20"/>
        </w:rPr>
        <w:t>-</w:t>
      </w:r>
      <w:r w:rsidRPr="00F60BC2">
        <w:rPr>
          <w:rFonts w:eastAsia="TimesNewRomanPSMT" w:cs="TimesNewRomanPSMT"/>
          <w:color w:val="000000"/>
          <w:sz w:val="20"/>
          <w:szCs w:val="20"/>
        </w:rPr>
        <w:t>life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examples included throughout the work are deployed effectively and ensure that the topic is not present in too dry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a fashion.</w:t>
      </w: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  <w:r w:rsidRPr="00F60BC2">
        <w:rPr>
          <w:rFonts w:eastAsia="TimesNewRomanPSMT" w:cs="TimesNewRomanPSMT"/>
          <w:color w:val="000000"/>
          <w:sz w:val="20"/>
          <w:szCs w:val="20"/>
        </w:rPr>
        <w:t xml:space="preserve">Many of the arguments articulated in </w:t>
      </w:r>
      <w:proofErr w:type="spellStart"/>
      <w:r w:rsidRPr="00F60BC2">
        <w:rPr>
          <w:rFonts w:eastAsia="TimesNewRomanPSMT" w:cs="TimesNewRomanPSMT"/>
          <w:color w:val="000000"/>
          <w:sz w:val="20"/>
          <w:szCs w:val="20"/>
        </w:rPr>
        <w:t>Shurley</w:t>
      </w:r>
      <w:proofErr w:type="spellEnd"/>
      <w:r w:rsidRPr="00F60BC2">
        <w:rPr>
          <w:rFonts w:eastAsia="TimesNewRomanPSMT" w:cs="TimesNewRomanPSMT"/>
          <w:color w:val="000000"/>
          <w:sz w:val="20"/>
          <w:szCs w:val="20"/>
        </w:rPr>
        <w:t>’s work will be familiar to critical disability studies scholars. She</w:t>
      </w:r>
    </w:p>
    <w:p w:rsid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  <w:proofErr w:type="gramStart"/>
      <w:r w:rsidRPr="00F60BC2">
        <w:rPr>
          <w:rFonts w:eastAsia="TimesNewRomanPSMT" w:cs="TimesNewRomanPSMT"/>
          <w:color w:val="000000"/>
          <w:sz w:val="20"/>
          <w:szCs w:val="20"/>
        </w:rPr>
        <w:t>considers</w:t>
      </w:r>
      <w:proofErr w:type="gramEnd"/>
      <w:r w:rsidRPr="00F60BC2">
        <w:rPr>
          <w:rFonts w:eastAsia="TimesNewRomanPSMT" w:cs="TimesNewRomanPSMT"/>
          <w:color w:val="000000"/>
          <w:sz w:val="20"/>
          <w:szCs w:val="20"/>
        </w:rPr>
        <w:t xml:space="preserve"> the importance of valuing the individual, of agency and of respect for choice. Compassion is a recurring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theme which is discussed with reference to the role of the church. Arguably, the idea of compassion without faith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could have received more attention. Similarly, when considering ideas of agency the impression of a tacit assumption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of belief in God underpinning the narrative rather prompted the question ‘what if you don’t?’ Vulnerability of people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with intellectual impairments could well extend to reduction of opportunities to make choices and enact agency within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the religious sphere. In other words, it would have been interesting for the idea that someone with an intellectual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impairment may not believe in God or a non-believer could show compassion to have been discussed in more depth.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The situation of disabled people as providers rather than always recipients of care could also have been explored further.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At the intersection of religion, theology and disability, terms like ‘healing’ and ‘growth’ may have radically different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 xml:space="preserve">connotations. While </w:t>
      </w:r>
      <w:proofErr w:type="spellStart"/>
      <w:r w:rsidRPr="00F60BC2">
        <w:rPr>
          <w:rFonts w:eastAsia="TimesNewRomanPSMT" w:cs="TimesNewRomanPSMT"/>
          <w:color w:val="000000"/>
          <w:sz w:val="20"/>
          <w:szCs w:val="20"/>
        </w:rPr>
        <w:t>Shurley</w:t>
      </w:r>
      <w:proofErr w:type="spellEnd"/>
      <w:r w:rsidRPr="00F60BC2">
        <w:rPr>
          <w:rFonts w:eastAsia="TimesNewRomanPSMT" w:cs="TimesNewRomanPSMT"/>
          <w:color w:val="000000"/>
          <w:sz w:val="20"/>
          <w:szCs w:val="20"/>
        </w:rPr>
        <w:t xml:space="preserve"> is very clear about the value of the individual, her arguments could have usefully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been underpinned by more engagement with concepts like ableism which are so familiar to critical disability studies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scholars.</w:t>
      </w: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  <w:r w:rsidRPr="00F60BC2">
        <w:rPr>
          <w:rFonts w:eastAsia="TimesNewRomanPSMT" w:cs="TimesNewRomanPSMT"/>
          <w:color w:val="000000"/>
          <w:sz w:val="20"/>
          <w:szCs w:val="20"/>
        </w:rPr>
        <w:t>The ontological perspective of the author as a person of faith working within the context of the church may well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 xml:space="preserve">differ from that of many, but not all, readers of </w:t>
      </w:r>
      <w:r w:rsidRPr="00F60BC2">
        <w:rPr>
          <w:rFonts w:eastAsia="TimesNewRomanPS-ItalicMT" w:cs="TimesNewRomanPS-ItalicMT"/>
          <w:i/>
          <w:iCs/>
          <w:color w:val="000000"/>
          <w:sz w:val="20"/>
          <w:szCs w:val="20"/>
        </w:rPr>
        <w:t>Disability &amp; Society</w:t>
      </w:r>
      <w:r w:rsidRPr="00F60BC2">
        <w:rPr>
          <w:rFonts w:eastAsia="TimesNewRomanPSMT" w:cs="TimesNewRomanPSMT"/>
          <w:color w:val="000000"/>
          <w:sz w:val="20"/>
          <w:szCs w:val="20"/>
        </w:rPr>
        <w:t>. Critical Disability Studies academics accustomed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 xml:space="preserve">to marking academic work are used to asking the question ‘where is your evidence?’ </w:t>
      </w:r>
      <w:proofErr w:type="spellStart"/>
      <w:r w:rsidRPr="00F60BC2">
        <w:rPr>
          <w:rFonts w:eastAsia="TimesNewRomanPSMT" w:cs="TimesNewRomanPSMT"/>
          <w:color w:val="000000"/>
          <w:sz w:val="20"/>
          <w:szCs w:val="20"/>
        </w:rPr>
        <w:t>Shurley’s</w:t>
      </w:r>
      <w:proofErr w:type="spellEnd"/>
      <w:r w:rsidRPr="00F60BC2">
        <w:rPr>
          <w:rFonts w:eastAsia="TimesNewRomanPSMT" w:cs="TimesNewRomanPSMT"/>
          <w:color w:val="000000"/>
          <w:sz w:val="20"/>
          <w:szCs w:val="20"/>
        </w:rPr>
        <w:t xml:space="preserve"> perspective is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challenging in that, although she develops her arguments with referenced points used t</w:t>
      </w:r>
      <w:r>
        <w:rPr>
          <w:rFonts w:eastAsia="TimesNewRomanPSMT" w:cs="TimesNewRomanPSMT"/>
          <w:color w:val="000000"/>
          <w:sz w:val="20"/>
          <w:szCs w:val="20"/>
        </w:rPr>
        <w:t xml:space="preserve">o provide an evidence base, her </w:t>
      </w:r>
      <w:r w:rsidRPr="00F60BC2">
        <w:rPr>
          <w:rFonts w:eastAsia="TimesNewRomanPSMT" w:cs="TimesNewRomanPSMT"/>
          <w:color w:val="000000"/>
          <w:sz w:val="20"/>
          <w:szCs w:val="20"/>
        </w:rPr>
        <w:t>faith underpins her discussion. In the field of critical disability studies this may be seen as unusual, although transparent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engagement with positionality as a writer is encouraged. The work is without a doubt thought-provoking, and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 xml:space="preserve">much common ground is apparent between scholars and activists </w:t>
      </w:r>
      <w:r w:rsidRPr="00F60BC2">
        <w:rPr>
          <w:rFonts w:eastAsia="TimesNewRomanPSMT" w:cs="TimesNewRomanPSMT"/>
          <w:color w:val="000000"/>
          <w:sz w:val="20"/>
          <w:szCs w:val="20"/>
        </w:rPr>
        <w:lastRenderedPageBreak/>
        <w:t>who talk about ableism and oppression and people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of faith who talk about valuing individuals, community and inclusion.</w:t>
      </w: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  <w:r w:rsidRPr="00F60BC2">
        <w:rPr>
          <w:rFonts w:eastAsia="TimesNewRomanPSMT" w:cs="TimesNewRomanPSMT"/>
          <w:color w:val="000000"/>
          <w:sz w:val="20"/>
          <w:szCs w:val="20"/>
        </w:rPr>
        <w:t xml:space="preserve">Nicola Martin </w:t>
      </w:r>
      <w:r w:rsidRPr="00F60BC2">
        <w:rPr>
          <w:rFonts w:eastAsia="TimesNewRomanPS-ItalicMT" w:cs="TimesNewRomanPS-ItalicMT"/>
          <w:i/>
          <w:iCs/>
          <w:color w:val="000000"/>
          <w:sz w:val="20"/>
          <w:szCs w:val="20"/>
        </w:rPr>
        <w:t xml:space="preserve">London South </w:t>
      </w:r>
      <w:proofErr w:type="gramStart"/>
      <w:r w:rsidRPr="00F60BC2">
        <w:rPr>
          <w:rFonts w:eastAsia="TimesNewRomanPS-ItalicMT" w:cs="TimesNewRomanPS-ItalicMT"/>
          <w:i/>
          <w:iCs/>
          <w:color w:val="000000"/>
          <w:sz w:val="20"/>
          <w:szCs w:val="20"/>
        </w:rPr>
        <w:t>Bank[</w:t>
      </w:r>
      <w:proofErr w:type="gramEnd"/>
      <w:r w:rsidRPr="00F60BC2">
        <w:rPr>
          <w:rFonts w:eastAsia="TimesNewRomanPS-ItalicMT" w:cs="TimesNewRomanPS-ItalicMT"/>
          <w:i/>
          <w:iCs/>
          <w:color w:val="000000"/>
          <w:sz w:val="20"/>
          <w:szCs w:val="20"/>
        </w:rPr>
        <w:t>AQ2] University, Critical Autism and Disability Studies Research Group , London,</w:t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Pr="00F60BC2">
        <w:rPr>
          <w:rFonts w:eastAsia="TimesNewRomanPS-ItalicMT" w:cs="TimesNewRomanPS-ItalicMT"/>
          <w:i/>
          <w:iCs/>
          <w:color w:val="000000"/>
          <w:sz w:val="20"/>
          <w:szCs w:val="20"/>
        </w:rPr>
        <w:t>UK</w:t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Pr="00F60BC2">
        <w:rPr>
          <w:rFonts w:eastAsia="TimesNewRomanPSMT" w:cs="TimesNewRomanPSMT"/>
          <w:color w:val="000000"/>
          <w:sz w:val="20"/>
          <w:szCs w:val="20"/>
        </w:rPr>
        <w:t>Martinn4@lsbu.ac.uk</w:t>
      </w: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33263"/>
          <w:sz w:val="28"/>
          <w:szCs w:val="28"/>
        </w:rPr>
      </w:pPr>
      <w:r w:rsidRPr="00F60BC2">
        <w:rPr>
          <w:rFonts w:cs="Calibri-Bold"/>
          <w:b/>
          <w:bCs/>
          <w:color w:val="133263"/>
          <w:sz w:val="28"/>
          <w:szCs w:val="28"/>
        </w:rPr>
        <w:t>References</w:t>
      </w: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  <w:r w:rsidRPr="00F60BC2">
        <w:rPr>
          <w:rFonts w:eastAsia="TimesNewRomanPSMT" w:cs="TimesNewRomanPSMT"/>
          <w:color w:val="000000"/>
          <w:sz w:val="20"/>
          <w:szCs w:val="20"/>
        </w:rPr>
        <w:t xml:space="preserve">Melcher, S. J., M. C., </w:t>
      </w:r>
      <w:proofErr w:type="gramStart"/>
      <w:r w:rsidRPr="00F60BC2">
        <w:rPr>
          <w:rFonts w:eastAsia="TimesNewRomanPSMT" w:cs="TimesNewRomanPSMT"/>
          <w:color w:val="000000"/>
          <w:sz w:val="20"/>
          <w:szCs w:val="20"/>
        </w:rPr>
        <w:t>Parsons ,</w:t>
      </w:r>
      <w:proofErr w:type="gramEnd"/>
      <w:r w:rsidRPr="00F60BC2">
        <w:rPr>
          <w:rFonts w:eastAsia="TimesNewRomanPSMT" w:cs="TimesNewRomanPSMT"/>
          <w:color w:val="000000"/>
          <w:sz w:val="20"/>
          <w:szCs w:val="20"/>
        </w:rPr>
        <w:t xml:space="preserve"> and A. Young , eds. 2017. </w:t>
      </w:r>
      <w:r w:rsidRPr="00F60BC2">
        <w:rPr>
          <w:rFonts w:eastAsia="TimesNewRomanPS-ItalicMT" w:cs="TimesNewRomanPS-ItalicMT"/>
          <w:i/>
          <w:iCs/>
          <w:color w:val="000000"/>
          <w:sz w:val="20"/>
          <w:szCs w:val="20"/>
        </w:rPr>
        <w:t xml:space="preserve">The Bible and Disability: A Commentary </w:t>
      </w:r>
      <w:r w:rsidRPr="00F60BC2">
        <w:rPr>
          <w:rFonts w:eastAsia="TimesNewRomanPSMT" w:cs="TimesNewRomanPSMT"/>
          <w:color w:val="000000"/>
          <w:sz w:val="20"/>
          <w:szCs w:val="20"/>
        </w:rPr>
        <w:t>Waco, Texas:</w:t>
      </w:r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  <w:r w:rsidRPr="00F60BC2">
        <w:rPr>
          <w:rFonts w:eastAsia="TimesNewRomanPSMT" w:cs="TimesNewRomanPSMT"/>
          <w:color w:val="000000"/>
          <w:sz w:val="20"/>
          <w:szCs w:val="20"/>
        </w:rPr>
        <w:t>Baylor University Press.</w:t>
      </w:r>
      <w:bookmarkStart w:id="0" w:name="_GoBack"/>
      <w:bookmarkEnd w:id="0"/>
    </w:p>
    <w:p w:rsidR="00F60BC2" w:rsidRPr="00F60BC2" w:rsidRDefault="00F60BC2" w:rsidP="00F60BC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</w:rPr>
      </w:pPr>
      <w:r w:rsidRPr="00F60BC2">
        <w:rPr>
          <w:rFonts w:eastAsia="TimesNewRomanPSMT" w:cs="TimesNewRomanPSMT"/>
          <w:color w:val="000000"/>
          <w:sz w:val="20"/>
          <w:szCs w:val="20"/>
        </w:rPr>
        <w:t xml:space="preserve">Yong, A. 2007 </w:t>
      </w:r>
      <w:r w:rsidRPr="00F60BC2">
        <w:rPr>
          <w:rFonts w:eastAsia="TimesNewRomanPS-ItalicMT" w:cs="TimesNewRomanPS-ItalicMT"/>
          <w:i/>
          <w:iCs/>
          <w:color w:val="000000"/>
          <w:sz w:val="20"/>
          <w:szCs w:val="20"/>
        </w:rPr>
        <w:t xml:space="preserve">Theology and Down </w:t>
      </w:r>
      <w:proofErr w:type="gramStart"/>
      <w:r w:rsidRPr="00F60BC2">
        <w:rPr>
          <w:rFonts w:eastAsia="TimesNewRomanPS-ItalicMT" w:cs="TimesNewRomanPS-ItalicMT"/>
          <w:i/>
          <w:iCs/>
          <w:color w:val="000000"/>
          <w:sz w:val="20"/>
          <w:szCs w:val="20"/>
        </w:rPr>
        <w:t>Syndrome</w:t>
      </w:r>
      <w:proofErr w:type="gramEnd"/>
      <w:r w:rsidRPr="00F60BC2">
        <w:rPr>
          <w:rFonts w:eastAsia="TimesNewRomanPSMT" w:cs="TimesNewRomanPSMT"/>
          <w:color w:val="000000"/>
          <w:sz w:val="20"/>
          <w:szCs w:val="20"/>
        </w:rPr>
        <w:t>. Waco, Texas: Baylor University Press</w:t>
      </w:r>
      <w:proofErr w:type="gramStart"/>
      <w:r w:rsidRPr="00F60BC2">
        <w:rPr>
          <w:rFonts w:eastAsia="TimesNewRomanPSMT" w:cs="TimesNewRomanPSMT"/>
          <w:color w:val="000000"/>
          <w:sz w:val="20"/>
          <w:szCs w:val="20"/>
        </w:rPr>
        <w:t>.[</w:t>
      </w:r>
      <w:proofErr w:type="gramEnd"/>
      <w:r w:rsidRPr="00F60BC2">
        <w:rPr>
          <w:rFonts w:eastAsia="TimesNewRomanPSMT" w:cs="TimesNewRomanPSMT"/>
          <w:color w:val="000000"/>
          <w:sz w:val="20"/>
          <w:szCs w:val="20"/>
        </w:rPr>
        <w:t>AQ3]</w:t>
      </w:r>
    </w:p>
    <w:sectPr w:rsidR="00F60BC2" w:rsidRPr="00F60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C2"/>
    <w:rsid w:val="0003651D"/>
    <w:rsid w:val="000B7205"/>
    <w:rsid w:val="001944A3"/>
    <w:rsid w:val="001B1625"/>
    <w:rsid w:val="00211D0E"/>
    <w:rsid w:val="00224C19"/>
    <w:rsid w:val="0027741E"/>
    <w:rsid w:val="002B1684"/>
    <w:rsid w:val="002C5D15"/>
    <w:rsid w:val="002E25A0"/>
    <w:rsid w:val="00306123"/>
    <w:rsid w:val="003157A6"/>
    <w:rsid w:val="003202BE"/>
    <w:rsid w:val="00330323"/>
    <w:rsid w:val="003A4669"/>
    <w:rsid w:val="003A7E43"/>
    <w:rsid w:val="00447A88"/>
    <w:rsid w:val="00460CA3"/>
    <w:rsid w:val="00472C3A"/>
    <w:rsid w:val="004E32D3"/>
    <w:rsid w:val="005B3F11"/>
    <w:rsid w:val="005B6F2A"/>
    <w:rsid w:val="00600089"/>
    <w:rsid w:val="00650059"/>
    <w:rsid w:val="0065154B"/>
    <w:rsid w:val="00666772"/>
    <w:rsid w:val="00692A71"/>
    <w:rsid w:val="006A07EE"/>
    <w:rsid w:val="006A52F0"/>
    <w:rsid w:val="006C3AD6"/>
    <w:rsid w:val="007061C9"/>
    <w:rsid w:val="00707409"/>
    <w:rsid w:val="00741CED"/>
    <w:rsid w:val="00772046"/>
    <w:rsid w:val="007F0B2E"/>
    <w:rsid w:val="008302EF"/>
    <w:rsid w:val="00871C02"/>
    <w:rsid w:val="00883912"/>
    <w:rsid w:val="00897A25"/>
    <w:rsid w:val="008C0B57"/>
    <w:rsid w:val="008C0C12"/>
    <w:rsid w:val="00954483"/>
    <w:rsid w:val="00954E6A"/>
    <w:rsid w:val="00A01B67"/>
    <w:rsid w:val="00A13EAC"/>
    <w:rsid w:val="00A678EE"/>
    <w:rsid w:val="00AE2715"/>
    <w:rsid w:val="00B11189"/>
    <w:rsid w:val="00B43F48"/>
    <w:rsid w:val="00B76FA8"/>
    <w:rsid w:val="00BB1D40"/>
    <w:rsid w:val="00BB2D71"/>
    <w:rsid w:val="00BF0103"/>
    <w:rsid w:val="00C0012F"/>
    <w:rsid w:val="00C1469E"/>
    <w:rsid w:val="00C66F41"/>
    <w:rsid w:val="00CA23FB"/>
    <w:rsid w:val="00CB71A6"/>
    <w:rsid w:val="00E4151A"/>
    <w:rsid w:val="00E415C2"/>
    <w:rsid w:val="00E521D1"/>
    <w:rsid w:val="00E85EE8"/>
    <w:rsid w:val="00EB63FB"/>
    <w:rsid w:val="00EC25A7"/>
    <w:rsid w:val="00EE6F54"/>
    <w:rsid w:val="00F02665"/>
    <w:rsid w:val="00F4446A"/>
    <w:rsid w:val="00F5224F"/>
    <w:rsid w:val="00F60BC2"/>
    <w:rsid w:val="00F7090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B210"/>
  <w15:chartTrackingRefBased/>
  <w15:docId w15:val="{42D19646-9C10-42F2-9BF9-4DB6C670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Martinn4@lsb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827</Words>
  <Characters>4715</Characters>
  <Application>Microsoft Office Word</Application>
  <DocSecurity>0</DocSecurity>
  <Lines>39</Lines>
  <Paragraphs>11</Paragraphs>
  <ScaleCrop>false</ScaleCrop>
  <Company>London South Bank University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Cassandra 3</dc:creator>
  <cp:keywords/>
  <dc:description/>
  <cp:lastModifiedBy>Bowman, Cassandra 3</cp:lastModifiedBy>
  <cp:revision>1</cp:revision>
  <dcterms:created xsi:type="dcterms:W3CDTF">2019-01-10T10:13:00Z</dcterms:created>
  <dcterms:modified xsi:type="dcterms:W3CDTF">2019-01-10T10:21:00Z</dcterms:modified>
</cp:coreProperties>
</file>