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1DBBE" w14:textId="77777777" w:rsidR="001D366F" w:rsidRPr="002F1299" w:rsidRDefault="001D366F" w:rsidP="001D366F">
      <w:pPr>
        <w:rPr>
          <w:rFonts w:asciiTheme="majorBidi" w:hAnsiTheme="majorBidi" w:cstheme="majorBidi"/>
          <w:b/>
          <w:bCs/>
        </w:rPr>
      </w:pPr>
      <w:r w:rsidRPr="002F1299">
        <w:rPr>
          <w:rFonts w:asciiTheme="majorBidi" w:hAnsiTheme="majorBidi" w:cstheme="majorBidi"/>
          <w:b/>
          <w:bCs/>
        </w:rPr>
        <w:t xml:space="preserve">Title </w:t>
      </w:r>
    </w:p>
    <w:p w14:paraId="4D47AC37" w14:textId="77777777" w:rsidR="001D366F" w:rsidRPr="002F1299" w:rsidRDefault="001D366F" w:rsidP="001D366F">
      <w:pPr>
        <w:rPr>
          <w:rFonts w:asciiTheme="majorBidi" w:hAnsiTheme="majorBidi" w:cstheme="majorBidi"/>
        </w:rPr>
      </w:pPr>
      <w:r w:rsidRPr="002F1299">
        <w:rPr>
          <w:rFonts w:asciiTheme="majorBidi" w:hAnsiTheme="majorBidi" w:cstheme="majorBidi"/>
        </w:rPr>
        <w:t xml:space="preserve">Thresholds of repression and criminalisation of </w:t>
      </w:r>
      <w:r>
        <w:rPr>
          <w:rFonts w:asciiTheme="majorBidi" w:hAnsiTheme="majorBidi" w:cstheme="majorBidi"/>
        </w:rPr>
        <w:t xml:space="preserve">oppositional </w:t>
      </w:r>
      <w:r w:rsidRPr="002F1299">
        <w:rPr>
          <w:rFonts w:asciiTheme="majorBidi" w:hAnsiTheme="majorBidi" w:cstheme="majorBidi"/>
        </w:rPr>
        <w:t>political activism in the Israeli setter state: a preliminary investigation</w:t>
      </w:r>
    </w:p>
    <w:p w14:paraId="51A6898E" w14:textId="77777777" w:rsidR="001D366F" w:rsidRPr="002F1299" w:rsidRDefault="001D366F" w:rsidP="001D366F">
      <w:pPr>
        <w:rPr>
          <w:rFonts w:asciiTheme="majorBidi" w:hAnsiTheme="majorBidi" w:cstheme="majorBidi"/>
        </w:rPr>
      </w:pPr>
    </w:p>
    <w:p w14:paraId="7CF7E2AD" w14:textId="77777777" w:rsidR="001D366F" w:rsidRPr="002F1299" w:rsidRDefault="001D366F" w:rsidP="001D366F">
      <w:pPr>
        <w:rPr>
          <w:rFonts w:asciiTheme="majorBidi" w:hAnsiTheme="majorBidi" w:cstheme="majorBidi"/>
          <w:b/>
          <w:bCs/>
        </w:rPr>
      </w:pPr>
      <w:r w:rsidRPr="002F1299">
        <w:rPr>
          <w:rFonts w:asciiTheme="majorBidi" w:hAnsiTheme="majorBidi" w:cstheme="majorBidi"/>
          <w:b/>
          <w:bCs/>
        </w:rPr>
        <w:t>Autor</w:t>
      </w:r>
    </w:p>
    <w:p w14:paraId="4CBFFBBC" w14:textId="77777777" w:rsidR="001D366F" w:rsidRPr="002F1299" w:rsidRDefault="001D366F" w:rsidP="001D366F">
      <w:pPr>
        <w:rPr>
          <w:rFonts w:asciiTheme="majorBidi" w:hAnsiTheme="majorBidi" w:cstheme="majorBidi"/>
        </w:rPr>
      </w:pPr>
      <w:r w:rsidRPr="002F1299">
        <w:rPr>
          <w:rFonts w:asciiTheme="majorBidi" w:hAnsiTheme="majorBidi" w:cstheme="majorBidi"/>
        </w:rPr>
        <w:t>Elian Weizman, London South Bank University</w:t>
      </w:r>
      <w:r>
        <w:rPr>
          <w:rFonts w:asciiTheme="majorBidi" w:hAnsiTheme="majorBidi" w:cstheme="majorBidi"/>
        </w:rPr>
        <w:t>, UK</w:t>
      </w:r>
      <w:r w:rsidRPr="002F1299">
        <w:rPr>
          <w:rFonts w:asciiTheme="majorBidi" w:hAnsiTheme="majorBidi" w:cstheme="majorBidi"/>
        </w:rPr>
        <w:t xml:space="preserve"> </w:t>
      </w:r>
    </w:p>
    <w:p w14:paraId="7C2942EB" w14:textId="77777777" w:rsidR="001D366F" w:rsidRPr="002F1299" w:rsidRDefault="001D366F" w:rsidP="001D366F">
      <w:pPr>
        <w:rPr>
          <w:rFonts w:asciiTheme="majorBidi" w:hAnsiTheme="majorBidi" w:cstheme="majorBidi"/>
        </w:rPr>
      </w:pPr>
    </w:p>
    <w:p w14:paraId="55F93997" w14:textId="77777777" w:rsidR="001D366F" w:rsidRPr="002F1299" w:rsidRDefault="001D366F" w:rsidP="001D366F">
      <w:pPr>
        <w:rPr>
          <w:rFonts w:asciiTheme="majorBidi" w:hAnsiTheme="majorBidi" w:cstheme="majorBidi"/>
          <w:b/>
          <w:bCs/>
        </w:rPr>
      </w:pPr>
      <w:r w:rsidRPr="002F1299">
        <w:rPr>
          <w:rFonts w:asciiTheme="majorBidi" w:hAnsiTheme="majorBidi" w:cstheme="majorBidi"/>
          <w:b/>
          <w:bCs/>
        </w:rPr>
        <w:t>Keywords</w:t>
      </w:r>
    </w:p>
    <w:p w14:paraId="55233863" w14:textId="77777777" w:rsidR="001D366F" w:rsidRPr="002F1299" w:rsidRDefault="001D366F" w:rsidP="001D366F">
      <w:pPr>
        <w:rPr>
          <w:rFonts w:asciiTheme="majorBidi" w:hAnsiTheme="majorBidi" w:cstheme="majorBidi"/>
        </w:rPr>
      </w:pPr>
      <w:r w:rsidRPr="002F1299">
        <w:rPr>
          <w:rFonts w:asciiTheme="majorBidi" w:hAnsiTheme="majorBidi" w:cstheme="majorBidi"/>
        </w:rPr>
        <w:t xml:space="preserve">Criminalisation; repression; dissent; liberal settler state; Israel </w:t>
      </w:r>
    </w:p>
    <w:p w14:paraId="43370256" w14:textId="77777777" w:rsidR="001D366F" w:rsidRPr="002F1299" w:rsidRDefault="001D366F" w:rsidP="001D366F">
      <w:pPr>
        <w:rPr>
          <w:rFonts w:asciiTheme="majorBidi" w:hAnsiTheme="majorBidi" w:cstheme="majorBidi"/>
        </w:rPr>
      </w:pPr>
    </w:p>
    <w:p w14:paraId="306164F3" w14:textId="77777777" w:rsidR="001D366F" w:rsidRDefault="001D366F" w:rsidP="001D366F">
      <w:pPr>
        <w:rPr>
          <w:rFonts w:asciiTheme="majorBidi" w:hAnsiTheme="majorBidi" w:cstheme="majorBidi"/>
          <w:b/>
          <w:bCs/>
        </w:rPr>
      </w:pPr>
      <w:r w:rsidRPr="002F1299">
        <w:rPr>
          <w:rFonts w:asciiTheme="majorBidi" w:hAnsiTheme="majorBidi" w:cstheme="majorBidi"/>
          <w:b/>
          <w:bCs/>
        </w:rPr>
        <w:t xml:space="preserve">Abstract </w:t>
      </w:r>
    </w:p>
    <w:p w14:paraId="236A919A" w14:textId="77777777" w:rsidR="001D366F" w:rsidRPr="00323348" w:rsidRDefault="001D366F" w:rsidP="001D366F">
      <w:pPr>
        <w:rPr>
          <w:rFonts w:asciiTheme="majorBidi" w:hAnsiTheme="majorBidi" w:cstheme="majorBidi"/>
        </w:rPr>
      </w:pPr>
    </w:p>
    <w:p w14:paraId="4A6073D2" w14:textId="77777777" w:rsidR="001D366F" w:rsidRPr="00323348" w:rsidRDefault="001D366F" w:rsidP="001D366F">
      <w:pPr>
        <w:jc w:val="both"/>
        <w:rPr>
          <w:rFonts w:asciiTheme="majorBidi" w:hAnsiTheme="majorBidi" w:cstheme="majorBidi"/>
          <w:color w:val="000000" w:themeColor="text1"/>
        </w:rPr>
      </w:pPr>
      <w:r w:rsidRPr="00323348">
        <w:rPr>
          <w:rFonts w:asciiTheme="majorBidi" w:hAnsiTheme="majorBidi" w:cstheme="majorBidi"/>
        </w:rPr>
        <w:t xml:space="preserve">This </w:t>
      </w:r>
      <w:r>
        <w:rPr>
          <w:rFonts w:asciiTheme="majorBidi" w:hAnsiTheme="majorBidi" w:cstheme="majorBidi"/>
        </w:rPr>
        <w:t>article</w:t>
      </w:r>
      <w:r w:rsidRPr="00323348">
        <w:rPr>
          <w:rFonts w:asciiTheme="majorBidi" w:hAnsiTheme="majorBidi" w:cstheme="majorBidi"/>
        </w:rPr>
        <w:t xml:space="preserve"> </w:t>
      </w:r>
      <w:r>
        <w:rPr>
          <w:rFonts w:asciiTheme="majorBidi" w:hAnsiTheme="majorBidi" w:cstheme="majorBidi"/>
        </w:rPr>
        <w:t>investigates</w:t>
      </w:r>
      <w:r w:rsidRPr="00323348">
        <w:rPr>
          <w:rFonts w:asciiTheme="majorBidi" w:hAnsiTheme="majorBidi" w:cstheme="majorBidi"/>
        </w:rPr>
        <w:t xml:space="preserve"> processes of criminalisation and mechanisms of repression and control of </w:t>
      </w:r>
      <w:r>
        <w:rPr>
          <w:rFonts w:asciiTheme="majorBidi" w:hAnsiTheme="majorBidi" w:cstheme="majorBidi"/>
        </w:rPr>
        <w:t xml:space="preserve">oppositional </w:t>
      </w:r>
      <w:r w:rsidRPr="00323348">
        <w:rPr>
          <w:rFonts w:asciiTheme="majorBidi" w:hAnsiTheme="majorBidi" w:cstheme="majorBidi"/>
        </w:rPr>
        <w:t xml:space="preserve">political activism of Israel’s citizens, both Palestinians and Jews, given the state’s particular political formation as a ‘liberal settler state’ (Robinson 2013). </w:t>
      </w:r>
      <w:r>
        <w:rPr>
          <w:rFonts w:asciiTheme="majorBidi" w:hAnsiTheme="majorBidi" w:cstheme="majorBidi"/>
        </w:rPr>
        <w:t xml:space="preserve">In order to do so, </w:t>
      </w:r>
      <w:r w:rsidRPr="00323348">
        <w:rPr>
          <w:rFonts w:asciiTheme="majorBidi" w:hAnsiTheme="majorBidi" w:cstheme="majorBidi"/>
        </w:rPr>
        <w:t xml:space="preserve">the </w:t>
      </w:r>
      <w:r>
        <w:rPr>
          <w:rFonts w:asciiTheme="majorBidi" w:hAnsiTheme="majorBidi" w:cstheme="majorBidi"/>
        </w:rPr>
        <w:t>article</w:t>
      </w:r>
      <w:r w:rsidRPr="00323348">
        <w:rPr>
          <w:rFonts w:asciiTheme="majorBidi" w:hAnsiTheme="majorBidi" w:cstheme="majorBidi"/>
        </w:rPr>
        <w:t xml:space="preserve"> traces the </w:t>
      </w:r>
      <w:r>
        <w:rPr>
          <w:rFonts w:asciiTheme="majorBidi" w:hAnsiTheme="majorBidi" w:cstheme="majorBidi"/>
        </w:rPr>
        <w:t>‘</w:t>
      </w:r>
      <w:r w:rsidRPr="00323348">
        <w:rPr>
          <w:rFonts w:asciiTheme="majorBidi" w:hAnsiTheme="majorBidi" w:cstheme="majorBidi"/>
        </w:rPr>
        <w:t>threshold of threat</w:t>
      </w:r>
      <w:r>
        <w:rPr>
          <w:rFonts w:asciiTheme="majorBidi" w:hAnsiTheme="majorBidi" w:cstheme="majorBidi"/>
        </w:rPr>
        <w:t>’</w:t>
      </w:r>
      <w:r w:rsidRPr="00323348">
        <w:rPr>
          <w:rFonts w:asciiTheme="majorBidi" w:hAnsiTheme="majorBidi" w:cstheme="majorBidi"/>
        </w:rPr>
        <w:t xml:space="preserve"> that leads to criminalisation and repression in </w:t>
      </w:r>
      <w:r>
        <w:rPr>
          <w:rFonts w:asciiTheme="majorBidi" w:hAnsiTheme="majorBidi" w:cstheme="majorBidi"/>
        </w:rPr>
        <w:t>Israel</w:t>
      </w:r>
      <w:r w:rsidRPr="00323348">
        <w:rPr>
          <w:rFonts w:asciiTheme="majorBidi" w:hAnsiTheme="majorBidi" w:cstheme="majorBidi"/>
        </w:rPr>
        <w:t xml:space="preserve">. I argue that the process of criminalisation and repression is tied with the construction of the concept of ‘threat’ and is always bound with race-making. Further, the </w:t>
      </w:r>
      <w:r>
        <w:rPr>
          <w:rFonts w:asciiTheme="majorBidi" w:hAnsiTheme="majorBidi" w:cstheme="majorBidi"/>
        </w:rPr>
        <w:t>article</w:t>
      </w:r>
      <w:r w:rsidRPr="00323348">
        <w:rPr>
          <w:rFonts w:asciiTheme="majorBidi" w:hAnsiTheme="majorBidi" w:cstheme="majorBidi"/>
        </w:rPr>
        <w:t xml:space="preserve"> treats criminalisation as a multi-layered process involving both state and non-state </w:t>
      </w:r>
      <w:r>
        <w:rPr>
          <w:rFonts w:asciiTheme="majorBidi" w:hAnsiTheme="majorBidi" w:cstheme="majorBidi"/>
        </w:rPr>
        <w:t>actors</w:t>
      </w:r>
      <w:r w:rsidRPr="00323348">
        <w:rPr>
          <w:rFonts w:asciiTheme="majorBidi" w:hAnsiTheme="majorBidi" w:cstheme="majorBidi"/>
        </w:rPr>
        <w:t xml:space="preserve">, and a range of informal and formal strategies. I further argue that the operational logic of the settler state dictates the strategies used to tolerate, contain, limit or </w:t>
      </w:r>
      <w:r>
        <w:rPr>
          <w:rFonts w:asciiTheme="majorBidi" w:hAnsiTheme="majorBidi" w:cstheme="majorBidi"/>
        </w:rPr>
        <w:t>crush</w:t>
      </w:r>
      <w:r w:rsidRPr="00323348">
        <w:rPr>
          <w:rFonts w:asciiTheme="majorBidi" w:hAnsiTheme="majorBidi" w:cstheme="majorBidi"/>
        </w:rPr>
        <w:t xml:space="preserve"> dissent altogether. Since the Israeli state strives to maintain privileges to its Jewish citizenry, we can trace more reliance on ‘informal’ strategies of criminalisation towards its Jewish citizens, led by civil society organisations and actors, while the ‘formal’ strategies, led by </w:t>
      </w:r>
      <w:r>
        <w:rPr>
          <w:rFonts w:asciiTheme="majorBidi" w:hAnsiTheme="majorBidi" w:cstheme="majorBidi"/>
        </w:rPr>
        <w:t xml:space="preserve">the </w:t>
      </w:r>
      <w:r w:rsidRPr="00323348">
        <w:rPr>
          <w:rFonts w:asciiTheme="majorBidi" w:hAnsiTheme="majorBidi" w:cstheme="majorBidi"/>
        </w:rPr>
        <w:t>state</w:t>
      </w:r>
      <w:r>
        <w:rPr>
          <w:rFonts w:asciiTheme="majorBidi" w:hAnsiTheme="majorBidi" w:cstheme="majorBidi"/>
        </w:rPr>
        <w:t>,</w:t>
      </w:r>
      <w:r w:rsidRPr="00323348">
        <w:rPr>
          <w:rFonts w:asciiTheme="majorBidi" w:hAnsiTheme="majorBidi" w:cstheme="majorBidi"/>
        </w:rPr>
        <w:t xml:space="preserve"> are preserved almost exclusively for dealing with Palestinian political activism. Finally, I argue that unravelling processes of criminalisation and oppression, triggered by the crossing of the threshold of threat, exposes state vulnerabilities and fragility. </w:t>
      </w:r>
      <w:r w:rsidRPr="00323348">
        <w:rPr>
          <w:rFonts w:asciiTheme="majorBidi" w:hAnsiTheme="majorBidi" w:cstheme="majorBidi"/>
          <w:color w:val="000000" w:themeColor="text1"/>
        </w:rPr>
        <w:t xml:space="preserve">By tracing the shifting thresholds of threat we gain a window into the precarity of </w:t>
      </w:r>
      <w:r>
        <w:rPr>
          <w:rFonts w:asciiTheme="majorBidi" w:hAnsiTheme="majorBidi" w:cstheme="majorBidi"/>
          <w:color w:val="000000" w:themeColor="text1"/>
        </w:rPr>
        <w:t xml:space="preserve">such </w:t>
      </w:r>
      <w:r w:rsidRPr="00323348">
        <w:rPr>
          <w:rFonts w:asciiTheme="majorBidi" w:hAnsiTheme="majorBidi" w:cstheme="majorBidi"/>
          <w:color w:val="000000" w:themeColor="text1"/>
        </w:rPr>
        <w:t>system</w:t>
      </w:r>
      <w:r>
        <w:rPr>
          <w:rFonts w:asciiTheme="majorBidi" w:hAnsiTheme="majorBidi" w:cstheme="majorBidi"/>
          <w:color w:val="000000" w:themeColor="text1"/>
        </w:rPr>
        <w:t xml:space="preserve"> </w:t>
      </w:r>
      <w:r w:rsidRPr="00323348">
        <w:rPr>
          <w:rFonts w:asciiTheme="majorBidi" w:hAnsiTheme="majorBidi" w:cstheme="majorBidi"/>
          <w:color w:val="000000" w:themeColor="text1"/>
        </w:rPr>
        <w:t xml:space="preserve">of power and how </w:t>
      </w:r>
      <w:r>
        <w:rPr>
          <w:rFonts w:asciiTheme="majorBidi" w:hAnsiTheme="majorBidi" w:cstheme="majorBidi"/>
          <w:color w:val="000000" w:themeColor="text1"/>
        </w:rPr>
        <w:t>it</w:t>
      </w:r>
      <w:r w:rsidRPr="00323348">
        <w:rPr>
          <w:rFonts w:asciiTheme="majorBidi" w:hAnsiTheme="majorBidi" w:cstheme="majorBidi"/>
          <w:color w:val="000000" w:themeColor="text1"/>
        </w:rPr>
        <w:t xml:space="preserve"> can be challenged and transformed. We can also learn what opportunities for resistance exist and what ‘openings’ must be seized. </w:t>
      </w:r>
    </w:p>
    <w:p w14:paraId="714825F0" w14:textId="77777777" w:rsidR="001D366F" w:rsidRDefault="001D366F" w:rsidP="001D366F">
      <w:pPr>
        <w:jc w:val="both"/>
        <w:rPr>
          <w:rFonts w:asciiTheme="majorBidi" w:hAnsiTheme="majorBidi" w:cstheme="majorBidi"/>
        </w:rPr>
      </w:pPr>
    </w:p>
    <w:p w14:paraId="77E4628B" w14:textId="77777777" w:rsidR="001D366F" w:rsidRDefault="001D366F" w:rsidP="001D366F">
      <w:pPr>
        <w:rPr>
          <w:rFonts w:asciiTheme="majorBidi" w:hAnsiTheme="majorBidi" w:cstheme="majorBidi"/>
          <w:b/>
          <w:bCs/>
        </w:rPr>
      </w:pPr>
      <w:r>
        <w:rPr>
          <w:rFonts w:asciiTheme="majorBidi" w:hAnsiTheme="majorBidi" w:cstheme="majorBidi"/>
          <w:b/>
          <w:bCs/>
        </w:rPr>
        <w:t xml:space="preserve">Article word count (including references) </w:t>
      </w:r>
    </w:p>
    <w:p w14:paraId="0FA5602A" w14:textId="77777777" w:rsidR="001D366F" w:rsidRPr="004716B3" w:rsidRDefault="001D366F" w:rsidP="001D366F">
      <w:pPr>
        <w:rPr>
          <w:rFonts w:asciiTheme="majorBidi" w:hAnsiTheme="majorBidi" w:cstheme="majorBidi"/>
        </w:rPr>
      </w:pPr>
      <w:r w:rsidRPr="004716B3">
        <w:rPr>
          <w:rFonts w:asciiTheme="majorBidi" w:hAnsiTheme="majorBidi" w:cstheme="majorBidi"/>
        </w:rPr>
        <w:t>9272</w:t>
      </w:r>
    </w:p>
    <w:p w14:paraId="1D23F670" w14:textId="72DEDFA6" w:rsidR="001D366F" w:rsidRDefault="001D366F" w:rsidP="00105F49">
      <w:pPr>
        <w:jc w:val="center"/>
        <w:rPr>
          <w:rFonts w:asciiTheme="majorBidi" w:hAnsiTheme="majorBidi" w:cstheme="majorBidi"/>
          <w:b/>
          <w:bCs/>
        </w:rPr>
      </w:pPr>
    </w:p>
    <w:p w14:paraId="6B36CE73" w14:textId="309B0864" w:rsidR="001D366F" w:rsidRDefault="001D366F" w:rsidP="00105F49">
      <w:pPr>
        <w:jc w:val="center"/>
        <w:rPr>
          <w:rFonts w:asciiTheme="majorBidi" w:hAnsiTheme="majorBidi" w:cstheme="majorBidi"/>
          <w:b/>
          <w:bCs/>
        </w:rPr>
      </w:pPr>
    </w:p>
    <w:p w14:paraId="469DAC7C" w14:textId="29EEE7D1" w:rsidR="001D366F" w:rsidRDefault="001D366F" w:rsidP="00105F49">
      <w:pPr>
        <w:jc w:val="center"/>
        <w:rPr>
          <w:rFonts w:asciiTheme="majorBidi" w:hAnsiTheme="majorBidi" w:cstheme="majorBidi"/>
          <w:b/>
          <w:bCs/>
        </w:rPr>
      </w:pPr>
    </w:p>
    <w:p w14:paraId="4D3FFD70" w14:textId="2AEA9A97" w:rsidR="001D366F" w:rsidRDefault="001D366F" w:rsidP="00105F49">
      <w:pPr>
        <w:jc w:val="center"/>
        <w:rPr>
          <w:rFonts w:asciiTheme="majorBidi" w:hAnsiTheme="majorBidi" w:cstheme="majorBidi"/>
          <w:b/>
          <w:bCs/>
        </w:rPr>
      </w:pPr>
    </w:p>
    <w:p w14:paraId="053951B9" w14:textId="0300E8E6" w:rsidR="001D366F" w:rsidRDefault="001D366F" w:rsidP="00105F49">
      <w:pPr>
        <w:jc w:val="center"/>
        <w:rPr>
          <w:rFonts w:asciiTheme="majorBidi" w:hAnsiTheme="majorBidi" w:cstheme="majorBidi"/>
          <w:b/>
          <w:bCs/>
        </w:rPr>
      </w:pPr>
    </w:p>
    <w:p w14:paraId="54F365FE" w14:textId="189CA216" w:rsidR="001D366F" w:rsidRDefault="001D366F" w:rsidP="00105F49">
      <w:pPr>
        <w:jc w:val="center"/>
        <w:rPr>
          <w:rFonts w:asciiTheme="majorBidi" w:hAnsiTheme="majorBidi" w:cstheme="majorBidi"/>
          <w:b/>
          <w:bCs/>
        </w:rPr>
      </w:pPr>
    </w:p>
    <w:p w14:paraId="4C02E42F" w14:textId="25F8AFC6" w:rsidR="001D366F" w:rsidRDefault="001D366F" w:rsidP="00105F49">
      <w:pPr>
        <w:jc w:val="center"/>
        <w:rPr>
          <w:rFonts w:asciiTheme="majorBidi" w:hAnsiTheme="majorBidi" w:cstheme="majorBidi"/>
          <w:b/>
          <w:bCs/>
        </w:rPr>
      </w:pPr>
    </w:p>
    <w:p w14:paraId="507C0A75" w14:textId="41AA07F1" w:rsidR="001D366F" w:rsidRDefault="001D366F" w:rsidP="00105F49">
      <w:pPr>
        <w:jc w:val="center"/>
        <w:rPr>
          <w:rFonts w:asciiTheme="majorBidi" w:hAnsiTheme="majorBidi" w:cstheme="majorBidi"/>
          <w:b/>
          <w:bCs/>
        </w:rPr>
      </w:pPr>
    </w:p>
    <w:p w14:paraId="32FF6F6F" w14:textId="0C62C8B9" w:rsidR="001D366F" w:rsidRDefault="001D366F" w:rsidP="00105F49">
      <w:pPr>
        <w:jc w:val="center"/>
        <w:rPr>
          <w:rFonts w:asciiTheme="majorBidi" w:hAnsiTheme="majorBidi" w:cstheme="majorBidi"/>
          <w:b/>
          <w:bCs/>
        </w:rPr>
      </w:pPr>
    </w:p>
    <w:p w14:paraId="44BB1B0D" w14:textId="5909A441" w:rsidR="001D366F" w:rsidRDefault="001D366F" w:rsidP="00105F49">
      <w:pPr>
        <w:jc w:val="center"/>
        <w:rPr>
          <w:rFonts w:asciiTheme="majorBidi" w:hAnsiTheme="majorBidi" w:cstheme="majorBidi"/>
          <w:b/>
          <w:bCs/>
        </w:rPr>
      </w:pPr>
    </w:p>
    <w:p w14:paraId="61EF25FB" w14:textId="2E90FC41" w:rsidR="001D366F" w:rsidRDefault="001D366F" w:rsidP="00105F49">
      <w:pPr>
        <w:jc w:val="center"/>
        <w:rPr>
          <w:rFonts w:asciiTheme="majorBidi" w:hAnsiTheme="majorBidi" w:cstheme="majorBidi"/>
          <w:b/>
          <w:bCs/>
        </w:rPr>
      </w:pPr>
    </w:p>
    <w:p w14:paraId="0B2A1CF0" w14:textId="69A4D610" w:rsidR="001D366F" w:rsidRDefault="001D366F" w:rsidP="00105F49">
      <w:pPr>
        <w:jc w:val="center"/>
        <w:rPr>
          <w:rFonts w:asciiTheme="majorBidi" w:hAnsiTheme="majorBidi" w:cstheme="majorBidi"/>
          <w:b/>
          <w:bCs/>
        </w:rPr>
      </w:pPr>
    </w:p>
    <w:p w14:paraId="73B50A76" w14:textId="035F4B3B" w:rsidR="001D366F" w:rsidRDefault="001D366F" w:rsidP="00105F49">
      <w:pPr>
        <w:jc w:val="center"/>
        <w:rPr>
          <w:rFonts w:asciiTheme="majorBidi" w:hAnsiTheme="majorBidi" w:cstheme="majorBidi"/>
          <w:b/>
          <w:bCs/>
        </w:rPr>
      </w:pPr>
    </w:p>
    <w:p w14:paraId="79D5BB5F" w14:textId="17821A69" w:rsidR="001D366F" w:rsidRDefault="001D366F" w:rsidP="00105F49">
      <w:pPr>
        <w:jc w:val="center"/>
        <w:rPr>
          <w:rFonts w:asciiTheme="majorBidi" w:hAnsiTheme="majorBidi" w:cstheme="majorBidi"/>
          <w:b/>
          <w:bCs/>
        </w:rPr>
      </w:pPr>
    </w:p>
    <w:p w14:paraId="753BDB06" w14:textId="144E6DD1" w:rsidR="001D366F" w:rsidRDefault="001D366F" w:rsidP="00105F49">
      <w:pPr>
        <w:jc w:val="center"/>
        <w:rPr>
          <w:rFonts w:asciiTheme="majorBidi" w:hAnsiTheme="majorBidi" w:cstheme="majorBidi"/>
          <w:b/>
          <w:bCs/>
        </w:rPr>
      </w:pPr>
    </w:p>
    <w:p w14:paraId="1FD7AF7D" w14:textId="3074099B" w:rsidR="001D366F" w:rsidRDefault="001D366F" w:rsidP="00105F49">
      <w:pPr>
        <w:jc w:val="center"/>
        <w:rPr>
          <w:rFonts w:asciiTheme="majorBidi" w:hAnsiTheme="majorBidi" w:cstheme="majorBidi"/>
          <w:b/>
          <w:bCs/>
        </w:rPr>
      </w:pPr>
    </w:p>
    <w:p w14:paraId="6EA145D0" w14:textId="77777777" w:rsidR="001D366F" w:rsidRDefault="001D366F" w:rsidP="00105F49">
      <w:pPr>
        <w:jc w:val="center"/>
        <w:rPr>
          <w:rFonts w:asciiTheme="majorBidi" w:hAnsiTheme="majorBidi" w:cstheme="majorBidi"/>
          <w:b/>
          <w:bCs/>
        </w:rPr>
      </w:pPr>
    </w:p>
    <w:p w14:paraId="34D1B432" w14:textId="38B1EED3" w:rsidR="003D6CC5" w:rsidRPr="00286011" w:rsidRDefault="0076078B" w:rsidP="00105F49">
      <w:pPr>
        <w:jc w:val="center"/>
        <w:rPr>
          <w:rFonts w:asciiTheme="majorBidi" w:hAnsiTheme="majorBidi" w:cstheme="majorBidi"/>
          <w:b/>
          <w:bCs/>
        </w:rPr>
      </w:pPr>
      <w:r w:rsidRPr="00286011">
        <w:rPr>
          <w:rFonts w:asciiTheme="majorBidi" w:hAnsiTheme="majorBidi" w:cstheme="majorBidi"/>
          <w:b/>
          <w:bCs/>
        </w:rPr>
        <w:lastRenderedPageBreak/>
        <w:t xml:space="preserve">Thresholds of repression and criminalisation of </w:t>
      </w:r>
      <w:r w:rsidR="00E66111" w:rsidRPr="00286011">
        <w:rPr>
          <w:rFonts w:asciiTheme="majorBidi" w:hAnsiTheme="majorBidi" w:cstheme="majorBidi"/>
          <w:b/>
          <w:bCs/>
        </w:rPr>
        <w:t xml:space="preserve">oppositional </w:t>
      </w:r>
      <w:r w:rsidRPr="00286011">
        <w:rPr>
          <w:rFonts w:asciiTheme="majorBidi" w:hAnsiTheme="majorBidi" w:cstheme="majorBidi"/>
          <w:b/>
          <w:bCs/>
        </w:rPr>
        <w:t>political activism</w:t>
      </w:r>
    </w:p>
    <w:p w14:paraId="28C779A6" w14:textId="1CEC6B01" w:rsidR="001F6EE6" w:rsidRPr="00286011" w:rsidRDefault="0031618A" w:rsidP="003D6CC5">
      <w:pPr>
        <w:jc w:val="center"/>
        <w:rPr>
          <w:rFonts w:asciiTheme="majorBidi" w:hAnsiTheme="majorBidi" w:cstheme="majorBidi"/>
          <w:b/>
          <w:bCs/>
        </w:rPr>
      </w:pPr>
      <w:r w:rsidRPr="00286011">
        <w:rPr>
          <w:rFonts w:asciiTheme="majorBidi" w:hAnsiTheme="majorBidi" w:cstheme="majorBidi"/>
          <w:b/>
          <w:bCs/>
        </w:rPr>
        <w:t>in the Israeli setter state</w:t>
      </w:r>
      <w:r w:rsidR="00C45E9C" w:rsidRPr="00286011">
        <w:rPr>
          <w:rFonts w:asciiTheme="majorBidi" w:hAnsiTheme="majorBidi" w:cstheme="majorBidi"/>
          <w:b/>
          <w:bCs/>
        </w:rPr>
        <w:t xml:space="preserve">: </w:t>
      </w:r>
      <w:r w:rsidR="00E245E1" w:rsidRPr="00286011">
        <w:rPr>
          <w:rFonts w:asciiTheme="majorBidi" w:hAnsiTheme="majorBidi" w:cstheme="majorBidi"/>
          <w:b/>
          <w:bCs/>
        </w:rPr>
        <w:t xml:space="preserve">a </w:t>
      </w:r>
      <w:r w:rsidR="00C45E9C" w:rsidRPr="00286011">
        <w:rPr>
          <w:rFonts w:asciiTheme="majorBidi" w:hAnsiTheme="majorBidi" w:cstheme="majorBidi"/>
          <w:b/>
          <w:bCs/>
        </w:rPr>
        <w:t>preliminary investigation</w:t>
      </w:r>
    </w:p>
    <w:p w14:paraId="05080665" w14:textId="17F7B75F" w:rsidR="00BE2AAB" w:rsidRPr="00286011" w:rsidRDefault="00BE2AAB" w:rsidP="005A6929">
      <w:pPr>
        <w:jc w:val="both"/>
        <w:rPr>
          <w:rFonts w:asciiTheme="majorBidi" w:hAnsiTheme="majorBidi" w:cstheme="majorBidi"/>
          <w:b/>
          <w:bCs/>
        </w:rPr>
      </w:pPr>
    </w:p>
    <w:p w14:paraId="1542684B" w14:textId="77777777" w:rsidR="00DD4D9F" w:rsidRPr="00286011" w:rsidRDefault="00DD4D9F" w:rsidP="005A6929">
      <w:pPr>
        <w:jc w:val="both"/>
        <w:rPr>
          <w:rFonts w:asciiTheme="majorBidi" w:hAnsiTheme="majorBidi" w:cstheme="majorBidi"/>
          <w:b/>
          <w:bCs/>
        </w:rPr>
      </w:pPr>
    </w:p>
    <w:p w14:paraId="4333CE2B" w14:textId="18442934" w:rsidR="00BE2AAB" w:rsidRPr="00286011" w:rsidRDefault="00BE2AAB" w:rsidP="005A6929">
      <w:pPr>
        <w:jc w:val="both"/>
        <w:rPr>
          <w:rFonts w:asciiTheme="majorBidi" w:hAnsiTheme="majorBidi" w:cstheme="majorBidi"/>
          <w:b/>
          <w:bCs/>
        </w:rPr>
      </w:pPr>
    </w:p>
    <w:p w14:paraId="2C219F83" w14:textId="52A8C0FE" w:rsidR="004D3F9C" w:rsidRPr="00286011" w:rsidRDefault="00F34DFD" w:rsidP="00566264">
      <w:pPr>
        <w:jc w:val="both"/>
        <w:rPr>
          <w:rFonts w:asciiTheme="majorBidi" w:eastAsia="Times New Roman" w:hAnsiTheme="majorBidi" w:cstheme="majorBidi"/>
          <w:i/>
          <w:iCs/>
          <w:color w:val="000000" w:themeColor="text1"/>
          <w:sz w:val="22"/>
          <w:szCs w:val="22"/>
          <w:shd w:val="clear" w:color="auto" w:fill="FFFFFF"/>
          <w:lang w:eastAsia="en-GB"/>
        </w:rPr>
      </w:pPr>
      <w:r w:rsidRPr="00286011">
        <w:rPr>
          <w:rFonts w:asciiTheme="majorBidi" w:eastAsia="Times New Roman" w:hAnsiTheme="majorBidi" w:cstheme="majorBidi"/>
          <w:i/>
          <w:iCs/>
          <w:color w:val="000000" w:themeColor="text1"/>
          <w:sz w:val="22"/>
          <w:szCs w:val="22"/>
          <w:shd w:val="clear" w:color="auto" w:fill="FFFFFF"/>
          <w:lang w:eastAsia="en-GB"/>
        </w:rPr>
        <w:t>Threshold</w:t>
      </w:r>
      <w:r w:rsidR="00AF4863" w:rsidRPr="00286011">
        <w:rPr>
          <w:rFonts w:asciiTheme="majorBidi" w:eastAsia="Times New Roman" w:hAnsiTheme="majorBidi" w:cstheme="majorBidi"/>
          <w:i/>
          <w:iCs/>
          <w:color w:val="000000" w:themeColor="text1"/>
          <w:sz w:val="22"/>
          <w:szCs w:val="22"/>
          <w:shd w:val="clear" w:color="auto" w:fill="FFFFFF"/>
          <w:lang w:eastAsia="en-GB"/>
        </w:rPr>
        <w:t xml:space="preserve">. </w:t>
      </w:r>
      <w:r w:rsidR="004D3F9C" w:rsidRPr="00286011">
        <w:rPr>
          <w:rFonts w:asciiTheme="majorBidi" w:eastAsia="Times New Roman" w:hAnsiTheme="majorBidi" w:cstheme="majorBidi"/>
          <w:i/>
          <w:iCs/>
          <w:color w:val="000000"/>
          <w:sz w:val="22"/>
          <w:szCs w:val="22"/>
          <w:shd w:val="clear" w:color="auto" w:fill="FFFFFF"/>
          <w:lang w:eastAsia="en-GB"/>
        </w:rPr>
        <w:t xml:space="preserve">(in neurology) the point at which a stimulus begins to evoke a response, and therefore a measure of the sensitivity of a system under particular conditions. </w:t>
      </w:r>
    </w:p>
    <w:p w14:paraId="71A98629" w14:textId="0E3875AD" w:rsidR="00F34DFD" w:rsidRPr="00286011" w:rsidRDefault="00F34DFD" w:rsidP="00F34DFD">
      <w:pPr>
        <w:jc w:val="right"/>
        <w:rPr>
          <w:rFonts w:asciiTheme="majorBidi" w:hAnsiTheme="majorBidi" w:cstheme="majorBidi"/>
          <w:sz w:val="22"/>
          <w:szCs w:val="22"/>
        </w:rPr>
      </w:pPr>
      <w:r w:rsidRPr="00286011">
        <w:rPr>
          <w:rFonts w:asciiTheme="majorBidi" w:hAnsiTheme="majorBidi" w:cstheme="majorBidi"/>
          <w:sz w:val="22"/>
          <w:szCs w:val="22"/>
        </w:rPr>
        <w:t xml:space="preserve">Oxford </w:t>
      </w:r>
      <w:r w:rsidR="004D3F9C" w:rsidRPr="00286011">
        <w:rPr>
          <w:rFonts w:asciiTheme="majorBidi" w:hAnsiTheme="majorBidi" w:cstheme="majorBidi"/>
          <w:sz w:val="22"/>
          <w:szCs w:val="22"/>
        </w:rPr>
        <w:t xml:space="preserve">Reference </w:t>
      </w:r>
    </w:p>
    <w:p w14:paraId="34BB05D4" w14:textId="270729B8" w:rsidR="00AF6B20" w:rsidRPr="00286011" w:rsidRDefault="00AF6B20" w:rsidP="005A6929">
      <w:pPr>
        <w:jc w:val="both"/>
        <w:rPr>
          <w:rFonts w:asciiTheme="majorBidi" w:hAnsiTheme="majorBidi" w:cstheme="majorBidi"/>
        </w:rPr>
      </w:pPr>
    </w:p>
    <w:p w14:paraId="51D37274" w14:textId="77777777" w:rsidR="00DD4D9F" w:rsidRPr="00286011" w:rsidRDefault="00DD4D9F" w:rsidP="00F34DFD">
      <w:pPr>
        <w:jc w:val="both"/>
        <w:rPr>
          <w:rFonts w:asciiTheme="majorBidi" w:hAnsiTheme="majorBidi" w:cstheme="majorBidi"/>
        </w:rPr>
      </w:pPr>
    </w:p>
    <w:p w14:paraId="4F7F6FFA" w14:textId="43F282F5" w:rsidR="00AC6EB8" w:rsidRPr="00286011" w:rsidRDefault="001D4179" w:rsidP="00CF791E">
      <w:pPr>
        <w:jc w:val="both"/>
        <w:rPr>
          <w:rFonts w:asciiTheme="majorBidi" w:hAnsiTheme="majorBidi" w:cstheme="majorBidi"/>
        </w:rPr>
      </w:pPr>
      <w:r w:rsidRPr="00286011">
        <w:rPr>
          <w:rFonts w:asciiTheme="majorBidi" w:hAnsiTheme="majorBidi" w:cstheme="majorBidi"/>
        </w:rPr>
        <w:t>This article shed</w:t>
      </w:r>
      <w:r w:rsidR="00FB615C" w:rsidRPr="00286011">
        <w:rPr>
          <w:rFonts w:asciiTheme="majorBidi" w:hAnsiTheme="majorBidi" w:cstheme="majorBidi"/>
        </w:rPr>
        <w:t>s</w:t>
      </w:r>
      <w:r w:rsidRPr="00286011">
        <w:rPr>
          <w:rFonts w:asciiTheme="majorBidi" w:hAnsiTheme="majorBidi" w:cstheme="majorBidi"/>
        </w:rPr>
        <w:t xml:space="preserve"> light on processes of criminalisation and mechanisms of repression and control of </w:t>
      </w:r>
      <w:r w:rsidR="00AC6EB8" w:rsidRPr="00286011">
        <w:rPr>
          <w:rFonts w:asciiTheme="majorBidi" w:hAnsiTheme="majorBidi" w:cstheme="majorBidi"/>
        </w:rPr>
        <w:t xml:space="preserve">oppositional </w:t>
      </w:r>
      <w:r w:rsidR="00F948F6" w:rsidRPr="00286011">
        <w:rPr>
          <w:rFonts w:asciiTheme="majorBidi" w:hAnsiTheme="majorBidi" w:cstheme="majorBidi"/>
        </w:rPr>
        <w:t>p</w:t>
      </w:r>
      <w:r w:rsidRPr="00286011">
        <w:rPr>
          <w:rFonts w:asciiTheme="majorBidi" w:hAnsiTheme="majorBidi" w:cstheme="majorBidi"/>
        </w:rPr>
        <w:t xml:space="preserve">olitical activism </w:t>
      </w:r>
      <w:r w:rsidR="00FB615C" w:rsidRPr="00286011">
        <w:rPr>
          <w:rFonts w:asciiTheme="majorBidi" w:hAnsiTheme="majorBidi" w:cstheme="majorBidi"/>
        </w:rPr>
        <w:t xml:space="preserve">by Israel’s </w:t>
      </w:r>
      <w:r w:rsidR="007F2907" w:rsidRPr="00286011">
        <w:rPr>
          <w:rFonts w:asciiTheme="majorBidi" w:hAnsiTheme="majorBidi" w:cstheme="majorBidi"/>
        </w:rPr>
        <w:t>own citizens</w:t>
      </w:r>
      <w:r w:rsidRPr="00286011">
        <w:rPr>
          <w:rFonts w:asciiTheme="majorBidi" w:hAnsiTheme="majorBidi" w:cstheme="majorBidi"/>
        </w:rPr>
        <w:t xml:space="preserve">, </w:t>
      </w:r>
      <w:r w:rsidR="007F2907" w:rsidRPr="00286011">
        <w:rPr>
          <w:rFonts w:asciiTheme="majorBidi" w:hAnsiTheme="majorBidi" w:cstheme="majorBidi"/>
        </w:rPr>
        <w:t xml:space="preserve">both Palestinians and Jews, </w:t>
      </w:r>
      <w:r w:rsidRPr="00286011">
        <w:rPr>
          <w:rFonts w:asciiTheme="majorBidi" w:hAnsiTheme="majorBidi" w:cstheme="majorBidi"/>
        </w:rPr>
        <w:t xml:space="preserve">given </w:t>
      </w:r>
      <w:r w:rsidR="00501D90" w:rsidRPr="00286011">
        <w:rPr>
          <w:rFonts w:asciiTheme="majorBidi" w:hAnsiTheme="majorBidi" w:cstheme="majorBidi"/>
        </w:rPr>
        <w:t>the state’s</w:t>
      </w:r>
      <w:r w:rsidRPr="00286011">
        <w:rPr>
          <w:rFonts w:asciiTheme="majorBidi" w:hAnsiTheme="majorBidi" w:cstheme="majorBidi"/>
        </w:rPr>
        <w:t xml:space="preserve"> particular political formation as a ‘liberal settler state’ (Robinson 2013). In so doing, </w:t>
      </w:r>
      <w:r w:rsidR="00F948F6" w:rsidRPr="00286011">
        <w:rPr>
          <w:rFonts w:asciiTheme="majorBidi" w:hAnsiTheme="majorBidi" w:cstheme="majorBidi"/>
        </w:rPr>
        <w:t xml:space="preserve">the article </w:t>
      </w:r>
      <w:r w:rsidR="00F43EE7" w:rsidRPr="00286011">
        <w:rPr>
          <w:rFonts w:asciiTheme="majorBidi" w:hAnsiTheme="majorBidi" w:cstheme="majorBidi"/>
        </w:rPr>
        <w:t>traces</w:t>
      </w:r>
      <w:r w:rsidR="00F948F6" w:rsidRPr="00286011">
        <w:rPr>
          <w:rFonts w:asciiTheme="majorBidi" w:hAnsiTheme="majorBidi" w:cstheme="majorBidi"/>
        </w:rPr>
        <w:t xml:space="preserve"> the </w:t>
      </w:r>
      <w:r w:rsidR="00F43EE7" w:rsidRPr="00286011">
        <w:rPr>
          <w:rFonts w:asciiTheme="majorBidi" w:hAnsiTheme="majorBidi" w:cstheme="majorBidi"/>
        </w:rPr>
        <w:t xml:space="preserve">movement of the </w:t>
      </w:r>
      <w:r w:rsidR="00AC6EB8" w:rsidRPr="00286011">
        <w:rPr>
          <w:rFonts w:asciiTheme="majorBidi" w:hAnsiTheme="majorBidi" w:cstheme="majorBidi"/>
        </w:rPr>
        <w:t>‘</w:t>
      </w:r>
      <w:r w:rsidR="00F948F6" w:rsidRPr="00286011">
        <w:rPr>
          <w:rFonts w:asciiTheme="majorBidi" w:hAnsiTheme="majorBidi" w:cstheme="majorBidi"/>
        </w:rPr>
        <w:t xml:space="preserve">threshold of </w:t>
      </w:r>
      <w:r w:rsidR="0072424E" w:rsidRPr="00286011">
        <w:rPr>
          <w:rFonts w:asciiTheme="majorBidi" w:hAnsiTheme="majorBidi" w:cstheme="majorBidi"/>
        </w:rPr>
        <w:t>threat</w:t>
      </w:r>
      <w:r w:rsidR="00AC6EB8" w:rsidRPr="00286011">
        <w:rPr>
          <w:rFonts w:asciiTheme="majorBidi" w:hAnsiTheme="majorBidi" w:cstheme="majorBidi"/>
        </w:rPr>
        <w:t>’</w:t>
      </w:r>
      <w:r w:rsidR="0072424E" w:rsidRPr="00286011">
        <w:rPr>
          <w:rFonts w:asciiTheme="majorBidi" w:hAnsiTheme="majorBidi" w:cstheme="majorBidi"/>
        </w:rPr>
        <w:t xml:space="preserve"> that leads to </w:t>
      </w:r>
      <w:r w:rsidR="00F948F6" w:rsidRPr="00286011">
        <w:rPr>
          <w:rFonts w:asciiTheme="majorBidi" w:hAnsiTheme="majorBidi" w:cstheme="majorBidi"/>
        </w:rPr>
        <w:t>criminalisation and repression in the Israeli state</w:t>
      </w:r>
      <w:r w:rsidR="009B2B9E" w:rsidRPr="00286011">
        <w:rPr>
          <w:rFonts w:asciiTheme="majorBidi" w:hAnsiTheme="majorBidi" w:cstheme="majorBidi"/>
        </w:rPr>
        <w:t xml:space="preserve">. </w:t>
      </w:r>
    </w:p>
    <w:p w14:paraId="46373197" w14:textId="77777777" w:rsidR="00AC6EB8" w:rsidRPr="00286011" w:rsidRDefault="00C4478B" w:rsidP="00AC6EB8">
      <w:pPr>
        <w:ind w:firstLine="454"/>
        <w:jc w:val="both"/>
        <w:rPr>
          <w:rFonts w:asciiTheme="majorBidi" w:hAnsiTheme="majorBidi" w:cstheme="majorBidi"/>
          <w:color w:val="000000" w:themeColor="text1"/>
        </w:rPr>
      </w:pPr>
      <w:r w:rsidRPr="00286011">
        <w:rPr>
          <w:rFonts w:asciiTheme="majorBidi" w:hAnsiTheme="majorBidi" w:cstheme="majorBidi"/>
        </w:rPr>
        <w:t xml:space="preserve">I argue that the threshold of criminalisation and repression </w:t>
      </w:r>
      <w:r w:rsidR="003B3E26" w:rsidRPr="00286011">
        <w:rPr>
          <w:rFonts w:asciiTheme="majorBidi" w:hAnsiTheme="majorBidi" w:cstheme="majorBidi"/>
        </w:rPr>
        <w:t xml:space="preserve">is bound with </w:t>
      </w:r>
      <w:r w:rsidR="00BC6B16" w:rsidRPr="00286011">
        <w:rPr>
          <w:rFonts w:asciiTheme="majorBidi" w:hAnsiTheme="majorBidi" w:cstheme="majorBidi"/>
        </w:rPr>
        <w:t xml:space="preserve">the </w:t>
      </w:r>
      <w:r w:rsidR="00F43EE7" w:rsidRPr="00286011">
        <w:rPr>
          <w:rFonts w:asciiTheme="majorBidi" w:hAnsiTheme="majorBidi" w:cstheme="majorBidi"/>
        </w:rPr>
        <w:t xml:space="preserve">construction of the </w:t>
      </w:r>
      <w:r w:rsidR="00BC6B16" w:rsidRPr="00286011">
        <w:rPr>
          <w:rFonts w:asciiTheme="majorBidi" w:hAnsiTheme="majorBidi" w:cstheme="majorBidi"/>
        </w:rPr>
        <w:t>concept of ‘threat’ and i</w:t>
      </w:r>
      <w:r w:rsidR="00F43EE7" w:rsidRPr="00286011">
        <w:rPr>
          <w:rFonts w:asciiTheme="majorBidi" w:hAnsiTheme="majorBidi" w:cstheme="majorBidi"/>
        </w:rPr>
        <w:t>s</w:t>
      </w:r>
      <w:r w:rsidR="00BC6B16" w:rsidRPr="00286011">
        <w:rPr>
          <w:rFonts w:asciiTheme="majorBidi" w:hAnsiTheme="majorBidi" w:cstheme="majorBidi"/>
        </w:rPr>
        <w:t xml:space="preserve"> always bound with race</w:t>
      </w:r>
      <w:r w:rsidR="00F43EE7" w:rsidRPr="00286011">
        <w:rPr>
          <w:rFonts w:asciiTheme="majorBidi" w:hAnsiTheme="majorBidi" w:cstheme="majorBidi"/>
        </w:rPr>
        <w:t>-making</w:t>
      </w:r>
      <w:r w:rsidR="00BC6B16" w:rsidRPr="00286011">
        <w:rPr>
          <w:rFonts w:asciiTheme="majorBidi" w:hAnsiTheme="majorBidi" w:cstheme="majorBidi"/>
        </w:rPr>
        <w:t xml:space="preserve">, </w:t>
      </w:r>
      <w:r w:rsidR="00F43EE7" w:rsidRPr="00286011">
        <w:rPr>
          <w:rFonts w:asciiTheme="majorBidi" w:hAnsiTheme="majorBidi" w:cstheme="majorBidi"/>
        </w:rPr>
        <w:t>or, differently put, it is</w:t>
      </w:r>
      <w:r w:rsidR="00BC6B16" w:rsidRPr="00286011">
        <w:rPr>
          <w:rFonts w:asciiTheme="majorBidi" w:hAnsiTheme="majorBidi" w:cstheme="majorBidi"/>
        </w:rPr>
        <w:t xml:space="preserve"> race that operates through the production of threat</w:t>
      </w:r>
      <w:r w:rsidR="004B5867" w:rsidRPr="00286011">
        <w:rPr>
          <w:rFonts w:asciiTheme="majorBidi" w:hAnsiTheme="majorBidi" w:cstheme="majorBidi"/>
        </w:rPr>
        <w:t xml:space="preserve"> in the Israeli state</w:t>
      </w:r>
      <w:r w:rsidR="00BC6B16" w:rsidRPr="00286011">
        <w:rPr>
          <w:rFonts w:asciiTheme="majorBidi" w:hAnsiTheme="majorBidi" w:cstheme="majorBidi"/>
        </w:rPr>
        <w:t xml:space="preserve">. </w:t>
      </w:r>
      <w:r w:rsidR="00F43EE7" w:rsidRPr="00286011">
        <w:rPr>
          <w:rFonts w:asciiTheme="majorBidi" w:hAnsiTheme="majorBidi" w:cstheme="majorBidi"/>
        </w:rPr>
        <w:t>‘</w:t>
      </w:r>
      <w:r w:rsidR="006B5890" w:rsidRPr="00286011">
        <w:rPr>
          <w:rFonts w:asciiTheme="majorBidi" w:hAnsiTheme="majorBidi" w:cstheme="majorBidi"/>
        </w:rPr>
        <w:t>T</w:t>
      </w:r>
      <w:r w:rsidR="00BC6B16" w:rsidRPr="00286011">
        <w:rPr>
          <w:rFonts w:asciiTheme="majorBidi" w:hAnsiTheme="majorBidi" w:cstheme="majorBidi"/>
        </w:rPr>
        <w:t>hreat</w:t>
      </w:r>
      <w:r w:rsidR="00F43EE7" w:rsidRPr="00286011">
        <w:rPr>
          <w:rFonts w:asciiTheme="majorBidi" w:hAnsiTheme="majorBidi" w:cstheme="majorBidi"/>
        </w:rPr>
        <w:t>’</w:t>
      </w:r>
      <w:r w:rsidR="00BC6B16" w:rsidRPr="00286011">
        <w:rPr>
          <w:rFonts w:asciiTheme="majorBidi" w:hAnsiTheme="majorBidi" w:cstheme="majorBidi"/>
        </w:rPr>
        <w:t xml:space="preserve">, like the threshold, is liminal, and </w:t>
      </w:r>
      <w:r w:rsidR="00F43EE7" w:rsidRPr="00286011">
        <w:rPr>
          <w:rFonts w:asciiTheme="majorBidi" w:hAnsiTheme="majorBidi" w:cstheme="majorBidi"/>
        </w:rPr>
        <w:t>thus</w:t>
      </w:r>
      <w:r w:rsidR="00BC6B16" w:rsidRPr="00286011">
        <w:rPr>
          <w:rFonts w:asciiTheme="majorBidi" w:hAnsiTheme="majorBidi" w:cstheme="majorBidi"/>
        </w:rPr>
        <w:t xml:space="preserve"> subject to chang</w:t>
      </w:r>
      <w:r w:rsidR="00F43EE7" w:rsidRPr="00286011">
        <w:rPr>
          <w:rFonts w:asciiTheme="majorBidi" w:hAnsiTheme="majorBidi" w:cstheme="majorBidi"/>
        </w:rPr>
        <w:t>e</w:t>
      </w:r>
      <w:r w:rsidR="0069030D" w:rsidRPr="00286011">
        <w:rPr>
          <w:rFonts w:asciiTheme="majorBidi" w:hAnsiTheme="majorBidi" w:cstheme="majorBidi"/>
        </w:rPr>
        <w:t xml:space="preserve">. </w:t>
      </w:r>
      <w:r w:rsidR="00F43EE7" w:rsidRPr="00286011">
        <w:rPr>
          <w:rFonts w:asciiTheme="majorBidi" w:hAnsiTheme="majorBidi" w:cstheme="majorBidi"/>
        </w:rPr>
        <w:t xml:space="preserve">Further, </w:t>
      </w:r>
      <w:r w:rsidR="00037AE1" w:rsidRPr="00286011">
        <w:rPr>
          <w:rFonts w:asciiTheme="majorBidi" w:hAnsiTheme="majorBidi" w:cstheme="majorBidi"/>
        </w:rPr>
        <w:t>the article treats criminalisation as a mu</w:t>
      </w:r>
      <w:r w:rsidR="0069030D" w:rsidRPr="00286011">
        <w:rPr>
          <w:rFonts w:asciiTheme="majorBidi" w:hAnsiTheme="majorBidi" w:cstheme="majorBidi"/>
        </w:rPr>
        <w:t>l</w:t>
      </w:r>
      <w:r w:rsidR="00037AE1" w:rsidRPr="00286011">
        <w:rPr>
          <w:rFonts w:asciiTheme="majorBidi" w:hAnsiTheme="majorBidi" w:cstheme="majorBidi"/>
        </w:rPr>
        <w:t>ti-layered process involving several agents, both state and non</w:t>
      </w:r>
      <w:r w:rsidR="0069030D" w:rsidRPr="00286011">
        <w:rPr>
          <w:rFonts w:asciiTheme="majorBidi" w:hAnsiTheme="majorBidi" w:cstheme="majorBidi"/>
        </w:rPr>
        <w:t>-</w:t>
      </w:r>
      <w:r w:rsidR="00037AE1" w:rsidRPr="00286011">
        <w:rPr>
          <w:rFonts w:asciiTheme="majorBidi" w:hAnsiTheme="majorBidi" w:cstheme="majorBidi"/>
        </w:rPr>
        <w:t>state,</w:t>
      </w:r>
      <w:r w:rsidR="0069030D" w:rsidRPr="00286011">
        <w:rPr>
          <w:rFonts w:asciiTheme="majorBidi" w:hAnsiTheme="majorBidi" w:cstheme="majorBidi"/>
        </w:rPr>
        <w:t xml:space="preserve"> and strategies, ranging from the informal to the formal. I </w:t>
      </w:r>
      <w:r w:rsidR="006B5890" w:rsidRPr="00286011">
        <w:rPr>
          <w:rFonts w:asciiTheme="majorBidi" w:hAnsiTheme="majorBidi" w:cstheme="majorBidi"/>
        </w:rPr>
        <w:t xml:space="preserve">further </w:t>
      </w:r>
      <w:r w:rsidR="0069030D" w:rsidRPr="00286011">
        <w:rPr>
          <w:rFonts w:asciiTheme="majorBidi" w:hAnsiTheme="majorBidi" w:cstheme="majorBidi"/>
        </w:rPr>
        <w:t>argue that</w:t>
      </w:r>
      <w:r w:rsidR="00037AE1" w:rsidRPr="00286011">
        <w:rPr>
          <w:rFonts w:asciiTheme="majorBidi" w:hAnsiTheme="majorBidi" w:cstheme="majorBidi"/>
        </w:rPr>
        <w:t xml:space="preserve"> </w:t>
      </w:r>
      <w:r w:rsidR="00F43EE7" w:rsidRPr="00286011">
        <w:rPr>
          <w:rFonts w:asciiTheme="majorBidi" w:hAnsiTheme="majorBidi" w:cstheme="majorBidi"/>
        </w:rPr>
        <w:t>t</w:t>
      </w:r>
      <w:r w:rsidRPr="00286011">
        <w:rPr>
          <w:rFonts w:asciiTheme="majorBidi" w:hAnsiTheme="majorBidi" w:cstheme="majorBidi"/>
        </w:rPr>
        <w:t xml:space="preserve">he operational logic of the settler state dictates the strategies used to </w:t>
      </w:r>
      <w:r w:rsidR="00BC6B16" w:rsidRPr="00286011">
        <w:rPr>
          <w:rFonts w:asciiTheme="majorBidi" w:hAnsiTheme="majorBidi" w:cstheme="majorBidi"/>
        </w:rPr>
        <w:t>tolerate,</w:t>
      </w:r>
      <w:r w:rsidRPr="00286011">
        <w:rPr>
          <w:rFonts w:asciiTheme="majorBidi" w:hAnsiTheme="majorBidi" w:cstheme="majorBidi"/>
        </w:rPr>
        <w:t xml:space="preserve"> con</w:t>
      </w:r>
      <w:r w:rsidR="00BC6B16" w:rsidRPr="00286011">
        <w:rPr>
          <w:rFonts w:asciiTheme="majorBidi" w:hAnsiTheme="majorBidi" w:cstheme="majorBidi"/>
        </w:rPr>
        <w:t>t</w:t>
      </w:r>
      <w:r w:rsidRPr="00286011">
        <w:rPr>
          <w:rFonts w:asciiTheme="majorBidi" w:hAnsiTheme="majorBidi" w:cstheme="majorBidi"/>
        </w:rPr>
        <w:t>ain</w:t>
      </w:r>
      <w:r w:rsidR="00BC6B16" w:rsidRPr="00286011">
        <w:rPr>
          <w:rFonts w:asciiTheme="majorBidi" w:hAnsiTheme="majorBidi" w:cstheme="majorBidi"/>
        </w:rPr>
        <w:t xml:space="preserve">, limit </w:t>
      </w:r>
      <w:r w:rsidRPr="00286011">
        <w:rPr>
          <w:rFonts w:asciiTheme="majorBidi" w:hAnsiTheme="majorBidi" w:cstheme="majorBidi"/>
        </w:rPr>
        <w:t xml:space="preserve">or stop altogether </w:t>
      </w:r>
      <w:r w:rsidR="00BC6B16" w:rsidRPr="00286011">
        <w:rPr>
          <w:rFonts w:asciiTheme="majorBidi" w:hAnsiTheme="majorBidi" w:cstheme="majorBidi"/>
        </w:rPr>
        <w:t>dissent</w:t>
      </w:r>
      <w:r w:rsidRPr="00286011">
        <w:rPr>
          <w:rFonts w:asciiTheme="majorBidi" w:hAnsiTheme="majorBidi" w:cstheme="majorBidi"/>
        </w:rPr>
        <w:t xml:space="preserve">. Since the Israeli state strives to maintain privileges to its Jewish citizenry (and even beyond to ‘all Jews around the world’), we can trace more reliance on ‘informal’ strategies of criminalisation towards its Jewish citizens, led by </w:t>
      </w:r>
      <w:r w:rsidR="006B5890" w:rsidRPr="00286011">
        <w:rPr>
          <w:rFonts w:asciiTheme="majorBidi" w:hAnsiTheme="majorBidi" w:cstheme="majorBidi"/>
        </w:rPr>
        <w:t xml:space="preserve">civil society </w:t>
      </w:r>
      <w:r w:rsidRPr="00286011">
        <w:rPr>
          <w:rFonts w:asciiTheme="majorBidi" w:hAnsiTheme="majorBidi" w:cstheme="majorBidi"/>
        </w:rPr>
        <w:t>organisations and actors, while the ‘formal’ strategies, led by state agencies and actors are preserved almost exclusively for dealing with Palestinian</w:t>
      </w:r>
      <w:r w:rsidR="006B5890" w:rsidRPr="00286011">
        <w:rPr>
          <w:rFonts w:asciiTheme="majorBidi" w:hAnsiTheme="majorBidi" w:cstheme="majorBidi"/>
        </w:rPr>
        <w:t xml:space="preserve"> political activism</w:t>
      </w:r>
      <w:r w:rsidRPr="00286011">
        <w:rPr>
          <w:rFonts w:asciiTheme="majorBidi" w:hAnsiTheme="majorBidi" w:cstheme="majorBidi"/>
        </w:rPr>
        <w:t xml:space="preserve">. </w:t>
      </w:r>
      <w:r w:rsidR="00AC4F39" w:rsidRPr="00286011">
        <w:rPr>
          <w:rFonts w:asciiTheme="majorBidi" w:hAnsiTheme="majorBidi" w:cstheme="majorBidi"/>
        </w:rPr>
        <w:t xml:space="preserve">Finally, I argue that unravelling the thresholds of criminalisation and oppression exposes state vulnerabilities and fragility. </w:t>
      </w:r>
      <w:r w:rsidR="00AC4F39" w:rsidRPr="00286011">
        <w:rPr>
          <w:rFonts w:asciiTheme="majorBidi" w:hAnsiTheme="majorBidi" w:cstheme="majorBidi"/>
          <w:color w:val="000000" w:themeColor="text1"/>
        </w:rPr>
        <w:t xml:space="preserve">By tracing the shifting thresholds of repression and criminalisation, we gain a window into the precarity of such systems of power and how they can be challenged and transformed. We can also learn what opportunities for resistance exist, what ‘openings’ must be seized. </w:t>
      </w:r>
    </w:p>
    <w:p w14:paraId="23C476A1" w14:textId="66F7A9BA" w:rsidR="0069030D" w:rsidRPr="00286011" w:rsidRDefault="00AC4F39" w:rsidP="00286011">
      <w:pPr>
        <w:ind w:firstLine="454"/>
        <w:jc w:val="both"/>
        <w:rPr>
          <w:rFonts w:asciiTheme="majorBidi" w:hAnsiTheme="majorBidi" w:cstheme="majorBidi"/>
          <w:color w:val="000000" w:themeColor="text1"/>
        </w:rPr>
      </w:pPr>
      <w:r w:rsidRPr="00286011">
        <w:rPr>
          <w:rFonts w:asciiTheme="majorBidi" w:hAnsiTheme="majorBidi" w:cstheme="majorBidi"/>
          <w:color w:val="000000" w:themeColor="text1"/>
        </w:rPr>
        <w:t>While focusing on the case of the Israeli settler state, the article draws conclusions that have wider analytical implication</w:t>
      </w:r>
      <w:r w:rsidR="004B5867" w:rsidRPr="00286011">
        <w:rPr>
          <w:rFonts w:asciiTheme="majorBidi" w:hAnsiTheme="majorBidi" w:cstheme="majorBidi"/>
          <w:color w:val="000000" w:themeColor="text1"/>
        </w:rPr>
        <w:t>s</w:t>
      </w:r>
      <w:r w:rsidRPr="00286011">
        <w:rPr>
          <w:rFonts w:asciiTheme="majorBidi" w:hAnsiTheme="majorBidi" w:cstheme="majorBidi"/>
          <w:color w:val="000000" w:themeColor="text1"/>
        </w:rPr>
        <w:t xml:space="preserve"> beyond the Israel</w:t>
      </w:r>
      <w:r w:rsidR="004B5867" w:rsidRPr="00286011">
        <w:rPr>
          <w:rFonts w:asciiTheme="majorBidi" w:hAnsiTheme="majorBidi" w:cstheme="majorBidi"/>
          <w:color w:val="000000" w:themeColor="text1"/>
        </w:rPr>
        <w:t>i case</w:t>
      </w:r>
      <w:r w:rsidRPr="00286011">
        <w:rPr>
          <w:rFonts w:asciiTheme="majorBidi" w:hAnsiTheme="majorBidi" w:cstheme="majorBidi"/>
          <w:color w:val="000000" w:themeColor="text1"/>
        </w:rPr>
        <w:t xml:space="preserve">, and even beyond other case of </w:t>
      </w:r>
      <w:r w:rsidR="00044107" w:rsidRPr="00286011">
        <w:rPr>
          <w:rFonts w:asciiTheme="majorBidi" w:hAnsiTheme="majorBidi" w:cstheme="majorBidi"/>
          <w:color w:val="000000" w:themeColor="text1"/>
        </w:rPr>
        <w:t xml:space="preserve">liberal </w:t>
      </w:r>
      <w:r w:rsidRPr="00286011">
        <w:rPr>
          <w:rFonts w:asciiTheme="majorBidi" w:hAnsiTheme="majorBidi" w:cstheme="majorBidi"/>
          <w:color w:val="000000" w:themeColor="text1"/>
        </w:rPr>
        <w:t xml:space="preserve">settler </w:t>
      </w:r>
      <w:r w:rsidR="00044107" w:rsidRPr="00286011">
        <w:rPr>
          <w:rFonts w:asciiTheme="majorBidi" w:hAnsiTheme="majorBidi" w:cstheme="majorBidi"/>
          <w:color w:val="000000" w:themeColor="text1"/>
        </w:rPr>
        <w:t>states</w:t>
      </w:r>
      <w:r w:rsidRPr="00286011">
        <w:rPr>
          <w:rFonts w:asciiTheme="majorBidi" w:hAnsiTheme="majorBidi" w:cstheme="majorBidi"/>
          <w:color w:val="000000" w:themeColor="text1"/>
        </w:rPr>
        <w:t xml:space="preserve">. Indeed, the fragilities of the settler state are not dissimilar from those of </w:t>
      </w:r>
      <w:r w:rsidR="00044107" w:rsidRPr="00286011">
        <w:rPr>
          <w:rFonts w:asciiTheme="majorBidi" w:hAnsiTheme="majorBidi" w:cstheme="majorBidi"/>
          <w:color w:val="000000" w:themeColor="text1"/>
        </w:rPr>
        <w:t>(</w:t>
      </w:r>
      <w:r w:rsidRPr="00286011">
        <w:rPr>
          <w:rFonts w:asciiTheme="majorBidi" w:hAnsiTheme="majorBidi" w:cstheme="majorBidi"/>
          <w:color w:val="000000" w:themeColor="text1"/>
        </w:rPr>
        <w:t>so-called</w:t>
      </w:r>
      <w:r w:rsidR="00044107" w:rsidRPr="00286011">
        <w:rPr>
          <w:rFonts w:asciiTheme="majorBidi" w:hAnsiTheme="majorBidi" w:cstheme="majorBidi"/>
          <w:color w:val="000000" w:themeColor="text1"/>
        </w:rPr>
        <w:t>)</w:t>
      </w:r>
      <w:r w:rsidRPr="00286011">
        <w:rPr>
          <w:rFonts w:asciiTheme="majorBidi" w:hAnsiTheme="majorBidi" w:cstheme="majorBidi"/>
          <w:color w:val="000000" w:themeColor="text1"/>
        </w:rPr>
        <w:t xml:space="preserve"> liberal democrac</w:t>
      </w:r>
      <w:r w:rsidR="004B5867" w:rsidRPr="00286011">
        <w:rPr>
          <w:rFonts w:asciiTheme="majorBidi" w:hAnsiTheme="majorBidi" w:cstheme="majorBidi"/>
          <w:color w:val="000000" w:themeColor="text1"/>
        </w:rPr>
        <w:t>ies</w:t>
      </w:r>
      <w:r w:rsidRPr="00286011">
        <w:rPr>
          <w:rFonts w:asciiTheme="majorBidi" w:hAnsiTheme="majorBidi" w:cstheme="majorBidi"/>
          <w:color w:val="000000" w:themeColor="text1"/>
        </w:rPr>
        <w:t xml:space="preserve">, where threats to the status quo of capital, underpinned by racial, gendered and classed hierarchies are met with growing state repression, new restrictive legislation and greater police powers that are meant to repress and shut down such forms of ‘threat’ to existing order(s). </w:t>
      </w:r>
      <w:r w:rsidR="00CF791E" w:rsidRPr="00286011">
        <w:rPr>
          <w:rFonts w:asciiTheme="majorBidi" w:hAnsiTheme="majorBidi" w:cstheme="majorBidi"/>
          <w:color w:val="000000" w:themeColor="text1"/>
        </w:rPr>
        <w:t xml:space="preserve">This article, and the analysis and the cases offered in it are far from being comprehensive, and offer just a preliminary line of investigation that I intend to further explore elsewhere. For that, some of the analysis and the distinctions and categories it offers might seem crude or lacking nuance, as, importantly, for example, the ‘Jewish Israelis’ are far from being a homogenous group that is treated in the same way by the hand of the state. However, the scope of the article did not allow me to dwell into this here.  </w:t>
      </w:r>
    </w:p>
    <w:p w14:paraId="628D06C9" w14:textId="30DFF018" w:rsidR="00CF791E" w:rsidRPr="00286011" w:rsidRDefault="00D0560B" w:rsidP="00CF791E">
      <w:pPr>
        <w:jc w:val="both"/>
        <w:rPr>
          <w:rFonts w:asciiTheme="majorBidi" w:hAnsiTheme="majorBidi" w:cstheme="majorBidi"/>
          <w:color w:val="000000" w:themeColor="text1"/>
        </w:rPr>
      </w:pPr>
      <w:r w:rsidRPr="00286011">
        <w:rPr>
          <w:rFonts w:asciiTheme="majorBidi" w:hAnsiTheme="majorBidi" w:cstheme="majorBidi"/>
          <w:color w:val="000000" w:themeColor="text1"/>
        </w:rPr>
        <w:tab/>
      </w:r>
      <w:r w:rsidR="004B5867" w:rsidRPr="00286011">
        <w:rPr>
          <w:rFonts w:asciiTheme="majorBidi" w:hAnsiTheme="majorBidi" w:cstheme="majorBidi"/>
          <w:color w:val="000000" w:themeColor="text1"/>
        </w:rPr>
        <w:t>T</w:t>
      </w:r>
      <w:r w:rsidRPr="00286011">
        <w:rPr>
          <w:rFonts w:asciiTheme="majorBidi" w:hAnsiTheme="majorBidi" w:cstheme="majorBidi"/>
          <w:color w:val="000000" w:themeColor="text1"/>
        </w:rPr>
        <w:t xml:space="preserve">he article starts with a short analytical discussion of the concept of the threshold. </w:t>
      </w:r>
      <w:r w:rsidR="004D3F9C" w:rsidRPr="00286011">
        <w:rPr>
          <w:rFonts w:asciiTheme="majorBidi" w:hAnsiTheme="majorBidi" w:cstheme="majorBidi"/>
          <w:color w:val="000000" w:themeColor="text1"/>
        </w:rPr>
        <w:t xml:space="preserve">The neurological definition of the term above reveals some of its </w:t>
      </w:r>
      <w:r w:rsidRPr="00286011">
        <w:rPr>
          <w:rFonts w:asciiTheme="majorBidi" w:hAnsiTheme="majorBidi" w:cstheme="majorBidi"/>
          <w:color w:val="000000" w:themeColor="text1"/>
        </w:rPr>
        <w:t>qualities that are helpful for the analysis</w:t>
      </w:r>
      <w:r w:rsidR="00EF5488" w:rsidRPr="00286011">
        <w:rPr>
          <w:rFonts w:asciiTheme="majorBidi" w:hAnsiTheme="majorBidi" w:cstheme="majorBidi"/>
          <w:color w:val="000000" w:themeColor="text1"/>
        </w:rPr>
        <w:t>,</w:t>
      </w:r>
      <w:r w:rsidR="004D3F9C" w:rsidRPr="00286011">
        <w:rPr>
          <w:rFonts w:asciiTheme="majorBidi" w:hAnsiTheme="majorBidi" w:cstheme="majorBidi"/>
          <w:color w:val="000000" w:themeColor="text1"/>
        </w:rPr>
        <w:t xml:space="preserve"> as this article is interested to trace the ‘point’ in which certain phenomenon </w:t>
      </w:r>
      <w:r w:rsidR="00EF5488" w:rsidRPr="00286011">
        <w:rPr>
          <w:rFonts w:asciiTheme="majorBidi" w:hAnsiTheme="majorBidi" w:cstheme="majorBidi"/>
          <w:color w:val="000000" w:themeColor="text1"/>
        </w:rPr>
        <w:t xml:space="preserve">- </w:t>
      </w:r>
      <w:r w:rsidR="004D3F9C" w:rsidRPr="00286011">
        <w:rPr>
          <w:rFonts w:asciiTheme="majorBidi" w:hAnsiTheme="majorBidi" w:cstheme="majorBidi"/>
          <w:color w:val="000000" w:themeColor="text1"/>
        </w:rPr>
        <w:t>criminalisation and repression</w:t>
      </w:r>
      <w:r w:rsidR="00EF5488" w:rsidRPr="00286011">
        <w:rPr>
          <w:rFonts w:asciiTheme="majorBidi" w:hAnsiTheme="majorBidi" w:cstheme="majorBidi"/>
          <w:color w:val="000000" w:themeColor="text1"/>
        </w:rPr>
        <w:t xml:space="preserve"> -</w:t>
      </w:r>
      <w:r w:rsidR="004D3F9C" w:rsidRPr="00286011">
        <w:rPr>
          <w:rFonts w:asciiTheme="majorBidi" w:hAnsiTheme="majorBidi" w:cstheme="majorBidi"/>
          <w:color w:val="000000" w:themeColor="text1"/>
        </w:rPr>
        <w:t xml:space="preserve"> kicks into action</w:t>
      </w:r>
      <w:r w:rsidR="00EF5488" w:rsidRPr="00286011">
        <w:rPr>
          <w:rFonts w:asciiTheme="majorBidi" w:hAnsiTheme="majorBidi" w:cstheme="majorBidi"/>
          <w:color w:val="000000" w:themeColor="text1"/>
        </w:rPr>
        <w:t>, as well to think of the ‘sensitivity’ – vulnerability and fragility - of the system itself</w:t>
      </w:r>
      <w:r w:rsidRPr="00286011">
        <w:rPr>
          <w:rFonts w:asciiTheme="majorBidi" w:hAnsiTheme="majorBidi" w:cstheme="majorBidi"/>
          <w:color w:val="000000" w:themeColor="text1"/>
        </w:rPr>
        <w:t>. From there, I move to discussion notions of crime and criminalisation at large, and criminalisation of political activism in particular</w:t>
      </w:r>
      <w:r w:rsidR="00C84738" w:rsidRPr="00286011">
        <w:rPr>
          <w:rFonts w:asciiTheme="majorBidi" w:hAnsiTheme="majorBidi" w:cstheme="majorBidi"/>
          <w:color w:val="000000" w:themeColor="text1"/>
        </w:rPr>
        <w:t xml:space="preserve">, and specifically within the political formation of the liberal setter state. Next, I discuss the first threshold of threat within the Israeli state, namely race, where Palestinians, even while holding Israeli citizenship are targeted, criminalised and subjected to state violence </w:t>
      </w:r>
      <w:r w:rsidR="00EC6BF1" w:rsidRPr="00286011">
        <w:rPr>
          <w:rFonts w:asciiTheme="majorBidi" w:hAnsiTheme="majorBidi" w:cstheme="majorBidi"/>
          <w:color w:val="000000" w:themeColor="text1"/>
        </w:rPr>
        <w:t>for their political activism. Finally, I discuss a second threshold of threat,</w:t>
      </w:r>
      <w:r w:rsidR="008C6198" w:rsidRPr="00286011">
        <w:rPr>
          <w:rFonts w:asciiTheme="majorBidi" w:hAnsiTheme="majorBidi" w:cstheme="majorBidi"/>
          <w:color w:val="000000" w:themeColor="text1"/>
        </w:rPr>
        <w:t xml:space="preserve"> where also activities of Israel’s privileges citizen, Jewish Israeli reach the point where mechanisms and strategies of informal and formal criminalisation kicks into place by state and civil society organisations (many times working hand in hand). </w:t>
      </w:r>
      <w:r w:rsidR="00CF791E" w:rsidRPr="00286011">
        <w:rPr>
          <w:rFonts w:asciiTheme="majorBidi" w:hAnsiTheme="majorBidi" w:cstheme="majorBidi"/>
          <w:color w:val="000000" w:themeColor="text1"/>
        </w:rPr>
        <w:t xml:space="preserve"> </w:t>
      </w:r>
    </w:p>
    <w:p w14:paraId="472B4202" w14:textId="77777777" w:rsidR="007C6363" w:rsidRPr="00286011" w:rsidRDefault="007C6363" w:rsidP="00594BC9">
      <w:pPr>
        <w:jc w:val="both"/>
        <w:rPr>
          <w:rFonts w:asciiTheme="majorBidi" w:hAnsiTheme="majorBidi" w:cstheme="majorBidi"/>
          <w:i/>
          <w:iCs/>
        </w:rPr>
      </w:pPr>
    </w:p>
    <w:p w14:paraId="01FDD772" w14:textId="21AB6415" w:rsidR="00594BC9" w:rsidRPr="00286011" w:rsidRDefault="00594BC9" w:rsidP="00594BC9">
      <w:pPr>
        <w:jc w:val="both"/>
        <w:rPr>
          <w:rFonts w:asciiTheme="majorBidi" w:hAnsiTheme="majorBidi" w:cstheme="majorBidi"/>
          <w:i/>
          <w:iCs/>
        </w:rPr>
      </w:pPr>
      <w:r w:rsidRPr="00286011">
        <w:rPr>
          <w:rFonts w:asciiTheme="majorBidi" w:hAnsiTheme="majorBidi" w:cstheme="majorBidi"/>
          <w:i/>
          <w:iCs/>
        </w:rPr>
        <w:t xml:space="preserve">The qualities of the threshold </w:t>
      </w:r>
    </w:p>
    <w:p w14:paraId="023EE2EB" w14:textId="77777777" w:rsidR="00594BC9" w:rsidRPr="00286011" w:rsidRDefault="00594BC9" w:rsidP="00594BC9">
      <w:pPr>
        <w:jc w:val="both"/>
        <w:rPr>
          <w:rFonts w:asciiTheme="majorBidi" w:hAnsiTheme="majorBidi" w:cstheme="majorBidi"/>
          <w:i/>
          <w:iCs/>
        </w:rPr>
      </w:pPr>
    </w:p>
    <w:p w14:paraId="4194152F" w14:textId="34D8306C" w:rsidR="00594BC9" w:rsidRPr="00286011" w:rsidRDefault="00594BC9" w:rsidP="00594BC9">
      <w:pPr>
        <w:jc w:val="both"/>
        <w:rPr>
          <w:rFonts w:asciiTheme="majorBidi" w:eastAsia="Times New Roman" w:hAnsiTheme="majorBidi" w:cstheme="majorBidi"/>
          <w:color w:val="000000" w:themeColor="text1"/>
          <w:shd w:val="clear" w:color="auto" w:fill="FFFFFF"/>
          <w:lang w:eastAsia="en-GB"/>
        </w:rPr>
      </w:pPr>
      <w:r w:rsidRPr="00286011">
        <w:rPr>
          <w:rFonts w:asciiTheme="majorBidi" w:hAnsiTheme="majorBidi" w:cstheme="majorBidi"/>
        </w:rPr>
        <w:t xml:space="preserve">The ‘threshold’ as a concept (rather than an architectural element) is commonly evoked to describe </w:t>
      </w:r>
      <w:r w:rsidRPr="00286011">
        <w:rPr>
          <w:rFonts w:asciiTheme="majorBidi" w:hAnsiTheme="majorBidi" w:cstheme="majorBidi"/>
          <w:color w:val="000000" w:themeColor="text1"/>
        </w:rPr>
        <w:t xml:space="preserve">an end, boundary, level or point where something begins (or ends), whether it is an experience, an occurrence or change, that can be physiological or psychological (Cambridge Dictionary Online). Elsewhere, it is also referred to as ‘magnitude’ or ‘intensity’ that has a limit </w:t>
      </w:r>
      <w:r w:rsidRPr="00286011">
        <w:rPr>
          <w:rFonts w:asciiTheme="majorBidi" w:eastAsia="Times New Roman" w:hAnsiTheme="majorBidi" w:cstheme="majorBidi"/>
          <w:color w:val="000000" w:themeColor="text1"/>
          <w:shd w:val="clear" w:color="auto" w:fill="FFFFFF"/>
          <w:lang w:eastAsia="en-GB"/>
        </w:rPr>
        <w:t xml:space="preserve">or level beyond which something comes into effect (Oxford </w:t>
      </w:r>
      <w:r w:rsidR="007C6363" w:rsidRPr="00286011">
        <w:rPr>
          <w:rFonts w:asciiTheme="majorBidi" w:eastAsia="Times New Roman" w:hAnsiTheme="majorBidi" w:cstheme="majorBidi"/>
          <w:color w:val="000000" w:themeColor="text1"/>
          <w:shd w:val="clear" w:color="auto" w:fill="FFFFFF"/>
          <w:lang w:eastAsia="en-GB"/>
        </w:rPr>
        <w:t xml:space="preserve">Learner </w:t>
      </w:r>
      <w:r w:rsidRPr="00286011">
        <w:rPr>
          <w:rFonts w:asciiTheme="majorBidi" w:eastAsia="Times New Roman" w:hAnsiTheme="majorBidi" w:cstheme="majorBidi"/>
          <w:color w:val="000000" w:themeColor="text1"/>
          <w:shd w:val="clear" w:color="auto" w:fill="FFFFFF"/>
          <w:lang w:eastAsia="en-GB"/>
        </w:rPr>
        <w:t>Dictionar</w:t>
      </w:r>
      <w:r w:rsidR="007C6363" w:rsidRPr="00286011">
        <w:rPr>
          <w:rFonts w:asciiTheme="majorBidi" w:eastAsia="Times New Roman" w:hAnsiTheme="majorBidi" w:cstheme="majorBidi"/>
          <w:color w:val="000000" w:themeColor="text1"/>
          <w:shd w:val="clear" w:color="auto" w:fill="FFFFFF"/>
          <w:lang w:eastAsia="en-GB"/>
        </w:rPr>
        <w:t>ies</w:t>
      </w:r>
      <w:r w:rsidRPr="00286011">
        <w:rPr>
          <w:rFonts w:asciiTheme="majorBidi" w:eastAsia="Times New Roman" w:hAnsiTheme="majorBidi" w:cstheme="majorBidi"/>
          <w:color w:val="000000" w:themeColor="text1"/>
          <w:shd w:val="clear" w:color="auto" w:fill="FFFFFF"/>
          <w:lang w:eastAsia="en-GB"/>
        </w:rPr>
        <w:t xml:space="preserve"> Online). When used in reference to step or scale in taxation or wages, an important classification is added, that the threshold is </w:t>
      </w:r>
      <w:r w:rsidR="007C6363" w:rsidRPr="00286011">
        <w:rPr>
          <w:rFonts w:asciiTheme="majorBidi" w:eastAsia="Times New Roman" w:hAnsiTheme="majorBidi" w:cstheme="majorBidi"/>
          <w:color w:val="000000" w:themeColor="text1"/>
          <w:shd w:val="clear" w:color="auto" w:fill="FFFFFF"/>
          <w:lang w:eastAsia="en-GB"/>
        </w:rPr>
        <w:t xml:space="preserve">always </w:t>
      </w:r>
      <w:r w:rsidRPr="00286011">
        <w:rPr>
          <w:rFonts w:asciiTheme="majorBidi" w:eastAsia="Times New Roman" w:hAnsiTheme="majorBidi" w:cstheme="majorBidi"/>
          <w:color w:val="000000" w:themeColor="text1"/>
          <w:shd w:val="clear" w:color="auto" w:fill="FFFFFF"/>
          <w:lang w:eastAsia="en-GB"/>
        </w:rPr>
        <w:t xml:space="preserve">determined by certain conditions. Such ‘conditions’ are not neutral or natural – but politically determined, by the government that sets taxation thresholds. </w:t>
      </w:r>
    </w:p>
    <w:p w14:paraId="68FD854F" w14:textId="77777777" w:rsidR="00594BC9" w:rsidRPr="00286011" w:rsidRDefault="00594BC9" w:rsidP="00594BC9">
      <w:pPr>
        <w:ind w:firstLine="426"/>
        <w:jc w:val="both"/>
        <w:rPr>
          <w:rFonts w:asciiTheme="majorBidi" w:eastAsia="Times New Roman" w:hAnsiTheme="majorBidi" w:cstheme="majorBidi"/>
          <w:color w:val="000000" w:themeColor="text1"/>
          <w:shd w:val="clear" w:color="auto" w:fill="FFFFFF"/>
          <w:lang w:eastAsia="en-GB"/>
        </w:rPr>
      </w:pPr>
      <w:r w:rsidRPr="00286011">
        <w:rPr>
          <w:rFonts w:asciiTheme="majorBidi" w:eastAsia="Times New Roman" w:hAnsiTheme="majorBidi" w:cstheme="majorBidi"/>
          <w:color w:val="000000" w:themeColor="text1"/>
          <w:shd w:val="clear" w:color="auto" w:fill="FFFFFF"/>
          <w:lang w:eastAsia="en-GB"/>
        </w:rPr>
        <w:t>What unites these definitions is the notion of a level, point or line, and with it, the imagination of neat distinctions between the here and there, before and after, inside and outside. But there is a unique quality to the threshold that goes beyond its use as a synonym of ‘line’ ‘point’ or ‘level’ or even ‘boundary’ or ‘border’ and the binaries of inside/outside and inclusion/exclusion. Etymologically (despite some disagreement among etymologists), the concept’s composition seems to be made of the old English term ‘thresh’ as tread or trample, together with ‘hold’ which implies a certain lingering or hesitation. This can be explained as a hesitation that involves a “passage through an obscure zone or territory - without clearly defined boundaries” (</w:t>
      </w:r>
      <w:proofErr w:type="spellStart"/>
      <w:r w:rsidRPr="00286011">
        <w:rPr>
          <w:rFonts w:asciiTheme="majorBidi" w:eastAsia="Times New Roman" w:hAnsiTheme="majorBidi" w:cstheme="majorBidi"/>
          <w:color w:val="000000" w:themeColor="text1"/>
          <w:shd w:val="clear" w:color="auto" w:fill="FFFFFF"/>
          <w:lang w:eastAsia="en-GB"/>
        </w:rPr>
        <w:t>Vighi</w:t>
      </w:r>
      <w:proofErr w:type="spellEnd"/>
      <w:r w:rsidRPr="00286011">
        <w:rPr>
          <w:rFonts w:asciiTheme="majorBidi" w:eastAsia="Times New Roman" w:hAnsiTheme="majorBidi" w:cstheme="majorBidi"/>
          <w:color w:val="000000" w:themeColor="text1"/>
          <w:shd w:val="clear" w:color="auto" w:fill="FFFFFF"/>
          <w:lang w:eastAsia="en-GB"/>
        </w:rPr>
        <w:t xml:space="preserve">, </w:t>
      </w:r>
      <w:proofErr w:type="spellStart"/>
      <w:r w:rsidRPr="00286011">
        <w:rPr>
          <w:rFonts w:asciiTheme="majorBidi" w:eastAsia="Times New Roman" w:hAnsiTheme="majorBidi" w:cstheme="majorBidi"/>
          <w:color w:val="000000" w:themeColor="text1"/>
          <w:shd w:val="clear" w:color="auto" w:fill="FFFFFF"/>
          <w:lang w:eastAsia="en-GB"/>
        </w:rPr>
        <w:t>Nuselovici</w:t>
      </w:r>
      <w:proofErr w:type="spellEnd"/>
      <w:r w:rsidRPr="00286011">
        <w:rPr>
          <w:rFonts w:asciiTheme="majorBidi" w:eastAsia="Times New Roman" w:hAnsiTheme="majorBidi" w:cstheme="majorBidi"/>
          <w:color w:val="000000" w:themeColor="text1"/>
          <w:shd w:val="clear" w:color="auto" w:fill="FFFFFF"/>
          <w:lang w:eastAsia="en-GB"/>
        </w:rPr>
        <w:t xml:space="preserve"> and Ponzi 2014, 6). In this sense, the threshold has a certain depth, it is an area, a ‘zone’, “a place of both a demarcation and a transition, of a passage” (</w:t>
      </w:r>
      <w:proofErr w:type="spellStart"/>
      <w:r w:rsidRPr="00286011">
        <w:rPr>
          <w:rFonts w:asciiTheme="majorBidi" w:eastAsia="Times New Roman" w:hAnsiTheme="majorBidi" w:cstheme="majorBidi"/>
          <w:color w:val="000000" w:themeColor="text1"/>
          <w:shd w:val="clear" w:color="auto" w:fill="FFFFFF"/>
          <w:lang w:eastAsia="en-GB"/>
        </w:rPr>
        <w:t>Chamayou</w:t>
      </w:r>
      <w:proofErr w:type="spellEnd"/>
      <w:r w:rsidRPr="00286011">
        <w:rPr>
          <w:rFonts w:asciiTheme="majorBidi" w:eastAsia="Times New Roman" w:hAnsiTheme="majorBidi" w:cstheme="majorBidi"/>
          <w:color w:val="000000" w:themeColor="text1"/>
          <w:shd w:val="clear" w:color="auto" w:fill="FFFFFF"/>
          <w:lang w:eastAsia="en-GB"/>
        </w:rPr>
        <w:t xml:space="preserve"> 2021). Since it entails a passage, it </w:t>
      </w:r>
      <w:r w:rsidRPr="00286011">
        <w:rPr>
          <w:rFonts w:asciiTheme="majorBidi" w:hAnsiTheme="majorBidi" w:cstheme="majorBidi"/>
        </w:rPr>
        <w:t>signifies an area in which certain transformations can occur</w:t>
      </w:r>
      <w:r w:rsidRPr="00286011">
        <w:rPr>
          <w:rFonts w:asciiTheme="majorBidi" w:eastAsia="Times New Roman" w:hAnsiTheme="majorBidi" w:cstheme="majorBidi"/>
          <w:color w:val="000000" w:themeColor="text1"/>
          <w:shd w:val="clear" w:color="auto" w:fill="FFFFFF"/>
          <w:lang w:eastAsia="en-GB"/>
        </w:rPr>
        <w:t xml:space="preserve"> (Benjamin 1999). </w:t>
      </w:r>
      <w:r w:rsidRPr="00286011">
        <w:rPr>
          <w:rFonts w:asciiTheme="majorBidi" w:hAnsiTheme="majorBidi" w:cstheme="majorBidi"/>
        </w:rPr>
        <w:t>A useful metaphor that helps illustrate such condition is the ‘passage’ from being asleep to being awake, or from the day into night (and vice versa). The point in which one switches from one condition to the other, where darkness takes over the light or light over the darkness, is the ‘zone of transformation.’ At the same time, we can also claim that the threshold is “a borderline which emerges from the transition itself.” (</w:t>
      </w:r>
      <w:proofErr w:type="spellStart"/>
      <w:r w:rsidRPr="00286011">
        <w:rPr>
          <w:rFonts w:asciiTheme="majorBidi" w:hAnsiTheme="majorBidi" w:cstheme="majorBidi"/>
        </w:rPr>
        <w:t>Waldenfels</w:t>
      </w:r>
      <w:proofErr w:type="spellEnd"/>
      <w:r w:rsidRPr="00286011">
        <w:rPr>
          <w:rFonts w:asciiTheme="majorBidi" w:hAnsiTheme="majorBidi" w:cstheme="majorBidi"/>
        </w:rPr>
        <w:t xml:space="preserve"> 2014, 12). </w:t>
      </w:r>
      <w:r w:rsidRPr="00286011">
        <w:rPr>
          <w:rFonts w:asciiTheme="majorBidi" w:eastAsia="Times New Roman" w:hAnsiTheme="majorBidi" w:cstheme="majorBidi"/>
          <w:color w:val="000000" w:themeColor="text1"/>
          <w:shd w:val="clear" w:color="auto" w:fill="FFFFFF"/>
          <w:lang w:eastAsia="en-GB"/>
        </w:rPr>
        <w:t xml:space="preserve">But such qualities of passage, transition and transformation also bring with them important questions linked to the conditions of crossing/passage: who can pass the threshold? Who cannot? </w:t>
      </w:r>
    </w:p>
    <w:p w14:paraId="60F006B5" w14:textId="1282B860" w:rsidR="00594BC9" w:rsidRPr="00286011" w:rsidRDefault="00594BC9" w:rsidP="00594BC9">
      <w:pPr>
        <w:ind w:firstLine="426"/>
        <w:jc w:val="both"/>
        <w:rPr>
          <w:rFonts w:asciiTheme="majorBidi" w:eastAsia="Times New Roman" w:hAnsiTheme="majorBidi" w:cstheme="majorBidi"/>
          <w:color w:val="000000" w:themeColor="text1"/>
          <w:shd w:val="clear" w:color="auto" w:fill="FFFFFF"/>
          <w:lang w:eastAsia="en-GB"/>
        </w:rPr>
      </w:pPr>
      <w:r w:rsidRPr="00286011">
        <w:rPr>
          <w:rFonts w:asciiTheme="majorBidi" w:hAnsiTheme="majorBidi" w:cstheme="majorBidi"/>
        </w:rPr>
        <w:t xml:space="preserve">Such discussion resonates with </w:t>
      </w:r>
      <w:proofErr w:type="spellStart"/>
      <w:r w:rsidRPr="00286011">
        <w:rPr>
          <w:rFonts w:asciiTheme="majorBidi" w:hAnsiTheme="majorBidi" w:cstheme="majorBidi"/>
        </w:rPr>
        <w:t>Stoler’s</w:t>
      </w:r>
      <w:proofErr w:type="spellEnd"/>
      <w:r w:rsidRPr="00286011">
        <w:rPr>
          <w:rFonts w:asciiTheme="majorBidi" w:hAnsiTheme="majorBidi" w:cstheme="majorBidi"/>
        </w:rPr>
        <w:t xml:space="preserve"> (2022) treatment of the ‘interior frontier’ as a concept that, similar to the threshold, defines is a messier space and not a clear line. </w:t>
      </w:r>
      <w:r w:rsidRPr="00286011">
        <w:rPr>
          <w:rFonts w:asciiTheme="majorBidi" w:hAnsiTheme="majorBidi" w:cstheme="majorBidi"/>
          <w:color w:val="000000" w:themeColor="text1"/>
        </w:rPr>
        <w:t xml:space="preserve">Indeed, the act of positioning ‘interior frontiers’ and the decision of who “falls vis-à-vis their gated space” </w:t>
      </w:r>
      <w:r w:rsidR="00CB399D" w:rsidRPr="00286011">
        <w:rPr>
          <w:rFonts w:asciiTheme="majorBidi" w:hAnsiTheme="majorBidi" w:cstheme="majorBidi"/>
          <w:color w:val="000000" w:themeColor="text1"/>
        </w:rPr>
        <w:t>(</w:t>
      </w:r>
      <w:proofErr w:type="spellStart"/>
      <w:r w:rsidR="00CB399D" w:rsidRPr="00286011">
        <w:rPr>
          <w:rFonts w:asciiTheme="majorBidi" w:hAnsiTheme="majorBidi" w:cstheme="majorBidi"/>
          <w:color w:val="000000" w:themeColor="text1"/>
        </w:rPr>
        <w:t>Stoler</w:t>
      </w:r>
      <w:proofErr w:type="spellEnd"/>
      <w:r w:rsidR="00CB399D" w:rsidRPr="00286011">
        <w:rPr>
          <w:rFonts w:asciiTheme="majorBidi" w:hAnsiTheme="majorBidi" w:cstheme="majorBidi"/>
          <w:color w:val="000000" w:themeColor="text1"/>
        </w:rPr>
        <w:t xml:space="preserve"> 2022, p. 11) </w:t>
      </w:r>
      <w:r w:rsidRPr="00286011">
        <w:rPr>
          <w:rFonts w:asciiTheme="majorBidi" w:hAnsiTheme="majorBidi" w:cstheme="majorBidi"/>
          <w:color w:val="000000" w:themeColor="text1"/>
        </w:rPr>
        <w:t>operate according to colonial, racial, classist and gendered logic</w:t>
      </w:r>
      <w:r w:rsidRPr="00286011">
        <w:rPr>
          <w:rFonts w:asciiTheme="majorBidi" w:eastAsia="Times New Roman" w:hAnsiTheme="majorBidi" w:cstheme="majorBidi"/>
          <w:color w:val="000000" w:themeColor="text1"/>
          <w:lang w:eastAsia="en-GB"/>
        </w:rPr>
        <w:t>.</w:t>
      </w:r>
      <w:r w:rsidRPr="00286011">
        <w:rPr>
          <w:rFonts w:asciiTheme="majorBidi" w:hAnsiTheme="majorBidi" w:cstheme="majorBidi"/>
          <w:color w:val="000000" w:themeColor="text1"/>
        </w:rPr>
        <w:t xml:space="preserve"> Such interior frontiers/thresholds thus create an invisible geography marking out “the place one is rendered ‘unsafe’ or is considered ‘unsafe’ for others” </w:t>
      </w:r>
      <w:r w:rsidR="00CB399D" w:rsidRPr="00286011">
        <w:rPr>
          <w:rFonts w:asciiTheme="majorBidi" w:hAnsiTheme="majorBidi" w:cstheme="majorBidi"/>
          <w:color w:val="000000" w:themeColor="text1"/>
        </w:rPr>
        <w:t xml:space="preserve">(Ibid, p. 26) </w:t>
      </w:r>
      <w:r w:rsidRPr="00286011">
        <w:rPr>
          <w:rFonts w:asciiTheme="majorBidi" w:hAnsiTheme="majorBidi" w:cstheme="majorBidi"/>
          <w:color w:val="000000" w:themeColor="text1"/>
        </w:rPr>
        <w:t>or “being ‘at risk’ or ‘a risk’, and demarcate “a moral and dangerously political space”, in which state (and society) surveillance and security regimes are operated and mobilised at full force (Ibid, p.</w:t>
      </w:r>
      <w:r w:rsidR="00CB399D" w:rsidRPr="00286011">
        <w:rPr>
          <w:rFonts w:asciiTheme="majorBidi" w:hAnsiTheme="majorBidi" w:cstheme="majorBidi"/>
          <w:color w:val="000000" w:themeColor="text1"/>
        </w:rPr>
        <w:t xml:space="preserve"> 28</w:t>
      </w:r>
      <w:r w:rsidRPr="00286011">
        <w:rPr>
          <w:rFonts w:asciiTheme="majorBidi" w:hAnsiTheme="majorBidi" w:cstheme="majorBidi"/>
          <w:color w:val="000000" w:themeColor="text1"/>
        </w:rPr>
        <w:t>). Since they are internally demarcated, they imply the existence of ‘internal enemies’, a definition that also lacks stability and fixity, that emerges at the “heart of civic space” rather than determined by the state alone. We thus see both state and civil society participate in the making, unmaking, and maintenance of the thresholds. This is an important notion to which I will return later.</w:t>
      </w:r>
    </w:p>
    <w:p w14:paraId="733E33E1" w14:textId="6D07F5E4" w:rsidR="00594BC9" w:rsidRPr="00286011" w:rsidRDefault="00594BC9" w:rsidP="00594BC9">
      <w:pPr>
        <w:ind w:firstLine="454"/>
        <w:jc w:val="both"/>
        <w:rPr>
          <w:rFonts w:asciiTheme="majorBidi" w:hAnsiTheme="majorBidi" w:cstheme="majorBidi"/>
        </w:rPr>
      </w:pPr>
      <w:r w:rsidRPr="00286011">
        <w:rPr>
          <w:rFonts w:asciiTheme="majorBidi" w:hAnsiTheme="majorBidi" w:cstheme="majorBidi"/>
          <w:color w:val="000000" w:themeColor="text1"/>
        </w:rPr>
        <w:t xml:space="preserve">This short reflection about the qualities of the threshold can facilitate our thinking about thresholds of criminalisation and repression in the Israeli state, as the blurry/thick lines/spaces, where categories of populations, and different (political) </w:t>
      </w:r>
      <w:r w:rsidR="00032279" w:rsidRPr="00286011">
        <w:rPr>
          <w:rFonts w:asciiTheme="majorBidi" w:hAnsiTheme="majorBidi" w:cstheme="majorBidi"/>
          <w:color w:val="000000" w:themeColor="text1"/>
        </w:rPr>
        <w:t xml:space="preserve">ideas and </w:t>
      </w:r>
      <w:r w:rsidRPr="00286011">
        <w:rPr>
          <w:rFonts w:asciiTheme="majorBidi" w:hAnsiTheme="majorBidi" w:cstheme="majorBidi"/>
          <w:color w:val="000000" w:themeColor="text1"/>
        </w:rPr>
        <w:t xml:space="preserve">actions can fall in either side, or get stuck in the ‘in between-ness’ of the threshold. Specifically, </w:t>
      </w:r>
      <w:r w:rsidRPr="00286011">
        <w:rPr>
          <w:rFonts w:asciiTheme="majorBidi" w:hAnsiTheme="majorBidi" w:cstheme="majorBidi"/>
        </w:rPr>
        <w:t xml:space="preserve">the qualities of the threshold as a thick zone of transformation can support the analysis of two separate issues in relation to our case. </w:t>
      </w:r>
      <w:r w:rsidR="002762AD" w:rsidRPr="00286011">
        <w:rPr>
          <w:rFonts w:asciiTheme="majorBidi" w:hAnsiTheme="majorBidi" w:cstheme="majorBidi"/>
        </w:rPr>
        <w:t>When analysing the</w:t>
      </w:r>
      <w:r w:rsidRPr="00286011">
        <w:rPr>
          <w:rFonts w:asciiTheme="majorBidi" w:hAnsiTheme="majorBidi" w:cstheme="majorBidi"/>
        </w:rPr>
        <w:t xml:space="preserve"> threshold of threat</w:t>
      </w:r>
      <w:r w:rsidR="002762AD" w:rsidRPr="00286011">
        <w:rPr>
          <w:rFonts w:asciiTheme="majorBidi" w:hAnsiTheme="majorBidi" w:cstheme="majorBidi"/>
        </w:rPr>
        <w:t xml:space="preserve"> in</w:t>
      </w:r>
      <w:r w:rsidRPr="00286011">
        <w:rPr>
          <w:rFonts w:asciiTheme="majorBidi" w:hAnsiTheme="majorBidi" w:cstheme="majorBidi"/>
        </w:rPr>
        <w:t xml:space="preserve"> the </w:t>
      </w:r>
      <w:r w:rsidR="00032279" w:rsidRPr="00286011">
        <w:rPr>
          <w:rFonts w:asciiTheme="majorBidi" w:hAnsiTheme="majorBidi" w:cstheme="majorBidi"/>
        </w:rPr>
        <w:t xml:space="preserve">Israeli </w:t>
      </w:r>
      <w:r w:rsidRPr="00286011">
        <w:rPr>
          <w:rFonts w:asciiTheme="majorBidi" w:hAnsiTheme="majorBidi" w:cstheme="majorBidi"/>
        </w:rPr>
        <w:t>settler state</w:t>
      </w:r>
      <w:r w:rsidR="00032279" w:rsidRPr="00286011">
        <w:rPr>
          <w:rFonts w:asciiTheme="majorBidi" w:hAnsiTheme="majorBidi" w:cstheme="majorBidi"/>
        </w:rPr>
        <w:t xml:space="preserve">, </w:t>
      </w:r>
      <w:r w:rsidRPr="00286011">
        <w:rPr>
          <w:rFonts w:asciiTheme="majorBidi" w:hAnsiTheme="majorBidi" w:cstheme="majorBidi"/>
        </w:rPr>
        <w:t xml:space="preserve">I suggest looking at two interrelated issues: </w:t>
      </w:r>
      <w:r w:rsidRPr="00286011">
        <w:rPr>
          <w:rFonts w:asciiTheme="majorBidi" w:hAnsiTheme="majorBidi" w:cstheme="majorBidi"/>
          <w:b/>
          <w:bCs/>
        </w:rPr>
        <w:t>Firstly,</w:t>
      </w:r>
      <w:r w:rsidRPr="00286011">
        <w:rPr>
          <w:rFonts w:asciiTheme="majorBidi" w:hAnsiTheme="majorBidi" w:cstheme="majorBidi"/>
        </w:rPr>
        <w:t xml:space="preserve"> </w:t>
      </w:r>
      <w:r w:rsidR="00E735AC" w:rsidRPr="00286011">
        <w:rPr>
          <w:rFonts w:asciiTheme="majorBidi" w:hAnsiTheme="majorBidi" w:cstheme="majorBidi"/>
        </w:rPr>
        <w:t xml:space="preserve">what is </w:t>
      </w:r>
      <w:r w:rsidRPr="00286011">
        <w:rPr>
          <w:rFonts w:asciiTheme="majorBidi" w:hAnsiTheme="majorBidi" w:cstheme="majorBidi"/>
        </w:rPr>
        <w:t xml:space="preserve">the logic </w:t>
      </w:r>
      <w:r w:rsidR="00E735AC" w:rsidRPr="00286011">
        <w:rPr>
          <w:rFonts w:asciiTheme="majorBidi" w:hAnsiTheme="majorBidi" w:cstheme="majorBidi"/>
        </w:rPr>
        <w:t xml:space="preserve">that </w:t>
      </w:r>
      <w:r w:rsidRPr="00286011">
        <w:rPr>
          <w:rFonts w:asciiTheme="majorBidi" w:hAnsiTheme="majorBidi" w:cstheme="majorBidi"/>
        </w:rPr>
        <w:t xml:space="preserve">constitute the differentiation mechanism that determine the thresholds of repression and criminalisation in the liberal settler state? </w:t>
      </w:r>
      <w:r w:rsidRPr="00286011">
        <w:rPr>
          <w:rFonts w:asciiTheme="majorBidi" w:hAnsiTheme="majorBidi" w:cstheme="majorBidi"/>
          <w:b/>
          <w:bCs/>
        </w:rPr>
        <w:t>Second,</w:t>
      </w:r>
      <w:r w:rsidRPr="00286011">
        <w:rPr>
          <w:rFonts w:asciiTheme="majorBidi" w:hAnsiTheme="majorBidi" w:cstheme="majorBidi"/>
        </w:rPr>
        <w:t xml:space="preserve"> </w:t>
      </w:r>
      <w:r w:rsidR="00E735AC" w:rsidRPr="00286011">
        <w:rPr>
          <w:rFonts w:asciiTheme="majorBidi" w:hAnsiTheme="majorBidi" w:cstheme="majorBidi"/>
        </w:rPr>
        <w:t xml:space="preserve">how does </w:t>
      </w:r>
      <w:r w:rsidRPr="00286011">
        <w:rPr>
          <w:rFonts w:asciiTheme="majorBidi" w:hAnsiTheme="majorBidi" w:cstheme="majorBidi"/>
        </w:rPr>
        <w:t xml:space="preserve">the move from informal to formal criminalisation </w:t>
      </w:r>
      <w:r w:rsidR="00E735AC" w:rsidRPr="00286011">
        <w:rPr>
          <w:rFonts w:asciiTheme="majorBidi" w:hAnsiTheme="majorBidi" w:cstheme="majorBidi"/>
        </w:rPr>
        <w:t>occur?</w:t>
      </w:r>
      <w:r w:rsidRPr="00286011">
        <w:rPr>
          <w:rFonts w:asciiTheme="majorBidi" w:hAnsiTheme="majorBidi" w:cstheme="majorBidi"/>
        </w:rPr>
        <w:t xml:space="preserve"> In here, it is useful to point to the blurred lines between state and society and their agents in facilitating processes of criminalisation and repression. </w:t>
      </w:r>
    </w:p>
    <w:p w14:paraId="11A50001" w14:textId="77777777" w:rsidR="00594BC9" w:rsidRPr="00286011" w:rsidRDefault="00594BC9" w:rsidP="0043368F">
      <w:pPr>
        <w:jc w:val="both"/>
        <w:rPr>
          <w:rFonts w:asciiTheme="majorBidi" w:hAnsiTheme="majorBidi" w:cstheme="majorBidi"/>
          <w:i/>
          <w:iCs/>
        </w:rPr>
      </w:pPr>
    </w:p>
    <w:p w14:paraId="72AF3F8F" w14:textId="7AE08040" w:rsidR="00492BB0" w:rsidRPr="00286011" w:rsidRDefault="00492BB0" w:rsidP="005A6929">
      <w:pPr>
        <w:jc w:val="both"/>
        <w:rPr>
          <w:rFonts w:asciiTheme="majorBidi" w:hAnsiTheme="majorBidi" w:cstheme="majorBidi"/>
          <w:i/>
          <w:iCs/>
        </w:rPr>
      </w:pPr>
      <w:r w:rsidRPr="00286011">
        <w:rPr>
          <w:rFonts w:asciiTheme="majorBidi" w:hAnsiTheme="majorBidi" w:cstheme="majorBidi"/>
          <w:i/>
          <w:iCs/>
        </w:rPr>
        <w:t xml:space="preserve">Crime, criminalisation and dissent in the liberal (settler) state </w:t>
      </w:r>
    </w:p>
    <w:p w14:paraId="7E0A781F" w14:textId="77777777" w:rsidR="00492BB0" w:rsidRPr="00286011" w:rsidRDefault="00492BB0" w:rsidP="005A6929">
      <w:pPr>
        <w:ind w:firstLine="454"/>
        <w:jc w:val="both"/>
        <w:rPr>
          <w:rFonts w:asciiTheme="majorBidi" w:hAnsiTheme="majorBidi" w:cstheme="majorBidi"/>
        </w:rPr>
      </w:pPr>
    </w:p>
    <w:p w14:paraId="66DC0CC4" w14:textId="0ACD7297" w:rsidR="00DD776F" w:rsidRPr="00286011" w:rsidRDefault="00197206" w:rsidP="000A06D4">
      <w:pPr>
        <w:jc w:val="both"/>
        <w:rPr>
          <w:rFonts w:asciiTheme="majorBidi" w:hAnsiTheme="majorBidi" w:cstheme="majorBidi"/>
        </w:rPr>
      </w:pPr>
      <w:r w:rsidRPr="00286011">
        <w:rPr>
          <w:rFonts w:asciiTheme="majorBidi" w:hAnsiTheme="majorBidi" w:cstheme="majorBidi"/>
        </w:rPr>
        <w:t xml:space="preserve">‘Crime’, put simply, </w:t>
      </w:r>
      <w:r w:rsidR="00811976" w:rsidRPr="00286011">
        <w:rPr>
          <w:rFonts w:asciiTheme="majorBidi" w:hAnsiTheme="majorBidi" w:cstheme="majorBidi"/>
        </w:rPr>
        <w:t xml:space="preserve">is </w:t>
      </w:r>
      <w:r w:rsidRPr="00286011">
        <w:rPr>
          <w:rFonts w:asciiTheme="majorBidi" w:hAnsiTheme="majorBidi" w:cstheme="majorBidi"/>
        </w:rPr>
        <w:t>a violation of the law. But what is seemingly a neutral category is in fact a highly politicised concept</w:t>
      </w:r>
      <w:r w:rsidR="00811976" w:rsidRPr="00286011">
        <w:rPr>
          <w:rFonts w:asciiTheme="majorBidi" w:hAnsiTheme="majorBidi" w:cstheme="majorBidi"/>
        </w:rPr>
        <w:t>, as much as law itself</w:t>
      </w:r>
      <w:r w:rsidRPr="00286011">
        <w:rPr>
          <w:rFonts w:asciiTheme="majorBidi" w:hAnsiTheme="majorBidi" w:cstheme="majorBidi"/>
        </w:rPr>
        <w:t xml:space="preserve">. </w:t>
      </w:r>
      <w:r w:rsidR="00811976" w:rsidRPr="00286011">
        <w:rPr>
          <w:rFonts w:asciiTheme="majorBidi" w:hAnsiTheme="majorBidi" w:cstheme="majorBidi"/>
        </w:rPr>
        <w:t>Law is a reflection of the social and political arrangements, ideologies and values in any given polity</w:t>
      </w:r>
      <w:r w:rsidR="00A8029E" w:rsidRPr="00286011">
        <w:rPr>
          <w:rFonts w:asciiTheme="majorBidi" w:hAnsiTheme="majorBidi" w:cstheme="majorBidi"/>
        </w:rPr>
        <w:t xml:space="preserve"> (</w:t>
      </w:r>
      <w:r w:rsidR="00FB6258" w:rsidRPr="00286011">
        <w:rPr>
          <w:rFonts w:asciiTheme="majorBidi" w:hAnsiTheme="majorBidi" w:cstheme="majorBidi"/>
        </w:rPr>
        <w:t>Hutchinson and Monahan 1984; Giddens 1985</w:t>
      </w:r>
      <w:r w:rsidR="00A8029E" w:rsidRPr="00286011">
        <w:rPr>
          <w:rFonts w:asciiTheme="majorBidi" w:hAnsiTheme="majorBidi" w:cstheme="majorBidi"/>
        </w:rPr>
        <w:t>)</w:t>
      </w:r>
      <w:r w:rsidR="00811976" w:rsidRPr="00286011">
        <w:rPr>
          <w:rFonts w:asciiTheme="majorBidi" w:hAnsiTheme="majorBidi" w:cstheme="majorBidi"/>
        </w:rPr>
        <w:t xml:space="preserve">. It also serves to protect and maintain the status quo of the political regime, and educate the population </w:t>
      </w:r>
      <w:r w:rsidR="008B75B3" w:rsidRPr="00286011">
        <w:rPr>
          <w:rFonts w:asciiTheme="majorBidi" w:hAnsiTheme="majorBidi" w:cstheme="majorBidi"/>
        </w:rPr>
        <w:t>about the</w:t>
      </w:r>
      <w:r w:rsidR="00811976" w:rsidRPr="00286011">
        <w:rPr>
          <w:rFonts w:asciiTheme="majorBidi" w:hAnsiTheme="majorBidi" w:cstheme="majorBidi"/>
        </w:rPr>
        <w:t xml:space="preserve"> clear</w:t>
      </w:r>
      <w:r w:rsidR="008B75B3" w:rsidRPr="00286011">
        <w:rPr>
          <w:rFonts w:asciiTheme="majorBidi" w:hAnsiTheme="majorBidi" w:cstheme="majorBidi"/>
        </w:rPr>
        <w:t>ly marked</w:t>
      </w:r>
      <w:r w:rsidR="00811976" w:rsidRPr="00286011">
        <w:rPr>
          <w:rFonts w:asciiTheme="majorBidi" w:hAnsiTheme="majorBidi" w:cstheme="majorBidi"/>
        </w:rPr>
        <w:t xml:space="preserve"> distinctions between the desired and permissible behaviours, and those that are not</w:t>
      </w:r>
      <w:r w:rsidR="00A8029E" w:rsidRPr="00286011">
        <w:rPr>
          <w:rFonts w:asciiTheme="majorBidi" w:hAnsiTheme="majorBidi" w:cstheme="majorBidi"/>
        </w:rPr>
        <w:t xml:space="preserve"> (</w:t>
      </w:r>
      <w:r w:rsidR="00FB6258" w:rsidRPr="00286011">
        <w:rPr>
          <w:rFonts w:asciiTheme="majorBidi" w:hAnsiTheme="majorBidi" w:cstheme="majorBidi"/>
        </w:rPr>
        <w:t>Abel 1998; Harris and Gebel 1982; Gilroy 1987; Povinelli 2002; Goldberg 2002</w:t>
      </w:r>
      <w:r w:rsidR="00A8029E" w:rsidRPr="00286011">
        <w:rPr>
          <w:rFonts w:asciiTheme="majorBidi" w:hAnsiTheme="majorBidi" w:cstheme="majorBidi"/>
        </w:rPr>
        <w:t>)</w:t>
      </w:r>
      <w:r w:rsidR="00811976" w:rsidRPr="00286011">
        <w:rPr>
          <w:rFonts w:asciiTheme="majorBidi" w:hAnsiTheme="majorBidi" w:cstheme="majorBidi"/>
        </w:rPr>
        <w:t>.</w:t>
      </w:r>
      <w:r w:rsidR="00706217" w:rsidRPr="00286011">
        <w:rPr>
          <w:rFonts w:asciiTheme="majorBidi" w:hAnsiTheme="majorBidi" w:cstheme="majorBidi"/>
        </w:rPr>
        <w:t xml:space="preserve"> C</w:t>
      </w:r>
      <w:r w:rsidR="00E70623" w:rsidRPr="00286011">
        <w:rPr>
          <w:rFonts w:asciiTheme="majorBidi" w:hAnsiTheme="majorBidi" w:cstheme="majorBidi"/>
        </w:rPr>
        <w:t xml:space="preserve">rime </w:t>
      </w:r>
      <w:r w:rsidR="007E7419" w:rsidRPr="00286011">
        <w:rPr>
          <w:rFonts w:asciiTheme="majorBidi" w:hAnsiTheme="majorBidi" w:cstheme="majorBidi"/>
        </w:rPr>
        <w:t xml:space="preserve">must be similarly understood as </w:t>
      </w:r>
      <w:r w:rsidR="00706217" w:rsidRPr="00286011">
        <w:rPr>
          <w:rFonts w:asciiTheme="majorBidi" w:hAnsiTheme="majorBidi" w:cstheme="majorBidi"/>
        </w:rPr>
        <w:t xml:space="preserve">contextual - </w:t>
      </w:r>
      <w:r w:rsidR="007E7419" w:rsidRPr="00286011">
        <w:rPr>
          <w:rFonts w:asciiTheme="majorBidi" w:hAnsiTheme="majorBidi" w:cstheme="majorBidi"/>
        </w:rPr>
        <w:t>social</w:t>
      </w:r>
      <w:r w:rsidR="00706217" w:rsidRPr="00286011">
        <w:rPr>
          <w:rFonts w:asciiTheme="majorBidi" w:hAnsiTheme="majorBidi" w:cstheme="majorBidi"/>
        </w:rPr>
        <w:t>ly</w:t>
      </w:r>
      <w:r w:rsidR="007E7419" w:rsidRPr="00286011">
        <w:rPr>
          <w:rFonts w:asciiTheme="majorBidi" w:hAnsiTheme="majorBidi" w:cstheme="majorBidi"/>
        </w:rPr>
        <w:t xml:space="preserve"> and historically situated</w:t>
      </w:r>
      <w:r w:rsidR="00706217" w:rsidRPr="00286011">
        <w:rPr>
          <w:rFonts w:asciiTheme="majorBidi" w:hAnsiTheme="majorBidi" w:cstheme="majorBidi"/>
        </w:rPr>
        <w:t xml:space="preserve"> - </w:t>
      </w:r>
      <w:r w:rsidR="007E7419" w:rsidRPr="00286011">
        <w:rPr>
          <w:rFonts w:asciiTheme="majorBidi" w:hAnsiTheme="majorBidi" w:cstheme="majorBidi"/>
        </w:rPr>
        <w:t>and</w:t>
      </w:r>
      <w:r w:rsidR="00BA5A50" w:rsidRPr="00286011">
        <w:rPr>
          <w:rFonts w:asciiTheme="majorBidi" w:hAnsiTheme="majorBidi" w:cstheme="majorBidi"/>
        </w:rPr>
        <w:t xml:space="preserve"> thus</w:t>
      </w:r>
      <w:r w:rsidR="007E7419" w:rsidRPr="00286011">
        <w:rPr>
          <w:rFonts w:asciiTheme="majorBidi" w:hAnsiTheme="majorBidi" w:cstheme="majorBidi"/>
        </w:rPr>
        <w:t xml:space="preserve"> not as a natural or neutral category</w:t>
      </w:r>
      <w:r w:rsidR="00E70623" w:rsidRPr="00286011">
        <w:rPr>
          <w:rFonts w:asciiTheme="majorBidi" w:hAnsiTheme="majorBidi" w:cstheme="majorBidi"/>
        </w:rPr>
        <w:t xml:space="preserve"> (Hall et all 1978</w:t>
      </w:r>
      <w:r w:rsidR="00B009E6" w:rsidRPr="00286011">
        <w:rPr>
          <w:rFonts w:asciiTheme="majorBidi" w:hAnsiTheme="majorBidi" w:cstheme="majorBidi"/>
        </w:rPr>
        <w:t>, 185</w:t>
      </w:r>
      <w:r w:rsidR="00E70623" w:rsidRPr="00286011">
        <w:rPr>
          <w:rFonts w:asciiTheme="majorBidi" w:hAnsiTheme="majorBidi" w:cstheme="majorBidi"/>
        </w:rPr>
        <w:t>)</w:t>
      </w:r>
      <w:r w:rsidR="00BA5A50" w:rsidRPr="00286011">
        <w:rPr>
          <w:rFonts w:asciiTheme="majorBidi" w:hAnsiTheme="majorBidi" w:cstheme="majorBidi"/>
        </w:rPr>
        <w:t>.</w:t>
      </w:r>
      <w:r w:rsidR="00E70623" w:rsidRPr="00286011">
        <w:rPr>
          <w:rFonts w:asciiTheme="majorBidi" w:hAnsiTheme="majorBidi" w:cstheme="majorBidi"/>
        </w:rPr>
        <w:t xml:space="preserve"> </w:t>
      </w:r>
      <w:r w:rsidR="00811976" w:rsidRPr="00286011">
        <w:rPr>
          <w:rFonts w:asciiTheme="majorBidi" w:hAnsiTheme="majorBidi" w:cstheme="majorBidi"/>
        </w:rPr>
        <w:t>As such,</w:t>
      </w:r>
      <w:r w:rsidR="00B87FFB" w:rsidRPr="00286011">
        <w:rPr>
          <w:rFonts w:asciiTheme="majorBidi" w:hAnsiTheme="majorBidi" w:cstheme="majorBidi"/>
        </w:rPr>
        <w:t xml:space="preserve"> </w:t>
      </w:r>
      <w:r w:rsidRPr="00286011">
        <w:rPr>
          <w:rFonts w:asciiTheme="majorBidi" w:hAnsiTheme="majorBidi" w:cstheme="majorBidi"/>
        </w:rPr>
        <w:t>Wilson Gilmore reminds us “… what counts as crime in fact changes... Law change</w:t>
      </w:r>
      <w:r w:rsidR="00B73F3E" w:rsidRPr="00286011">
        <w:rPr>
          <w:rFonts w:asciiTheme="majorBidi" w:hAnsiTheme="majorBidi" w:cstheme="majorBidi"/>
        </w:rPr>
        <w:t>s</w:t>
      </w:r>
      <w:r w:rsidRPr="00286011">
        <w:rPr>
          <w:rFonts w:asciiTheme="majorBidi" w:hAnsiTheme="majorBidi" w:cstheme="majorBidi"/>
        </w:rPr>
        <w:t xml:space="preserve">, depending on what, in social order, counts as stability, and who, in a social order, needs to be controlled” (2007, 12). </w:t>
      </w:r>
      <w:r w:rsidR="00371BEE" w:rsidRPr="00286011">
        <w:rPr>
          <w:rFonts w:asciiTheme="majorBidi" w:hAnsiTheme="majorBidi" w:cstheme="majorBidi"/>
        </w:rPr>
        <w:t xml:space="preserve">For that, the study of processes of criminalisation is the study of the political and social order, values and norms. </w:t>
      </w:r>
    </w:p>
    <w:p w14:paraId="22E2A873" w14:textId="29A174E9" w:rsidR="008B75B3" w:rsidRPr="00286011" w:rsidRDefault="00811976" w:rsidP="005A6929">
      <w:pPr>
        <w:ind w:firstLine="454"/>
        <w:jc w:val="both"/>
        <w:rPr>
          <w:rFonts w:asciiTheme="majorBidi" w:hAnsiTheme="majorBidi" w:cstheme="majorBidi"/>
        </w:rPr>
      </w:pPr>
      <w:r w:rsidRPr="00286011">
        <w:rPr>
          <w:rFonts w:asciiTheme="majorBidi" w:hAnsiTheme="majorBidi" w:cstheme="majorBidi"/>
        </w:rPr>
        <w:t xml:space="preserve">Criminalisation, </w:t>
      </w:r>
      <w:r w:rsidR="00B009E6" w:rsidRPr="00286011">
        <w:rPr>
          <w:rFonts w:asciiTheme="majorBidi" w:hAnsiTheme="majorBidi" w:cstheme="majorBidi"/>
        </w:rPr>
        <w:t>“the attachment of the criminal label to the activities of the group which the authorities deem it necessary to control” (Hall et al 1978, 190)</w:t>
      </w:r>
      <w:r w:rsidR="0009571B" w:rsidRPr="00286011">
        <w:rPr>
          <w:rFonts w:asciiTheme="majorBidi" w:hAnsiTheme="majorBidi" w:cstheme="majorBidi"/>
        </w:rPr>
        <w:t xml:space="preserve">, </w:t>
      </w:r>
      <w:r w:rsidRPr="00286011">
        <w:rPr>
          <w:rFonts w:asciiTheme="majorBidi" w:hAnsiTheme="majorBidi" w:cstheme="majorBidi"/>
        </w:rPr>
        <w:t>is a process. It</w:t>
      </w:r>
      <w:r w:rsidR="00371BEE" w:rsidRPr="00286011">
        <w:rPr>
          <w:rFonts w:asciiTheme="majorBidi" w:hAnsiTheme="majorBidi" w:cstheme="majorBidi"/>
        </w:rPr>
        <w:t xml:space="preserve"> </w:t>
      </w:r>
      <w:r w:rsidR="00A8029E" w:rsidRPr="00286011">
        <w:rPr>
          <w:rFonts w:asciiTheme="majorBidi" w:hAnsiTheme="majorBidi" w:cstheme="majorBidi"/>
        </w:rPr>
        <w:t xml:space="preserve">operates </w:t>
      </w:r>
      <w:r w:rsidR="001A6496" w:rsidRPr="00286011">
        <w:rPr>
          <w:rFonts w:asciiTheme="majorBidi" w:hAnsiTheme="majorBidi" w:cstheme="majorBidi"/>
        </w:rPr>
        <w:t>along a continuum</w:t>
      </w:r>
      <w:r w:rsidR="00AB23B3" w:rsidRPr="00286011">
        <w:rPr>
          <w:rFonts w:asciiTheme="majorBidi" w:hAnsiTheme="majorBidi" w:cstheme="majorBidi"/>
        </w:rPr>
        <w:t xml:space="preserve"> and </w:t>
      </w:r>
      <w:r w:rsidRPr="00286011">
        <w:rPr>
          <w:rFonts w:asciiTheme="majorBidi" w:hAnsiTheme="majorBidi" w:cstheme="majorBidi"/>
        </w:rPr>
        <w:t>involves</w:t>
      </w:r>
      <w:r w:rsidR="00AB23B3" w:rsidRPr="00286011">
        <w:rPr>
          <w:rFonts w:asciiTheme="majorBidi" w:hAnsiTheme="majorBidi" w:cstheme="majorBidi"/>
        </w:rPr>
        <w:t xml:space="preserve"> multiple state and non-state</w:t>
      </w:r>
      <w:r w:rsidR="00A8029E" w:rsidRPr="00286011">
        <w:rPr>
          <w:rFonts w:asciiTheme="majorBidi" w:hAnsiTheme="majorBidi" w:cstheme="majorBidi"/>
        </w:rPr>
        <w:t xml:space="preserve"> actors</w:t>
      </w:r>
      <w:r w:rsidR="006B54EE" w:rsidRPr="00286011">
        <w:rPr>
          <w:rFonts w:asciiTheme="majorBidi" w:hAnsiTheme="majorBidi" w:cstheme="majorBidi"/>
        </w:rPr>
        <w:t xml:space="preserve">. </w:t>
      </w:r>
      <w:r w:rsidR="00AB23B3" w:rsidRPr="00286011">
        <w:rPr>
          <w:rFonts w:asciiTheme="majorBidi" w:hAnsiTheme="majorBidi" w:cstheme="majorBidi"/>
        </w:rPr>
        <w:t>The process</w:t>
      </w:r>
      <w:r w:rsidR="006B54EE" w:rsidRPr="00286011">
        <w:rPr>
          <w:rFonts w:asciiTheme="majorBidi" w:hAnsiTheme="majorBidi" w:cstheme="majorBidi"/>
        </w:rPr>
        <w:t xml:space="preserve"> starts from </w:t>
      </w:r>
      <w:r w:rsidR="00371BEE" w:rsidRPr="00286011">
        <w:rPr>
          <w:rFonts w:asciiTheme="majorBidi" w:hAnsiTheme="majorBidi" w:cstheme="majorBidi"/>
        </w:rPr>
        <w:t>establishing and determining</w:t>
      </w:r>
      <w:r w:rsidR="006B54EE" w:rsidRPr="00286011">
        <w:rPr>
          <w:rFonts w:asciiTheme="majorBidi" w:hAnsiTheme="majorBidi" w:cstheme="majorBidi"/>
        </w:rPr>
        <w:t xml:space="preserve"> </w:t>
      </w:r>
      <w:r w:rsidR="00CE180C" w:rsidRPr="00286011">
        <w:rPr>
          <w:rFonts w:asciiTheme="majorBidi" w:hAnsiTheme="majorBidi" w:cstheme="majorBidi"/>
        </w:rPr>
        <w:t>what constitutes the</w:t>
      </w:r>
      <w:r w:rsidRPr="00286011">
        <w:rPr>
          <w:rFonts w:asciiTheme="majorBidi" w:hAnsiTheme="majorBidi" w:cstheme="majorBidi"/>
        </w:rPr>
        <w:t xml:space="preserve"> status quo</w:t>
      </w:r>
      <w:r w:rsidR="00CE180C" w:rsidRPr="00286011">
        <w:rPr>
          <w:rFonts w:asciiTheme="majorBidi" w:hAnsiTheme="majorBidi" w:cstheme="majorBidi"/>
        </w:rPr>
        <w:t xml:space="preserve"> (stability of </w:t>
      </w:r>
      <w:r w:rsidR="00B73F3E" w:rsidRPr="00286011">
        <w:rPr>
          <w:rFonts w:asciiTheme="majorBidi" w:hAnsiTheme="majorBidi" w:cstheme="majorBidi"/>
        </w:rPr>
        <w:t xml:space="preserve">the </w:t>
      </w:r>
      <w:r w:rsidR="00CE180C" w:rsidRPr="00286011">
        <w:rPr>
          <w:rFonts w:asciiTheme="majorBidi" w:hAnsiTheme="majorBidi" w:cstheme="majorBidi"/>
        </w:rPr>
        <w:t>existing order)</w:t>
      </w:r>
      <w:r w:rsidRPr="00286011">
        <w:rPr>
          <w:rFonts w:asciiTheme="majorBidi" w:hAnsiTheme="majorBidi" w:cstheme="majorBidi"/>
        </w:rPr>
        <w:t xml:space="preserve"> and what is considered to be </w:t>
      </w:r>
      <w:r w:rsidR="00B73F3E" w:rsidRPr="00286011">
        <w:rPr>
          <w:rFonts w:asciiTheme="majorBidi" w:hAnsiTheme="majorBidi" w:cstheme="majorBidi"/>
        </w:rPr>
        <w:t xml:space="preserve">a </w:t>
      </w:r>
      <w:r w:rsidR="006B54EE" w:rsidRPr="00286011">
        <w:rPr>
          <w:rFonts w:asciiTheme="majorBidi" w:hAnsiTheme="majorBidi" w:cstheme="majorBidi"/>
        </w:rPr>
        <w:t>‘threat’</w:t>
      </w:r>
      <w:r w:rsidRPr="00286011">
        <w:rPr>
          <w:rFonts w:asciiTheme="majorBidi" w:hAnsiTheme="majorBidi" w:cstheme="majorBidi"/>
        </w:rPr>
        <w:t xml:space="preserve"> to the stability/status quo</w:t>
      </w:r>
      <w:r w:rsidR="006B54EE" w:rsidRPr="00286011">
        <w:rPr>
          <w:rFonts w:asciiTheme="majorBidi" w:hAnsiTheme="majorBidi" w:cstheme="majorBidi"/>
        </w:rPr>
        <w:t xml:space="preserve">, </w:t>
      </w:r>
      <w:r w:rsidRPr="00286011">
        <w:rPr>
          <w:rFonts w:asciiTheme="majorBidi" w:hAnsiTheme="majorBidi" w:cstheme="majorBidi"/>
        </w:rPr>
        <w:t>whether an</w:t>
      </w:r>
      <w:r w:rsidR="00AB23B3" w:rsidRPr="00286011">
        <w:rPr>
          <w:rFonts w:asciiTheme="majorBidi" w:hAnsiTheme="majorBidi" w:cstheme="majorBidi"/>
        </w:rPr>
        <w:t xml:space="preserve"> idea or an act, and the actors (individu</w:t>
      </w:r>
      <w:r w:rsidRPr="00286011">
        <w:rPr>
          <w:rFonts w:asciiTheme="majorBidi" w:hAnsiTheme="majorBidi" w:cstheme="majorBidi"/>
        </w:rPr>
        <w:t xml:space="preserve">als or groups) that pose </w:t>
      </w:r>
      <w:r w:rsidR="00371BEE" w:rsidRPr="00286011">
        <w:rPr>
          <w:rFonts w:asciiTheme="majorBidi" w:hAnsiTheme="majorBidi" w:cstheme="majorBidi"/>
        </w:rPr>
        <w:t>a</w:t>
      </w:r>
      <w:r w:rsidRPr="00286011">
        <w:rPr>
          <w:rFonts w:asciiTheme="majorBidi" w:hAnsiTheme="majorBidi" w:cstheme="majorBidi"/>
        </w:rPr>
        <w:t xml:space="preserve"> threat in their thoughts or deeds</w:t>
      </w:r>
      <w:r w:rsidR="00884801" w:rsidRPr="00286011">
        <w:rPr>
          <w:rFonts w:asciiTheme="majorBidi" w:hAnsiTheme="majorBidi" w:cstheme="majorBidi"/>
        </w:rPr>
        <w:t xml:space="preserve"> (and sometimes by their mere existence)</w:t>
      </w:r>
      <w:r w:rsidR="006B54EE" w:rsidRPr="00286011">
        <w:rPr>
          <w:rFonts w:asciiTheme="majorBidi" w:hAnsiTheme="majorBidi" w:cstheme="majorBidi"/>
        </w:rPr>
        <w:t xml:space="preserve">. </w:t>
      </w:r>
      <w:r w:rsidR="00E3380C" w:rsidRPr="00286011">
        <w:rPr>
          <w:rFonts w:asciiTheme="majorBidi" w:hAnsiTheme="majorBidi" w:cstheme="majorBidi"/>
        </w:rPr>
        <w:t xml:space="preserve">This is, as Hall et al explain, it is a “heavy ideological work, required to shift labels about until they stick” (Ibid). </w:t>
      </w:r>
      <w:r w:rsidR="006B54EE" w:rsidRPr="00286011">
        <w:rPr>
          <w:rFonts w:asciiTheme="majorBidi" w:hAnsiTheme="majorBidi" w:cstheme="majorBidi"/>
        </w:rPr>
        <w:t>Once these have been identified, such</w:t>
      </w:r>
      <w:r w:rsidR="00E3380C" w:rsidRPr="00286011">
        <w:rPr>
          <w:rFonts w:asciiTheme="majorBidi" w:hAnsiTheme="majorBidi" w:cstheme="majorBidi"/>
        </w:rPr>
        <w:t xml:space="preserve"> actors,</w:t>
      </w:r>
      <w:r w:rsidR="006B54EE" w:rsidRPr="00286011">
        <w:rPr>
          <w:rFonts w:asciiTheme="majorBidi" w:hAnsiTheme="majorBidi" w:cstheme="majorBidi"/>
        </w:rPr>
        <w:t xml:space="preserve"> ideas and </w:t>
      </w:r>
      <w:r w:rsidR="00CE180C" w:rsidRPr="00286011">
        <w:rPr>
          <w:rFonts w:asciiTheme="majorBidi" w:hAnsiTheme="majorBidi" w:cstheme="majorBidi"/>
        </w:rPr>
        <w:t>acts</w:t>
      </w:r>
      <w:r w:rsidR="00E3380C" w:rsidRPr="00286011">
        <w:rPr>
          <w:rFonts w:asciiTheme="majorBidi" w:hAnsiTheme="majorBidi" w:cstheme="majorBidi"/>
        </w:rPr>
        <w:t xml:space="preserve"> </w:t>
      </w:r>
      <w:r w:rsidR="006B54EE" w:rsidRPr="00286011">
        <w:rPr>
          <w:rFonts w:asciiTheme="majorBidi" w:hAnsiTheme="majorBidi" w:cstheme="majorBidi"/>
        </w:rPr>
        <w:t xml:space="preserve">need to be </w:t>
      </w:r>
      <w:r w:rsidR="00947E01" w:rsidRPr="00286011">
        <w:rPr>
          <w:rFonts w:asciiTheme="majorBidi" w:hAnsiTheme="majorBidi" w:cstheme="majorBidi"/>
        </w:rPr>
        <w:t xml:space="preserve">monitored, </w:t>
      </w:r>
      <w:r w:rsidR="006B54EE" w:rsidRPr="00286011">
        <w:rPr>
          <w:rFonts w:asciiTheme="majorBidi" w:hAnsiTheme="majorBidi" w:cstheme="majorBidi"/>
        </w:rPr>
        <w:t>controlled</w:t>
      </w:r>
      <w:r w:rsidR="00947E01" w:rsidRPr="00286011">
        <w:rPr>
          <w:rFonts w:asciiTheme="majorBidi" w:hAnsiTheme="majorBidi" w:cstheme="majorBidi"/>
        </w:rPr>
        <w:t xml:space="preserve"> and</w:t>
      </w:r>
      <w:r w:rsidR="006B54EE" w:rsidRPr="00286011">
        <w:rPr>
          <w:rFonts w:asciiTheme="majorBidi" w:hAnsiTheme="majorBidi" w:cstheme="majorBidi"/>
        </w:rPr>
        <w:t xml:space="preserve"> contained</w:t>
      </w:r>
      <w:r w:rsidR="00884801" w:rsidRPr="00286011">
        <w:rPr>
          <w:rFonts w:asciiTheme="majorBidi" w:hAnsiTheme="majorBidi" w:cstheme="majorBidi"/>
        </w:rPr>
        <w:t xml:space="preserve">; particular laws </w:t>
      </w:r>
      <w:r w:rsidR="00E3380C" w:rsidRPr="00286011">
        <w:rPr>
          <w:rFonts w:asciiTheme="majorBidi" w:hAnsiTheme="majorBidi" w:cstheme="majorBidi"/>
        </w:rPr>
        <w:t>must</w:t>
      </w:r>
      <w:r w:rsidR="00884801" w:rsidRPr="00286011">
        <w:rPr>
          <w:rFonts w:asciiTheme="majorBidi" w:hAnsiTheme="majorBidi" w:cstheme="majorBidi"/>
        </w:rPr>
        <w:t xml:space="preserve"> be written to </w:t>
      </w:r>
      <w:r w:rsidR="00E3380C" w:rsidRPr="00286011">
        <w:rPr>
          <w:rFonts w:asciiTheme="majorBidi" w:hAnsiTheme="majorBidi" w:cstheme="majorBidi"/>
        </w:rPr>
        <w:t>classify</w:t>
      </w:r>
      <w:r w:rsidR="00884801" w:rsidRPr="00286011">
        <w:rPr>
          <w:rFonts w:asciiTheme="majorBidi" w:hAnsiTheme="majorBidi" w:cstheme="majorBidi"/>
        </w:rPr>
        <w:t xml:space="preserve"> such activity </w:t>
      </w:r>
      <w:r w:rsidR="00E3380C" w:rsidRPr="00286011">
        <w:rPr>
          <w:rFonts w:asciiTheme="majorBidi" w:hAnsiTheme="majorBidi" w:cstheme="majorBidi"/>
        </w:rPr>
        <w:t xml:space="preserve">as </w:t>
      </w:r>
      <w:r w:rsidR="00884801" w:rsidRPr="00286011">
        <w:rPr>
          <w:rFonts w:asciiTheme="majorBidi" w:hAnsiTheme="majorBidi" w:cstheme="majorBidi"/>
        </w:rPr>
        <w:t xml:space="preserve">illegal/criminal; </w:t>
      </w:r>
      <w:r w:rsidR="00AA33E8" w:rsidRPr="00286011">
        <w:rPr>
          <w:rFonts w:asciiTheme="majorBidi" w:hAnsiTheme="majorBidi" w:cstheme="majorBidi"/>
        </w:rPr>
        <w:t xml:space="preserve">law enforcement agencies </w:t>
      </w:r>
      <w:r w:rsidR="00E3380C" w:rsidRPr="00286011">
        <w:rPr>
          <w:rFonts w:asciiTheme="majorBidi" w:hAnsiTheme="majorBidi" w:cstheme="majorBidi"/>
        </w:rPr>
        <w:t>are accordingly sent to police such actors, ideas and actions/behaviours</w:t>
      </w:r>
      <w:r w:rsidR="00AA33E8" w:rsidRPr="00286011">
        <w:rPr>
          <w:rFonts w:asciiTheme="majorBidi" w:hAnsiTheme="majorBidi" w:cstheme="majorBidi"/>
        </w:rPr>
        <w:t>; and legal professionals use new and existing legislation to prosecute such deeds and actors</w:t>
      </w:r>
      <w:r w:rsidR="001F04A8" w:rsidRPr="00286011">
        <w:rPr>
          <w:rFonts w:asciiTheme="majorBidi" w:hAnsiTheme="majorBidi" w:cstheme="majorBidi"/>
        </w:rPr>
        <w:t xml:space="preserve"> to remove them from society and its acceptable modes of behaviour</w:t>
      </w:r>
      <w:r w:rsidR="00AA33E8" w:rsidRPr="00286011">
        <w:rPr>
          <w:rFonts w:asciiTheme="majorBidi" w:hAnsiTheme="majorBidi" w:cstheme="majorBidi"/>
        </w:rPr>
        <w:t xml:space="preserve">. </w:t>
      </w:r>
      <w:r w:rsidR="009E5177" w:rsidRPr="00286011">
        <w:rPr>
          <w:rFonts w:asciiTheme="majorBidi" w:hAnsiTheme="majorBidi" w:cstheme="majorBidi"/>
        </w:rPr>
        <w:t xml:space="preserve">In this sense, all criminalisation is political in nature, as the categories are politically determined. </w:t>
      </w:r>
    </w:p>
    <w:p w14:paraId="13E2D847" w14:textId="2833DB4B" w:rsidR="00F23C26" w:rsidRPr="00286011" w:rsidRDefault="009E5177" w:rsidP="006932C3">
      <w:pPr>
        <w:ind w:firstLine="454"/>
        <w:jc w:val="both"/>
        <w:rPr>
          <w:rFonts w:asciiTheme="majorBidi" w:hAnsiTheme="majorBidi" w:cstheme="majorBidi"/>
        </w:rPr>
      </w:pPr>
      <w:r w:rsidRPr="00286011">
        <w:rPr>
          <w:rFonts w:asciiTheme="majorBidi" w:hAnsiTheme="majorBidi" w:cstheme="majorBidi"/>
        </w:rPr>
        <w:t>However, when</w:t>
      </w:r>
      <w:r w:rsidR="008B75B3" w:rsidRPr="00286011">
        <w:rPr>
          <w:rFonts w:asciiTheme="majorBidi" w:hAnsiTheme="majorBidi" w:cstheme="majorBidi"/>
        </w:rPr>
        <w:t xml:space="preserve"> </w:t>
      </w:r>
      <w:r w:rsidRPr="00286011">
        <w:rPr>
          <w:rFonts w:asciiTheme="majorBidi" w:hAnsiTheme="majorBidi" w:cstheme="majorBidi"/>
        </w:rPr>
        <w:t>thinking about</w:t>
      </w:r>
      <w:r w:rsidR="008B75B3" w:rsidRPr="00286011">
        <w:rPr>
          <w:rFonts w:asciiTheme="majorBidi" w:hAnsiTheme="majorBidi" w:cstheme="majorBidi"/>
        </w:rPr>
        <w:t xml:space="preserve"> </w:t>
      </w:r>
      <w:r w:rsidR="006F3D44" w:rsidRPr="00286011">
        <w:rPr>
          <w:rFonts w:asciiTheme="majorBidi" w:hAnsiTheme="majorBidi" w:cstheme="majorBidi"/>
        </w:rPr>
        <w:t>processes of</w:t>
      </w:r>
      <w:r w:rsidR="008B75B3" w:rsidRPr="00286011">
        <w:rPr>
          <w:rFonts w:asciiTheme="majorBidi" w:hAnsiTheme="majorBidi" w:cstheme="majorBidi"/>
        </w:rPr>
        <w:t xml:space="preserve"> criminalisation of political activism</w:t>
      </w:r>
      <w:r w:rsidRPr="00286011">
        <w:rPr>
          <w:rFonts w:asciiTheme="majorBidi" w:hAnsiTheme="majorBidi" w:cstheme="majorBidi"/>
        </w:rPr>
        <w:t xml:space="preserve"> in particular</w:t>
      </w:r>
      <w:r w:rsidR="008B75B3" w:rsidRPr="00286011">
        <w:rPr>
          <w:rFonts w:asciiTheme="majorBidi" w:hAnsiTheme="majorBidi" w:cstheme="majorBidi"/>
        </w:rPr>
        <w:t xml:space="preserve">, the picture becomes messier. </w:t>
      </w:r>
      <w:r w:rsidR="006F3D44" w:rsidRPr="00286011">
        <w:rPr>
          <w:rFonts w:asciiTheme="majorBidi" w:hAnsiTheme="majorBidi" w:cstheme="majorBidi"/>
        </w:rPr>
        <w:t xml:space="preserve">In the liberal (democratic) tradition, </w:t>
      </w:r>
      <w:r w:rsidR="00F048F1" w:rsidRPr="00286011">
        <w:rPr>
          <w:rFonts w:asciiTheme="majorBidi" w:hAnsiTheme="majorBidi" w:cstheme="majorBidi"/>
        </w:rPr>
        <w:t xml:space="preserve">‘dissent’ (the opposite of ‘consent’) means disagreement, and should be considered part of the ‘normal’ way of doing politics. </w:t>
      </w:r>
      <w:r w:rsidR="00453536" w:rsidRPr="00286011">
        <w:rPr>
          <w:rFonts w:asciiTheme="majorBidi" w:hAnsiTheme="majorBidi" w:cstheme="majorBidi"/>
        </w:rPr>
        <w:t>C</w:t>
      </w:r>
      <w:r w:rsidR="006932C3" w:rsidRPr="00286011">
        <w:rPr>
          <w:rFonts w:asciiTheme="majorBidi" w:hAnsiTheme="majorBidi" w:cstheme="majorBidi"/>
        </w:rPr>
        <w:t xml:space="preserve">riminalisation of </w:t>
      </w:r>
      <w:r w:rsidR="00F048F1" w:rsidRPr="00286011">
        <w:rPr>
          <w:rFonts w:asciiTheme="majorBidi" w:hAnsiTheme="majorBidi" w:cstheme="majorBidi"/>
        </w:rPr>
        <w:t xml:space="preserve">political activism </w:t>
      </w:r>
      <w:r w:rsidR="006932C3" w:rsidRPr="00286011">
        <w:rPr>
          <w:rFonts w:asciiTheme="majorBidi" w:hAnsiTheme="majorBidi" w:cstheme="majorBidi"/>
        </w:rPr>
        <w:t>happens when</w:t>
      </w:r>
      <w:r w:rsidR="00F048F1" w:rsidRPr="00286011">
        <w:rPr>
          <w:rFonts w:asciiTheme="majorBidi" w:hAnsiTheme="majorBidi" w:cstheme="majorBidi"/>
        </w:rPr>
        <w:t xml:space="preserve"> political conflicts are removed</w:t>
      </w:r>
      <w:r w:rsidR="006F3D44" w:rsidRPr="00286011">
        <w:rPr>
          <w:rFonts w:asciiTheme="majorBidi" w:hAnsiTheme="majorBidi" w:cstheme="majorBidi"/>
        </w:rPr>
        <w:t xml:space="preserve"> </w:t>
      </w:r>
      <w:r w:rsidR="006B54EE" w:rsidRPr="00286011">
        <w:rPr>
          <w:rFonts w:asciiTheme="majorBidi" w:hAnsiTheme="majorBidi" w:cstheme="majorBidi"/>
        </w:rPr>
        <w:t>from the realm of permissible political debate to the realm of police action, legal proceedings and legislation</w:t>
      </w:r>
      <w:r w:rsidR="006932C3" w:rsidRPr="00286011">
        <w:rPr>
          <w:rFonts w:asciiTheme="majorBidi" w:hAnsiTheme="majorBidi" w:cstheme="majorBidi"/>
        </w:rPr>
        <w:t>. This</w:t>
      </w:r>
      <w:r w:rsidR="00453536" w:rsidRPr="00286011">
        <w:rPr>
          <w:rFonts w:asciiTheme="majorBidi" w:hAnsiTheme="majorBidi" w:cstheme="majorBidi"/>
        </w:rPr>
        <w:t>, according to Watts (2020),</w:t>
      </w:r>
      <w:r w:rsidR="006932C3" w:rsidRPr="00286011">
        <w:rPr>
          <w:rFonts w:asciiTheme="majorBidi" w:hAnsiTheme="majorBidi" w:cstheme="majorBidi"/>
        </w:rPr>
        <w:t xml:space="preserve"> stands </w:t>
      </w:r>
      <w:r w:rsidR="006F3D44" w:rsidRPr="00286011">
        <w:rPr>
          <w:rFonts w:asciiTheme="majorBidi" w:hAnsiTheme="majorBidi" w:cstheme="majorBidi"/>
        </w:rPr>
        <w:t>in opposition to the democratic process itself</w:t>
      </w:r>
      <w:r w:rsidR="00BF6A72" w:rsidRPr="00286011">
        <w:rPr>
          <w:rFonts w:asciiTheme="majorBidi" w:hAnsiTheme="majorBidi" w:cstheme="majorBidi"/>
        </w:rPr>
        <w:t xml:space="preserve"> that should allow contestation and opposition</w:t>
      </w:r>
      <w:r w:rsidR="006F3D44" w:rsidRPr="00286011">
        <w:rPr>
          <w:rFonts w:asciiTheme="majorBidi" w:hAnsiTheme="majorBidi" w:cstheme="majorBidi"/>
        </w:rPr>
        <w:t xml:space="preserve">. </w:t>
      </w:r>
      <w:r w:rsidR="009242BB" w:rsidRPr="00286011">
        <w:rPr>
          <w:rFonts w:asciiTheme="majorBidi" w:hAnsiTheme="majorBidi" w:cstheme="majorBidi"/>
        </w:rPr>
        <w:t xml:space="preserve">Critiquing such an approach that sees a dichotomy between liberal democracies and repressive regimes in their relation and approach to dissent, </w:t>
      </w:r>
      <w:proofErr w:type="spellStart"/>
      <w:r w:rsidR="009242BB" w:rsidRPr="00286011">
        <w:rPr>
          <w:rFonts w:asciiTheme="majorBidi" w:hAnsiTheme="majorBidi" w:cstheme="majorBidi"/>
        </w:rPr>
        <w:t>Vegh</w:t>
      </w:r>
      <w:proofErr w:type="spellEnd"/>
      <w:r w:rsidR="009242BB" w:rsidRPr="00286011">
        <w:rPr>
          <w:rFonts w:asciiTheme="majorBidi" w:hAnsiTheme="majorBidi" w:cstheme="majorBidi"/>
        </w:rPr>
        <w:t xml:space="preserve"> Weis claims that “the right to dissent, which is at the core of democracy, has been often approached as a disruption and as a target of law enforcement in the Global South as well as in Global North” (2021, 1). While the end result itself (of criminalisation of political activism) is similar, the d</w:t>
      </w:r>
      <w:r w:rsidR="00F23C26" w:rsidRPr="00286011">
        <w:rPr>
          <w:rFonts w:asciiTheme="majorBidi" w:hAnsiTheme="majorBidi" w:cstheme="majorBidi"/>
        </w:rPr>
        <w:t xml:space="preserve">ifference </w:t>
      </w:r>
      <w:r w:rsidR="009242BB" w:rsidRPr="00286011">
        <w:rPr>
          <w:rFonts w:asciiTheme="majorBidi" w:hAnsiTheme="majorBidi" w:cstheme="majorBidi"/>
        </w:rPr>
        <w:t xml:space="preserve">commonplace lies in </w:t>
      </w:r>
      <w:r w:rsidR="00F23C26" w:rsidRPr="00286011">
        <w:rPr>
          <w:rFonts w:asciiTheme="majorBidi" w:hAnsiTheme="majorBidi" w:cstheme="majorBidi"/>
        </w:rPr>
        <w:t>the mechanisms of legitimation, production of public opinion, and creation of a sense of ‘moral panic’ of certain behaviours that pose</w:t>
      </w:r>
      <w:r w:rsidR="00B73F3E" w:rsidRPr="00286011">
        <w:rPr>
          <w:rFonts w:asciiTheme="majorBidi" w:hAnsiTheme="majorBidi" w:cstheme="majorBidi"/>
        </w:rPr>
        <w:t xml:space="preserve"> a</w:t>
      </w:r>
      <w:r w:rsidR="00F23C26" w:rsidRPr="00286011">
        <w:rPr>
          <w:rFonts w:asciiTheme="majorBidi" w:hAnsiTheme="majorBidi" w:cstheme="majorBidi"/>
        </w:rPr>
        <w:t xml:space="preserve"> threat to the status quo</w:t>
      </w:r>
      <w:r w:rsidR="000547CE" w:rsidRPr="00286011">
        <w:rPr>
          <w:rFonts w:asciiTheme="majorBidi" w:hAnsiTheme="majorBidi" w:cstheme="majorBidi"/>
        </w:rPr>
        <w:t>.</w:t>
      </w:r>
      <w:r w:rsidR="003B6FC6" w:rsidRPr="00286011">
        <w:rPr>
          <w:rFonts w:asciiTheme="majorBidi" w:hAnsiTheme="majorBidi" w:cstheme="majorBidi"/>
        </w:rPr>
        <w:t xml:space="preserve"> a process in which a certain group (and their ideas) is labelled as an enemy of the moral perception of the social and as a threat to its interests. This is </w:t>
      </w:r>
      <w:r w:rsidR="005733DF" w:rsidRPr="00286011">
        <w:rPr>
          <w:rFonts w:asciiTheme="majorBidi" w:hAnsiTheme="majorBidi" w:cstheme="majorBidi"/>
        </w:rPr>
        <w:t>an effective tool for monitoring of political activism that assist law enforcement agencies in controlling certain populations and silencing their activities (Hall et al 1978).</w:t>
      </w:r>
    </w:p>
    <w:p w14:paraId="3AD73565" w14:textId="2CC93E3A" w:rsidR="0040533E" w:rsidRPr="00286011" w:rsidRDefault="0040533E" w:rsidP="0040533E">
      <w:pPr>
        <w:ind w:firstLine="454"/>
        <w:jc w:val="both"/>
        <w:rPr>
          <w:rFonts w:asciiTheme="majorBidi" w:hAnsiTheme="majorBidi" w:cstheme="majorBidi"/>
        </w:rPr>
      </w:pPr>
      <w:r w:rsidRPr="00286011">
        <w:rPr>
          <w:rFonts w:asciiTheme="majorBidi" w:hAnsiTheme="majorBidi" w:cstheme="majorBidi"/>
        </w:rPr>
        <w:t>P</w:t>
      </w:r>
      <w:r w:rsidR="006F3D44" w:rsidRPr="00286011">
        <w:rPr>
          <w:rFonts w:asciiTheme="majorBidi" w:hAnsiTheme="majorBidi" w:cstheme="majorBidi"/>
        </w:rPr>
        <w:t>olitical activism is frequently criminalised and violently</w:t>
      </w:r>
      <w:r w:rsidR="009242BB" w:rsidRPr="00286011">
        <w:rPr>
          <w:rFonts w:asciiTheme="majorBidi" w:hAnsiTheme="majorBidi" w:cstheme="majorBidi"/>
        </w:rPr>
        <w:t xml:space="preserve"> repressed,</w:t>
      </w:r>
      <w:r w:rsidR="006F3D44" w:rsidRPr="00286011">
        <w:rPr>
          <w:rFonts w:asciiTheme="majorBidi" w:hAnsiTheme="majorBidi" w:cstheme="majorBidi"/>
        </w:rPr>
        <w:t xml:space="preserve"> </w:t>
      </w:r>
      <w:r w:rsidR="00E2610B" w:rsidRPr="00286011">
        <w:rPr>
          <w:rFonts w:asciiTheme="majorBidi" w:hAnsiTheme="majorBidi" w:cstheme="majorBidi"/>
        </w:rPr>
        <w:t xml:space="preserve">first and </w:t>
      </w:r>
      <w:r w:rsidR="009242BB" w:rsidRPr="00286011">
        <w:rPr>
          <w:rFonts w:asciiTheme="majorBidi" w:hAnsiTheme="majorBidi" w:cstheme="majorBidi"/>
        </w:rPr>
        <w:t>foremost when</w:t>
      </w:r>
      <w:r w:rsidR="000E121E" w:rsidRPr="00286011">
        <w:rPr>
          <w:rFonts w:asciiTheme="majorBidi" w:hAnsiTheme="majorBidi" w:cstheme="majorBidi"/>
        </w:rPr>
        <w:t xml:space="preserve"> protestors are categorised as ‘others’, along racial and class lines</w:t>
      </w:r>
      <w:r w:rsidR="006F3D44" w:rsidRPr="00286011">
        <w:rPr>
          <w:rFonts w:asciiTheme="majorBidi" w:hAnsiTheme="majorBidi" w:cstheme="majorBidi"/>
        </w:rPr>
        <w:t xml:space="preserve">. </w:t>
      </w:r>
      <w:r w:rsidR="000E121E" w:rsidRPr="00286011">
        <w:rPr>
          <w:rFonts w:asciiTheme="majorBidi" w:hAnsiTheme="majorBidi" w:cstheme="majorBidi"/>
        </w:rPr>
        <w:t>It</w:t>
      </w:r>
      <w:r w:rsidR="005F4272" w:rsidRPr="00286011">
        <w:rPr>
          <w:rFonts w:asciiTheme="majorBidi" w:hAnsiTheme="majorBidi" w:cstheme="majorBidi"/>
        </w:rPr>
        <w:t xml:space="preserve"> is</w:t>
      </w:r>
      <w:r w:rsidR="0061759B" w:rsidRPr="00286011">
        <w:rPr>
          <w:rFonts w:asciiTheme="majorBidi" w:hAnsiTheme="majorBidi" w:cstheme="majorBidi"/>
        </w:rPr>
        <w:t xml:space="preserve"> common to see in the </w:t>
      </w:r>
      <w:r w:rsidR="000E121E" w:rsidRPr="00286011">
        <w:rPr>
          <w:rFonts w:asciiTheme="majorBidi" w:hAnsiTheme="majorBidi" w:cstheme="majorBidi"/>
        </w:rPr>
        <w:t>‘</w:t>
      </w:r>
      <w:r w:rsidR="0061759B" w:rsidRPr="00286011">
        <w:rPr>
          <w:rFonts w:asciiTheme="majorBidi" w:hAnsiTheme="majorBidi" w:cstheme="majorBidi"/>
        </w:rPr>
        <w:t>liberal democracy</w:t>
      </w:r>
      <w:r w:rsidR="000E121E" w:rsidRPr="00286011">
        <w:rPr>
          <w:rFonts w:asciiTheme="majorBidi" w:hAnsiTheme="majorBidi" w:cstheme="majorBidi"/>
        </w:rPr>
        <w:t>’</w:t>
      </w:r>
      <w:r w:rsidR="0061759B" w:rsidRPr="00286011">
        <w:rPr>
          <w:rFonts w:asciiTheme="majorBidi" w:hAnsiTheme="majorBidi" w:cstheme="majorBidi"/>
        </w:rPr>
        <w:t xml:space="preserve"> that </w:t>
      </w:r>
      <w:r w:rsidR="006F3D44" w:rsidRPr="00286011">
        <w:rPr>
          <w:rFonts w:asciiTheme="majorBidi" w:hAnsiTheme="majorBidi" w:cstheme="majorBidi"/>
        </w:rPr>
        <w:t>“criminalization takes place via emergency-based and exceptional laws targeting dissent after conceiving it as a “danger” or a “threat” to social order</w:t>
      </w:r>
      <w:r w:rsidR="005F4272" w:rsidRPr="00286011">
        <w:rPr>
          <w:rFonts w:asciiTheme="majorBidi" w:hAnsiTheme="majorBidi" w:cstheme="majorBidi"/>
        </w:rPr>
        <w:t>”</w:t>
      </w:r>
      <w:r w:rsidR="006F3D44" w:rsidRPr="00286011">
        <w:rPr>
          <w:rFonts w:asciiTheme="majorBidi" w:hAnsiTheme="majorBidi" w:cstheme="majorBidi"/>
        </w:rPr>
        <w:t xml:space="preserve"> (</w:t>
      </w:r>
      <w:r w:rsidR="00F23C26" w:rsidRPr="00286011">
        <w:rPr>
          <w:rFonts w:asciiTheme="majorBidi" w:hAnsiTheme="majorBidi" w:cstheme="majorBidi"/>
        </w:rPr>
        <w:t>Ibid,</w:t>
      </w:r>
      <w:r w:rsidR="006F3D44" w:rsidRPr="00286011">
        <w:rPr>
          <w:rFonts w:asciiTheme="majorBidi" w:hAnsiTheme="majorBidi" w:cstheme="majorBidi"/>
        </w:rPr>
        <w:t xml:space="preserve"> 4)</w:t>
      </w:r>
      <w:r w:rsidR="0061759B" w:rsidRPr="00286011">
        <w:rPr>
          <w:rFonts w:asciiTheme="majorBidi" w:hAnsiTheme="majorBidi" w:cstheme="majorBidi"/>
        </w:rPr>
        <w:t xml:space="preserve">. </w:t>
      </w:r>
      <w:r w:rsidR="005F4272" w:rsidRPr="00286011">
        <w:rPr>
          <w:rFonts w:asciiTheme="majorBidi" w:hAnsiTheme="majorBidi" w:cstheme="majorBidi"/>
        </w:rPr>
        <w:t>Moreover, we commonly see colonial and imperial strategies and practices of oppression, surveillance and control on anticolonial movements and overseas experiences of counter insurgency find their way into every part of the liberal state bureaucracy (</w:t>
      </w:r>
      <w:proofErr w:type="spellStart"/>
      <w:r w:rsidR="005F4272" w:rsidRPr="00286011">
        <w:rPr>
          <w:rFonts w:asciiTheme="majorBidi" w:hAnsiTheme="majorBidi" w:cstheme="majorBidi"/>
        </w:rPr>
        <w:t>Choudry</w:t>
      </w:r>
      <w:proofErr w:type="spellEnd"/>
      <w:r w:rsidR="005F4272" w:rsidRPr="00286011">
        <w:rPr>
          <w:rFonts w:asciiTheme="majorBidi" w:hAnsiTheme="majorBidi" w:cstheme="majorBidi"/>
        </w:rPr>
        <w:t xml:space="preserve"> 2019</w:t>
      </w:r>
      <w:r w:rsidR="00F23C26" w:rsidRPr="00286011">
        <w:rPr>
          <w:rFonts w:asciiTheme="majorBidi" w:hAnsiTheme="majorBidi" w:cstheme="majorBidi"/>
        </w:rPr>
        <w:t xml:space="preserve">; </w:t>
      </w:r>
      <w:proofErr w:type="spellStart"/>
      <w:r w:rsidR="00F23C26" w:rsidRPr="00286011">
        <w:rPr>
          <w:rFonts w:asciiTheme="majorBidi" w:hAnsiTheme="majorBidi" w:cstheme="majorBidi"/>
        </w:rPr>
        <w:t>Bruckenhaus</w:t>
      </w:r>
      <w:proofErr w:type="spellEnd"/>
      <w:r w:rsidR="00F23C26" w:rsidRPr="00286011">
        <w:rPr>
          <w:rFonts w:asciiTheme="majorBidi" w:hAnsiTheme="majorBidi" w:cstheme="majorBidi"/>
        </w:rPr>
        <w:t xml:space="preserve"> 2017</w:t>
      </w:r>
      <w:r w:rsidR="005F4272" w:rsidRPr="00286011">
        <w:rPr>
          <w:rFonts w:asciiTheme="majorBidi" w:hAnsiTheme="majorBidi" w:cstheme="majorBidi"/>
        </w:rPr>
        <w:t>).</w:t>
      </w:r>
      <w:r w:rsidR="00544AC3" w:rsidRPr="00286011">
        <w:rPr>
          <w:rFonts w:asciiTheme="majorBidi" w:hAnsiTheme="majorBidi" w:cstheme="majorBidi"/>
        </w:rPr>
        <w:t xml:space="preserve"> Bearing this in mind will help draw wider conclusion about repression and criminalisation of political activism beyond the Israeli case, and beyond settler state, to the wider fora of the so-called ‘Western liberal democracies’. </w:t>
      </w:r>
    </w:p>
    <w:p w14:paraId="7D36D330" w14:textId="47AE30E4" w:rsidR="00896C29" w:rsidRPr="00286011" w:rsidRDefault="0040533E" w:rsidP="00C00133">
      <w:pPr>
        <w:ind w:firstLine="454"/>
        <w:jc w:val="both"/>
        <w:rPr>
          <w:rFonts w:asciiTheme="majorBidi" w:hAnsiTheme="majorBidi" w:cstheme="majorBidi"/>
        </w:rPr>
      </w:pPr>
      <w:r w:rsidRPr="00286011">
        <w:rPr>
          <w:rFonts w:asciiTheme="majorBidi" w:hAnsiTheme="majorBidi" w:cstheme="majorBidi"/>
        </w:rPr>
        <w:t>P</w:t>
      </w:r>
      <w:r w:rsidR="0061759B" w:rsidRPr="00286011">
        <w:rPr>
          <w:rFonts w:asciiTheme="majorBidi" w:hAnsiTheme="majorBidi" w:cstheme="majorBidi"/>
        </w:rPr>
        <w:t>rocesses of criminalisation of political activism in the liberal settler state follow a similar logic</w:t>
      </w:r>
      <w:r w:rsidR="006F66EC" w:rsidRPr="00286011">
        <w:rPr>
          <w:rFonts w:asciiTheme="majorBidi" w:hAnsiTheme="majorBidi" w:cstheme="majorBidi"/>
        </w:rPr>
        <w:t xml:space="preserve">, when </w:t>
      </w:r>
      <w:r w:rsidR="00824303" w:rsidRPr="00286011">
        <w:rPr>
          <w:rFonts w:asciiTheme="majorBidi" w:hAnsiTheme="majorBidi" w:cstheme="majorBidi"/>
        </w:rPr>
        <w:t xml:space="preserve">colonial and </w:t>
      </w:r>
      <w:r w:rsidR="006F66EC" w:rsidRPr="00286011">
        <w:rPr>
          <w:rFonts w:asciiTheme="majorBidi" w:hAnsiTheme="majorBidi" w:cstheme="majorBidi"/>
        </w:rPr>
        <w:t xml:space="preserve">racial distinctions take a more profound </w:t>
      </w:r>
      <w:r w:rsidR="00824303" w:rsidRPr="00286011">
        <w:rPr>
          <w:rFonts w:asciiTheme="majorBidi" w:hAnsiTheme="majorBidi" w:cstheme="majorBidi"/>
        </w:rPr>
        <w:t>place</w:t>
      </w:r>
      <w:r w:rsidR="006F66EC" w:rsidRPr="00286011">
        <w:rPr>
          <w:rFonts w:asciiTheme="majorBidi" w:hAnsiTheme="majorBidi" w:cstheme="majorBidi"/>
        </w:rPr>
        <w:t xml:space="preserve"> in the operational logic of the state</w:t>
      </w:r>
      <w:r w:rsidR="00824303" w:rsidRPr="00286011">
        <w:rPr>
          <w:rFonts w:asciiTheme="majorBidi" w:hAnsiTheme="majorBidi" w:cstheme="majorBidi"/>
        </w:rPr>
        <w:t xml:space="preserve">. Specifically, </w:t>
      </w:r>
      <w:r w:rsidR="00A91BE0" w:rsidRPr="00286011">
        <w:rPr>
          <w:rFonts w:asciiTheme="majorBidi" w:hAnsiTheme="majorBidi" w:cstheme="majorBidi"/>
        </w:rPr>
        <w:t>the liberal settler state, in its structures</w:t>
      </w:r>
      <w:r w:rsidR="00824303" w:rsidRPr="00286011">
        <w:rPr>
          <w:rFonts w:asciiTheme="majorBidi" w:hAnsiTheme="majorBidi" w:cstheme="majorBidi"/>
        </w:rPr>
        <w:t xml:space="preserve"> </w:t>
      </w:r>
      <w:r w:rsidR="00A91BE0" w:rsidRPr="00286011">
        <w:rPr>
          <w:rFonts w:asciiTheme="majorBidi" w:hAnsiTheme="majorBidi" w:cstheme="majorBidi"/>
        </w:rPr>
        <w:t>embodies both elements of liberalism</w:t>
      </w:r>
      <w:r w:rsidR="00EB708B" w:rsidRPr="00286011">
        <w:rPr>
          <w:rFonts w:asciiTheme="majorBidi" w:hAnsiTheme="majorBidi" w:cstheme="majorBidi"/>
        </w:rPr>
        <w:t xml:space="preserve"> and</w:t>
      </w:r>
      <w:r w:rsidR="00A91BE0" w:rsidRPr="00286011">
        <w:rPr>
          <w:rFonts w:asciiTheme="majorBidi" w:hAnsiTheme="majorBidi" w:cstheme="majorBidi"/>
        </w:rPr>
        <w:t xml:space="preserve"> colonialism</w:t>
      </w:r>
      <w:r w:rsidR="00EB708B" w:rsidRPr="00286011">
        <w:rPr>
          <w:rFonts w:asciiTheme="majorBidi" w:hAnsiTheme="majorBidi" w:cstheme="majorBidi"/>
        </w:rPr>
        <w:t xml:space="preserve"> (operating in the </w:t>
      </w:r>
      <w:r w:rsidR="00C00133" w:rsidRPr="00286011">
        <w:rPr>
          <w:rFonts w:asciiTheme="majorBidi" w:hAnsiTheme="majorBidi" w:cstheme="majorBidi"/>
        </w:rPr>
        <w:t xml:space="preserve">same </w:t>
      </w:r>
      <w:r w:rsidR="00EB708B" w:rsidRPr="00286011">
        <w:rPr>
          <w:rFonts w:asciiTheme="majorBidi" w:hAnsiTheme="majorBidi" w:cstheme="majorBidi"/>
        </w:rPr>
        <w:t>space)</w:t>
      </w:r>
      <w:r w:rsidR="00824303" w:rsidRPr="00286011">
        <w:rPr>
          <w:rFonts w:asciiTheme="majorBidi" w:hAnsiTheme="majorBidi" w:cstheme="majorBidi"/>
        </w:rPr>
        <w:t>: a</w:t>
      </w:r>
      <w:r w:rsidR="00495317" w:rsidRPr="00286011">
        <w:rPr>
          <w:rFonts w:asciiTheme="majorBidi" w:hAnsiTheme="majorBidi" w:cstheme="majorBidi"/>
        </w:rPr>
        <w:t>s a colonial entity, no dissent in the form of opposition to the colonial order of violence and privileges can be tolerated or considered legitimate, not even f</w:t>
      </w:r>
      <w:r w:rsidR="00DA1DDA" w:rsidRPr="00286011">
        <w:rPr>
          <w:rFonts w:asciiTheme="majorBidi" w:hAnsiTheme="majorBidi" w:cstheme="majorBidi"/>
        </w:rPr>
        <w:t>or</w:t>
      </w:r>
      <w:r w:rsidR="00495317" w:rsidRPr="00286011">
        <w:rPr>
          <w:rFonts w:asciiTheme="majorBidi" w:hAnsiTheme="majorBidi" w:cstheme="majorBidi"/>
        </w:rPr>
        <w:t xml:space="preserve"> the sake of appearances. </w:t>
      </w:r>
      <w:r w:rsidR="00A91BE0" w:rsidRPr="00286011">
        <w:rPr>
          <w:rFonts w:asciiTheme="majorBidi" w:hAnsiTheme="majorBidi" w:cstheme="majorBidi"/>
        </w:rPr>
        <w:t xml:space="preserve"> </w:t>
      </w:r>
      <w:r w:rsidR="00495317" w:rsidRPr="00286011">
        <w:rPr>
          <w:rFonts w:asciiTheme="majorBidi" w:hAnsiTheme="majorBidi" w:cstheme="majorBidi"/>
        </w:rPr>
        <w:t xml:space="preserve">But the </w:t>
      </w:r>
      <w:r w:rsidR="00A91BE0" w:rsidRPr="00286011">
        <w:rPr>
          <w:rFonts w:asciiTheme="majorBidi" w:hAnsiTheme="majorBidi" w:cstheme="majorBidi"/>
        </w:rPr>
        <w:t xml:space="preserve">mixture </w:t>
      </w:r>
      <w:r w:rsidR="00495317" w:rsidRPr="00286011">
        <w:rPr>
          <w:rFonts w:asciiTheme="majorBidi" w:hAnsiTheme="majorBidi" w:cstheme="majorBidi"/>
        </w:rPr>
        <w:t xml:space="preserve">of liberalism and settler colonialism </w:t>
      </w:r>
      <w:r w:rsidR="00A91BE0" w:rsidRPr="00286011">
        <w:rPr>
          <w:rFonts w:asciiTheme="majorBidi" w:hAnsiTheme="majorBidi" w:cstheme="majorBidi"/>
        </w:rPr>
        <w:t xml:space="preserve">reveals specific thresholds of criminalisation and repression operating horizontally and vertically, depending on racial mechanisms and the conception of </w:t>
      </w:r>
      <w:r w:rsidR="00824303" w:rsidRPr="00286011">
        <w:rPr>
          <w:rFonts w:asciiTheme="majorBidi" w:hAnsiTheme="majorBidi" w:cstheme="majorBidi"/>
        </w:rPr>
        <w:t xml:space="preserve">the </w:t>
      </w:r>
      <w:r w:rsidR="00A91BE0" w:rsidRPr="00286011">
        <w:rPr>
          <w:rFonts w:asciiTheme="majorBidi" w:hAnsiTheme="majorBidi" w:cstheme="majorBidi"/>
        </w:rPr>
        <w:t>threat</w:t>
      </w:r>
      <w:r w:rsidR="00824303" w:rsidRPr="00286011">
        <w:rPr>
          <w:rFonts w:asciiTheme="majorBidi" w:hAnsiTheme="majorBidi" w:cstheme="majorBidi"/>
        </w:rPr>
        <w:t xml:space="preserve"> posed to the regime</w:t>
      </w:r>
      <w:r w:rsidR="00A91BE0" w:rsidRPr="00286011">
        <w:rPr>
          <w:rFonts w:asciiTheme="majorBidi" w:hAnsiTheme="majorBidi" w:cstheme="majorBidi"/>
        </w:rPr>
        <w:t xml:space="preserve">. </w:t>
      </w:r>
      <w:r w:rsidR="00C00133" w:rsidRPr="00286011">
        <w:rPr>
          <w:rFonts w:asciiTheme="majorBidi" w:hAnsiTheme="majorBidi" w:cstheme="majorBidi"/>
        </w:rPr>
        <w:t xml:space="preserve">In Israel, that strives to maintain Jewish supremacy on the land, whose existence embodies the threat to such order? What ideas can pose a threat? And what acts can put activists on the other side of the </w:t>
      </w:r>
      <w:r w:rsidR="00A21350" w:rsidRPr="00286011">
        <w:rPr>
          <w:rFonts w:asciiTheme="majorBidi" w:hAnsiTheme="majorBidi" w:cstheme="majorBidi"/>
        </w:rPr>
        <w:t>threshold</w:t>
      </w:r>
      <w:r w:rsidR="00C00133" w:rsidRPr="00286011">
        <w:rPr>
          <w:rFonts w:asciiTheme="majorBidi" w:hAnsiTheme="majorBidi" w:cstheme="majorBidi"/>
        </w:rPr>
        <w:t xml:space="preserve">? </w:t>
      </w:r>
    </w:p>
    <w:p w14:paraId="472C342D" w14:textId="77777777" w:rsidR="00A21350" w:rsidRPr="00286011" w:rsidRDefault="00A21350" w:rsidP="005A6929">
      <w:pPr>
        <w:ind w:firstLine="454"/>
        <w:jc w:val="both"/>
        <w:rPr>
          <w:rFonts w:asciiTheme="majorBidi" w:hAnsiTheme="majorBidi" w:cstheme="majorBidi"/>
        </w:rPr>
      </w:pPr>
    </w:p>
    <w:p w14:paraId="5A4FB725" w14:textId="44BAA73A" w:rsidR="002E56F1" w:rsidRPr="00286011" w:rsidRDefault="007D7809" w:rsidP="00C46239">
      <w:pPr>
        <w:jc w:val="both"/>
        <w:rPr>
          <w:rFonts w:asciiTheme="majorBidi" w:eastAsia="Times New Roman" w:hAnsiTheme="majorBidi" w:cstheme="majorBidi"/>
          <w:i/>
          <w:iCs/>
          <w:color w:val="000000" w:themeColor="text1"/>
          <w:shd w:val="clear" w:color="auto" w:fill="FFFFFF"/>
          <w:lang w:eastAsia="en-GB"/>
        </w:rPr>
      </w:pPr>
      <w:r w:rsidRPr="00286011">
        <w:rPr>
          <w:rFonts w:asciiTheme="majorBidi" w:eastAsia="Times New Roman" w:hAnsiTheme="majorBidi" w:cstheme="majorBidi"/>
          <w:i/>
          <w:iCs/>
          <w:color w:val="000000" w:themeColor="text1"/>
          <w:shd w:val="clear" w:color="auto" w:fill="FFFFFF"/>
          <w:lang w:eastAsia="en-GB"/>
        </w:rPr>
        <w:t>The threshold of threat I: race</w:t>
      </w:r>
      <w:r w:rsidR="00A524E0" w:rsidRPr="00286011">
        <w:rPr>
          <w:rFonts w:asciiTheme="majorBidi" w:eastAsia="Times New Roman" w:hAnsiTheme="majorBidi" w:cstheme="majorBidi"/>
          <w:i/>
          <w:iCs/>
          <w:color w:val="000000" w:themeColor="text1"/>
          <w:shd w:val="clear" w:color="auto" w:fill="FFFFFF"/>
          <w:lang w:eastAsia="en-GB"/>
        </w:rPr>
        <w:t xml:space="preserve">, or, existence </w:t>
      </w:r>
    </w:p>
    <w:p w14:paraId="3FB022CA" w14:textId="77777777" w:rsidR="00C46239" w:rsidRPr="00286011" w:rsidRDefault="00C46239" w:rsidP="00C46239">
      <w:pPr>
        <w:jc w:val="both"/>
        <w:rPr>
          <w:rFonts w:asciiTheme="majorBidi" w:eastAsia="Times New Roman" w:hAnsiTheme="majorBidi" w:cstheme="majorBidi"/>
          <w:i/>
          <w:iCs/>
          <w:color w:val="000000" w:themeColor="text1"/>
          <w:shd w:val="clear" w:color="auto" w:fill="FFFFFF"/>
          <w:lang w:eastAsia="en-GB"/>
        </w:rPr>
      </w:pPr>
    </w:p>
    <w:p w14:paraId="0FDA058B" w14:textId="77777777" w:rsidR="000A06D4" w:rsidRPr="00286011" w:rsidRDefault="000A06D4" w:rsidP="000A06D4">
      <w:pPr>
        <w:jc w:val="both"/>
        <w:rPr>
          <w:rFonts w:asciiTheme="majorBidi" w:hAnsiTheme="majorBidi" w:cstheme="majorBidi"/>
          <w:color w:val="000000" w:themeColor="text1"/>
        </w:rPr>
      </w:pPr>
      <w:r w:rsidRPr="00286011">
        <w:rPr>
          <w:rFonts w:asciiTheme="majorBidi" w:hAnsiTheme="majorBidi" w:cstheme="majorBidi"/>
        </w:rPr>
        <w:t xml:space="preserve">Israel is a settler </w:t>
      </w:r>
      <w:r w:rsidRPr="00286011">
        <w:rPr>
          <w:rFonts w:asciiTheme="majorBidi" w:hAnsiTheme="majorBidi" w:cstheme="majorBidi"/>
          <w:color w:val="000000" w:themeColor="text1"/>
        </w:rPr>
        <w:t>state, a product of over a century long process of Zionist colonial settlement and progressive dispossession and elimination of the indigenous Palestinian population. Such categorisation is derived from the analysis of the Zionist movement as a settler colonial movement, whose aim was to establish a Jewish majority state in Palestine (</w:t>
      </w:r>
      <w:proofErr w:type="spellStart"/>
      <w:r w:rsidRPr="00286011">
        <w:rPr>
          <w:rFonts w:asciiTheme="majorBidi" w:hAnsiTheme="majorBidi" w:cstheme="majorBidi"/>
          <w:color w:val="000000" w:themeColor="text1"/>
        </w:rPr>
        <w:t>Jabary</w:t>
      </w:r>
      <w:proofErr w:type="spellEnd"/>
      <w:r w:rsidRPr="00286011">
        <w:rPr>
          <w:rFonts w:asciiTheme="majorBidi" w:hAnsiTheme="majorBidi" w:cstheme="majorBidi"/>
          <w:color w:val="000000" w:themeColor="text1"/>
        </w:rPr>
        <w:t xml:space="preserve"> Salamanca et al 2012). As a mid-twentieth century colonial formation, the founders of Israel had to conform to the changing times in the form of post WWII demands to respect human rights norms and the liberal international order. As such, Israel was formed as a procedural democracy, a possibility that was enabled by the forceful removal of most of the Palestinian majority within its territories during the 1948 war (Robinson 2013). To those Palestinians that managed to remain in the land that became Israel, the state extended some rights and duties embodied in the institution of citizenship, as determined by the (now turned) Jewish majority on the land. To follow Robinson’s (2013) categorisation, Israel can thus be defined as a ‘liberal settler state’, a formulation that relied on “a combination of legislated privilege, practices of informal discrimination, and the creation of territorial zones where the standard rules of governance did not apply” (p. 198). This form of rule is encapsulated in the Israeli self-definition of the state as </w:t>
      </w:r>
      <w:r w:rsidRPr="00286011">
        <w:rPr>
          <w:rFonts w:asciiTheme="majorBidi" w:hAnsiTheme="majorBidi" w:cstheme="majorBidi"/>
        </w:rPr>
        <w:t>‘Jewish and democratic’, a topic of multiple reflections, justifications and ongoing tension and critique (</w:t>
      </w:r>
      <w:proofErr w:type="spellStart"/>
      <w:r w:rsidRPr="00286011">
        <w:rPr>
          <w:rFonts w:asciiTheme="majorBidi" w:hAnsiTheme="majorBidi" w:cstheme="majorBidi"/>
        </w:rPr>
        <w:t>Gabizon</w:t>
      </w:r>
      <w:proofErr w:type="spellEnd"/>
      <w:r w:rsidRPr="00286011">
        <w:rPr>
          <w:rFonts w:asciiTheme="majorBidi" w:hAnsiTheme="majorBidi" w:cstheme="majorBidi"/>
        </w:rPr>
        <w:t xml:space="preserve"> 1999; </w:t>
      </w:r>
      <w:proofErr w:type="spellStart"/>
      <w:r w:rsidRPr="00286011">
        <w:rPr>
          <w:rFonts w:asciiTheme="majorBidi" w:hAnsiTheme="majorBidi" w:cstheme="majorBidi"/>
        </w:rPr>
        <w:t>Smooha</w:t>
      </w:r>
      <w:proofErr w:type="spellEnd"/>
      <w:r w:rsidRPr="00286011">
        <w:rPr>
          <w:rFonts w:asciiTheme="majorBidi" w:hAnsiTheme="majorBidi" w:cstheme="majorBidi"/>
        </w:rPr>
        <w:t xml:space="preserve"> 1997; </w:t>
      </w:r>
      <w:proofErr w:type="spellStart"/>
      <w:r w:rsidRPr="00286011">
        <w:rPr>
          <w:rFonts w:asciiTheme="majorBidi" w:hAnsiTheme="majorBidi" w:cstheme="majorBidi"/>
        </w:rPr>
        <w:t>Yiftachel</w:t>
      </w:r>
      <w:proofErr w:type="spellEnd"/>
      <w:r w:rsidRPr="00286011">
        <w:rPr>
          <w:rFonts w:asciiTheme="majorBidi" w:hAnsiTheme="majorBidi" w:cstheme="majorBidi"/>
        </w:rPr>
        <w:t xml:space="preserve"> 2006 among others). </w:t>
      </w:r>
    </w:p>
    <w:p w14:paraId="47F0F76B" w14:textId="73702961" w:rsidR="006D1D30" w:rsidRPr="00286011" w:rsidRDefault="000A06D4" w:rsidP="006D1D30">
      <w:pPr>
        <w:jc w:val="both"/>
        <w:rPr>
          <w:rFonts w:asciiTheme="majorBidi" w:hAnsiTheme="majorBidi" w:cstheme="majorBidi"/>
        </w:rPr>
      </w:pPr>
      <w:r w:rsidRPr="00286011">
        <w:rPr>
          <w:rFonts w:asciiTheme="majorBidi" w:hAnsiTheme="majorBidi" w:cstheme="majorBidi"/>
        </w:rPr>
        <w:tab/>
        <w:t xml:space="preserve">However, for the sake of the fulfilment of Zionist ideology and agenda, Israel is first and foremost a Jewish state, a state in which the Jewish people express their right to national independence and self-determination. Over the years multiple laws have been enacted in the Israeli parliament which legally ground the Jewish nature of Israel and grant special privileges to its Jewish citizens, thereby ensuring Jewish supremacy and </w:t>
      </w:r>
      <w:r w:rsidR="00E5288D" w:rsidRPr="00286011">
        <w:rPr>
          <w:rFonts w:asciiTheme="majorBidi" w:hAnsiTheme="majorBidi" w:cstheme="majorBidi"/>
        </w:rPr>
        <w:t>creating differentiated citizenship regime within the state</w:t>
      </w:r>
      <w:r w:rsidRPr="00286011">
        <w:rPr>
          <w:rFonts w:asciiTheme="majorBidi" w:hAnsiTheme="majorBidi" w:cstheme="majorBidi"/>
        </w:rPr>
        <w:t xml:space="preserve">. The Israeli </w:t>
      </w:r>
      <w:r w:rsidRPr="00286011">
        <w:rPr>
          <w:rFonts w:asciiTheme="majorBidi" w:hAnsiTheme="majorBidi" w:cstheme="majorBidi"/>
          <w:i/>
        </w:rPr>
        <w:t>Law of Return-1950</w:t>
      </w:r>
      <w:r w:rsidRPr="00286011">
        <w:rPr>
          <w:rFonts w:asciiTheme="majorBidi" w:hAnsiTheme="majorBidi" w:cstheme="majorBidi"/>
        </w:rPr>
        <w:t xml:space="preserve"> is a paradigmatic example of a law expressing the Jewish character of the state: It grants every Jew the right to emigrate to Israel and receive an automatic Israeli citizenship without conditions. This right is denied to Palestinian (inhabitants) spouses of Palestinian (citizens), as determined by the </w:t>
      </w:r>
      <w:r w:rsidRPr="00286011">
        <w:rPr>
          <w:rFonts w:asciiTheme="majorBidi" w:hAnsiTheme="majorBidi" w:cstheme="majorBidi"/>
          <w:i/>
          <w:iCs/>
        </w:rPr>
        <w:t>Citizenship and Entry into Israel law-2022</w:t>
      </w:r>
      <w:r w:rsidRPr="00286011">
        <w:rPr>
          <w:rFonts w:asciiTheme="majorBidi" w:hAnsiTheme="majorBidi" w:cstheme="majorBidi"/>
        </w:rPr>
        <w:t>.</w:t>
      </w:r>
      <w:r w:rsidRPr="00286011">
        <w:rPr>
          <w:rStyle w:val="FootnoteReference"/>
          <w:rFonts w:asciiTheme="majorBidi" w:hAnsiTheme="majorBidi" w:cstheme="majorBidi"/>
          <w:sz w:val="24"/>
        </w:rPr>
        <w:footnoteReference w:id="1"/>
      </w:r>
      <w:r w:rsidRPr="00286011">
        <w:rPr>
          <w:rFonts w:asciiTheme="majorBidi" w:hAnsiTheme="majorBidi" w:cstheme="majorBidi"/>
        </w:rPr>
        <w:t xml:space="preserve"> Other examples include the right to ownership of state lands, including the rights to transfer and sell them,</w:t>
      </w:r>
      <w:r w:rsidRPr="00286011">
        <w:rPr>
          <w:rStyle w:val="FootnoteReference"/>
          <w:rFonts w:asciiTheme="majorBidi" w:hAnsiTheme="majorBidi" w:cstheme="majorBidi"/>
          <w:sz w:val="24"/>
        </w:rPr>
        <w:footnoteReference w:id="2"/>
      </w:r>
      <w:r w:rsidRPr="00286011">
        <w:rPr>
          <w:rFonts w:asciiTheme="majorBidi" w:hAnsiTheme="majorBidi" w:cstheme="majorBidi"/>
        </w:rPr>
        <w:t xml:space="preserve"> and importantly, legality of political activism.</w:t>
      </w:r>
      <w:r w:rsidRPr="00286011">
        <w:rPr>
          <w:rStyle w:val="FootnoteReference"/>
          <w:rFonts w:asciiTheme="majorBidi" w:hAnsiTheme="majorBidi" w:cstheme="majorBidi"/>
          <w:sz w:val="24"/>
        </w:rPr>
        <w:footnoteReference w:id="3"/>
      </w:r>
      <w:r w:rsidRPr="00286011">
        <w:rPr>
          <w:rFonts w:asciiTheme="majorBidi" w:hAnsiTheme="majorBidi" w:cstheme="majorBidi"/>
        </w:rPr>
        <w:t xml:space="preserve"> Most recently, the </w:t>
      </w:r>
      <w:r w:rsidRPr="00286011">
        <w:rPr>
          <w:rFonts w:asciiTheme="majorBidi" w:hAnsiTheme="majorBidi" w:cstheme="majorBidi"/>
          <w:i/>
          <w:iCs/>
        </w:rPr>
        <w:t>Israel as the Nation-State of the Jewish People Law-2018</w:t>
      </w:r>
      <w:r w:rsidRPr="00286011">
        <w:rPr>
          <w:rFonts w:asciiTheme="majorBidi" w:hAnsiTheme="majorBidi" w:cstheme="majorBidi"/>
        </w:rPr>
        <w:t xml:space="preserve"> grounds in legislation what already de facto exists: Israel is the nation state of the Jewish people (and of them alone). </w:t>
      </w:r>
    </w:p>
    <w:p w14:paraId="73074F9F" w14:textId="49C97546" w:rsidR="003673A2" w:rsidRPr="00286011" w:rsidRDefault="00E5288D" w:rsidP="00DE5C6A">
      <w:pPr>
        <w:ind w:firstLine="454"/>
        <w:jc w:val="both"/>
        <w:rPr>
          <w:rFonts w:asciiTheme="majorBidi" w:hAnsiTheme="majorBidi" w:cstheme="majorBidi"/>
        </w:rPr>
      </w:pPr>
      <w:r w:rsidRPr="00286011">
        <w:rPr>
          <w:rFonts w:asciiTheme="majorBidi" w:hAnsiTheme="majorBidi" w:cstheme="majorBidi"/>
        </w:rPr>
        <w:t>T</w:t>
      </w:r>
      <w:r w:rsidR="006D1D30" w:rsidRPr="00286011">
        <w:rPr>
          <w:rFonts w:asciiTheme="majorBidi" w:hAnsiTheme="majorBidi" w:cstheme="majorBidi"/>
        </w:rPr>
        <w:t>he principle of supremacy of one group over another, or in other words – the logic of hierarchical racial differentiation is part and parcel of the foundation of any colonial project, as part of machinations of global racial capitalism (Robinson 2000</w:t>
      </w:r>
      <w:r w:rsidR="001452DE" w:rsidRPr="00286011">
        <w:rPr>
          <w:rFonts w:asciiTheme="majorBidi" w:hAnsiTheme="majorBidi" w:cstheme="majorBidi"/>
        </w:rPr>
        <w:t>)</w:t>
      </w:r>
      <w:r w:rsidR="006D1D30" w:rsidRPr="00286011">
        <w:rPr>
          <w:rFonts w:asciiTheme="majorBidi" w:hAnsiTheme="majorBidi" w:cstheme="majorBidi"/>
        </w:rPr>
        <w:t>.</w:t>
      </w:r>
      <w:r w:rsidR="00DE5C6A" w:rsidRPr="00286011">
        <w:rPr>
          <w:rFonts w:asciiTheme="majorBidi" w:hAnsiTheme="majorBidi" w:cstheme="majorBidi"/>
        </w:rPr>
        <w:t xml:space="preserve"> </w:t>
      </w:r>
      <w:r w:rsidR="001452DE" w:rsidRPr="00286011">
        <w:rPr>
          <w:rFonts w:asciiTheme="majorBidi" w:hAnsiTheme="majorBidi" w:cstheme="majorBidi"/>
        </w:rPr>
        <w:t>In the particular formulation of</w:t>
      </w:r>
      <w:r w:rsidR="00D85BFA" w:rsidRPr="00286011">
        <w:rPr>
          <w:rFonts w:asciiTheme="majorBidi" w:hAnsiTheme="majorBidi" w:cstheme="majorBidi"/>
        </w:rPr>
        <w:t xml:space="preserve"> the</w:t>
      </w:r>
      <w:r w:rsidR="001452DE" w:rsidRPr="00286011">
        <w:rPr>
          <w:rFonts w:asciiTheme="majorBidi" w:hAnsiTheme="majorBidi" w:cstheme="majorBidi"/>
        </w:rPr>
        <w:t xml:space="preserve"> liberal settler state, </w:t>
      </w:r>
      <w:r w:rsidR="00175A6E" w:rsidRPr="00286011">
        <w:rPr>
          <w:rFonts w:asciiTheme="majorBidi" w:hAnsiTheme="majorBidi" w:cstheme="majorBidi"/>
        </w:rPr>
        <w:t>“racial liberalism operates as settler colonialism’s regime of justification simultaneously through the mobilization of liberal institutions and rhetoric, the production of racial hierarchies…, and the enactment of differentiated regime of citizenship and land rights” (</w:t>
      </w:r>
      <w:proofErr w:type="spellStart"/>
      <w:r w:rsidR="00175A6E" w:rsidRPr="00286011">
        <w:rPr>
          <w:rFonts w:asciiTheme="majorBidi" w:hAnsiTheme="majorBidi" w:cstheme="majorBidi"/>
        </w:rPr>
        <w:t>Tatour</w:t>
      </w:r>
      <w:proofErr w:type="spellEnd"/>
      <w:r w:rsidR="00175A6E" w:rsidRPr="00286011">
        <w:rPr>
          <w:rFonts w:asciiTheme="majorBidi" w:hAnsiTheme="majorBidi" w:cstheme="majorBidi"/>
        </w:rPr>
        <w:t xml:space="preserve"> 2019, 578). </w:t>
      </w:r>
      <w:r w:rsidR="00DE5C6A" w:rsidRPr="00286011">
        <w:rPr>
          <w:rFonts w:asciiTheme="majorBidi" w:hAnsiTheme="majorBidi" w:cstheme="majorBidi"/>
        </w:rPr>
        <w:t xml:space="preserve">In Israel, it means that </w:t>
      </w:r>
      <w:r w:rsidR="006D1D30" w:rsidRPr="00286011">
        <w:rPr>
          <w:rFonts w:asciiTheme="majorBidi" w:hAnsiTheme="majorBidi" w:cstheme="majorBidi"/>
        </w:rPr>
        <w:t>Jewish</w:t>
      </w:r>
      <w:r w:rsidR="004D150B" w:rsidRPr="00286011">
        <w:rPr>
          <w:rFonts w:asciiTheme="majorBidi" w:hAnsiTheme="majorBidi" w:cstheme="majorBidi"/>
        </w:rPr>
        <w:t xml:space="preserve"> privileges are protected by </w:t>
      </w:r>
      <w:r w:rsidR="00A05D15" w:rsidRPr="00286011">
        <w:rPr>
          <w:rFonts w:asciiTheme="majorBidi" w:hAnsiTheme="majorBidi" w:cstheme="majorBidi"/>
        </w:rPr>
        <w:t xml:space="preserve">state </w:t>
      </w:r>
      <w:r w:rsidR="004D150B" w:rsidRPr="00286011">
        <w:rPr>
          <w:rFonts w:asciiTheme="majorBidi" w:hAnsiTheme="majorBidi" w:cstheme="majorBidi"/>
        </w:rPr>
        <w:t xml:space="preserve">laws and </w:t>
      </w:r>
      <w:r w:rsidR="00A05D15" w:rsidRPr="00286011">
        <w:rPr>
          <w:rFonts w:asciiTheme="majorBidi" w:hAnsiTheme="majorBidi" w:cstheme="majorBidi"/>
        </w:rPr>
        <w:t xml:space="preserve">its </w:t>
      </w:r>
      <w:r w:rsidR="004D150B" w:rsidRPr="00286011">
        <w:rPr>
          <w:rFonts w:asciiTheme="majorBidi" w:hAnsiTheme="majorBidi" w:cstheme="majorBidi"/>
        </w:rPr>
        <w:t xml:space="preserve">social structures, </w:t>
      </w:r>
      <w:r w:rsidR="006D1D30" w:rsidRPr="00286011">
        <w:rPr>
          <w:rFonts w:asciiTheme="majorBidi" w:hAnsiTheme="majorBidi" w:cstheme="majorBidi"/>
        </w:rPr>
        <w:t>while</w:t>
      </w:r>
      <w:r w:rsidR="004D150B" w:rsidRPr="00286011">
        <w:rPr>
          <w:rFonts w:asciiTheme="majorBidi" w:hAnsiTheme="majorBidi" w:cstheme="majorBidi"/>
        </w:rPr>
        <w:t xml:space="preserve"> </w:t>
      </w:r>
      <w:r w:rsidR="006D1D30" w:rsidRPr="00286011">
        <w:rPr>
          <w:rFonts w:asciiTheme="majorBidi" w:hAnsiTheme="majorBidi" w:cstheme="majorBidi"/>
        </w:rPr>
        <w:t>Palestinian</w:t>
      </w:r>
      <w:r w:rsidR="00EE3912" w:rsidRPr="00286011">
        <w:rPr>
          <w:rFonts w:asciiTheme="majorBidi" w:hAnsiTheme="majorBidi" w:cstheme="majorBidi"/>
        </w:rPr>
        <w:t xml:space="preserve"> </w:t>
      </w:r>
      <w:r w:rsidR="00D85BFA" w:rsidRPr="00286011">
        <w:rPr>
          <w:rFonts w:asciiTheme="majorBidi" w:hAnsiTheme="majorBidi" w:cstheme="majorBidi"/>
        </w:rPr>
        <w:t>citizenship and its rights is</w:t>
      </w:r>
      <w:r w:rsidR="00D65295" w:rsidRPr="00286011">
        <w:rPr>
          <w:rFonts w:asciiTheme="majorBidi" w:hAnsiTheme="majorBidi" w:cstheme="majorBidi"/>
        </w:rPr>
        <w:t xml:space="preserve"> </w:t>
      </w:r>
      <w:r w:rsidR="004D150B" w:rsidRPr="00286011">
        <w:rPr>
          <w:rFonts w:asciiTheme="majorBidi" w:hAnsiTheme="majorBidi" w:cstheme="majorBidi"/>
        </w:rPr>
        <w:t>conditioned, restrained, and placed under constant threat.</w:t>
      </w:r>
      <w:r w:rsidR="00C94414" w:rsidRPr="00286011">
        <w:rPr>
          <w:rFonts w:asciiTheme="majorBidi" w:hAnsiTheme="majorBidi" w:cstheme="majorBidi"/>
        </w:rPr>
        <w:t xml:space="preserve"> Being</w:t>
      </w:r>
      <w:r w:rsidR="00EE39D9" w:rsidRPr="00286011">
        <w:rPr>
          <w:rFonts w:asciiTheme="majorBidi" w:hAnsiTheme="majorBidi" w:cstheme="majorBidi"/>
        </w:rPr>
        <w:t xml:space="preserve"> a</w:t>
      </w:r>
      <w:r w:rsidR="00C94414" w:rsidRPr="00286011">
        <w:rPr>
          <w:rFonts w:asciiTheme="majorBidi" w:hAnsiTheme="majorBidi" w:cstheme="majorBidi"/>
        </w:rPr>
        <w:t xml:space="preserve"> Jewish Israeli citizen places one in the interior, and within the perimeter of the protection of the state, in relation to Palestinian citizens. However, </w:t>
      </w:r>
      <w:r w:rsidR="003673A2" w:rsidRPr="00286011">
        <w:rPr>
          <w:rFonts w:asciiTheme="majorBidi" w:hAnsiTheme="majorBidi" w:cstheme="majorBidi"/>
        </w:rPr>
        <w:t>with its limited layer of protection, c</w:t>
      </w:r>
      <w:r w:rsidR="00B367FF" w:rsidRPr="00286011">
        <w:rPr>
          <w:rFonts w:asciiTheme="majorBidi" w:hAnsiTheme="majorBidi" w:cstheme="majorBidi"/>
        </w:rPr>
        <w:t>itizenship</w:t>
      </w:r>
      <w:r w:rsidR="00171367" w:rsidRPr="00286011">
        <w:rPr>
          <w:rFonts w:asciiTheme="majorBidi" w:hAnsiTheme="majorBidi" w:cstheme="majorBidi"/>
        </w:rPr>
        <w:t xml:space="preserve"> </w:t>
      </w:r>
      <w:r w:rsidR="003673A2" w:rsidRPr="00286011">
        <w:rPr>
          <w:rFonts w:asciiTheme="majorBidi" w:hAnsiTheme="majorBidi" w:cstheme="majorBidi"/>
        </w:rPr>
        <w:t xml:space="preserve">does </w:t>
      </w:r>
      <w:r w:rsidR="001B418E" w:rsidRPr="00286011">
        <w:rPr>
          <w:rFonts w:asciiTheme="majorBidi" w:hAnsiTheme="majorBidi" w:cstheme="majorBidi"/>
        </w:rPr>
        <w:t>create</w:t>
      </w:r>
      <w:r w:rsidR="003673A2" w:rsidRPr="00286011">
        <w:rPr>
          <w:rFonts w:asciiTheme="majorBidi" w:hAnsiTheme="majorBidi" w:cstheme="majorBidi"/>
        </w:rPr>
        <w:t xml:space="preserve"> and maintain</w:t>
      </w:r>
      <w:r w:rsidR="001B418E" w:rsidRPr="00286011">
        <w:rPr>
          <w:rFonts w:asciiTheme="majorBidi" w:hAnsiTheme="majorBidi" w:cstheme="majorBidi"/>
        </w:rPr>
        <w:t xml:space="preserve"> a </w:t>
      </w:r>
      <w:r w:rsidR="00B367FF" w:rsidRPr="00286011">
        <w:rPr>
          <w:rFonts w:asciiTheme="majorBidi" w:hAnsiTheme="majorBidi" w:cstheme="majorBidi"/>
        </w:rPr>
        <w:t>distin</w:t>
      </w:r>
      <w:r w:rsidR="001B418E" w:rsidRPr="00286011">
        <w:rPr>
          <w:rFonts w:asciiTheme="majorBidi" w:hAnsiTheme="majorBidi" w:cstheme="majorBidi"/>
        </w:rPr>
        <w:t>ction</w:t>
      </w:r>
      <w:r w:rsidR="00B367FF" w:rsidRPr="00286011">
        <w:rPr>
          <w:rFonts w:asciiTheme="majorBidi" w:hAnsiTheme="majorBidi" w:cstheme="majorBidi"/>
        </w:rPr>
        <w:t xml:space="preserve"> between </w:t>
      </w:r>
      <w:r w:rsidR="001B418E" w:rsidRPr="00286011">
        <w:rPr>
          <w:rFonts w:asciiTheme="majorBidi" w:hAnsiTheme="majorBidi" w:cstheme="majorBidi"/>
        </w:rPr>
        <w:t xml:space="preserve">different communities of Palestinians: those </w:t>
      </w:r>
      <w:r w:rsidR="00B367FF" w:rsidRPr="00286011">
        <w:rPr>
          <w:rFonts w:asciiTheme="majorBidi" w:hAnsiTheme="majorBidi" w:cstheme="majorBidi"/>
        </w:rPr>
        <w:t>Palestinian</w:t>
      </w:r>
      <w:r w:rsidR="00EE39D9" w:rsidRPr="00286011">
        <w:rPr>
          <w:rFonts w:asciiTheme="majorBidi" w:hAnsiTheme="majorBidi" w:cstheme="majorBidi"/>
        </w:rPr>
        <w:t>s</w:t>
      </w:r>
      <w:r w:rsidR="00B367FF" w:rsidRPr="00286011">
        <w:rPr>
          <w:rFonts w:asciiTheme="majorBidi" w:hAnsiTheme="majorBidi" w:cstheme="majorBidi"/>
        </w:rPr>
        <w:t xml:space="preserve"> </w:t>
      </w:r>
      <w:r w:rsidR="001B418E" w:rsidRPr="00286011">
        <w:rPr>
          <w:rFonts w:asciiTheme="majorBidi" w:hAnsiTheme="majorBidi" w:cstheme="majorBidi"/>
        </w:rPr>
        <w:t xml:space="preserve">who are </w:t>
      </w:r>
      <w:r w:rsidR="00B367FF" w:rsidRPr="00286011">
        <w:rPr>
          <w:rFonts w:asciiTheme="majorBidi" w:hAnsiTheme="majorBidi" w:cstheme="majorBidi"/>
        </w:rPr>
        <w:t>citizen</w:t>
      </w:r>
      <w:r w:rsidR="00EE39D9" w:rsidRPr="00286011">
        <w:rPr>
          <w:rFonts w:asciiTheme="majorBidi" w:hAnsiTheme="majorBidi" w:cstheme="majorBidi"/>
        </w:rPr>
        <w:t>s</w:t>
      </w:r>
      <w:r w:rsidR="001B418E" w:rsidRPr="00286011">
        <w:rPr>
          <w:rFonts w:asciiTheme="majorBidi" w:hAnsiTheme="majorBidi" w:cstheme="majorBidi"/>
        </w:rPr>
        <w:t xml:space="preserve"> of the Israeli state</w:t>
      </w:r>
      <w:r w:rsidR="00B367FF" w:rsidRPr="00286011">
        <w:rPr>
          <w:rFonts w:asciiTheme="majorBidi" w:hAnsiTheme="majorBidi" w:cstheme="majorBidi"/>
        </w:rPr>
        <w:t>, and</w:t>
      </w:r>
      <w:r w:rsidR="00EE3912" w:rsidRPr="00286011">
        <w:rPr>
          <w:rFonts w:asciiTheme="majorBidi" w:hAnsiTheme="majorBidi" w:cstheme="majorBidi"/>
        </w:rPr>
        <w:t xml:space="preserve"> those</w:t>
      </w:r>
      <w:r w:rsidR="00D65295" w:rsidRPr="00286011">
        <w:rPr>
          <w:rFonts w:asciiTheme="majorBidi" w:hAnsiTheme="majorBidi" w:cstheme="majorBidi"/>
        </w:rPr>
        <w:t xml:space="preserve"> Palestinians</w:t>
      </w:r>
      <w:r w:rsidR="00EE3912" w:rsidRPr="00286011">
        <w:rPr>
          <w:rFonts w:asciiTheme="majorBidi" w:hAnsiTheme="majorBidi" w:cstheme="majorBidi"/>
        </w:rPr>
        <w:t xml:space="preserve"> who are</w:t>
      </w:r>
      <w:r w:rsidR="00D65295" w:rsidRPr="00286011">
        <w:rPr>
          <w:rFonts w:asciiTheme="majorBidi" w:hAnsiTheme="majorBidi" w:cstheme="majorBidi"/>
        </w:rPr>
        <w:t xml:space="preserve"> living under military occupation (West Bank), in annexed </w:t>
      </w:r>
      <w:r w:rsidR="00EE3912" w:rsidRPr="00286011">
        <w:rPr>
          <w:rFonts w:asciiTheme="majorBidi" w:hAnsiTheme="majorBidi" w:cstheme="majorBidi"/>
        </w:rPr>
        <w:t>o</w:t>
      </w:r>
      <w:r w:rsidR="00D65295" w:rsidRPr="00286011">
        <w:rPr>
          <w:rFonts w:asciiTheme="majorBidi" w:hAnsiTheme="majorBidi" w:cstheme="majorBidi"/>
        </w:rPr>
        <w:t>ccupied East Jerusalem</w:t>
      </w:r>
      <w:r w:rsidR="00DE5C6A" w:rsidRPr="00286011">
        <w:rPr>
          <w:rFonts w:asciiTheme="majorBidi" w:hAnsiTheme="majorBidi" w:cstheme="majorBidi"/>
        </w:rPr>
        <w:t xml:space="preserve"> (as Israeli residents)</w:t>
      </w:r>
      <w:r w:rsidR="00D65295" w:rsidRPr="00286011">
        <w:rPr>
          <w:rFonts w:asciiTheme="majorBidi" w:hAnsiTheme="majorBidi" w:cstheme="majorBidi"/>
        </w:rPr>
        <w:t>, or in the besieged Gaza Strip</w:t>
      </w:r>
      <w:r w:rsidR="001B418E" w:rsidRPr="00286011">
        <w:rPr>
          <w:rFonts w:asciiTheme="majorBidi" w:hAnsiTheme="majorBidi" w:cstheme="majorBidi"/>
        </w:rPr>
        <w:t xml:space="preserve">. </w:t>
      </w:r>
    </w:p>
    <w:p w14:paraId="6E9BDF86" w14:textId="02B17A39" w:rsidR="00587A2D" w:rsidRPr="00286011" w:rsidRDefault="00DE5C6A" w:rsidP="00175A6E">
      <w:pPr>
        <w:ind w:firstLine="454"/>
        <w:jc w:val="both"/>
        <w:rPr>
          <w:rFonts w:asciiTheme="majorBidi" w:hAnsiTheme="majorBidi" w:cstheme="majorBidi"/>
        </w:rPr>
      </w:pPr>
      <w:r w:rsidRPr="00286011">
        <w:rPr>
          <w:rFonts w:asciiTheme="majorBidi" w:hAnsiTheme="majorBidi" w:cstheme="majorBidi"/>
        </w:rPr>
        <w:t>Accordingly, e</w:t>
      </w:r>
      <w:r w:rsidR="001B418E" w:rsidRPr="00286011">
        <w:rPr>
          <w:rFonts w:asciiTheme="majorBidi" w:hAnsiTheme="majorBidi" w:cstheme="majorBidi"/>
        </w:rPr>
        <w:t xml:space="preserve">ach group’s </w:t>
      </w:r>
      <w:r w:rsidR="00BD0111" w:rsidRPr="00286011">
        <w:rPr>
          <w:rFonts w:asciiTheme="majorBidi" w:hAnsiTheme="majorBidi" w:cstheme="majorBidi"/>
        </w:rPr>
        <w:t>strategies of resistance against the Israeli state are met with varying degrees of violence</w:t>
      </w:r>
      <w:r w:rsidR="00171367" w:rsidRPr="00286011">
        <w:rPr>
          <w:rFonts w:asciiTheme="majorBidi" w:hAnsiTheme="majorBidi" w:cstheme="majorBidi"/>
        </w:rPr>
        <w:t xml:space="preserve"> by the state’s security apparatus</w:t>
      </w:r>
      <w:r w:rsidR="00D65295" w:rsidRPr="00286011">
        <w:rPr>
          <w:rFonts w:asciiTheme="majorBidi" w:hAnsiTheme="majorBidi" w:cstheme="majorBidi"/>
        </w:rPr>
        <w:t xml:space="preserve">. </w:t>
      </w:r>
      <w:r w:rsidRPr="00286011">
        <w:rPr>
          <w:rFonts w:asciiTheme="majorBidi" w:hAnsiTheme="majorBidi" w:cstheme="majorBidi"/>
        </w:rPr>
        <w:t>C</w:t>
      </w:r>
      <w:r w:rsidR="00D65295" w:rsidRPr="00286011">
        <w:rPr>
          <w:rFonts w:asciiTheme="majorBidi" w:hAnsiTheme="majorBidi" w:cstheme="majorBidi"/>
        </w:rPr>
        <w:t xml:space="preserve">itizenship extended to Palestinian citizens in the Israeli settler state </w:t>
      </w:r>
      <w:r w:rsidRPr="00286011">
        <w:rPr>
          <w:rFonts w:asciiTheme="majorBidi" w:hAnsiTheme="majorBidi" w:cstheme="majorBidi"/>
        </w:rPr>
        <w:t>acts as a</w:t>
      </w:r>
      <w:r w:rsidR="00531E62" w:rsidRPr="00286011">
        <w:rPr>
          <w:rFonts w:asciiTheme="majorBidi" w:hAnsiTheme="majorBidi" w:cstheme="majorBidi"/>
        </w:rPr>
        <w:t xml:space="preserve"> </w:t>
      </w:r>
      <w:r w:rsidR="00D65295" w:rsidRPr="00286011">
        <w:rPr>
          <w:rFonts w:asciiTheme="majorBidi" w:hAnsiTheme="majorBidi" w:cstheme="majorBidi"/>
        </w:rPr>
        <w:t xml:space="preserve">differentiation rationale that grants its holders different treatment in terms of </w:t>
      </w:r>
      <w:r w:rsidR="00BD0111" w:rsidRPr="00286011">
        <w:rPr>
          <w:rFonts w:asciiTheme="majorBidi" w:hAnsiTheme="majorBidi" w:cstheme="majorBidi"/>
        </w:rPr>
        <w:t>legislation and law enforcement</w:t>
      </w:r>
      <w:r w:rsidR="00D65295" w:rsidRPr="00286011">
        <w:rPr>
          <w:rFonts w:asciiTheme="majorBidi" w:hAnsiTheme="majorBidi" w:cstheme="majorBidi"/>
        </w:rPr>
        <w:t xml:space="preserve">, </w:t>
      </w:r>
      <w:r w:rsidR="00CA0FEC" w:rsidRPr="00286011">
        <w:rPr>
          <w:rFonts w:asciiTheme="majorBidi" w:hAnsiTheme="majorBidi" w:cstheme="majorBidi"/>
        </w:rPr>
        <w:t>determined</w:t>
      </w:r>
      <w:r w:rsidR="00D65295" w:rsidRPr="00286011">
        <w:rPr>
          <w:rFonts w:asciiTheme="majorBidi" w:hAnsiTheme="majorBidi" w:cstheme="majorBidi"/>
        </w:rPr>
        <w:t xml:space="preserve"> by the need of Israel to maintain some level of liberalism within its rul</w:t>
      </w:r>
      <w:r w:rsidR="00CA0FEC" w:rsidRPr="00286011">
        <w:rPr>
          <w:rFonts w:asciiTheme="majorBidi" w:hAnsiTheme="majorBidi" w:cstheme="majorBidi"/>
        </w:rPr>
        <w:t>e, and some (albeit limited) commitment to preserve at least the processes</w:t>
      </w:r>
      <w:r w:rsidR="00171367" w:rsidRPr="00286011">
        <w:rPr>
          <w:rFonts w:asciiTheme="majorBidi" w:hAnsiTheme="majorBidi" w:cstheme="majorBidi"/>
        </w:rPr>
        <w:t xml:space="preserve"> and procedures</w:t>
      </w:r>
      <w:r w:rsidR="00CA0FEC" w:rsidRPr="00286011">
        <w:rPr>
          <w:rFonts w:asciiTheme="majorBidi" w:hAnsiTheme="majorBidi" w:cstheme="majorBidi"/>
        </w:rPr>
        <w:t xml:space="preserve"> of a democratic regime</w:t>
      </w:r>
      <w:r w:rsidR="00D65295" w:rsidRPr="00286011">
        <w:rPr>
          <w:rFonts w:asciiTheme="majorBidi" w:hAnsiTheme="majorBidi" w:cstheme="majorBidi"/>
        </w:rPr>
        <w:t xml:space="preserve">. Indeed, Israeli citizenship held by Palestinians is conceptualised </w:t>
      </w:r>
      <w:r w:rsidRPr="00286011">
        <w:rPr>
          <w:rFonts w:asciiTheme="majorBidi" w:hAnsiTheme="majorBidi" w:cstheme="majorBidi"/>
        </w:rPr>
        <w:t xml:space="preserve">by scholars </w:t>
      </w:r>
      <w:r w:rsidR="00D65295" w:rsidRPr="00286011">
        <w:rPr>
          <w:rFonts w:asciiTheme="majorBidi" w:hAnsiTheme="majorBidi" w:cstheme="majorBidi"/>
        </w:rPr>
        <w:t>as a ‘settler colonial citizenship’ (</w:t>
      </w:r>
      <w:proofErr w:type="spellStart"/>
      <w:r w:rsidR="00D65295" w:rsidRPr="00286011">
        <w:rPr>
          <w:rFonts w:asciiTheme="majorBidi" w:hAnsiTheme="majorBidi" w:cstheme="majorBidi"/>
        </w:rPr>
        <w:t>Rouhana</w:t>
      </w:r>
      <w:proofErr w:type="spellEnd"/>
      <w:r w:rsidR="001B418E" w:rsidRPr="00286011">
        <w:rPr>
          <w:rFonts w:asciiTheme="majorBidi" w:hAnsiTheme="majorBidi" w:cstheme="majorBidi"/>
        </w:rPr>
        <w:t xml:space="preserve"> and Sabbagh-Khoury 2015</w:t>
      </w:r>
      <w:r w:rsidR="00D65295" w:rsidRPr="00286011">
        <w:rPr>
          <w:rFonts w:asciiTheme="majorBidi" w:hAnsiTheme="majorBidi" w:cstheme="majorBidi"/>
        </w:rPr>
        <w:t xml:space="preserve">) and a ‘tool of domination’ (Tatour 2019). </w:t>
      </w:r>
      <w:r w:rsidR="00493009" w:rsidRPr="00286011">
        <w:rPr>
          <w:rFonts w:asciiTheme="majorBidi" w:hAnsiTheme="majorBidi" w:cstheme="majorBidi"/>
        </w:rPr>
        <w:t xml:space="preserve">Palestinian citizenship in Israel is thus located somewhere in between ‘being a citizen’ with its duties and privileges (in relation to non-citizens) but at the same time, a potential ‘enemy from within’, both inside and outside at the same time. </w:t>
      </w:r>
      <w:r w:rsidR="00D65295" w:rsidRPr="00286011">
        <w:rPr>
          <w:rFonts w:asciiTheme="majorBidi" w:hAnsiTheme="majorBidi" w:cstheme="majorBidi"/>
        </w:rPr>
        <w:t xml:space="preserve">As such, it serves to classify and control populations and maintain </w:t>
      </w:r>
      <w:r w:rsidRPr="00286011">
        <w:rPr>
          <w:rFonts w:asciiTheme="majorBidi" w:hAnsiTheme="majorBidi" w:cstheme="majorBidi"/>
        </w:rPr>
        <w:t xml:space="preserve">racial </w:t>
      </w:r>
      <w:r w:rsidR="00D65295" w:rsidRPr="00286011">
        <w:rPr>
          <w:rFonts w:asciiTheme="majorBidi" w:hAnsiTheme="majorBidi" w:cstheme="majorBidi"/>
        </w:rPr>
        <w:t>difference, both within Israeli citizenry, and, within the Palestinian people as a whole. But while providing a layer of legal protection to those who hold it, the underlying logic of its operation is based on racial distinction</w:t>
      </w:r>
      <w:r w:rsidR="00CA0FEC" w:rsidRPr="00286011">
        <w:rPr>
          <w:rFonts w:asciiTheme="majorBidi" w:hAnsiTheme="majorBidi" w:cstheme="majorBidi"/>
        </w:rPr>
        <w:t>,</w:t>
      </w:r>
      <w:r w:rsidR="00D65295" w:rsidRPr="00286011">
        <w:rPr>
          <w:rFonts w:asciiTheme="majorBidi" w:hAnsiTheme="majorBidi" w:cstheme="majorBidi"/>
        </w:rPr>
        <w:t xml:space="preserve"> and </w:t>
      </w:r>
      <w:r w:rsidR="001B418E" w:rsidRPr="00286011">
        <w:rPr>
          <w:rFonts w:asciiTheme="majorBidi" w:hAnsiTheme="majorBidi" w:cstheme="majorBidi"/>
        </w:rPr>
        <w:t>as such</w:t>
      </w:r>
      <w:r w:rsidR="00171367" w:rsidRPr="00286011">
        <w:rPr>
          <w:rFonts w:asciiTheme="majorBidi" w:hAnsiTheme="majorBidi" w:cstheme="majorBidi"/>
        </w:rPr>
        <w:t>,</w:t>
      </w:r>
      <w:r w:rsidR="00CA0FEC" w:rsidRPr="00286011">
        <w:rPr>
          <w:rFonts w:asciiTheme="majorBidi" w:hAnsiTheme="majorBidi" w:cstheme="majorBidi"/>
        </w:rPr>
        <w:t xml:space="preserve"> it is interesting to</w:t>
      </w:r>
      <w:r w:rsidR="00D65295" w:rsidRPr="00286011">
        <w:rPr>
          <w:rFonts w:asciiTheme="majorBidi" w:hAnsiTheme="majorBidi" w:cstheme="majorBidi"/>
        </w:rPr>
        <w:t xml:space="preserve"> trace the moments in which this </w:t>
      </w:r>
      <w:r w:rsidRPr="00286011">
        <w:rPr>
          <w:rFonts w:asciiTheme="majorBidi" w:hAnsiTheme="majorBidi" w:cstheme="majorBidi"/>
        </w:rPr>
        <w:t xml:space="preserve">protection collapses, and </w:t>
      </w:r>
      <w:r w:rsidR="00175A6E" w:rsidRPr="00286011">
        <w:rPr>
          <w:rFonts w:asciiTheme="majorBidi" w:hAnsiTheme="majorBidi" w:cstheme="majorBidi"/>
        </w:rPr>
        <w:t>Palestinian</w:t>
      </w:r>
      <w:r w:rsidR="00493009" w:rsidRPr="00286011">
        <w:rPr>
          <w:rFonts w:asciiTheme="majorBidi" w:hAnsiTheme="majorBidi" w:cstheme="majorBidi"/>
        </w:rPr>
        <w:t>s</w:t>
      </w:r>
      <w:r w:rsidR="00175A6E" w:rsidRPr="00286011">
        <w:rPr>
          <w:rFonts w:asciiTheme="majorBidi" w:hAnsiTheme="majorBidi" w:cstheme="majorBidi"/>
        </w:rPr>
        <w:t xml:space="preserve">, citizens or not, become </w:t>
      </w:r>
      <w:r w:rsidR="00493009" w:rsidRPr="00286011">
        <w:rPr>
          <w:rFonts w:asciiTheme="majorBidi" w:hAnsiTheme="majorBidi" w:cstheme="majorBidi"/>
        </w:rPr>
        <w:t>a unified</w:t>
      </w:r>
      <w:r w:rsidR="00175A6E" w:rsidRPr="00286011">
        <w:rPr>
          <w:rFonts w:asciiTheme="majorBidi" w:hAnsiTheme="majorBidi" w:cstheme="majorBidi"/>
        </w:rPr>
        <w:t xml:space="preserve"> ‘enemy collective’</w:t>
      </w:r>
      <w:r w:rsidR="00493009" w:rsidRPr="00286011">
        <w:rPr>
          <w:rFonts w:asciiTheme="majorBidi" w:hAnsiTheme="majorBidi" w:cstheme="majorBidi"/>
        </w:rPr>
        <w:t xml:space="preserve"> </w:t>
      </w:r>
      <w:r w:rsidR="00493009" w:rsidRPr="00286011">
        <w:rPr>
          <w:rFonts w:asciiTheme="majorBidi" w:hAnsiTheme="majorBidi" w:cstheme="majorBidi"/>
          <w:color w:val="000000" w:themeColor="text1"/>
        </w:rPr>
        <w:t>which in turn justifies the use of violence against them, suspending all legal protections, regardless of their geographical location or citizenship status (</w:t>
      </w:r>
      <w:proofErr w:type="spellStart"/>
      <w:r w:rsidR="00493009" w:rsidRPr="00286011">
        <w:rPr>
          <w:rFonts w:asciiTheme="majorBidi" w:hAnsiTheme="majorBidi" w:cstheme="majorBidi"/>
          <w:color w:val="000000" w:themeColor="text1"/>
        </w:rPr>
        <w:t>Jabareen</w:t>
      </w:r>
      <w:proofErr w:type="spellEnd"/>
      <w:r w:rsidR="00493009" w:rsidRPr="00286011">
        <w:rPr>
          <w:rFonts w:asciiTheme="majorBidi" w:hAnsiTheme="majorBidi" w:cstheme="majorBidi"/>
          <w:color w:val="000000" w:themeColor="text1"/>
        </w:rPr>
        <w:t xml:space="preserve"> 2020)</w:t>
      </w:r>
      <w:r w:rsidR="00175A6E" w:rsidRPr="00286011">
        <w:rPr>
          <w:rFonts w:asciiTheme="majorBidi" w:hAnsiTheme="majorBidi" w:cstheme="majorBidi"/>
        </w:rPr>
        <w:t xml:space="preserve">. This is where the threshold of threat </w:t>
      </w:r>
      <w:r w:rsidR="00C4537A" w:rsidRPr="00286011">
        <w:rPr>
          <w:rFonts w:asciiTheme="majorBidi" w:hAnsiTheme="majorBidi" w:cstheme="majorBidi"/>
        </w:rPr>
        <w:t>manifests itself most clearly</w:t>
      </w:r>
      <w:r w:rsidR="00175A6E" w:rsidRPr="00286011">
        <w:rPr>
          <w:rFonts w:asciiTheme="majorBidi" w:hAnsiTheme="majorBidi" w:cstheme="majorBidi"/>
        </w:rPr>
        <w:t xml:space="preserve">. </w:t>
      </w:r>
    </w:p>
    <w:p w14:paraId="61C6D38D" w14:textId="1988B67F" w:rsidR="001D688A" w:rsidRPr="00286011" w:rsidRDefault="003A4909" w:rsidP="005A6929">
      <w:pPr>
        <w:ind w:firstLine="454"/>
        <w:jc w:val="both"/>
        <w:rPr>
          <w:rFonts w:asciiTheme="majorBidi" w:hAnsiTheme="majorBidi" w:cstheme="majorBidi"/>
        </w:rPr>
      </w:pPr>
      <w:r w:rsidRPr="00286011">
        <w:rPr>
          <w:rFonts w:asciiTheme="majorBidi" w:hAnsiTheme="majorBidi" w:cstheme="majorBidi"/>
        </w:rPr>
        <w:t xml:space="preserve">When political protest of Palestinian citizens triggers a movement in the threshold of threat, Palestinians are </w:t>
      </w:r>
      <w:r w:rsidR="00F334B7" w:rsidRPr="00286011">
        <w:rPr>
          <w:rFonts w:asciiTheme="majorBidi" w:hAnsiTheme="majorBidi" w:cstheme="majorBidi"/>
        </w:rPr>
        <w:t>strip</w:t>
      </w:r>
      <w:r w:rsidRPr="00286011">
        <w:rPr>
          <w:rFonts w:asciiTheme="majorBidi" w:hAnsiTheme="majorBidi" w:cstheme="majorBidi"/>
        </w:rPr>
        <w:t xml:space="preserve">ped </w:t>
      </w:r>
      <w:r w:rsidR="00F334B7" w:rsidRPr="00286011">
        <w:rPr>
          <w:rFonts w:asciiTheme="majorBidi" w:hAnsiTheme="majorBidi" w:cstheme="majorBidi"/>
        </w:rPr>
        <w:t xml:space="preserve">from </w:t>
      </w:r>
      <w:r w:rsidR="00171367" w:rsidRPr="00286011">
        <w:rPr>
          <w:rFonts w:asciiTheme="majorBidi" w:hAnsiTheme="majorBidi" w:cstheme="majorBidi"/>
        </w:rPr>
        <w:t>the</w:t>
      </w:r>
      <w:r w:rsidR="00F334B7" w:rsidRPr="00286011">
        <w:rPr>
          <w:rFonts w:asciiTheme="majorBidi" w:hAnsiTheme="majorBidi" w:cstheme="majorBidi"/>
        </w:rPr>
        <w:t xml:space="preserve"> legal defence and layer of protection citizenship was meant to provide.</w:t>
      </w:r>
      <w:r w:rsidR="00171367" w:rsidRPr="00286011">
        <w:rPr>
          <w:rFonts w:asciiTheme="majorBidi" w:hAnsiTheme="majorBidi" w:cstheme="majorBidi"/>
        </w:rPr>
        <w:t xml:space="preserve"> T</w:t>
      </w:r>
      <w:r w:rsidR="00E70A62" w:rsidRPr="00286011">
        <w:rPr>
          <w:rFonts w:asciiTheme="majorBidi" w:hAnsiTheme="majorBidi" w:cstheme="majorBidi"/>
        </w:rPr>
        <w:t xml:space="preserve">hese are the moments in which </w:t>
      </w:r>
      <w:r w:rsidR="00171367" w:rsidRPr="00286011">
        <w:rPr>
          <w:rFonts w:asciiTheme="majorBidi" w:hAnsiTheme="majorBidi" w:cstheme="majorBidi"/>
        </w:rPr>
        <w:t xml:space="preserve">Palestinian </w:t>
      </w:r>
      <w:r w:rsidR="00E70A62" w:rsidRPr="00286011">
        <w:rPr>
          <w:rFonts w:asciiTheme="majorBidi" w:hAnsiTheme="majorBidi" w:cstheme="majorBidi"/>
        </w:rPr>
        <w:t>citizens become</w:t>
      </w:r>
      <w:r w:rsidR="00F334B7" w:rsidRPr="00286011">
        <w:rPr>
          <w:rFonts w:asciiTheme="majorBidi" w:hAnsiTheme="majorBidi" w:cstheme="majorBidi"/>
        </w:rPr>
        <w:t xml:space="preserve"> ‘just’ Palestinians. </w:t>
      </w:r>
      <w:r w:rsidR="005A7286" w:rsidRPr="00286011">
        <w:rPr>
          <w:rFonts w:asciiTheme="majorBidi" w:hAnsiTheme="majorBidi" w:cstheme="majorBidi"/>
          <w:color w:val="000000" w:themeColor="text1"/>
        </w:rPr>
        <w:t>Such</w:t>
      </w:r>
      <w:r w:rsidR="00141940" w:rsidRPr="00286011">
        <w:rPr>
          <w:rFonts w:asciiTheme="majorBidi" w:hAnsiTheme="majorBidi" w:cstheme="majorBidi"/>
          <w:color w:val="000000" w:themeColor="text1"/>
        </w:rPr>
        <w:t xml:space="preserve"> ‘moments,’ sometime stretching over extended period of time, </w:t>
      </w:r>
      <w:r w:rsidR="005A7286" w:rsidRPr="00286011">
        <w:rPr>
          <w:rFonts w:asciiTheme="majorBidi" w:hAnsiTheme="majorBidi" w:cstheme="majorBidi"/>
          <w:color w:val="000000" w:themeColor="text1"/>
        </w:rPr>
        <w:t>can be firstly found</w:t>
      </w:r>
      <w:r w:rsidR="009D04E9" w:rsidRPr="00286011">
        <w:rPr>
          <w:rFonts w:asciiTheme="majorBidi" w:hAnsiTheme="majorBidi" w:cstheme="majorBidi"/>
          <w:color w:val="000000" w:themeColor="text1"/>
        </w:rPr>
        <w:t xml:space="preserve"> </w:t>
      </w:r>
      <w:r w:rsidR="00141940" w:rsidRPr="00286011">
        <w:rPr>
          <w:rFonts w:asciiTheme="majorBidi" w:hAnsiTheme="majorBidi" w:cstheme="majorBidi"/>
          <w:color w:val="000000" w:themeColor="text1"/>
        </w:rPr>
        <w:t>in the</w:t>
      </w:r>
      <w:r w:rsidR="009D04E9" w:rsidRPr="00286011">
        <w:rPr>
          <w:rFonts w:asciiTheme="majorBidi" w:hAnsiTheme="majorBidi" w:cstheme="majorBidi"/>
          <w:color w:val="000000" w:themeColor="text1"/>
        </w:rPr>
        <w:t xml:space="preserve"> institution of the</w:t>
      </w:r>
      <w:r w:rsidR="00141940" w:rsidRPr="00286011">
        <w:rPr>
          <w:rFonts w:asciiTheme="majorBidi" w:hAnsiTheme="majorBidi" w:cstheme="majorBidi"/>
          <w:color w:val="000000" w:themeColor="text1"/>
        </w:rPr>
        <w:t xml:space="preserve"> military regime</w:t>
      </w:r>
      <w:r w:rsidR="009D04E9" w:rsidRPr="00286011">
        <w:rPr>
          <w:rFonts w:asciiTheme="majorBidi" w:hAnsiTheme="majorBidi" w:cstheme="majorBidi"/>
          <w:color w:val="000000" w:themeColor="text1"/>
        </w:rPr>
        <w:t xml:space="preserve"> operated by the Israeli state on those Palestinians who remained in the area that became the State of Israel in the aftermath of the 1948 war, </w:t>
      </w:r>
      <w:r w:rsidR="00141940" w:rsidRPr="00286011">
        <w:rPr>
          <w:rFonts w:asciiTheme="majorBidi" w:hAnsiTheme="majorBidi" w:cstheme="majorBidi"/>
          <w:color w:val="000000" w:themeColor="text1"/>
        </w:rPr>
        <w:t xml:space="preserve">lasting </w:t>
      </w:r>
      <w:r w:rsidR="009D04E9" w:rsidRPr="00286011">
        <w:rPr>
          <w:rFonts w:asciiTheme="majorBidi" w:hAnsiTheme="majorBidi" w:cstheme="majorBidi"/>
          <w:color w:val="000000" w:themeColor="text1"/>
        </w:rPr>
        <w:t>until 1966</w:t>
      </w:r>
      <w:r w:rsidR="008F1903" w:rsidRPr="00286011">
        <w:rPr>
          <w:rFonts w:asciiTheme="majorBidi" w:hAnsiTheme="majorBidi" w:cstheme="majorBidi"/>
          <w:color w:val="000000" w:themeColor="text1"/>
        </w:rPr>
        <w:t xml:space="preserve"> (</w:t>
      </w:r>
      <w:proofErr w:type="spellStart"/>
      <w:r w:rsidR="008F1903" w:rsidRPr="00286011">
        <w:rPr>
          <w:rFonts w:asciiTheme="majorBidi" w:hAnsiTheme="majorBidi" w:cstheme="majorBidi"/>
        </w:rPr>
        <w:t>Jiryis</w:t>
      </w:r>
      <w:proofErr w:type="spellEnd"/>
      <w:r w:rsidR="008F1903" w:rsidRPr="00286011">
        <w:rPr>
          <w:rFonts w:asciiTheme="majorBidi" w:hAnsiTheme="majorBidi" w:cstheme="majorBidi"/>
        </w:rPr>
        <w:t xml:space="preserve"> 1976; </w:t>
      </w:r>
      <w:r w:rsidR="008F1903" w:rsidRPr="00286011">
        <w:rPr>
          <w:rFonts w:asciiTheme="majorBidi" w:hAnsiTheme="majorBidi" w:cstheme="majorBidi"/>
          <w:color w:val="000000" w:themeColor="text1"/>
        </w:rPr>
        <w:t>Robinson 2013</w:t>
      </w:r>
      <w:r w:rsidR="008F1903" w:rsidRPr="00286011">
        <w:rPr>
          <w:rFonts w:asciiTheme="majorBidi" w:hAnsiTheme="majorBidi" w:cstheme="majorBidi"/>
        </w:rPr>
        <w:t>)</w:t>
      </w:r>
      <w:r w:rsidR="009D04E9" w:rsidRPr="00286011">
        <w:rPr>
          <w:rFonts w:asciiTheme="majorBidi" w:hAnsiTheme="majorBidi" w:cstheme="majorBidi"/>
          <w:color w:val="000000" w:themeColor="text1"/>
        </w:rPr>
        <w:t>.</w:t>
      </w:r>
      <w:r w:rsidR="00F334B7" w:rsidRPr="00286011">
        <w:rPr>
          <w:rFonts w:asciiTheme="majorBidi" w:hAnsiTheme="majorBidi" w:cstheme="majorBidi"/>
          <w:color w:val="000000" w:themeColor="text1"/>
        </w:rPr>
        <w:t xml:space="preserve"> </w:t>
      </w:r>
      <w:r w:rsidR="005A7286" w:rsidRPr="00286011">
        <w:rPr>
          <w:rFonts w:asciiTheme="majorBidi" w:hAnsiTheme="majorBidi" w:cstheme="majorBidi"/>
          <w:color w:val="000000" w:themeColor="text1"/>
        </w:rPr>
        <w:t xml:space="preserve">Another such transformation </w:t>
      </w:r>
      <w:r w:rsidR="00087E1E" w:rsidRPr="00286011">
        <w:rPr>
          <w:rFonts w:asciiTheme="majorBidi" w:hAnsiTheme="majorBidi" w:cstheme="majorBidi"/>
          <w:color w:val="000000" w:themeColor="text1"/>
        </w:rPr>
        <w:t xml:space="preserve">occurred in 1976, during </w:t>
      </w:r>
      <w:r w:rsidR="00212A80" w:rsidRPr="00286011">
        <w:rPr>
          <w:rFonts w:asciiTheme="majorBidi" w:hAnsiTheme="majorBidi" w:cstheme="majorBidi"/>
          <w:color w:val="000000" w:themeColor="text1"/>
        </w:rPr>
        <w:t xml:space="preserve">protests </w:t>
      </w:r>
      <w:r w:rsidR="00087E1E" w:rsidRPr="00286011">
        <w:rPr>
          <w:rFonts w:asciiTheme="majorBidi" w:hAnsiTheme="majorBidi" w:cstheme="majorBidi"/>
          <w:color w:val="000000" w:themeColor="text1"/>
        </w:rPr>
        <w:t>that came to be known as ‘Land Day’ where six Palestinian citizens were shot by the</w:t>
      </w:r>
      <w:r w:rsidR="00212A80" w:rsidRPr="00286011">
        <w:rPr>
          <w:rFonts w:asciiTheme="majorBidi" w:hAnsiTheme="majorBidi" w:cstheme="majorBidi"/>
          <w:color w:val="000000" w:themeColor="text1"/>
        </w:rPr>
        <w:t xml:space="preserve"> </w:t>
      </w:r>
      <w:r w:rsidR="00C83245" w:rsidRPr="00286011">
        <w:rPr>
          <w:rFonts w:asciiTheme="majorBidi" w:hAnsiTheme="majorBidi" w:cstheme="majorBidi"/>
          <w:color w:val="000000" w:themeColor="text1"/>
        </w:rPr>
        <w:t>Israeli</w:t>
      </w:r>
      <w:r w:rsidR="00212A80" w:rsidRPr="00286011">
        <w:rPr>
          <w:rFonts w:asciiTheme="majorBidi" w:hAnsiTheme="majorBidi" w:cstheme="majorBidi"/>
          <w:color w:val="000000" w:themeColor="text1"/>
        </w:rPr>
        <w:t xml:space="preserve"> army and police while</w:t>
      </w:r>
      <w:r w:rsidR="00087E1E" w:rsidRPr="00286011">
        <w:rPr>
          <w:rFonts w:asciiTheme="majorBidi" w:hAnsiTheme="majorBidi" w:cstheme="majorBidi"/>
          <w:color w:val="000000" w:themeColor="text1"/>
        </w:rPr>
        <w:t xml:space="preserve"> resist</w:t>
      </w:r>
      <w:r w:rsidR="00212A80" w:rsidRPr="00286011">
        <w:rPr>
          <w:rFonts w:asciiTheme="majorBidi" w:hAnsiTheme="majorBidi" w:cstheme="majorBidi"/>
          <w:color w:val="000000" w:themeColor="text1"/>
        </w:rPr>
        <w:t>ing</w:t>
      </w:r>
      <w:r w:rsidR="00087E1E" w:rsidRPr="00286011">
        <w:rPr>
          <w:rFonts w:asciiTheme="majorBidi" w:hAnsiTheme="majorBidi" w:cstheme="majorBidi"/>
          <w:color w:val="000000" w:themeColor="text1"/>
        </w:rPr>
        <w:t xml:space="preserve"> the mass scale land expropriation in the Galilei area</w:t>
      </w:r>
      <w:r w:rsidR="00212A80" w:rsidRPr="00286011">
        <w:rPr>
          <w:rFonts w:asciiTheme="majorBidi" w:hAnsiTheme="majorBidi" w:cstheme="majorBidi"/>
          <w:color w:val="000000" w:themeColor="text1"/>
        </w:rPr>
        <w:t>.</w:t>
      </w:r>
      <w:r w:rsidR="00087E1E" w:rsidRPr="00286011">
        <w:rPr>
          <w:rFonts w:asciiTheme="majorBidi" w:hAnsiTheme="majorBidi" w:cstheme="majorBidi"/>
          <w:color w:val="000000" w:themeColor="text1"/>
        </w:rPr>
        <w:t xml:space="preserve"> </w:t>
      </w:r>
      <w:r w:rsidR="005A7286" w:rsidRPr="00286011">
        <w:rPr>
          <w:rFonts w:asciiTheme="majorBidi" w:hAnsiTheme="majorBidi" w:cstheme="majorBidi"/>
          <w:color w:val="000000" w:themeColor="text1"/>
        </w:rPr>
        <w:t>In m</w:t>
      </w:r>
      <w:r w:rsidR="00F334B7" w:rsidRPr="00286011">
        <w:rPr>
          <w:rFonts w:asciiTheme="majorBidi" w:hAnsiTheme="majorBidi" w:cstheme="majorBidi"/>
          <w:color w:val="000000" w:themeColor="text1"/>
        </w:rPr>
        <w:t xml:space="preserve">ore recent history, </w:t>
      </w:r>
      <w:r w:rsidR="00141940" w:rsidRPr="00286011">
        <w:rPr>
          <w:rFonts w:asciiTheme="majorBidi" w:hAnsiTheme="majorBidi" w:cstheme="majorBidi"/>
          <w:color w:val="000000" w:themeColor="text1"/>
        </w:rPr>
        <w:t xml:space="preserve">the violent suppression of the so-called </w:t>
      </w:r>
      <w:r w:rsidR="005B3B4F" w:rsidRPr="00286011">
        <w:rPr>
          <w:rFonts w:asciiTheme="majorBidi" w:hAnsiTheme="majorBidi" w:cstheme="majorBidi"/>
          <w:color w:val="000000" w:themeColor="text1"/>
        </w:rPr>
        <w:t>‘</w:t>
      </w:r>
      <w:r w:rsidR="00141940" w:rsidRPr="00286011">
        <w:rPr>
          <w:rFonts w:asciiTheme="majorBidi" w:hAnsiTheme="majorBidi" w:cstheme="majorBidi"/>
          <w:color w:val="000000" w:themeColor="text1"/>
        </w:rPr>
        <w:t>October 2000 event</w:t>
      </w:r>
      <w:r w:rsidR="005B3B4F" w:rsidRPr="00286011">
        <w:rPr>
          <w:rFonts w:asciiTheme="majorBidi" w:hAnsiTheme="majorBidi" w:cstheme="majorBidi"/>
          <w:color w:val="000000" w:themeColor="text1"/>
        </w:rPr>
        <w:t>s’</w:t>
      </w:r>
      <w:r w:rsidR="00141940" w:rsidRPr="00286011">
        <w:rPr>
          <w:rFonts w:asciiTheme="majorBidi" w:hAnsiTheme="majorBidi" w:cstheme="majorBidi"/>
          <w:color w:val="000000" w:themeColor="text1"/>
        </w:rPr>
        <w:t xml:space="preserve"> where the Israeli police shot and killed 12 Palestinians citizens</w:t>
      </w:r>
      <w:r w:rsidR="00D85C2C" w:rsidRPr="00286011">
        <w:rPr>
          <w:rFonts w:asciiTheme="majorBidi" w:hAnsiTheme="majorBidi" w:cstheme="majorBidi"/>
        </w:rPr>
        <w:t xml:space="preserve"> in clashes that occurred around the country</w:t>
      </w:r>
      <w:r w:rsidR="00F334B7" w:rsidRPr="00286011">
        <w:rPr>
          <w:rFonts w:asciiTheme="majorBidi" w:hAnsiTheme="majorBidi" w:cstheme="majorBidi"/>
        </w:rPr>
        <w:t xml:space="preserve"> that coincided with the outbreak of the </w:t>
      </w:r>
      <w:r w:rsidR="005A7286" w:rsidRPr="00286011">
        <w:rPr>
          <w:rFonts w:asciiTheme="majorBidi" w:hAnsiTheme="majorBidi" w:cstheme="majorBidi"/>
        </w:rPr>
        <w:t>s</w:t>
      </w:r>
      <w:r w:rsidR="005B3B4F" w:rsidRPr="00286011">
        <w:rPr>
          <w:rFonts w:asciiTheme="majorBidi" w:hAnsiTheme="majorBidi" w:cstheme="majorBidi"/>
        </w:rPr>
        <w:t>econd</w:t>
      </w:r>
      <w:r w:rsidR="005A7286" w:rsidRPr="00286011">
        <w:rPr>
          <w:rFonts w:asciiTheme="majorBidi" w:hAnsiTheme="majorBidi" w:cstheme="majorBidi"/>
        </w:rPr>
        <w:t xml:space="preserve"> </w:t>
      </w:r>
      <w:r w:rsidR="00C83245" w:rsidRPr="00286011">
        <w:rPr>
          <w:rFonts w:asciiTheme="majorBidi" w:hAnsiTheme="majorBidi" w:cstheme="majorBidi"/>
        </w:rPr>
        <w:t xml:space="preserve">Palestinian </w:t>
      </w:r>
      <w:r w:rsidR="00F334B7" w:rsidRPr="00286011">
        <w:rPr>
          <w:rFonts w:asciiTheme="majorBidi" w:hAnsiTheme="majorBidi" w:cstheme="majorBidi"/>
        </w:rPr>
        <w:t xml:space="preserve">uprising </w:t>
      </w:r>
      <w:r w:rsidR="005A7286" w:rsidRPr="00286011">
        <w:rPr>
          <w:rFonts w:asciiTheme="majorBidi" w:hAnsiTheme="majorBidi" w:cstheme="majorBidi"/>
        </w:rPr>
        <w:t xml:space="preserve">(intifada) </w:t>
      </w:r>
      <w:r w:rsidR="00F334B7" w:rsidRPr="00286011">
        <w:rPr>
          <w:rFonts w:asciiTheme="majorBidi" w:hAnsiTheme="majorBidi" w:cstheme="majorBidi"/>
        </w:rPr>
        <w:t xml:space="preserve">in the West Bank and the Gaza Strip </w:t>
      </w:r>
      <w:r w:rsidR="005B3B4F" w:rsidRPr="00286011">
        <w:rPr>
          <w:rFonts w:asciiTheme="majorBidi" w:hAnsiTheme="majorBidi" w:cstheme="majorBidi"/>
        </w:rPr>
        <w:t>(</w:t>
      </w:r>
      <w:proofErr w:type="spellStart"/>
      <w:r w:rsidR="005B3B4F" w:rsidRPr="00286011">
        <w:rPr>
          <w:rFonts w:asciiTheme="majorBidi" w:hAnsiTheme="majorBidi" w:cstheme="majorBidi"/>
        </w:rPr>
        <w:t>Zreik</w:t>
      </w:r>
      <w:proofErr w:type="spellEnd"/>
      <w:r w:rsidR="005B3B4F" w:rsidRPr="00286011">
        <w:rPr>
          <w:rFonts w:asciiTheme="majorBidi" w:hAnsiTheme="majorBidi" w:cstheme="majorBidi"/>
        </w:rPr>
        <w:t xml:space="preserve"> 2003; </w:t>
      </w:r>
      <w:proofErr w:type="spellStart"/>
      <w:r w:rsidR="006E5CEA" w:rsidRPr="00286011">
        <w:rPr>
          <w:rFonts w:asciiTheme="majorBidi" w:hAnsiTheme="majorBidi" w:cstheme="majorBidi"/>
        </w:rPr>
        <w:t>Adalah</w:t>
      </w:r>
      <w:proofErr w:type="spellEnd"/>
      <w:r w:rsidR="006E5CEA" w:rsidRPr="00286011">
        <w:rPr>
          <w:rFonts w:asciiTheme="majorBidi" w:hAnsiTheme="majorBidi" w:cstheme="majorBidi"/>
        </w:rPr>
        <w:t xml:space="preserve"> 2003</w:t>
      </w:r>
      <w:r w:rsidR="00F334B7" w:rsidRPr="00286011">
        <w:rPr>
          <w:rFonts w:asciiTheme="majorBidi" w:hAnsiTheme="majorBidi" w:cstheme="majorBidi"/>
        </w:rPr>
        <w:t>)</w:t>
      </w:r>
      <w:r w:rsidR="00D85C2C" w:rsidRPr="00286011">
        <w:rPr>
          <w:rFonts w:asciiTheme="majorBidi" w:hAnsiTheme="majorBidi" w:cstheme="majorBidi"/>
        </w:rPr>
        <w:t xml:space="preserve">. </w:t>
      </w:r>
      <w:r w:rsidR="005B3B4F" w:rsidRPr="00286011">
        <w:rPr>
          <w:rFonts w:asciiTheme="majorBidi" w:hAnsiTheme="majorBidi" w:cstheme="majorBidi"/>
        </w:rPr>
        <w:t>In this occasion</w:t>
      </w:r>
      <w:r w:rsidR="00141940" w:rsidRPr="00286011">
        <w:rPr>
          <w:rFonts w:asciiTheme="majorBidi" w:hAnsiTheme="majorBidi" w:cstheme="majorBidi"/>
        </w:rPr>
        <w:t xml:space="preserve">, </w:t>
      </w:r>
      <w:r w:rsidR="00F334B7" w:rsidRPr="00286011">
        <w:rPr>
          <w:rFonts w:asciiTheme="majorBidi" w:hAnsiTheme="majorBidi" w:cstheme="majorBidi"/>
        </w:rPr>
        <w:t xml:space="preserve">the </w:t>
      </w:r>
      <w:r w:rsidR="005B3B4F" w:rsidRPr="00286011">
        <w:rPr>
          <w:rFonts w:asciiTheme="majorBidi" w:hAnsiTheme="majorBidi" w:cstheme="majorBidi"/>
        </w:rPr>
        <w:t>G</w:t>
      </w:r>
      <w:r w:rsidR="00F334B7" w:rsidRPr="00286011">
        <w:rPr>
          <w:rFonts w:asciiTheme="majorBidi" w:hAnsiTheme="majorBidi" w:cstheme="majorBidi"/>
        </w:rPr>
        <w:t xml:space="preserve">overnmental </w:t>
      </w:r>
      <w:r w:rsidR="005B3B4F" w:rsidRPr="00286011">
        <w:rPr>
          <w:rFonts w:asciiTheme="majorBidi" w:hAnsiTheme="majorBidi" w:cstheme="majorBidi"/>
        </w:rPr>
        <w:t>C</w:t>
      </w:r>
      <w:r w:rsidR="00F334B7" w:rsidRPr="00286011">
        <w:rPr>
          <w:rFonts w:asciiTheme="majorBidi" w:hAnsiTheme="majorBidi" w:cstheme="majorBidi"/>
        </w:rPr>
        <w:t xml:space="preserve">ommittee of inquiry </w:t>
      </w:r>
      <w:r w:rsidR="008F445A" w:rsidRPr="00286011">
        <w:rPr>
          <w:rFonts w:asciiTheme="majorBidi" w:hAnsiTheme="majorBidi" w:cstheme="majorBidi"/>
        </w:rPr>
        <w:t>justified its decision</w:t>
      </w:r>
      <w:r w:rsidR="00141940" w:rsidRPr="00286011">
        <w:rPr>
          <w:rFonts w:asciiTheme="majorBidi" w:hAnsiTheme="majorBidi" w:cstheme="majorBidi"/>
        </w:rPr>
        <w:t xml:space="preserve"> </w:t>
      </w:r>
      <w:r w:rsidR="008F445A" w:rsidRPr="00286011">
        <w:rPr>
          <w:rFonts w:asciiTheme="majorBidi" w:hAnsiTheme="majorBidi" w:cstheme="majorBidi"/>
        </w:rPr>
        <w:t>to</w:t>
      </w:r>
      <w:r w:rsidR="00141940" w:rsidRPr="00286011">
        <w:rPr>
          <w:rFonts w:asciiTheme="majorBidi" w:hAnsiTheme="majorBidi" w:cstheme="majorBidi"/>
        </w:rPr>
        <w:t xml:space="preserve"> not prosecut</w:t>
      </w:r>
      <w:r w:rsidR="008F445A" w:rsidRPr="00286011">
        <w:rPr>
          <w:rFonts w:asciiTheme="majorBidi" w:hAnsiTheme="majorBidi" w:cstheme="majorBidi"/>
        </w:rPr>
        <w:t>e</w:t>
      </w:r>
      <w:r w:rsidR="00141940" w:rsidRPr="00286011">
        <w:rPr>
          <w:rFonts w:asciiTheme="majorBidi" w:hAnsiTheme="majorBidi" w:cstheme="majorBidi"/>
        </w:rPr>
        <w:t xml:space="preserve"> any of the involved police officers </w:t>
      </w:r>
      <w:r w:rsidR="008F445A" w:rsidRPr="00286011">
        <w:rPr>
          <w:rFonts w:asciiTheme="majorBidi" w:hAnsiTheme="majorBidi" w:cstheme="majorBidi"/>
        </w:rPr>
        <w:t xml:space="preserve">in the claim that </w:t>
      </w:r>
      <w:r w:rsidR="00141940" w:rsidRPr="00286011">
        <w:rPr>
          <w:rFonts w:asciiTheme="majorBidi" w:hAnsiTheme="majorBidi" w:cstheme="majorBidi"/>
        </w:rPr>
        <w:t>the applicable law in this case was law of military action against the enemy</w:t>
      </w:r>
      <w:r w:rsidR="008F445A" w:rsidRPr="00286011">
        <w:rPr>
          <w:rFonts w:asciiTheme="majorBidi" w:hAnsiTheme="majorBidi" w:cstheme="majorBidi"/>
        </w:rPr>
        <w:t>, rather than police action against its own citizens</w:t>
      </w:r>
      <w:r w:rsidR="00F334B7" w:rsidRPr="00286011">
        <w:rPr>
          <w:rFonts w:asciiTheme="majorBidi" w:hAnsiTheme="majorBidi" w:cstheme="majorBidi"/>
        </w:rPr>
        <w:t>.</w:t>
      </w:r>
      <w:r w:rsidR="00141940" w:rsidRPr="00286011">
        <w:rPr>
          <w:rFonts w:asciiTheme="majorBidi" w:hAnsiTheme="majorBidi" w:cstheme="majorBidi"/>
        </w:rPr>
        <w:t xml:space="preserve"> Accordingly</w:t>
      </w:r>
      <w:r w:rsidR="00CA13CF" w:rsidRPr="00286011">
        <w:rPr>
          <w:rFonts w:asciiTheme="majorBidi" w:hAnsiTheme="majorBidi" w:cstheme="majorBidi"/>
        </w:rPr>
        <w:t xml:space="preserve">, shooting and killing </w:t>
      </w:r>
      <w:r w:rsidR="00C83245" w:rsidRPr="00286011">
        <w:rPr>
          <w:rFonts w:asciiTheme="majorBidi" w:hAnsiTheme="majorBidi" w:cstheme="majorBidi"/>
        </w:rPr>
        <w:t>citizen</w:t>
      </w:r>
      <w:r w:rsidR="00DC7F51" w:rsidRPr="00286011">
        <w:rPr>
          <w:rFonts w:asciiTheme="majorBidi" w:hAnsiTheme="majorBidi" w:cstheme="majorBidi"/>
        </w:rPr>
        <w:t>s</w:t>
      </w:r>
      <w:r w:rsidR="00CA13CF" w:rsidRPr="00286011">
        <w:rPr>
          <w:rFonts w:asciiTheme="majorBidi" w:hAnsiTheme="majorBidi" w:cstheme="majorBidi"/>
        </w:rPr>
        <w:t xml:space="preserve"> </w:t>
      </w:r>
      <w:r w:rsidR="00F334B7" w:rsidRPr="00286011">
        <w:rPr>
          <w:rFonts w:asciiTheme="majorBidi" w:hAnsiTheme="majorBidi" w:cstheme="majorBidi"/>
        </w:rPr>
        <w:t xml:space="preserve">does </w:t>
      </w:r>
      <w:r w:rsidR="00CA13CF" w:rsidRPr="00286011">
        <w:rPr>
          <w:rFonts w:asciiTheme="majorBidi" w:hAnsiTheme="majorBidi" w:cstheme="majorBidi"/>
        </w:rPr>
        <w:t xml:space="preserve">not </w:t>
      </w:r>
      <w:r w:rsidR="00F334B7" w:rsidRPr="00286011">
        <w:rPr>
          <w:rFonts w:asciiTheme="majorBidi" w:hAnsiTheme="majorBidi" w:cstheme="majorBidi"/>
        </w:rPr>
        <w:t xml:space="preserve">constitute </w:t>
      </w:r>
      <w:r w:rsidR="00CA13CF" w:rsidRPr="00286011">
        <w:rPr>
          <w:rFonts w:asciiTheme="majorBidi" w:hAnsiTheme="majorBidi" w:cstheme="majorBidi"/>
        </w:rPr>
        <w:t xml:space="preserve">a criminal offence, because this </w:t>
      </w:r>
      <w:r w:rsidR="00C83245" w:rsidRPr="00286011">
        <w:rPr>
          <w:rFonts w:asciiTheme="majorBidi" w:hAnsiTheme="majorBidi" w:cstheme="majorBidi"/>
        </w:rPr>
        <w:t>occurred in a context</w:t>
      </w:r>
      <w:r w:rsidR="00CA13CF" w:rsidRPr="00286011">
        <w:rPr>
          <w:rFonts w:asciiTheme="majorBidi" w:hAnsiTheme="majorBidi" w:cstheme="majorBidi"/>
        </w:rPr>
        <w:t xml:space="preserve"> of</w:t>
      </w:r>
      <w:r w:rsidR="00C83245" w:rsidRPr="00286011">
        <w:rPr>
          <w:rFonts w:asciiTheme="majorBidi" w:hAnsiTheme="majorBidi" w:cstheme="majorBidi"/>
        </w:rPr>
        <w:t xml:space="preserve"> warfare (</w:t>
      </w:r>
      <w:proofErr w:type="spellStart"/>
      <w:r w:rsidR="00C83245" w:rsidRPr="00286011">
        <w:rPr>
          <w:rFonts w:asciiTheme="majorBidi" w:hAnsiTheme="majorBidi" w:cstheme="majorBidi"/>
        </w:rPr>
        <w:t>Jabar</w:t>
      </w:r>
      <w:r w:rsidR="00CA13CF" w:rsidRPr="00286011">
        <w:rPr>
          <w:rFonts w:asciiTheme="majorBidi" w:hAnsiTheme="majorBidi" w:cstheme="majorBidi"/>
        </w:rPr>
        <w:t>een</w:t>
      </w:r>
      <w:proofErr w:type="spellEnd"/>
      <w:r w:rsidR="00141940" w:rsidRPr="00286011">
        <w:rPr>
          <w:rFonts w:asciiTheme="majorBidi" w:hAnsiTheme="majorBidi" w:cstheme="majorBidi"/>
        </w:rPr>
        <w:t xml:space="preserve"> 2020,</w:t>
      </w:r>
      <w:r w:rsidR="00CA13CF" w:rsidRPr="00286011">
        <w:rPr>
          <w:rFonts w:asciiTheme="majorBidi" w:hAnsiTheme="majorBidi" w:cstheme="majorBidi"/>
        </w:rPr>
        <w:t xml:space="preserve"> 521)</w:t>
      </w:r>
      <w:r w:rsidR="00F334B7" w:rsidRPr="00286011">
        <w:rPr>
          <w:rFonts w:asciiTheme="majorBidi" w:hAnsiTheme="majorBidi" w:cstheme="majorBidi"/>
        </w:rPr>
        <w:t>.</w:t>
      </w:r>
      <w:r w:rsidR="00CA13CF" w:rsidRPr="00286011">
        <w:rPr>
          <w:rFonts w:asciiTheme="majorBidi" w:hAnsiTheme="majorBidi" w:cstheme="majorBidi"/>
        </w:rPr>
        <w:t xml:space="preserve"> </w:t>
      </w:r>
    </w:p>
    <w:p w14:paraId="464828A2" w14:textId="589FE1DD" w:rsidR="002573B8" w:rsidRPr="00286011" w:rsidRDefault="001D688A" w:rsidP="005A6929">
      <w:pPr>
        <w:ind w:firstLine="454"/>
        <w:jc w:val="both"/>
        <w:rPr>
          <w:rFonts w:asciiTheme="majorBidi" w:hAnsiTheme="majorBidi" w:cstheme="majorBidi"/>
        </w:rPr>
      </w:pPr>
      <w:r w:rsidRPr="00286011">
        <w:rPr>
          <w:rFonts w:asciiTheme="majorBidi" w:hAnsiTheme="majorBidi" w:cstheme="majorBidi"/>
        </w:rPr>
        <w:t xml:space="preserve">Most recently, </w:t>
      </w:r>
      <w:r w:rsidR="00603369" w:rsidRPr="00286011">
        <w:rPr>
          <w:rFonts w:asciiTheme="majorBidi" w:hAnsiTheme="majorBidi" w:cstheme="majorBidi"/>
        </w:rPr>
        <w:t>during the eruption of wide spread protests around the country during Israel’s attack on Gaza in May 2021, in what came to be known as the ‘</w:t>
      </w:r>
      <w:r w:rsidR="005023E8" w:rsidRPr="00286011">
        <w:rPr>
          <w:rFonts w:asciiTheme="majorBidi" w:hAnsiTheme="majorBidi" w:cstheme="majorBidi"/>
        </w:rPr>
        <w:t>U</w:t>
      </w:r>
      <w:r w:rsidR="00603369" w:rsidRPr="00286011">
        <w:rPr>
          <w:rFonts w:asciiTheme="majorBidi" w:hAnsiTheme="majorBidi" w:cstheme="majorBidi"/>
        </w:rPr>
        <w:t xml:space="preserve">nity </w:t>
      </w:r>
      <w:r w:rsidR="005023E8" w:rsidRPr="00286011">
        <w:rPr>
          <w:rFonts w:asciiTheme="majorBidi" w:hAnsiTheme="majorBidi" w:cstheme="majorBidi"/>
        </w:rPr>
        <w:t>I</w:t>
      </w:r>
      <w:r w:rsidR="00603369" w:rsidRPr="00286011">
        <w:rPr>
          <w:rFonts w:asciiTheme="majorBidi" w:hAnsiTheme="majorBidi" w:cstheme="majorBidi"/>
        </w:rPr>
        <w:t>ntifada’</w:t>
      </w:r>
      <w:r w:rsidRPr="00286011">
        <w:rPr>
          <w:rFonts w:asciiTheme="majorBidi" w:hAnsiTheme="majorBidi" w:cstheme="majorBidi"/>
        </w:rPr>
        <w:t xml:space="preserve"> a similar transformation in the threshold of citizenship occurred</w:t>
      </w:r>
      <w:r w:rsidR="00E30A8C" w:rsidRPr="00286011">
        <w:rPr>
          <w:rFonts w:asciiTheme="majorBidi" w:hAnsiTheme="majorBidi" w:cstheme="majorBidi"/>
        </w:rPr>
        <w:t>.</w:t>
      </w:r>
      <w:r w:rsidR="005023E8" w:rsidRPr="00286011">
        <w:rPr>
          <w:rFonts w:asciiTheme="majorBidi" w:hAnsiTheme="majorBidi" w:cstheme="majorBidi"/>
        </w:rPr>
        <w:t xml:space="preserve"> Here</w:t>
      </w:r>
      <w:r w:rsidR="00E30A8C" w:rsidRPr="00286011">
        <w:rPr>
          <w:rFonts w:asciiTheme="majorBidi" w:hAnsiTheme="majorBidi" w:cstheme="majorBidi"/>
        </w:rPr>
        <w:t>,</w:t>
      </w:r>
      <w:r w:rsidR="00603369" w:rsidRPr="00286011">
        <w:rPr>
          <w:rFonts w:asciiTheme="majorBidi" w:hAnsiTheme="majorBidi" w:cstheme="majorBidi"/>
        </w:rPr>
        <w:t xml:space="preserve"> Palestinians across the country</w:t>
      </w:r>
      <w:r w:rsidRPr="00286011">
        <w:rPr>
          <w:rFonts w:asciiTheme="majorBidi" w:hAnsiTheme="majorBidi" w:cstheme="majorBidi"/>
        </w:rPr>
        <w:t xml:space="preserve"> that</w:t>
      </w:r>
      <w:r w:rsidR="00603369" w:rsidRPr="00286011">
        <w:rPr>
          <w:rFonts w:asciiTheme="majorBidi" w:hAnsiTheme="majorBidi" w:cstheme="majorBidi"/>
        </w:rPr>
        <w:t xml:space="preserve"> stood in solidarity with their attacked </w:t>
      </w:r>
      <w:r w:rsidR="004416C3" w:rsidRPr="00286011">
        <w:rPr>
          <w:rFonts w:asciiTheme="majorBidi" w:hAnsiTheme="majorBidi" w:cstheme="majorBidi"/>
        </w:rPr>
        <w:t>people</w:t>
      </w:r>
      <w:r w:rsidR="00603369" w:rsidRPr="00286011">
        <w:rPr>
          <w:rFonts w:asciiTheme="majorBidi" w:hAnsiTheme="majorBidi" w:cstheme="majorBidi"/>
        </w:rPr>
        <w:t xml:space="preserve"> in Gaza</w:t>
      </w:r>
      <w:r w:rsidR="005023E8" w:rsidRPr="00286011">
        <w:rPr>
          <w:rFonts w:asciiTheme="majorBidi" w:hAnsiTheme="majorBidi" w:cstheme="majorBidi"/>
        </w:rPr>
        <w:t xml:space="preserve">, </w:t>
      </w:r>
      <w:r w:rsidRPr="00286011">
        <w:rPr>
          <w:rFonts w:asciiTheme="majorBidi" w:hAnsiTheme="majorBidi" w:cstheme="majorBidi"/>
        </w:rPr>
        <w:t>were met with the Israeli law enforcement authorities</w:t>
      </w:r>
      <w:r w:rsidR="00DC7F51" w:rsidRPr="00286011">
        <w:rPr>
          <w:rFonts w:asciiTheme="majorBidi" w:hAnsiTheme="majorBidi" w:cstheme="majorBidi"/>
        </w:rPr>
        <w:t>’</w:t>
      </w:r>
      <w:r w:rsidRPr="00286011">
        <w:rPr>
          <w:rFonts w:asciiTheme="majorBidi" w:hAnsiTheme="majorBidi" w:cstheme="majorBidi"/>
        </w:rPr>
        <w:t xml:space="preserve"> (police, attorney general) </w:t>
      </w:r>
      <w:r w:rsidR="00603369" w:rsidRPr="00286011">
        <w:rPr>
          <w:rFonts w:asciiTheme="majorBidi" w:hAnsiTheme="majorBidi" w:cstheme="majorBidi"/>
        </w:rPr>
        <w:t xml:space="preserve">use </w:t>
      </w:r>
      <w:r w:rsidRPr="00286011">
        <w:rPr>
          <w:rFonts w:asciiTheme="majorBidi" w:hAnsiTheme="majorBidi" w:cstheme="majorBidi"/>
        </w:rPr>
        <w:t xml:space="preserve">of </w:t>
      </w:r>
      <w:r w:rsidR="00603369" w:rsidRPr="00286011">
        <w:rPr>
          <w:rFonts w:asciiTheme="majorBidi" w:hAnsiTheme="majorBidi" w:cstheme="majorBidi"/>
        </w:rPr>
        <w:t xml:space="preserve">mass </w:t>
      </w:r>
      <w:r w:rsidR="002573B8" w:rsidRPr="00286011">
        <w:rPr>
          <w:rFonts w:asciiTheme="majorBidi" w:hAnsiTheme="majorBidi" w:cstheme="majorBidi"/>
        </w:rPr>
        <w:t xml:space="preserve">and prolonged </w:t>
      </w:r>
      <w:r w:rsidR="00603369" w:rsidRPr="00286011">
        <w:rPr>
          <w:rFonts w:asciiTheme="majorBidi" w:hAnsiTheme="majorBidi" w:cstheme="majorBidi"/>
        </w:rPr>
        <w:t xml:space="preserve">arrests as </w:t>
      </w:r>
      <w:r w:rsidRPr="00286011">
        <w:rPr>
          <w:rFonts w:asciiTheme="majorBidi" w:hAnsiTheme="majorBidi" w:cstheme="majorBidi"/>
        </w:rPr>
        <w:t xml:space="preserve">a </w:t>
      </w:r>
      <w:r w:rsidR="00603369" w:rsidRPr="00286011">
        <w:rPr>
          <w:rFonts w:asciiTheme="majorBidi" w:hAnsiTheme="majorBidi" w:cstheme="majorBidi"/>
        </w:rPr>
        <w:t>mechanism to crush</w:t>
      </w:r>
      <w:r w:rsidR="00DC7F51" w:rsidRPr="00286011">
        <w:rPr>
          <w:rFonts w:asciiTheme="majorBidi" w:hAnsiTheme="majorBidi" w:cstheme="majorBidi"/>
        </w:rPr>
        <w:t xml:space="preserve"> </w:t>
      </w:r>
      <w:r w:rsidRPr="00286011">
        <w:rPr>
          <w:rFonts w:asciiTheme="majorBidi" w:hAnsiTheme="majorBidi" w:cstheme="majorBidi"/>
        </w:rPr>
        <w:t>their solidarity activism</w:t>
      </w:r>
      <w:r w:rsidR="00603369" w:rsidRPr="00286011">
        <w:rPr>
          <w:rFonts w:asciiTheme="majorBidi" w:hAnsiTheme="majorBidi" w:cstheme="majorBidi"/>
        </w:rPr>
        <w:t>.</w:t>
      </w:r>
      <w:r w:rsidR="00044353" w:rsidRPr="00286011">
        <w:rPr>
          <w:rFonts w:asciiTheme="majorBidi" w:hAnsiTheme="majorBidi" w:cstheme="majorBidi"/>
        </w:rPr>
        <w:t xml:space="preserve"> </w:t>
      </w:r>
      <w:r w:rsidRPr="00286011">
        <w:rPr>
          <w:rFonts w:asciiTheme="majorBidi" w:hAnsiTheme="majorBidi" w:cstheme="majorBidi"/>
        </w:rPr>
        <w:t xml:space="preserve">The operational logic of the authorities in this case was that </w:t>
      </w:r>
      <w:r w:rsidR="002573B8" w:rsidRPr="00286011">
        <w:rPr>
          <w:rFonts w:asciiTheme="majorBidi" w:hAnsiTheme="majorBidi" w:cstheme="majorBidi"/>
        </w:rPr>
        <w:t xml:space="preserve">“the danger posed by the </w:t>
      </w:r>
      <w:r w:rsidRPr="00286011">
        <w:rPr>
          <w:rFonts w:asciiTheme="majorBidi" w:hAnsiTheme="majorBidi" w:cstheme="majorBidi"/>
        </w:rPr>
        <w:t>actions</w:t>
      </w:r>
      <w:r w:rsidR="002573B8" w:rsidRPr="00286011">
        <w:rPr>
          <w:rFonts w:asciiTheme="majorBidi" w:hAnsiTheme="majorBidi" w:cstheme="majorBidi"/>
        </w:rPr>
        <w:t>, even if joining them was</w:t>
      </w:r>
      <w:r w:rsidRPr="00286011">
        <w:rPr>
          <w:rFonts w:asciiTheme="majorBidi" w:hAnsiTheme="majorBidi" w:cstheme="majorBidi"/>
        </w:rPr>
        <w:t xml:space="preserve"> a</w:t>
      </w:r>
      <w:r w:rsidR="002573B8" w:rsidRPr="00286011">
        <w:rPr>
          <w:rFonts w:asciiTheme="majorBidi" w:hAnsiTheme="majorBidi" w:cstheme="majorBidi"/>
        </w:rPr>
        <w:t xml:space="preserve"> spontaneous</w:t>
      </w:r>
      <w:r w:rsidRPr="00286011">
        <w:rPr>
          <w:rFonts w:asciiTheme="majorBidi" w:hAnsiTheme="majorBidi" w:cstheme="majorBidi"/>
        </w:rPr>
        <w:t xml:space="preserve"> act</w:t>
      </w:r>
      <w:r w:rsidR="002573B8" w:rsidRPr="00286011">
        <w:rPr>
          <w:rFonts w:asciiTheme="majorBidi" w:hAnsiTheme="majorBidi" w:cstheme="majorBidi"/>
        </w:rPr>
        <w:t xml:space="preserve">, is not abstract but </w:t>
      </w:r>
      <w:r w:rsidRPr="00286011">
        <w:rPr>
          <w:rFonts w:asciiTheme="majorBidi" w:hAnsiTheme="majorBidi" w:cstheme="majorBidi"/>
        </w:rPr>
        <w:t>rather</w:t>
      </w:r>
      <w:r w:rsidR="002573B8" w:rsidRPr="00286011">
        <w:rPr>
          <w:rFonts w:asciiTheme="majorBidi" w:hAnsiTheme="majorBidi" w:cstheme="majorBidi"/>
        </w:rPr>
        <w:t xml:space="preserve"> a concrete and real danger. This is due to the inciting atmosphere, on the backdrop of the emergency situation that prevailed, that motivated the defendants to commit such acts” (Office of the State Attorney 2021). </w:t>
      </w:r>
      <w:r w:rsidR="00787D14" w:rsidRPr="00286011">
        <w:rPr>
          <w:rFonts w:asciiTheme="majorBidi" w:hAnsiTheme="majorBidi" w:cstheme="majorBidi"/>
        </w:rPr>
        <w:t>T</w:t>
      </w:r>
      <w:r w:rsidR="002573B8" w:rsidRPr="00286011">
        <w:rPr>
          <w:rFonts w:asciiTheme="majorBidi" w:hAnsiTheme="majorBidi" w:cstheme="majorBidi"/>
        </w:rPr>
        <w:t>he</w:t>
      </w:r>
      <w:r w:rsidR="00787D14" w:rsidRPr="00286011">
        <w:rPr>
          <w:rFonts w:asciiTheme="majorBidi" w:hAnsiTheme="majorBidi" w:cstheme="majorBidi"/>
        </w:rPr>
        <w:t xml:space="preserve"> overall guiding</w:t>
      </w:r>
      <w:r w:rsidR="002573B8" w:rsidRPr="00286011">
        <w:rPr>
          <w:rFonts w:asciiTheme="majorBidi" w:hAnsiTheme="majorBidi" w:cstheme="majorBidi"/>
        </w:rPr>
        <w:t xml:space="preserve"> assumption was that every Palestinian that was arrested </w:t>
      </w:r>
      <w:r w:rsidRPr="00286011">
        <w:rPr>
          <w:rFonts w:asciiTheme="majorBidi" w:hAnsiTheme="majorBidi" w:cstheme="majorBidi"/>
        </w:rPr>
        <w:t>while</w:t>
      </w:r>
      <w:r w:rsidR="002573B8" w:rsidRPr="00286011">
        <w:rPr>
          <w:rFonts w:asciiTheme="majorBidi" w:hAnsiTheme="majorBidi" w:cstheme="majorBidi"/>
        </w:rPr>
        <w:t xml:space="preserve"> participati</w:t>
      </w:r>
      <w:r w:rsidRPr="00286011">
        <w:rPr>
          <w:rFonts w:asciiTheme="majorBidi" w:hAnsiTheme="majorBidi" w:cstheme="majorBidi"/>
        </w:rPr>
        <w:t>ng</w:t>
      </w:r>
      <w:r w:rsidR="002573B8" w:rsidRPr="00286011">
        <w:rPr>
          <w:rFonts w:asciiTheme="majorBidi" w:hAnsiTheme="majorBidi" w:cstheme="majorBidi"/>
        </w:rPr>
        <w:t xml:space="preserve"> in the protes</w:t>
      </w:r>
      <w:r w:rsidR="00BC2517" w:rsidRPr="00286011">
        <w:rPr>
          <w:rFonts w:asciiTheme="majorBidi" w:hAnsiTheme="majorBidi" w:cstheme="majorBidi"/>
        </w:rPr>
        <w:t xml:space="preserve">t </w:t>
      </w:r>
      <w:r w:rsidR="007C0333" w:rsidRPr="00286011">
        <w:rPr>
          <w:rFonts w:asciiTheme="majorBidi" w:hAnsiTheme="majorBidi" w:cstheme="majorBidi"/>
        </w:rPr>
        <w:t>should</w:t>
      </w:r>
      <w:r w:rsidR="00A81A0E" w:rsidRPr="00286011">
        <w:rPr>
          <w:rFonts w:asciiTheme="majorBidi" w:hAnsiTheme="majorBidi" w:cstheme="majorBidi"/>
        </w:rPr>
        <w:t xml:space="preserve"> be</w:t>
      </w:r>
      <w:r w:rsidR="007C0333" w:rsidRPr="00286011">
        <w:rPr>
          <w:rFonts w:asciiTheme="majorBidi" w:hAnsiTheme="majorBidi" w:cstheme="majorBidi"/>
        </w:rPr>
        <w:t xml:space="preserve"> </w:t>
      </w:r>
      <w:r w:rsidR="00BC2517" w:rsidRPr="00286011">
        <w:rPr>
          <w:rFonts w:asciiTheme="majorBidi" w:hAnsiTheme="majorBidi" w:cstheme="majorBidi"/>
        </w:rPr>
        <w:t>remanded</w:t>
      </w:r>
      <w:r w:rsidR="007C0333" w:rsidRPr="00286011">
        <w:rPr>
          <w:rFonts w:asciiTheme="majorBidi" w:hAnsiTheme="majorBidi" w:cstheme="majorBidi"/>
        </w:rPr>
        <w:t xml:space="preserve"> </w:t>
      </w:r>
      <w:r w:rsidR="00A81A0E" w:rsidRPr="00286011">
        <w:rPr>
          <w:rFonts w:asciiTheme="majorBidi" w:hAnsiTheme="majorBidi" w:cstheme="majorBidi"/>
        </w:rPr>
        <w:t>until the end of proceedings since</w:t>
      </w:r>
      <w:r w:rsidR="00BC2517" w:rsidRPr="00286011">
        <w:rPr>
          <w:rFonts w:asciiTheme="majorBidi" w:hAnsiTheme="majorBidi" w:cstheme="majorBidi"/>
        </w:rPr>
        <w:t xml:space="preserve"> otherwise </w:t>
      </w:r>
      <w:r w:rsidR="00A81A0E" w:rsidRPr="00286011">
        <w:rPr>
          <w:rFonts w:asciiTheme="majorBidi" w:hAnsiTheme="majorBidi" w:cstheme="majorBidi"/>
        </w:rPr>
        <w:t>they will</w:t>
      </w:r>
      <w:r w:rsidR="00BC2517" w:rsidRPr="00286011">
        <w:rPr>
          <w:rFonts w:asciiTheme="majorBidi" w:hAnsiTheme="majorBidi" w:cstheme="majorBidi"/>
        </w:rPr>
        <w:t xml:space="preserve"> be released back to the overall heated atmosphere of incitement that will </w:t>
      </w:r>
      <w:r w:rsidRPr="00286011">
        <w:rPr>
          <w:rFonts w:asciiTheme="majorBidi" w:hAnsiTheme="majorBidi" w:cstheme="majorBidi"/>
        </w:rPr>
        <w:t>lead</w:t>
      </w:r>
      <w:r w:rsidR="00BC2517" w:rsidRPr="00286011">
        <w:rPr>
          <w:rFonts w:asciiTheme="majorBidi" w:hAnsiTheme="majorBidi" w:cstheme="majorBidi"/>
        </w:rPr>
        <w:t xml:space="preserve"> them to take part again in similar actions </w:t>
      </w:r>
      <w:r w:rsidR="002573B8" w:rsidRPr="00286011">
        <w:rPr>
          <w:rFonts w:asciiTheme="majorBidi" w:hAnsiTheme="majorBidi" w:cstheme="majorBidi"/>
        </w:rPr>
        <w:t>(</w:t>
      </w:r>
      <w:r w:rsidR="007C0333" w:rsidRPr="00286011">
        <w:rPr>
          <w:rFonts w:asciiTheme="majorBidi" w:hAnsiTheme="majorBidi" w:cstheme="majorBidi"/>
        </w:rPr>
        <w:t>Ibi</w:t>
      </w:r>
      <w:r w:rsidR="00BC2517" w:rsidRPr="00286011">
        <w:rPr>
          <w:rFonts w:asciiTheme="majorBidi" w:hAnsiTheme="majorBidi" w:cstheme="majorBidi"/>
        </w:rPr>
        <w:t>d, 3</w:t>
      </w:r>
      <w:r w:rsidR="002573B8" w:rsidRPr="00286011">
        <w:rPr>
          <w:rFonts w:asciiTheme="majorBidi" w:hAnsiTheme="majorBidi" w:cstheme="majorBidi"/>
        </w:rPr>
        <w:t xml:space="preserve">). </w:t>
      </w:r>
      <w:r w:rsidR="002335E8" w:rsidRPr="00286011">
        <w:rPr>
          <w:rFonts w:asciiTheme="majorBidi" w:hAnsiTheme="majorBidi" w:cstheme="majorBidi"/>
        </w:rPr>
        <w:t xml:space="preserve">A second interesting element in the </w:t>
      </w:r>
      <w:r w:rsidR="0031477B" w:rsidRPr="00286011">
        <w:rPr>
          <w:rFonts w:asciiTheme="majorBidi" w:hAnsiTheme="majorBidi" w:cstheme="majorBidi"/>
        </w:rPr>
        <w:t>su</w:t>
      </w:r>
      <w:r w:rsidR="002335E8" w:rsidRPr="00286011">
        <w:rPr>
          <w:rFonts w:asciiTheme="majorBidi" w:hAnsiTheme="majorBidi" w:cstheme="majorBidi"/>
        </w:rPr>
        <w:t xml:space="preserve">ppression of the 2021 uprising was the use of the </w:t>
      </w:r>
      <w:r w:rsidR="00787D14" w:rsidRPr="00286011">
        <w:rPr>
          <w:rFonts w:asciiTheme="majorBidi" w:hAnsiTheme="majorBidi" w:cstheme="majorBidi"/>
          <w:i/>
          <w:iCs/>
        </w:rPr>
        <w:t>C</w:t>
      </w:r>
      <w:r w:rsidR="002335E8" w:rsidRPr="00286011">
        <w:rPr>
          <w:rFonts w:asciiTheme="majorBidi" w:hAnsiTheme="majorBidi" w:cstheme="majorBidi"/>
          <w:i/>
          <w:iCs/>
        </w:rPr>
        <w:t xml:space="preserve">ounter </w:t>
      </w:r>
      <w:r w:rsidR="00787D14" w:rsidRPr="00286011">
        <w:rPr>
          <w:rFonts w:asciiTheme="majorBidi" w:hAnsiTheme="majorBidi" w:cstheme="majorBidi"/>
          <w:i/>
          <w:iCs/>
        </w:rPr>
        <w:t>T</w:t>
      </w:r>
      <w:r w:rsidR="002335E8" w:rsidRPr="00286011">
        <w:rPr>
          <w:rFonts w:asciiTheme="majorBidi" w:hAnsiTheme="majorBidi" w:cstheme="majorBidi"/>
          <w:i/>
          <w:iCs/>
        </w:rPr>
        <w:t xml:space="preserve">errorism </w:t>
      </w:r>
      <w:r w:rsidR="00787D14" w:rsidRPr="00286011">
        <w:rPr>
          <w:rFonts w:asciiTheme="majorBidi" w:hAnsiTheme="majorBidi" w:cstheme="majorBidi"/>
          <w:i/>
          <w:iCs/>
        </w:rPr>
        <w:t>L</w:t>
      </w:r>
      <w:r w:rsidR="002335E8" w:rsidRPr="00286011">
        <w:rPr>
          <w:rFonts w:asciiTheme="majorBidi" w:hAnsiTheme="majorBidi" w:cstheme="majorBidi"/>
          <w:i/>
          <w:iCs/>
        </w:rPr>
        <w:t>aw</w:t>
      </w:r>
      <w:r w:rsidR="00787D14" w:rsidRPr="00286011">
        <w:rPr>
          <w:rFonts w:asciiTheme="majorBidi" w:hAnsiTheme="majorBidi" w:cstheme="majorBidi"/>
          <w:i/>
          <w:iCs/>
        </w:rPr>
        <w:t>-2016</w:t>
      </w:r>
      <w:r w:rsidR="002335E8" w:rsidRPr="00286011">
        <w:rPr>
          <w:rFonts w:asciiTheme="majorBidi" w:hAnsiTheme="majorBidi" w:cstheme="majorBidi"/>
        </w:rPr>
        <w:t xml:space="preserve"> in prosecuting Palestinian citizens</w:t>
      </w:r>
      <w:r w:rsidR="00C83245" w:rsidRPr="00286011">
        <w:rPr>
          <w:rFonts w:asciiTheme="majorBidi" w:hAnsiTheme="majorBidi" w:cstheme="majorBidi"/>
        </w:rPr>
        <w:t>’</w:t>
      </w:r>
      <w:r w:rsidR="002335E8" w:rsidRPr="00286011">
        <w:rPr>
          <w:rFonts w:asciiTheme="majorBidi" w:hAnsiTheme="majorBidi" w:cstheme="majorBidi"/>
        </w:rPr>
        <w:t xml:space="preserve"> activism</w:t>
      </w:r>
      <w:r w:rsidR="005D725F" w:rsidRPr="00286011">
        <w:rPr>
          <w:rFonts w:asciiTheme="majorBidi" w:hAnsiTheme="majorBidi" w:cstheme="majorBidi"/>
        </w:rPr>
        <w:t>.</w:t>
      </w:r>
      <w:r w:rsidR="00114FF6" w:rsidRPr="00286011">
        <w:rPr>
          <w:rFonts w:asciiTheme="majorBidi" w:hAnsiTheme="majorBidi" w:cstheme="majorBidi"/>
        </w:rPr>
        <w:t xml:space="preserve"> </w:t>
      </w:r>
      <w:r w:rsidRPr="00286011">
        <w:rPr>
          <w:rFonts w:asciiTheme="majorBidi" w:hAnsiTheme="majorBidi" w:cstheme="majorBidi"/>
        </w:rPr>
        <w:t>T</w:t>
      </w:r>
      <w:r w:rsidR="00114FF6" w:rsidRPr="00286011">
        <w:rPr>
          <w:rFonts w:asciiTheme="majorBidi" w:hAnsiTheme="majorBidi" w:cstheme="majorBidi"/>
        </w:rPr>
        <w:t>he r</w:t>
      </w:r>
      <w:r w:rsidRPr="00286011">
        <w:rPr>
          <w:rFonts w:asciiTheme="majorBidi" w:hAnsiTheme="majorBidi" w:cstheme="majorBidi"/>
        </w:rPr>
        <w:t xml:space="preserve">ationale </w:t>
      </w:r>
      <w:r w:rsidR="00FD587E" w:rsidRPr="00286011">
        <w:rPr>
          <w:rFonts w:asciiTheme="majorBidi" w:hAnsiTheme="majorBidi" w:cstheme="majorBidi"/>
        </w:rPr>
        <w:t xml:space="preserve">for the use of the counter terror legislation </w:t>
      </w:r>
      <w:r w:rsidR="00114FF6" w:rsidRPr="00286011">
        <w:rPr>
          <w:rFonts w:asciiTheme="majorBidi" w:hAnsiTheme="majorBidi" w:cstheme="majorBidi"/>
        </w:rPr>
        <w:t xml:space="preserve">was </w:t>
      </w:r>
      <w:r w:rsidR="00FD587E" w:rsidRPr="00286011">
        <w:rPr>
          <w:rFonts w:asciiTheme="majorBidi" w:hAnsiTheme="majorBidi" w:cstheme="majorBidi"/>
        </w:rPr>
        <w:t>in incidents w</w:t>
      </w:r>
      <w:r w:rsidR="00DC7F51" w:rsidRPr="00286011">
        <w:rPr>
          <w:rFonts w:asciiTheme="majorBidi" w:hAnsiTheme="majorBidi" w:cstheme="majorBidi"/>
        </w:rPr>
        <w:t>h</w:t>
      </w:r>
      <w:r w:rsidR="00FD587E" w:rsidRPr="00286011">
        <w:rPr>
          <w:rFonts w:asciiTheme="majorBidi" w:hAnsiTheme="majorBidi" w:cstheme="majorBidi"/>
        </w:rPr>
        <w:t xml:space="preserve">ere </w:t>
      </w:r>
      <w:r w:rsidR="00114FF6" w:rsidRPr="00286011">
        <w:rPr>
          <w:rFonts w:asciiTheme="majorBidi" w:hAnsiTheme="majorBidi" w:cstheme="majorBidi"/>
        </w:rPr>
        <w:t>“</w:t>
      </w:r>
      <w:r w:rsidR="00FD587E" w:rsidRPr="00286011">
        <w:rPr>
          <w:rFonts w:asciiTheme="majorBidi" w:hAnsiTheme="majorBidi" w:cstheme="majorBidi"/>
        </w:rPr>
        <w:t xml:space="preserve">serious and severe events that were motivated by national-ideological reasons” </w:t>
      </w:r>
      <w:r w:rsidR="00114FF6" w:rsidRPr="00286011">
        <w:rPr>
          <w:rFonts w:asciiTheme="majorBidi" w:hAnsiTheme="majorBidi" w:cstheme="majorBidi"/>
        </w:rPr>
        <w:t xml:space="preserve">that included, among other things, lynching, damage to infrastructure and </w:t>
      </w:r>
      <w:r w:rsidR="00FD587E" w:rsidRPr="00286011">
        <w:rPr>
          <w:rFonts w:asciiTheme="majorBidi" w:hAnsiTheme="majorBidi" w:cstheme="majorBidi"/>
        </w:rPr>
        <w:t xml:space="preserve">essential </w:t>
      </w:r>
      <w:r w:rsidR="00114FF6" w:rsidRPr="00286011">
        <w:rPr>
          <w:rFonts w:asciiTheme="majorBidi" w:hAnsiTheme="majorBidi" w:cstheme="majorBidi"/>
        </w:rPr>
        <w:t>services</w:t>
      </w:r>
      <w:r w:rsidR="00FD587E" w:rsidRPr="00286011">
        <w:rPr>
          <w:rFonts w:asciiTheme="majorBidi" w:hAnsiTheme="majorBidi" w:cstheme="majorBidi"/>
        </w:rPr>
        <w:t>, arson, sho</w:t>
      </w:r>
      <w:r w:rsidR="00DC7F51" w:rsidRPr="00286011">
        <w:rPr>
          <w:rFonts w:asciiTheme="majorBidi" w:hAnsiTheme="majorBidi" w:cstheme="majorBidi"/>
        </w:rPr>
        <w:t>o</w:t>
      </w:r>
      <w:r w:rsidR="00FD587E" w:rsidRPr="00286011">
        <w:rPr>
          <w:rFonts w:asciiTheme="majorBidi" w:hAnsiTheme="majorBidi" w:cstheme="majorBidi"/>
        </w:rPr>
        <w:t>ting and throwing of Molotov cocktails towards the security services or civilians</w:t>
      </w:r>
      <w:r w:rsidR="00114FF6" w:rsidRPr="00286011">
        <w:rPr>
          <w:rFonts w:asciiTheme="majorBidi" w:hAnsiTheme="majorBidi" w:cstheme="majorBidi"/>
        </w:rPr>
        <w:t xml:space="preserve"> </w:t>
      </w:r>
      <w:r w:rsidR="00FD587E" w:rsidRPr="00286011">
        <w:rPr>
          <w:rFonts w:asciiTheme="majorBidi" w:hAnsiTheme="majorBidi" w:cstheme="majorBidi"/>
        </w:rPr>
        <w:t>(</w:t>
      </w:r>
      <w:r w:rsidRPr="00286011">
        <w:rPr>
          <w:rFonts w:asciiTheme="majorBidi" w:hAnsiTheme="majorBidi" w:cstheme="majorBidi"/>
        </w:rPr>
        <w:t>Ibid,</w:t>
      </w:r>
      <w:r w:rsidR="00FD587E" w:rsidRPr="00286011">
        <w:rPr>
          <w:rFonts w:asciiTheme="majorBidi" w:hAnsiTheme="majorBidi" w:cstheme="majorBidi"/>
        </w:rPr>
        <w:t xml:space="preserve"> 9). </w:t>
      </w:r>
    </w:p>
    <w:p w14:paraId="1C3CDA16" w14:textId="53071ABF" w:rsidR="00C462D8" w:rsidRPr="00286011" w:rsidRDefault="00A81A0E" w:rsidP="008C73F5">
      <w:pPr>
        <w:ind w:firstLine="454"/>
        <w:jc w:val="both"/>
        <w:rPr>
          <w:rFonts w:asciiTheme="majorBidi" w:hAnsiTheme="majorBidi" w:cstheme="majorBidi"/>
        </w:rPr>
      </w:pPr>
      <w:r w:rsidRPr="00286011">
        <w:rPr>
          <w:rFonts w:asciiTheme="majorBidi" w:hAnsiTheme="majorBidi" w:cstheme="majorBidi"/>
        </w:rPr>
        <w:t>The cases above only reveal a partial picture that deserve</w:t>
      </w:r>
      <w:r w:rsidR="00CF7B7C" w:rsidRPr="00286011">
        <w:rPr>
          <w:rFonts w:asciiTheme="majorBidi" w:hAnsiTheme="majorBidi" w:cstheme="majorBidi"/>
        </w:rPr>
        <w:t>s</w:t>
      </w:r>
      <w:r w:rsidRPr="00286011">
        <w:rPr>
          <w:rFonts w:asciiTheme="majorBidi" w:hAnsiTheme="majorBidi" w:cstheme="majorBidi"/>
        </w:rPr>
        <w:t xml:space="preserve"> much more detail</w:t>
      </w:r>
      <w:r w:rsidR="00CF7B7C" w:rsidRPr="00286011">
        <w:rPr>
          <w:rFonts w:asciiTheme="majorBidi" w:hAnsiTheme="majorBidi" w:cstheme="majorBidi"/>
        </w:rPr>
        <w:t>ed</w:t>
      </w:r>
      <w:r w:rsidRPr="00286011">
        <w:rPr>
          <w:rFonts w:asciiTheme="majorBidi" w:hAnsiTheme="majorBidi" w:cstheme="majorBidi"/>
        </w:rPr>
        <w:t xml:space="preserve"> and nuanced analysis. </w:t>
      </w:r>
      <w:r w:rsidR="00CF7B7C" w:rsidRPr="00286011">
        <w:rPr>
          <w:rFonts w:asciiTheme="majorBidi" w:hAnsiTheme="majorBidi" w:cstheme="majorBidi"/>
        </w:rPr>
        <w:t xml:space="preserve">While discussing both race and citizenship, I tried to point to their intertwined nature, and the cases briefly discussed here reveal that </w:t>
      </w:r>
      <w:r w:rsidR="00446305" w:rsidRPr="00286011">
        <w:rPr>
          <w:rFonts w:asciiTheme="majorBidi" w:hAnsiTheme="majorBidi" w:cstheme="majorBidi"/>
        </w:rPr>
        <w:t>at the base, race is the factor that creates</w:t>
      </w:r>
      <w:r w:rsidR="00C46239" w:rsidRPr="00286011">
        <w:rPr>
          <w:rFonts w:asciiTheme="majorBidi" w:hAnsiTheme="majorBidi" w:cstheme="majorBidi"/>
        </w:rPr>
        <w:t xml:space="preserve"> (and maintains)</w:t>
      </w:r>
      <w:r w:rsidR="00446305" w:rsidRPr="00286011">
        <w:rPr>
          <w:rFonts w:asciiTheme="majorBidi" w:hAnsiTheme="majorBidi" w:cstheme="majorBidi"/>
        </w:rPr>
        <w:t xml:space="preserve"> the threshold of threat. Palestinian, by their existence, are posed as a threat to </w:t>
      </w:r>
      <w:r w:rsidR="00300F67" w:rsidRPr="00286011">
        <w:rPr>
          <w:rFonts w:asciiTheme="majorBidi" w:hAnsiTheme="majorBidi" w:cstheme="majorBidi"/>
        </w:rPr>
        <w:t>preserving</w:t>
      </w:r>
      <w:r w:rsidR="00446305" w:rsidRPr="00286011">
        <w:rPr>
          <w:rFonts w:asciiTheme="majorBidi" w:hAnsiTheme="majorBidi" w:cstheme="majorBidi"/>
        </w:rPr>
        <w:t xml:space="preserve"> Jewish supremacy, </w:t>
      </w:r>
      <w:r w:rsidR="00CF7B7C" w:rsidRPr="00286011">
        <w:rPr>
          <w:rFonts w:asciiTheme="majorBidi" w:hAnsiTheme="majorBidi" w:cstheme="majorBidi"/>
        </w:rPr>
        <w:t>and</w:t>
      </w:r>
      <w:r w:rsidR="00446305" w:rsidRPr="00286011">
        <w:rPr>
          <w:rFonts w:asciiTheme="majorBidi" w:hAnsiTheme="majorBidi" w:cstheme="majorBidi"/>
        </w:rPr>
        <w:t xml:space="preserve"> accordingly political activism on their side is</w:t>
      </w:r>
      <w:r w:rsidR="00D775D6" w:rsidRPr="00286011">
        <w:rPr>
          <w:rFonts w:asciiTheme="majorBidi" w:hAnsiTheme="majorBidi" w:cstheme="majorBidi"/>
        </w:rPr>
        <w:t xml:space="preserve"> </w:t>
      </w:r>
      <w:r w:rsidR="001D1C21" w:rsidRPr="00286011">
        <w:rPr>
          <w:rFonts w:asciiTheme="majorBidi" w:hAnsiTheme="majorBidi" w:cstheme="majorBidi"/>
        </w:rPr>
        <w:t>rarely tolerated</w:t>
      </w:r>
      <w:r w:rsidR="00DD5AAE" w:rsidRPr="00286011">
        <w:rPr>
          <w:rFonts w:asciiTheme="majorBidi" w:hAnsiTheme="majorBidi" w:cstheme="majorBidi"/>
        </w:rPr>
        <w:t xml:space="preserve">. </w:t>
      </w:r>
      <w:r w:rsidR="00446305" w:rsidRPr="00286011">
        <w:rPr>
          <w:rFonts w:asciiTheme="majorBidi" w:hAnsiTheme="majorBidi" w:cstheme="majorBidi"/>
        </w:rPr>
        <w:t xml:space="preserve">However, </w:t>
      </w:r>
      <w:r w:rsidR="00C56EEE" w:rsidRPr="00286011">
        <w:rPr>
          <w:rFonts w:asciiTheme="majorBidi" w:hAnsiTheme="majorBidi" w:cstheme="majorBidi"/>
        </w:rPr>
        <w:t xml:space="preserve">citizenship </w:t>
      </w:r>
      <w:r w:rsidR="00446305" w:rsidRPr="00286011">
        <w:rPr>
          <w:rFonts w:asciiTheme="majorBidi" w:hAnsiTheme="majorBidi" w:cstheme="majorBidi"/>
        </w:rPr>
        <w:t xml:space="preserve">as an institution cannot be disregarded. It </w:t>
      </w:r>
      <w:r w:rsidR="00C56EEE" w:rsidRPr="00286011">
        <w:rPr>
          <w:rFonts w:asciiTheme="majorBidi" w:hAnsiTheme="majorBidi" w:cstheme="majorBidi"/>
        </w:rPr>
        <w:t>constitutes a rationale of differentiation among the Palestinians under Israel’s control,</w:t>
      </w:r>
      <w:r w:rsidR="00DD5AAE" w:rsidRPr="00286011">
        <w:rPr>
          <w:rFonts w:asciiTheme="majorBidi" w:hAnsiTheme="majorBidi" w:cstheme="majorBidi"/>
        </w:rPr>
        <w:t xml:space="preserve"> </w:t>
      </w:r>
      <w:r w:rsidR="001D1C21" w:rsidRPr="00286011">
        <w:rPr>
          <w:rFonts w:asciiTheme="majorBidi" w:hAnsiTheme="majorBidi" w:cstheme="majorBidi"/>
        </w:rPr>
        <w:t xml:space="preserve">and while police raids in Jenin (West Bank), for example, are not the same as police raid in Haifa (within Green Line Israel), at certain occasions </w:t>
      </w:r>
      <w:r w:rsidR="00DD5AAE" w:rsidRPr="00286011">
        <w:rPr>
          <w:rFonts w:asciiTheme="majorBidi" w:hAnsiTheme="majorBidi" w:cstheme="majorBidi"/>
        </w:rPr>
        <w:t xml:space="preserve">the state does not hesitate to </w:t>
      </w:r>
      <w:r w:rsidR="00C83245" w:rsidRPr="00286011">
        <w:rPr>
          <w:rFonts w:asciiTheme="majorBidi" w:hAnsiTheme="majorBidi" w:cstheme="majorBidi"/>
        </w:rPr>
        <w:t xml:space="preserve">violently </w:t>
      </w:r>
      <w:r w:rsidR="0067201D" w:rsidRPr="00286011">
        <w:rPr>
          <w:rFonts w:asciiTheme="majorBidi" w:hAnsiTheme="majorBidi" w:cstheme="majorBidi"/>
        </w:rPr>
        <w:t>r</w:t>
      </w:r>
      <w:r w:rsidR="00595585" w:rsidRPr="00286011">
        <w:rPr>
          <w:rFonts w:asciiTheme="majorBidi" w:hAnsiTheme="majorBidi" w:cstheme="majorBidi"/>
        </w:rPr>
        <w:t>epress and</w:t>
      </w:r>
      <w:r w:rsidR="006D2971" w:rsidRPr="00286011">
        <w:rPr>
          <w:rFonts w:asciiTheme="majorBidi" w:hAnsiTheme="majorBidi" w:cstheme="majorBidi"/>
        </w:rPr>
        <w:t xml:space="preserve"> criminalis</w:t>
      </w:r>
      <w:r w:rsidR="0067201D" w:rsidRPr="00286011">
        <w:rPr>
          <w:rFonts w:asciiTheme="majorBidi" w:hAnsiTheme="majorBidi" w:cstheme="majorBidi"/>
        </w:rPr>
        <w:t>e</w:t>
      </w:r>
      <w:r w:rsidR="006D2971" w:rsidRPr="00286011">
        <w:rPr>
          <w:rFonts w:asciiTheme="majorBidi" w:hAnsiTheme="majorBidi" w:cstheme="majorBidi"/>
        </w:rPr>
        <w:t xml:space="preserve"> political activism</w:t>
      </w:r>
      <w:r w:rsidR="00C56EEE" w:rsidRPr="00286011">
        <w:rPr>
          <w:rFonts w:asciiTheme="majorBidi" w:hAnsiTheme="majorBidi" w:cstheme="majorBidi"/>
        </w:rPr>
        <w:t xml:space="preserve">, that leads </w:t>
      </w:r>
      <w:r w:rsidR="00CF7B7C" w:rsidRPr="00286011">
        <w:rPr>
          <w:rFonts w:asciiTheme="majorBidi" w:hAnsiTheme="majorBidi" w:cstheme="majorBidi"/>
        </w:rPr>
        <w:t xml:space="preserve">to the disappearance of citizenship as a </w:t>
      </w:r>
      <w:r w:rsidR="000B5E84" w:rsidRPr="00286011">
        <w:rPr>
          <w:rFonts w:asciiTheme="majorBidi" w:hAnsiTheme="majorBidi" w:cstheme="majorBidi"/>
        </w:rPr>
        <w:t xml:space="preserve">layer </w:t>
      </w:r>
      <w:r w:rsidR="00CF7B7C" w:rsidRPr="00286011">
        <w:rPr>
          <w:rFonts w:asciiTheme="majorBidi" w:hAnsiTheme="majorBidi" w:cstheme="majorBidi"/>
        </w:rPr>
        <w:t>of protection</w:t>
      </w:r>
      <w:r w:rsidR="000B5E84" w:rsidRPr="00286011">
        <w:rPr>
          <w:rFonts w:asciiTheme="majorBidi" w:hAnsiTheme="majorBidi" w:cstheme="majorBidi"/>
        </w:rPr>
        <w:t xml:space="preserve"> from state violence</w:t>
      </w:r>
      <w:r w:rsidR="0067201D" w:rsidRPr="00286011">
        <w:rPr>
          <w:rFonts w:asciiTheme="majorBidi" w:hAnsiTheme="majorBidi" w:cstheme="majorBidi"/>
        </w:rPr>
        <w:t xml:space="preserve">. </w:t>
      </w:r>
      <w:r w:rsidR="00C56EEE" w:rsidRPr="00286011">
        <w:rPr>
          <w:rFonts w:asciiTheme="majorBidi" w:hAnsiTheme="majorBidi" w:cstheme="majorBidi"/>
        </w:rPr>
        <w:t xml:space="preserve">Repression and criminalisation </w:t>
      </w:r>
      <w:r w:rsidR="00554CC1" w:rsidRPr="00286011">
        <w:rPr>
          <w:rFonts w:asciiTheme="majorBidi" w:hAnsiTheme="majorBidi" w:cstheme="majorBidi"/>
        </w:rPr>
        <w:t xml:space="preserve">of Palestinian political activism </w:t>
      </w:r>
      <w:r w:rsidR="00C56EEE" w:rsidRPr="00286011">
        <w:rPr>
          <w:rFonts w:asciiTheme="majorBidi" w:hAnsiTheme="majorBidi" w:cstheme="majorBidi"/>
        </w:rPr>
        <w:t xml:space="preserve">are </w:t>
      </w:r>
      <w:r w:rsidR="0067201D" w:rsidRPr="00286011">
        <w:rPr>
          <w:rFonts w:asciiTheme="majorBidi" w:hAnsiTheme="majorBidi" w:cstheme="majorBidi"/>
        </w:rPr>
        <w:t>done</w:t>
      </w:r>
      <w:r w:rsidR="006D2971" w:rsidRPr="00286011">
        <w:rPr>
          <w:rFonts w:asciiTheme="majorBidi" w:hAnsiTheme="majorBidi" w:cstheme="majorBidi"/>
        </w:rPr>
        <w:t xml:space="preserve"> by formal tools, involving both </w:t>
      </w:r>
      <w:r w:rsidR="0067201D" w:rsidRPr="00286011">
        <w:rPr>
          <w:rFonts w:asciiTheme="majorBidi" w:hAnsiTheme="majorBidi" w:cstheme="majorBidi"/>
        </w:rPr>
        <w:t xml:space="preserve">use of existing </w:t>
      </w:r>
      <w:r w:rsidR="006D2971" w:rsidRPr="00286011">
        <w:rPr>
          <w:rFonts w:asciiTheme="majorBidi" w:hAnsiTheme="majorBidi" w:cstheme="majorBidi"/>
        </w:rPr>
        <w:t>legislati</w:t>
      </w:r>
      <w:r w:rsidR="0067201D" w:rsidRPr="00286011">
        <w:rPr>
          <w:rFonts w:asciiTheme="majorBidi" w:hAnsiTheme="majorBidi" w:cstheme="majorBidi"/>
        </w:rPr>
        <w:t xml:space="preserve">on </w:t>
      </w:r>
      <w:r w:rsidR="006D2971" w:rsidRPr="00286011">
        <w:rPr>
          <w:rFonts w:asciiTheme="majorBidi" w:hAnsiTheme="majorBidi" w:cstheme="majorBidi"/>
        </w:rPr>
        <w:t xml:space="preserve">and </w:t>
      </w:r>
      <w:r w:rsidR="0067201D" w:rsidRPr="00286011">
        <w:rPr>
          <w:rFonts w:asciiTheme="majorBidi" w:hAnsiTheme="majorBidi" w:cstheme="majorBidi"/>
        </w:rPr>
        <w:t xml:space="preserve">the mobilisation of </w:t>
      </w:r>
      <w:r w:rsidR="006D2971" w:rsidRPr="00286011">
        <w:rPr>
          <w:rFonts w:asciiTheme="majorBidi" w:hAnsiTheme="majorBidi" w:cstheme="majorBidi"/>
        </w:rPr>
        <w:t xml:space="preserve">law enforcement </w:t>
      </w:r>
      <w:r w:rsidR="0067201D" w:rsidRPr="00286011">
        <w:rPr>
          <w:rFonts w:asciiTheme="majorBidi" w:hAnsiTheme="majorBidi" w:cstheme="majorBidi"/>
        </w:rPr>
        <w:t>agencies</w:t>
      </w:r>
      <w:r w:rsidR="006D2971" w:rsidRPr="00286011">
        <w:rPr>
          <w:rFonts w:asciiTheme="majorBidi" w:hAnsiTheme="majorBidi" w:cstheme="majorBidi"/>
        </w:rPr>
        <w:t xml:space="preserve"> and strategies</w:t>
      </w:r>
      <w:r w:rsidR="00595585" w:rsidRPr="00286011">
        <w:rPr>
          <w:rFonts w:asciiTheme="majorBidi" w:hAnsiTheme="majorBidi" w:cstheme="majorBidi"/>
        </w:rPr>
        <w:t xml:space="preserve">, a logic </w:t>
      </w:r>
      <w:r w:rsidR="0067201D" w:rsidRPr="00286011">
        <w:rPr>
          <w:rFonts w:asciiTheme="majorBidi" w:hAnsiTheme="majorBidi" w:cstheme="majorBidi"/>
        </w:rPr>
        <w:t xml:space="preserve">which is </w:t>
      </w:r>
      <w:r w:rsidR="00595585" w:rsidRPr="00286011">
        <w:rPr>
          <w:rFonts w:asciiTheme="majorBidi" w:hAnsiTheme="majorBidi" w:cstheme="majorBidi"/>
        </w:rPr>
        <w:t>determined by racial categories</w:t>
      </w:r>
      <w:r w:rsidR="006D2971" w:rsidRPr="00286011">
        <w:rPr>
          <w:rFonts w:asciiTheme="majorBidi" w:hAnsiTheme="majorBidi" w:cstheme="majorBidi"/>
        </w:rPr>
        <w:t xml:space="preserve">. </w:t>
      </w:r>
      <w:r w:rsidR="00A90055" w:rsidRPr="00286011">
        <w:rPr>
          <w:rFonts w:asciiTheme="majorBidi" w:hAnsiTheme="majorBidi" w:cstheme="majorBidi"/>
        </w:rPr>
        <w:t xml:space="preserve">But since race is the baseline of the threshold of threat, how do forms of dissent by Israel’s privileged citizens – Jewish Israelis - are being treated? When are their ideas and actions become substantial enough that threshold of threat is being met, and repression and criminalisation kick in? </w:t>
      </w:r>
    </w:p>
    <w:p w14:paraId="20689747" w14:textId="77777777" w:rsidR="009C3FE3" w:rsidRPr="00286011" w:rsidRDefault="009C3FE3" w:rsidP="005A6929">
      <w:pPr>
        <w:jc w:val="both"/>
        <w:rPr>
          <w:rFonts w:asciiTheme="majorBidi" w:hAnsiTheme="majorBidi" w:cstheme="majorBidi"/>
          <w:i/>
          <w:iCs/>
        </w:rPr>
      </w:pPr>
    </w:p>
    <w:p w14:paraId="5A52ACE6" w14:textId="5F6E2AB0" w:rsidR="009F26B6" w:rsidRPr="00286011" w:rsidRDefault="00931CE7" w:rsidP="005A6929">
      <w:pPr>
        <w:jc w:val="both"/>
        <w:rPr>
          <w:rFonts w:asciiTheme="majorBidi" w:hAnsiTheme="majorBidi" w:cstheme="majorBidi"/>
        </w:rPr>
      </w:pPr>
      <w:r w:rsidRPr="00286011">
        <w:rPr>
          <w:rFonts w:asciiTheme="majorBidi" w:hAnsiTheme="majorBidi" w:cstheme="majorBidi"/>
          <w:i/>
          <w:iCs/>
        </w:rPr>
        <w:t>T</w:t>
      </w:r>
      <w:r w:rsidR="00015FC9" w:rsidRPr="00286011">
        <w:rPr>
          <w:rFonts w:asciiTheme="majorBidi" w:hAnsiTheme="majorBidi" w:cstheme="majorBidi"/>
          <w:i/>
          <w:iCs/>
        </w:rPr>
        <w:t xml:space="preserve">hreshold of </w:t>
      </w:r>
      <w:r w:rsidR="00CA13CF" w:rsidRPr="00286011">
        <w:rPr>
          <w:rFonts w:asciiTheme="majorBidi" w:hAnsiTheme="majorBidi" w:cstheme="majorBidi"/>
          <w:i/>
          <w:iCs/>
        </w:rPr>
        <w:t>threa</w:t>
      </w:r>
      <w:r w:rsidR="003C68A9" w:rsidRPr="00286011">
        <w:rPr>
          <w:rFonts w:asciiTheme="majorBidi" w:hAnsiTheme="majorBidi" w:cstheme="majorBidi"/>
          <w:i/>
          <w:iCs/>
        </w:rPr>
        <w:t>t</w:t>
      </w:r>
      <w:r w:rsidR="007D7809" w:rsidRPr="00286011">
        <w:rPr>
          <w:rFonts w:asciiTheme="majorBidi" w:hAnsiTheme="majorBidi" w:cstheme="majorBidi"/>
          <w:i/>
          <w:iCs/>
        </w:rPr>
        <w:t xml:space="preserve"> II: ideas</w:t>
      </w:r>
      <w:r w:rsidR="008C73F5" w:rsidRPr="00286011">
        <w:rPr>
          <w:rFonts w:asciiTheme="majorBidi" w:hAnsiTheme="majorBidi" w:cstheme="majorBidi"/>
          <w:i/>
          <w:iCs/>
        </w:rPr>
        <w:t xml:space="preserve"> and actions </w:t>
      </w:r>
    </w:p>
    <w:p w14:paraId="30BFE273" w14:textId="77777777" w:rsidR="009F26B6" w:rsidRPr="00286011" w:rsidRDefault="009F26B6" w:rsidP="005A6929">
      <w:pPr>
        <w:jc w:val="both"/>
        <w:rPr>
          <w:rFonts w:asciiTheme="majorBidi" w:hAnsiTheme="majorBidi" w:cstheme="majorBidi"/>
        </w:rPr>
      </w:pPr>
    </w:p>
    <w:p w14:paraId="4BE12980" w14:textId="56753743" w:rsidR="0060276B" w:rsidRPr="00286011" w:rsidRDefault="004B3B99" w:rsidP="0060276B">
      <w:pPr>
        <w:jc w:val="both"/>
        <w:rPr>
          <w:rFonts w:asciiTheme="majorBidi" w:hAnsiTheme="majorBidi" w:cstheme="majorBidi"/>
        </w:rPr>
      </w:pPr>
      <w:r w:rsidRPr="00286011">
        <w:rPr>
          <w:rFonts w:asciiTheme="majorBidi" w:hAnsiTheme="majorBidi" w:cstheme="majorBidi"/>
        </w:rPr>
        <w:t>The state of Israel, and its extensive security apparatus is geared towards limiting, controlling and repressing Palestinian political activism in its various geographical locations, as a permanent threat to preserving and maintaining Jewish supremacy on the land. Palestinians are therefore criminalised for their mere existence, in a practice that intensifies according to the ideas and actions they promote or take</w:t>
      </w:r>
      <w:r w:rsidR="007A18D3" w:rsidRPr="00286011">
        <w:rPr>
          <w:rFonts w:asciiTheme="majorBidi" w:hAnsiTheme="majorBidi" w:cstheme="majorBidi"/>
        </w:rPr>
        <w:t>, in formal strategies that involves legislation, law enforcement and imprisonment, alongside routine exercise of state violence</w:t>
      </w:r>
      <w:r w:rsidRPr="00286011">
        <w:rPr>
          <w:rFonts w:asciiTheme="majorBidi" w:hAnsiTheme="majorBidi" w:cstheme="majorBidi"/>
        </w:rPr>
        <w:t>.</w:t>
      </w:r>
      <w:r w:rsidR="002A3A47" w:rsidRPr="00286011">
        <w:rPr>
          <w:rFonts w:asciiTheme="majorBidi" w:hAnsiTheme="majorBidi" w:cstheme="majorBidi"/>
        </w:rPr>
        <w:t xml:space="preserve"> </w:t>
      </w:r>
      <w:r w:rsidRPr="00286011">
        <w:rPr>
          <w:rFonts w:asciiTheme="majorBidi" w:hAnsiTheme="majorBidi" w:cstheme="majorBidi"/>
        </w:rPr>
        <w:t xml:space="preserve">Since the operational logic of the Israeli state involves the maintenance of Jewish privilege within the framework of nominal democratic institutions and procedures, political activism of Jewish citizens is left undisturbed in most cases, or is not formally repressed by state agencies. </w:t>
      </w:r>
      <w:r w:rsidR="00D33A40" w:rsidRPr="00286011">
        <w:rPr>
          <w:rFonts w:asciiTheme="majorBidi" w:hAnsiTheme="majorBidi" w:cstheme="majorBidi"/>
        </w:rPr>
        <w:t>In other words, the threshold of threat is not met by the existence of political activism of Jewish Israelis</w:t>
      </w:r>
      <w:r w:rsidR="003F49B9" w:rsidRPr="00286011">
        <w:rPr>
          <w:rFonts w:asciiTheme="majorBidi" w:hAnsiTheme="majorBidi" w:cstheme="majorBidi"/>
        </w:rPr>
        <w:t>, but instead by certain ideas and actions that are promotes or taken by them</w:t>
      </w:r>
      <w:r w:rsidR="00D33A40" w:rsidRPr="00286011">
        <w:rPr>
          <w:rFonts w:asciiTheme="majorBidi" w:hAnsiTheme="majorBidi" w:cstheme="majorBidi"/>
        </w:rPr>
        <w:t xml:space="preserve">. Moreover, since the state mostly refrains from formal strategies of repression and criminalisation of Jewish Israeli activists, the door is left open for </w:t>
      </w:r>
      <w:r w:rsidRPr="00286011">
        <w:rPr>
          <w:rFonts w:asciiTheme="majorBidi" w:hAnsiTheme="majorBidi" w:cstheme="majorBidi"/>
        </w:rPr>
        <w:t xml:space="preserve">the operation of non-state actors, individuals and groups, that take up the mission of labelling, monitoring and </w:t>
      </w:r>
      <w:proofErr w:type="spellStart"/>
      <w:r w:rsidRPr="00286011">
        <w:rPr>
          <w:rFonts w:asciiTheme="majorBidi" w:hAnsiTheme="majorBidi" w:cstheme="majorBidi"/>
        </w:rPr>
        <w:t>surveilling</w:t>
      </w:r>
      <w:proofErr w:type="spellEnd"/>
      <w:r w:rsidRPr="00286011">
        <w:rPr>
          <w:rFonts w:asciiTheme="majorBidi" w:hAnsiTheme="majorBidi" w:cstheme="majorBidi"/>
        </w:rPr>
        <w:t xml:space="preserve"> Jewish Israeli activists.</w:t>
      </w:r>
      <w:r w:rsidR="002A3A47" w:rsidRPr="00286011">
        <w:rPr>
          <w:rFonts w:asciiTheme="majorBidi" w:hAnsiTheme="majorBidi" w:cstheme="majorBidi"/>
        </w:rPr>
        <w:t xml:space="preserve"> </w:t>
      </w:r>
      <w:r w:rsidR="003F49B9" w:rsidRPr="00286011">
        <w:rPr>
          <w:rFonts w:asciiTheme="majorBidi" w:hAnsiTheme="majorBidi" w:cstheme="majorBidi"/>
        </w:rPr>
        <w:t xml:space="preserve">What constitutes the threshold of threat (both ideas and actions), that once crossed, also privileged citizens become the target of informal and also formal strategies of criminalisation? </w:t>
      </w:r>
    </w:p>
    <w:p w14:paraId="5FDC6E6C" w14:textId="64B91E1D" w:rsidR="000F287F" w:rsidRPr="00286011" w:rsidRDefault="0060276B" w:rsidP="00BE1AD2">
      <w:pPr>
        <w:jc w:val="both"/>
        <w:rPr>
          <w:rFonts w:asciiTheme="majorBidi" w:hAnsiTheme="majorBidi" w:cstheme="majorBidi"/>
        </w:rPr>
      </w:pPr>
      <w:r w:rsidRPr="00286011">
        <w:rPr>
          <w:rFonts w:asciiTheme="majorBidi" w:hAnsiTheme="majorBidi" w:cstheme="majorBidi"/>
        </w:rPr>
        <w:tab/>
        <w:t>In this section, I will discuss instances that clearly indicate a movement in the threshold of threat</w:t>
      </w:r>
      <w:r w:rsidR="0022369A" w:rsidRPr="00286011">
        <w:rPr>
          <w:rFonts w:asciiTheme="majorBidi" w:hAnsiTheme="majorBidi" w:cstheme="majorBidi"/>
        </w:rPr>
        <w:t>, and trigger repression and criminalisation.</w:t>
      </w:r>
      <w:r w:rsidRPr="00286011">
        <w:rPr>
          <w:rFonts w:asciiTheme="majorBidi" w:hAnsiTheme="majorBidi" w:cstheme="majorBidi"/>
        </w:rPr>
        <w:t xml:space="preserve"> Firstly, when Jewish Israeli activists are seen to be ‘cooperating with the enemy’, crossing the lines to join the Palestinian struggle. Such cases are met with formal strategies of criminalisation, with direct involvement of both police and the state’s security agency, and lead to </w:t>
      </w:r>
      <w:r w:rsidR="0022369A" w:rsidRPr="00286011">
        <w:rPr>
          <w:rFonts w:asciiTheme="majorBidi" w:hAnsiTheme="majorBidi" w:cstheme="majorBidi"/>
        </w:rPr>
        <w:t xml:space="preserve">interrogations, </w:t>
      </w:r>
      <w:r w:rsidRPr="00286011">
        <w:rPr>
          <w:rFonts w:asciiTheme="majorBidi" w:hAnsiTheme="majorBidi" w:cstheme="majorBidi"/>
        </w:rPr>
        <w:t>arrests, criminal prosecutions and imprisonment. Secondly, when Jewish Israeli citizen are contributing to that is conceptualised as the ‘</w:t>
      </w:r>
      <w:proofErr w:type="spellStart"/>
      <w:r w:rsidRPr="00286011">
        <w:rPr>
          <w:rFonts w:asciiTheme="majorBidi" w:hAnsiTheme="majorBidi" w:cstheme="majorBidi"/>
        </w:rPr>
        <w:t>delegitimation</w:t>
      </w:r>
      <w:proofErr w:type="spellEnd"/>
      <w:r w:rsidRPr="00286011">
        <w:rPr>
          <w:rFonts w:asciiTheme="majorBidi" w:hAnsiTheme="majorBidi" w:cstheme="majorBidi"/>
        </w:rPr>
        <w:t xml:space="preserve">’ efforts against the State of Israel, we can see involvement of civil society organisation, working hand in hand with state agents to thwart such efforts. </w:t>
      </w:r>
      <w:r w:rsidR="00D4148D" w:rsidRPr="00286011">
        <w:rPr>
          <w:rFonts w:asciiTheme="majorBidi" w:hAnsiTheme="majorBidi" w:cstheme="majorBidi"/>
        </w:rPr>
        <w:t>This involves producing reports, spying (infiltrating organisations to collect information on activities and activists), leading defamation campaigns against individuals and organisations that name and shame those that are labelled ‘traitors’, and publish their photos and details and, also, lobbying in parliament to take formal legislative and punitive steps against them, including de-funding, or putting restrictions of the sources of funding such organisations can access and accept, and in effect, silence and shut down their activities (Jamal 2018).</w:t>
      </w:r>
      <w:r w:rsidR="009C0723" w:rsidRPr="00286011">
        <w:rPr>
          <w:rFonts w:asciiTheme="majorBidi" w:hAnsiTheme="majorBidi" w:cstheme="majorBidi"/>
        </w:rPr>
        <w:t xml:space="preserve"> </w:t>
      </w:r>
    </w:p>
    <w:p w14:paraId="07371E08" w14:textId="14EFFF55" w:rsidR="006C4F76" w:rsidRPr="00286011" w:rsidRDefault="005C5739" w:rsidP="00CA4BB4">
      <w:pPr>
        <w:ind w:firstLine="454"/>
        <w:jc w:val="both"/>
        <w:rPr>
          <w:rFonts w:asciiTheme="majorBidi" w:hAnsiTheme="majorBidi" w:cstheme="majorBidi"/>
        </w:rPr>
      </w:pPr>
      <w:r w:rsidRPr="00286011">
        <w:rPr>
          <w:rFonts w:asciiTheme="majorBidi" w:hAnsiTheme="majorBidi" w:cstheme="majorBidi"/>
        </w:rPr>
        <w:t xml:space="preserve">Cases of formal criminalisation </w:t>
      </w:r>
      <w:r w:rsidR="006C4F76" w:rsidRPr="00286011">
        <w:rPr>
          <w:rFonts w:asciiTheme="majorBidi" w:hAnsiTheme="majorBidi" w:cstheme="majorBidi"/>
        </w:rPr>
        <w:t>through</w:t>
      </w:r>
      <w:r w:rsidRPr="00286011">
        <w:rPr>
          <w:rFonts w:asciiTheme="majorBidi" w:hAnsiTheme="majorBidi" w:cstheme="majorBidi"/>
        </w:rPr>
        <w:t xml:space="preserve"> </w:t>
      </w:r>
      <w:r w:rsidR="006C4F76" w:rsidRPr="00286011">
        <w:rPr>
          <w:rFonts w:asciiTheme="majorBidi" w:hAnsiTheme="majorBidi" w:cstheme="majorBidi"/>
        </w:rPr>
        <w:t xml:space="preserve">legislation and </w:t>
      </w:r>
      <w:r w:rsidRPr="00286011">
        <w:rPr>
          <w:rFonts w:asciiTheme="majorBidi" w:hAnsiTheme="majorBidi" w:cstheme="majorBidi"/>
        </w:rPr>
        <w:t>law enforcement (arrests, legal proceedings, imprisonment)</w:t>
      </w:r>
      <w:r w:rsidR="00FE33B1" w:rsidRPr="00286011">
        <w:rPr>
          <w:rFonts w:asciiTheme="majorBidi" w:hAnsiTheme="majorBidi" w:cstheme="majorBidi"/>
        </w:rPr>
        <w:t xml:space="preserve"> against Jewish citizens</w:t>
      </w:r>
      <w:r w:rsidRPr="00286011">
        <w:rPr>
          <w:rFonts w:asciiTheme="majorBidi" w:hAnsiTheme="majorBidi" w:cstheme="majorBidi"/>
        </w:rPr>
        <w:t xml:space="preserve"> are rare.</w:t>
      </w:r>
      <w:r w:rsidR="006C4F76" w:rsidRPr="00286011">
        <w:rPr>
          <w:rFonts w:asciiTheme="majorBidi" w:hAnsiTheme="majorBidi" w:cstheme="majorBidi"/>
        </w:rPr>
        <w:t xml:space="preserve"> </w:t>
      </w:r>
      <w:r w:rsidR="00A40F0D" w:rsidRPr="00286011">
        <w:rPr>
          <w:rFonts w:asciiTheme="majorBidi" w:hAnsiTheme="majorBidi" w:cstheme="majorBidi"/>
        </w:rPr>
        <w:t>This is less due to the fact that such cases are not criminalised, but because the number of times that Jewish Israeli citizens actually cross the lines, participate in the armed struggle, or join the ranks of Palestinian organisations is very limited (Owen 20</w:t>
      </w:r>
      <w:r w:rsidR="00932AE1" w:rsidRPr="00286011">
        <w:rPr>
          <w:rFonts w:asciiTheme="majorBidi" w:hAnsiTheme="majorBidi" w:cstheme="majorBidi"/>
        </w:rPr>
        <w:t>20</w:t>
      </w:r>
      <w:r w:rsidR="00A40F0D" w:rsidRPr="00286011">
        <w:rPr>
          <w:rFonts w:asciiTheme="majorBidi" w:hAnsiTheme="majorBidi" w:cstheme="majorBidi"/>
        </w:rPr>
        <w:t xml:space="preserve">; Weizman 2022). </w:t>
      </w:r>
      <w:r w:rsidR="0007020D" w:rsidRPr="00286011">
        <w:rPr>
          <w:rFonts w:asciiTheme="majorBidi" w:hAnsiTheme="majorBidi" w:cstheme="majorBidi"/>
        </w:rPr>
        <w:t>Besides that, t</w:t>
      </w:r>
      <w:r w:rsidR="00C17ED0" w:rsidRPr="00286011">
        <w:rPr>
          <w:rFonts w:asciiTheme="majorBidi" w:hAnsiTheme="majorBidi" w:cstheme="majorBidi"/>
        </w:rPr>
        <w:t xml:space="preserve">he overall </w:t>
      </w:r>
      <w:r w:rsidR="0007020D" w:rsidRPr="00286011">
        <w:rPr>
          <w:rFonts w:asciiTheme="majorBidi" w:hAnsiTheme="majorBidi" w:cstheme="majorBidi"/>
        </w:rPr>
        <w:t>assumption</w:t>
      </w:r>
      <w:r w:rsidR="00C17ED0" w:rsidRPr="00286011">
        <w:rPr>
          <w:rFonts w:asciiTheme="majorBidi" w:hAnsiTheme="majorBidi" w:cstheme="majorBidi"/>
        </w:rPr>
        <w:t xml:space="preserve"> o</w:t>
      </w:r>
      <w:r w:rsidR="004E39BB" w:rsidRPr="00286011">
        <w:rPr>
          <w:rFonts w:asciiTheme="majorBidi" w:hAnsiTheme="majorBidi" w:cstheme="majorBidi"/>
        </w:rPr>
        <w:t>f</w:t>
      </w:r>
      <w:r w:rsidR="00C17ED0" w:rsidRPr="00286011">
        <w:rPr>
          <w:rFonts w:asciiTheme="majorBidi" w:hAnsiTheme="majorBidi" w:cstheme="majorBidi"/>
        </w:rPr>
        <w:t xml:space="preserve"> Israel’s security apparatus is that opposition to the regime </w:t>
      </w:r>
      <w:r w:rsidR="0007020D" w:rsidRPr="00286011">
        <w:rPr>
          <w:rFonts w:asciiTheme="majorBidi" w:hAnsiTheme="majorBidi" w:cstheme="majorBidi"/>
        </w:rPr>
        <w:t>that centres against countering Jewish supremacy</w:t>
      </w:r>
      <w:r w:rsidR="00C17ED0" w:rsidRPr="00286011">
        <w:rPr>
          <w:rFonts w:asciiTheme="majorBidi" w:hAnsiTheme="majorBidi" w:cstheme="majorBidi"/>
        </w:rPr>
        <w:t xml:space="preserve"> </w:t>
      </w:r>
      <w:r w:rsidR="0007020D" w:rsidRPr="00286011">
        <w:rPr>
          <w:rFonts w:asciiTheme="majorBidi" w:hAnsiTheme="majorBidi" w:cstheme="majorBidi"/>
        </w:rPr>
        <w:t>is</w:t>
      </w:r>
      <w:r w:rsidR="00C17ED0" w:rsidRPr="00286011">
        <w:rPr>
          <w:rFonts w:asciiTheme="majorBidi" w:hAnsiTheme="majorBidi" w:cstheme="majorBidi"/>
        </w:rPr>
        <w:t xml:space="preserve"> by essence a Palestinian opposition. </w:t>
      </w:r>
      <w:r w:rsidR="00CA4BB4" w:rsidRPr="00286011">
        <w:rPr>
          <w:rFonts w:asciiTheme="majorBidi" w:hAnsiTheme="majorBidi" w:cstheme="majorBidi"/>
        </w:rPr>
        <w:t xml:space="preserve">British emergency regulations that were adopted into Israeli legislation as temporary orders that were routinely extended were the main tool used by </w:t>
      </w:r>
      <w:r w:rsidR="00FE33B1" w:rsidRPr="00286011">
        <w:rPr>
          <w:rFonts w:asciiTheme="majorBidi" w:hAnsiTheme="majorBidi" w:cstheme="majorBidi"/>
        </w:rPr>
        <w:t>Israe</w:t>
      </w:r>
      <w:r w:rsidR="00CA4BB4" w:rsidRPr="00286011">
        <w:rPr>
          <w:rFonts w:asciiTheme="majorBidi" w:hAnsiTheme="majorBidi" w:cstheme="majorBidi"/>
        </w:rPr>
        <w:t xml:space="preserve">l </w:t>
      </w:r>
      <w:r w:rsidR="00FE33B1" w:rsidRPr="00286011">
        <w:rPr>
          <w:rFonts w:asciiTheme="majorBidi" w:hAnsiTheme="majorBidi" w:cstheme="majorBidi"/>
        </w:rPr>
        <w:t>to manage and control Palestinian citizens</w:t>
      </w:r>
      <w:r w:rsidR="00CA4BB4" w:rsidRPr="00286011">
        <w:rPr>
          <w:rFonts w:asciiTheme="majorBidi" w:hAnsiTheme="majorBidi" w:cstheme="majorBidi"/>
        </w:rPr>
        <w:t>’</w:t>
      </w:r>
      <w:r w:rsidR="00FE33B1" w:rsidRPr="00286011">
        <w:rPr>
          <w:rFonts w:asciiTheme="majorBidi" w:hAnsiTheme="majorBidi" w:cstheme="majorBidi"/>
        </w:rPr>
        <w:t xml:space="preserve"> lives and </w:t>
      </w:r>
      <w:r w:rsidR="00CA4BB4" w:rsidRPr="00286011">
        <w:rPr>
          <w:rFonts w:asciiTheme="majorBidi" w:hAnsiTheme="majorBidi" w:cstheme="majorBidi"/>
        </w:rPr>
        <w:t>limit</w:t>
      </w:r>
      <w:r w:rsidR="00FE33B1" w:rsidRPr="00286011">
        <w:rPr>
          <w:rFonts w:asciiTheme="majorBidi" w:hAnsiTheme="majorBidi" w:cstheme="majorBidi"/>
        </w:rPr>
        <w:t xml:space="preserve"> (or forbid altogether) political activity that was deemed a ‘threat’ to the Israeli state.</w:t>
      </w:r>
      <w:r w:rsidR="00CA4BB4" w:rsidRPr="00286011">
        <w:rPr>
          <w:rFonts w:asciiTheme="majorBidi" w:hAnsiTheme="majorBidi" w:cstheme="majorBidi"/>
        </w:rPr>
        <w:t xml:space="preserve"> Indeed, they were rarely used against Jewish Israeli citizens</w:t>
      </w:r>
      <w:r w:rsidR="00D437C0" w:rsidRPr="00286011">
        <w:rPr>
          <w:rFonts w:asciiTheme="majorBidi" w:hAnsiTheme="majorBidi" w:cstheme="majorBidi"/>
        </w:rPr>
        <w:t xml:space="preserve">. </w:t>
      </w:r>
      <w:proofErr w:type="spellStart"/>
      <w:r w:rsidR="00CA4BB4" w:rsidRPr="00286011">
        <w:rPr>
          <w:rFonts w:asciiTheme="majorBidi" w:hAnsiTheme="majorBidi" w:cstheme="majorBidi"/>
        </w:rPr>
        <w:t>Berda</w:t>
      </w:r>
      <w:proofErr w:type="spellEnd"/>
      <w:r w:rsidR="00CA4BB4" w:rsidRPr="00286011">
        <w:rPr>
          <w:rFonts w:asciiTheme="majorBidi" w:hAnsiTheme="majorBidi" w:cstheme="majorBidi"/>
        </w:rPr>
        <w:t xml:space="preserve"> (2020) explains that e</w:t>
      </w:r>
      <w:r w:rsidR="00564781" w:rsidRPr="00286011">
        <w:rPr>
          <w:rFonts w:asciiTheme="majorBidi" w:hAnsiTheme="majorBidi" w:cstheme="majorBidi"/>
        </w:rPr>
        <w:t>ven with the enactment of t</w:t>
      </w:r>
      <w:r w:rsidR="006C4F76" w:rsidRPr="00286011">
        <w:rPr>
          <w:rFonts w:asciiTheme="majorBidi" w:hAnsiTheme="majorBidi" w:cstheme="majorBidi"/>
        </w:rPr>
        <w:t xml:space="preserve">he </w:t>
      </w:r>
      <w:r w:rsidR="006C4F76" w:rsidRPr="00286011">
        <w:rPr>
          <w:rFonts w:asciiTheme="majorBidi" w:hAnsiTheme="majorBidi" w:cstheme="majorBidi"/>
          <w:i/>
          <w:iCs/>
        </w:rPr>
        <w:t>Counter-Terrorism Law-2016</w:t>
      </w:r>
      <w:r w:rsidR="00564781" w:rsidRPr="00286011">
        <w:rPr>
          <w:rFonts w:asciiTheme="majorBidi" w:hAnsiTheme="majorBidi" w:cstheme="majorBidi"/>
        </w:rPr>
        <w:t xml:space="preserve"> that</w:t>
      </w:r>
      <w:r w:rsidR="006C4F76" w:rsidRPr="00286011">
        <w:rPr>
          <w:rFonts w:asciiTheme="majorBidi" w:hAnsiTheme="majorBidi" w:cstheme="majorBidi"/>
        </w:rPr>
        <w:t xml:space="preserve"> </w:t>
      </w:r>
      <w:r w:rsidR="00A67FDB" w:rsidRPr="00286011">
        <w:rPr>
          <w:rFonts w:asciiTheme="majorBidi" w:hAnsiTheme="majorBidi" w:cstheme="majorBidi"/>
        </w:rPr>
        <w:t>incorporated the</w:t>
      </w:r>
      <w:r w:rsidR="00D56D0A" w:rsidRPr="00286011">
        <w:rPr>
          <w:rFonts w:asciiTheme="majorBidi" w:hAnsiTheme="majorBidi" w:cstheme="majorBidi"/>
        </w:rPr>
        <w:t xml:space="preserve"> emergency measures in</w:t>
      </w:r>
      <w:r w:rsidR="00A67FDB" w:rsidRPr="00286011">
        <w:rPr>
          <w:rFonts w:asciiTheme="majorBidi" w:hAnsiTheme="majorBidi" w:cstheme="majorBidi"/>
        </w:rPr>
        <w:t>to primary</w:t>
      </w:r>
      <w:r w:rsidR="00D56D0A" w:rsidRPr="00286011">
        <w:rPr>
          <w:rFonts w:asciiTheme="majorBidi" w:hAnsiTheme="majorBidi" w:cstheme="majorBidi"/>
        </w:rPr>
        <w:t xml:space="preserve"> legislation</w:t>
      </w:r>
      <w:r w:rsidR="00CA4BB4" w:rsidRPr="00286011">
        <w:rPr>
          <w:rFonts w:asciiTheme="majorBidi" w:hAnsiTheme="majorBidi" w:cstheme="majorBidi"/>
        </w:rPr>
        <w:t>, an act</w:t>
      </w:r>
      <w:r w:rsidR="007127A0" w:rsidRPr="00286011">
        <w:rPr>
          <w:rFonts w:asciiTheme="majorBidi" w:hAnsiTheme="majorBidi" w:cstheme="majorBidi"/>
        </w:rPr>
        <w:t xml:space="preserve"> </w:t>
      </w:r>
      <w:r w:rsidR="00CA4BB4" w:rsidRPr="00286011">
        <w:rPr>
          <w:rFonts w:asciiTheme="majorBidi" w:hAnsiTheme="majorBidi" w:cstheme="majorBidi"/>
        </w:rPr>
        <w:t>that</w:t>
      </w:r>
      <w:r w:rsidR="006C4F76" w:rsidRPr="00286011">
        <w:rPr>
          <w:rFonts w:asciiTheme="majorBidi" w:hAnsiTheme="majorBidi" w:cstheme="majorBidi"/>
        </w:rPr>
        <w:t xml:space="preserve"> potentially open</w:t>
      </w:r>
      <w:r w:rsidR="007127A0" w:rsidRPr="00286011">
        <w:rPr>
          <w:rFonts w:asciiTheme="majorBidi" w:hAnsiTheme="majorBidi" w:cstheme="majorBidi"/>
        </w:rPr>
        <w:t>s</w:t>
      </w:r>
      <w:r w:rsidR="006C4F76" w:rsidRPr="00286011">
        <w:rPr>
          <w:rFonts w:asciiTheme="majorBidi" w:hAnsiTheme="majorBidi" w:cstheme="majorBidi"/>
        </w:rPr>
        <w:t xml:space="preserve"> the door for </w:t>
      </w:r>
      <w:r w:rsidR="001D4989" w:rsidRPr="00286011">
        <w:rPr>
          <w:rFonts w:asciiTheme="majorBidi" w:hAnsiTheme="majorBidi" w:cstheme="majorBidi"/>
        </w:rPr>
        <w:t xml:space="preserve">its </w:t>
      </w:r>
      <w:r w:rsidR="006C4F76" w:rsidRPr="00286011">
        <w:rPr>
          <w:rFonts w:asciiTheme="majorBidi" w:hAnsiTheme="majorBidi" w:cstheme="majorBidi"/>
        </w:rPr>
        <w:t>universal application on all of Israel’s citizens,</w:t>
      </w:r>
      <w:r w:rsidR="00564781" w:rsidRPr="00286011">
        <w:rPr>
          <w:rFonts w:asciiTheme="majorBidi" w:hAnsiTheme="majorBidi" w:cstheme="majorBidi"/>
        </w:rPr>
        <w:t xml:space="preserve"> the likelihood of such scenario is low</w:t>
      </w:r>
      <w:r w:rsidR="00CA4BB4" w:rsidRPr="00286011">
        <w:rPr>
          <w:rFonts w:asciiTheme="majorBidi" w:hAnsiTheme="majorBidi" w:cstheme="majorBidi"/>
        </w:rPr>
        <w:t>. This is</w:t>
      </w:r>
      <w:r w:rsidR="00564781" w:rsidRPr="00286011">
        <w:rPr>
          <w:rFonts w:asciiTheme="majorBidi" w:hAnsiTheme="majorBidi" w:cstheme="majorBidi"/>
        </w:rPr>
        <w:t xml:space="preserve"> </w:t>
      </w:r>
      <w:r w:rsidR="00CA4BB4" w:rsidRPr="00286011">
        <w:rPr>
          <w:rFonts w:asciiTheme="majorBidi" w:hAnsiTheme="majorBidi" w:cstheme="majorBidi"/>
        </w:rPr>
        <w:t xml:space="preserve">because the law cannot be read in isolation and instead must take into consideration </w:t>
      </w:r>
      <w:r w:rsidR="00564781" w:rsidRPr="00286011">
        <w:rPr>
          <w:rFonts w:asciiTheme="majorBidi" w:hAnsiTheme="majorBidi" w:cstheme="majorBidi"/>
        </w:rPr>
        <w:t xml:space="preserve">other </w:t>
      </w:r>
      <w:r w:rsidR="00CA4BB4" w:rsidRPr="00286011">
        <w:rPr>
          <w:rFonts w:asciiTheme="majorBidi" w:hAnsiTheme="majorBidi" w:cstheme="majorBidi"/>
        </w:rPr>
        <w:t xml:space="preserve">pieces of </w:t>
      </w:r>
      <w:r w:rsidR="00564781" w:rsidRPr="00286011">
        <w:rPr>
          <w:rFonts w:asciiTheme="majorBidi" w:hAnsiTheme="majorBidi" w:cstheme="majorBidi"/>
        </w:rPr>
        <w:t>legislation that ground Jewish privileges in the state, most notably the</w:t>
      </w:r>
      <w:r w:rsidR="006C4F76" w:rsidRPr="00286011">
        <w:rPr>
          <w:rFonts w:asciiTheme="majorBidi" w:hAnsiTheme="majorBidi" w:cstheme="majorBidi"/>
        </w:rPr>
        <w:t xml:space="preserve"> </w:t>
      </w:r>
      <w:r w:rsidR="001D4989" w:rsidRPr="00286011">
        <w:rPr>
          <w:rFonts w:asciiTheme="majorBidi" w:hAnsiTheme="majorBidi" w:cstheme="majorBidi"/>
          <w:i/>
          <w:iCs/>
        </w:rPr>
        <w:t>N</w:t>
      </w:r>
      <w:r w:rsidR="006C4F76" w:rsidRPr="00286011">
        <w:rPr>
          <w:rFonts w:asciiTheme="majorBidi" w:hAnsiTheme="majorBidi" w:cstheme="majorBidi"/>
          <w:i/>
          <w:iCs/>
        </w:rPr>
        <w:t xml:space="preserve">ation </w:t>
      </w:r>
      <w:r w:rsidR="001D4989" w:rsidRPr="00286011">
        <w:rPr>
          <w:rFonts w:asciiTheme="majorBidi" w:hAnsiTheme="majorBidi" w:cstheme="majorBidi"/>
          <w:i/>
          <w:iCs/>
        </w:rPr>
        <w:t>S</w:t>
      </w:r>
      <w:r w:rsidR="006C4F76" w:rsidRPr="00286011">
        <w:rPr>
          <w:rFonts w:asciiTheme="majorBidi" w:hAnsiTheme="majorBidi" w:cstheme="majorBidi"/>
          <w:i/>
          <w:iCs/>
        </w:rPr>
        <w:t xml:space="preserve">tate </w:t>
      </w:r>
      <w:r w:rsidR="001D4989" w:rsidRPr="00286011">
        <w:rPr>
          <w:rFonts w:asciiTheme="majorBidi" w:hAnsiTheme="majorBidi" w:cstheme="majorBidi"/>
          <w:i/>
          <w:iCs/>
        </w:rPr>
        <w:t>L</w:t>
      </w:r>
      <w:r w:rsidR="006C4F76" w:rsidRPr="00286011">
        <w:rPr>
          <w:rFonts w:asciiTheme="majorBidi" w:hAnsiTheme="majorBidi" w:cstheme="majorBidi"/>
          <w:i/>
          <w:iCs/>
        </w:rPr>
        <w:t>aw</w:t>
      </w:r>
      <w:r w:rsidR="001D4989" w:rsidRPr="00286011">
        <w:rPr>
          <w:rFonts w:asciiTheme="majorBidi" w:hAnsiTheme="majorBidi" w:cstheme="majorBidi"/>
          <w:i/>
          <w:iCs/>
        </w:rPr>
        <w:t>-2018</w:t>
      </w:r>
      <w:r w:rsidR="006C4F76" w:rsidRPr="00286011">
        <w:rPr>
          <w:rFonts w:asciiTheme="majorBidi" w:hAnsiTheme="majorBidi" w:cstheme="majorBidi"/>
        </w:rPr>
        <w:t xml:space="preserve"> that enshrines a hierarchy between Jewish citizens and others, and proclaim</w:t>
      </w:r>
      <w:r w:rsidR="00DD781A" w:rsidRPr="00286011">
        <w:rPr>
          <w:rFonts w:asciiTheme="majorBidi" w:hAnsiTheme="majorBidi" w:cstheme="majorBidi"/>
        </w:rPr>
        <w:t>s</w:t>
      </w:r>
      <w:r w:rsidR="006C4F76" w:rsidRPr="00286011">
        <w:rPr>
          <w:rFonts w:asciiTheme="majorBidi" w:hAnsiTheme="majorBidi" w:cstheme="majorBidi"/>
        </w:rPr>
        <w:t xml:space="preserve"> the exclusivity of Jewish self-determination and settlement</w:t>
      </w:r>
      <w:r w:rsidR="001D4989" w:rsidRPr="00286011">
        <w:rPr>
          <w:rFonts w:asciiTheme="majorBidi" w:hAnsiTheme="majorBidi" w:cstheme="majorBidi"/>
        </w:rPr>
        <w:t xml:space="preserve"> (</w:t>
      </w:r>
      <w:r w:rsidR="00CA4BB4" w:rsidRPr="00286011">
        <w:rPr>
          <w:rFonts w:asciiTheme="majorBidi" w:hAnsiTheme="majorBidi" w:cstheme="majorBidi"/>
        </w:rPr>
        <w:t>Ibid</w:t>
      </w:r>
      <w:r w:rsidR="007127A0" w:rsidRPr="00286011">
        <w:rPr>
          <w:rFonts w:asciiTheme="majorBidi" w:hAnsiTheme="majorBidi" w:cstheme="majorBidi"/>
        </w:rPr>
        <w:t>, 572</w:t>
      </w:r>
      <w:r w:rsidR="001D4989" w:rsidRPr="00286011">
        <w:rPr>
          <w:rFonts w:asciiTheme="majorBidi" w:hAnsiTheme="majorBidi" w:cstheme="majorBidi"/>
        </w:rPr>
        <w:t>)</w:t>
      </w:r>
      <w:r w:rsidR="006C4F76" w:rsidRPr="00286011">
        <w:rPr>
          <w:rFonts w:asciiTheme="majorBidi" w:hAnsiTheme="majorBidi" w:cstheme="majorBidi"/>
        </w:rPr>
        <w:t>.</w:t>
      </w:r>
      <w:r w:rsidR="001D4989" w:rsidRPr="00286011">
        <w:rPr>
          <w:rFonts w:asciiTheme="majorBidi" w:hAnsiTheme="majorBidi" w:cstheme="majorBidi"/>
        </w:rPr>
        <w:t xml:space="preserve"> </w:t>
      </w:r>
    </w:p>
    <w:p w14:paraId="7934546C" w14:textId="03098E5E" w:rsidR="00C17ED0" w:rsidRPr="00286011" w:rsidRDefault="005C5739" w:rsidP="004E52FA">
      <w:pPr>
        <w:ind w:firstLine="454"/>
        <w:jc w:val="both"/>
        <w:rPr>
          <w:rFonts w:asciiTheme="majorBidi" w:hAnsiTheme="majorBidi" w:cstheme="majorBidi"/>
        </w:rPr>
      </w:pPr>
      <w:r w:rsidRPr="00286011">
        <w:rPr>
          <w:rFonts w:asciiTheme="majorBidi" w:hAnsiTheme="majorBidi" w:cstheme="majorBidi"/>
        </w:rPr>
        <w:t>The</w:t>
      </w:r>
      <w:r w:rsidR="007127A0" w:rsidRPr="00286011">
        <w:rPr>
          <w:rFonts w:asciiTheme="majorBidi" w:hAnsiTheme="majorBidi" w:cstheme="majorBidi"/>
        </w:rPr>
        <w:t xml:space="preserve"> rare cases in which the abovementioned legislation</w:t>
      </w:r>
      <w:r w:rsidRPr="00286011">
        <w:rPr>
          <w:rFonts w:asciiTheme="majorBidi" w:hAnsiTheme="majorBidi" w:cstheme="majorBidi"/>
        </w:rPr>
        <w:t xml:space="preserve"> w</w:t>
      </w:r>
      <w:r w:rsidR="007127A0" w:rsidRPr="00286011">
        <w:rPr>
          <w:rFonts w:asciiTheme="majorBidi" w:hAnsiTheme="majorBidi" w:cstheme="majorBidi"/>
        </w:rPr>
        <w:t>as</w:t>
      </w:r>
      <w:r w:rsidRPr="00286011">
        <w:rPr>
          <w:rFonts w:asciiTheme="majorBidi" w:hAnsiTheme="majorBidi" w:cstheme="majorBidi"/>
        </w:rPr>
        <w:t xml:space="preserve"> used</w:t>
      </w:r>
      <w:r w:rsidR="00DD781A" w:rsidRPr="00286011">
        <w:rPr>
          <w:rFonts w:asciiTheme="majorBidi" w:hAnsiTheme="majorBidi" w:cstheme="majorBidi"/>
        </w:rPr>
        <w:t>, were</w:t>
      </w:r>
      <w:r w:rsidRPr="00286011">
        <w:rPr>
          <w:rFonts w:asciiTheme="majorBidi" w:hAnsiTheme="majorBidi" w:cstheme="majorBidi"/>
        </w:rPr>
        <w:t xml:space="preserve"> cases in which Jewish activists were involved in underground movements in cooperation with Palestinian organisations. In the 1970s and 1980s</w:t>
      </w:r>
      <w:r w:rsidR="00DD781A" w:rsidRPr="00286011">
        <w:rPr>
          <w:rFonts w:asciiTheme="majorBidi" w:hAnsiTheme="majorBidi" w:cstheme="majorBidi"/>
        </w:rPr>
        <w:t>,</w:t>
      </w:r>
      <w:r w:rsidRPr="00286011">
        <w:rPr>
          <w:rFonts w:asciiTheme="majorBidi" w:hAnsiTheme="majorBidi" w:cstheme="majorBidi"/>
        </w:rPr>
        <w:t xml:space="preserve"> three such organisation</w:t>
      </w:r>
      <w:r w:rsidR="00DD781A" w:rsidRPr="00286011">
        <w:rPr>
          <w:rFonts w:asciiTheme="majorBidi" w:hAnsiTheme="majorBidi" w:cstheme="majorBidi"/>
        </w:rPr>
        <w:t>s</w:t>
      </w:r>
      <w:r w:rsidRPr="00286011">
        <w:rPr>
          <w:rFonts w:asciiTheme="majorBidi" w:hAnsiTheme="majorBidi" w:cstheme="majorBidi"/>
        </w:rPr>
        <w:t xml:space="preserve"> existed and were captured and its members imprisoned. These were ‘The Red Front’ of Ehud (Udi) </w:t>
      </w:r>
      <w:proofErr w:type="spellStart"/>
      <w:r w:rsidRPr="00286011">
        <w:rPr>
          <w:rFonts w:asciiTheme="majorBidi" w:hAnsiTheme="majorBidi" w:cstheme="majorBidi"/>
        </w:rPr>
        <w:t>Adiv</w:t>
      </w:r>
      <w:proofErr w:type="spellEnd"/>
      <w:r w:rsidRPr="00286011">
        <w:rPr>
          <w:rFonts w:asciiTheme="majorBidi" w:hAnsiTheme="majorBidi" w:cstheme="majorBidi"/>
        </w:rPr>
        <w:t xml:space="preserve">, an organisation that was formed in 1971 and promoted a communist revolution through violence, and struggle against the Zionist state and its army; </w:t>
      </w:r>
      <w:r w:rsidR="00CD4FAF" w:rsidRPr="00286011">
        <w:rPr>
          <w:rFonts w:asciiTheme="majorBidi" w:hAnsiTheme="majorBidi" w:cstheme="majorBidi"/>
        </w:rPr>
        <w:t xml:space="preserve">another case was Rami </w:t>
      </w:r>
      <w:proofErr w:type="spellStart"/>
      <w:r w:rsidR="00CD4FAF" w:rsidRPr="00286011">
        <w:rPr>
          <w:rFonts w:asciiTheme="majorBidi" w:hAnsiTheme="majorBidi" w:cstheme="majorBidi"/>
        </w:rPr>
        <w:t>Livne</w:t>
      </w:r>
      <w:proofErr w:type="spellEnd"/>
      <w:r w:rsidR="00CD4FAF" w:rsidRPr="00286011">
        <w:rPr>
          <w:rFonts w:asciiTheme="majorBidi" w:hAnsiTheme="majorBidi" w:cstheme="majorBidi"/>
        </w:rPr>
        <w:t xml:space="preserve">, </w:t>
      </w:r>
      <w:r w:rsidR="00DD781A" w:rsidRPr="00286011">
        <w:rPr>
          <w:rFonts w:asciiTheme="majorBidi" w:hAnsiTheme="majorBidi" w:cstheme="majorBidi"/>
        </w:rPr>
        <w:t xml:space="preserve">a </w:t>
      </w:r>
      <w:r w:rsidR="00CD4FAF" w:rsidRPr="00286011">
        <w:rPr>
          <w:rFonts w:asciiTheme="majorBidi" w:hAnsiTheme="majorBidi" w:cstheme="majorBidi"/>
        </w:rPr>
        <w:t>member of the ‘</w:t>
      </w:r>
      <w:proofErr w:type="spellStart"/>
      <w:r w:rsidR="00CD4FAF" w:rsidRPr="00286011">
        <w:rPr>
          <w:rFonts w:asciiTheme="majorBidi" w:hAnsiTheme="majorBidi" w:cstheme="majorBidi"/>
        </w:rPr>
        <w:t>Maavak</w:t>
      </w:r>
      <w:proofErr w:type="spellEnd"/>
      <w:r w:rsidR="00CD4FAF" w:rsidRPr="00286011">
        <w:rPr>
          <w:rFonts w:asciiTheme="majorBidi" w:hAnsiTheme="majorBidi" w:cstheme="majorBidi"/>
        </w:rPr>
        <w:t xml:space="preserve">’ – the Revolutionary Communist Alliance, </w:t>
      </w:r>
      <w:r w:rsidR="00DD781A" w:rsidRPr="00286011">
        <w:rPr>
          <w:rFonts w:asciiTheme="majorBidi" w:hAnsiTheme="majorBidi" w:cstheme="majorBidi"/>
        </w:rPr>
        <w:t>who</w:t>
      </w:r>
      <w:r w:rsidR="00CD4FAF" w:rsidRPr="00286011">
        <w:rPr>
          <w:rFonts w:asciiTheme="majorBidi" w:hAnsiTheme="majorBidi" w:cstheme="majorBidi"/>
        </w:rPr>
        <w:t xml:space="preserve"> was imprisoned for 10 years for ‘contacting a foreign agent’ </w:t>
      </w:r>
      <w:r w:rsidR="00804017" w:rsidRPr="00286011">
        <w:rPr>
          <w:rFonts w:asciiTheme="majorBidi" w:hAnsiTheme="majorBidi" w:cstheme="majorBidi"/>
        </w:rPr>
        <w:t>and ‘</w:t>
      </w:r>
      <w:r w:rsidR="00BE00BA" w:rsidRPr="00286011">
        <w:rPr>
          <w:rFonts w:asciiTheme="majorBidi" w:hAnsiTheme="majorBidi" w:cstheme="majorBidi"/>
        </w:rPr>
        <w:t>complicity in</w:t>
      </w:r>
      <w:r w:rsidR="00804017" w:rsidRPr="00286011">
        <w:rPr>
          <w:rFonts w:asciiTheme="majorBidi" w:hAnsiTheme="majorBidi" w:cstheme="majorBidi"/>
        </w:rPr>
        <w:t xml:space="preserve"> a criminal offence’; another example is</w:t>
      </w:r>
      <w:r w:rsidRPr="00286011">
        <w:rPr>
          <w:rFonts w:asciiTheme="majorBidi" w:hAnsiTheme="majorBidi" w:cstheme="majorBidi"/>
        </w:rPr>
        <w:t xml:space="preserve"> ‘</w:t>
      </w:r>
      <w:proofErr w:type="spellStart"/>
      <w:r w:rsidRPr="00286011">
        <w:rPr>
          <w:rFonts w:asciiTheme="majorBidi" w:hAnsiTheme="majorBidi" w:cstheme="majorBidi"/>
        </w:rPr>
        <w:t>Derech</w:t>
      </w:r>
      <w:proofErr w:type="spellEnd"/>
      <w:r w:rsidRPr="00286011">
        <w:rPr>
          <w:rFonts w:asciiTheme="majorBidi" w:hAnsiTheme="majorBidi" w:cstheme="majorBidi"/>
        </w:rPr>
        <w:t xml:space="preserve"> </w:t>
      </w:r>
      <w:proofErr w:type="spellStart"/>
      <w:r w:rsidRPr="00286011">
        <w:rPr>
          <w:rFonts w:asciiTheme="majorBidi" w:hAnsiTheme="majorBidi" w:cstheme="majorBidi"/>
        </w:rPr>
        <w:t>Hanitzotz</w:t>
      </w:r>
      <w:proofErr w:type="spellEnd"/>
      <w:r w:rsidRPr="00286011">
        <w:rPr>
          <w:rFonts w:asciiTheme="majorBidi" w:hAnsiTheme="majorBidi" w:cstheme="majorBidi"/>
        </w:rPr>
        <w:t>’ (the path of the spark), a Maoist organisation that co-operated with the Democratic Front for the Liberation of Palestine (DFLP) in the mid</w:t>
      </w:r>
      <w:r w:rsidR="00CD4FAF" w:rsidRPr="00286011">
        <w:rPr>
          <w:rFonts w:asciiTheme="majorBidi" w:hAnsiTheme="majorBidi" w:cstheme="majorBidi"/>
        </w:rPr>
        <w:t>-</w:t>
      </w:r>
      <w:r w:rsidRPr="00286011">
        <w:rPr>
          <w:rFonts w:asciiTheme="majorBidi" w:hAnsiTheme="majorBidi" w:cstheme="majorBidi"/>
        </w:rPr>
        <w:t xml:space="preserve">1980s but was captured in 1988 and its members imprisoned. </w:t>
      </w:r>
      <w:r w:rsidR="004A429B" w:rsidRPr="00286011">
        <w:rPr>
          <w:rFonts w:asciiTheme="majorBidi" w:hAnsiTheme="majorBidi" w:cstheme="majorBidi"/>
        </w:rPr>
        <w:t>These c</w:t>
      </w:r>
      <w:r w:rsidRPr="00286011">
        <w:rPr>
          <w:rFonts w:asciiTheme="majorBidi" w:hAnsiTheme="majorBidi" w:cstheme="majorBidi"/>
        </w:rPr>
        <w:t>ases are of activists that were willing to take their resistance to the violent stage,</w:t>
      </w:r>
      <w:r w:rsidR="004E52FA" w:rsidRPr="00286011">
        <w:rPr>
          <w:rFonts w:asciiTheme="majorBidi" w:hAnsiTheme="majorBidi" w:cstheme="majorBidi"/>
        </w:rPr>
        <w:t xml:space="preserve"> </w:t>
      </w:r>
      <w:r w:rsidRPr="00286011">
        <w:rPr>
          <w:rFonts w:asciiTheme="majorBidi" w:hAnsiTheme="majorBidi" w:cstheme="majorBidi"/>
        </w:rPr>
        <w:t>either symbolically (through the co-operation with Palestinian organisations) or practically. The third was the Alternative Information Centre, a Trotskyist organisation that co-operated with the Popular Front for the Liberation of Palestine (PFLP). Even though the organisation mainly worked as an alternative media outlet, its relations with the PFLP led to</w:t>
      </w:r>
      <w:r w:rsidR="00BE00BA" w:rsidRPr="00286011">
        <w:rPr>
          <w:rFonts w:asciiTheme="majorBidi" w:hAnsiTheme="majorBidi" w:cstheme="majorBidi"/>
        </w:rPr>
        <w:t xml:space="preserve"> the arrest and imprisonment of</w:t>
      </w:r>
      <w:r w:rsidRPr="00286011">
        <w:rPr>
          <w:rFonts w:asciiTheme="majorBidi" w:hAnsiTheme="majorBidi" w:cstheme="majorBidi"/>
        </w:rPr>
        <w:t xml:space="preserve"> its members (Kaufman 2003: 65-69</w:t>
      </w:r>
      <w:r w:rsidR="00804017" w:rsidRPr="00286011">
        <w:rPr>
          <w:rFonts w:asciiTheme="majorBidi" w:hAnsiTheme="majorBidi" w:cstheme="majorBidi"/>
        </w:rPr>
        <w:t xml:space="preserve">; </w:t>
      </w:r>
      <w:r w:rsidR="00430A0F" w:rsidRPr="00286011">
        <w:rPr>
          <w:rFonts w:asciiTheme="majorBidi" w:hAnsiTheme="majorBidi" w:cstheme="majorBidi"/>
        </w:rPr>
        <w:t>I</w:t>
      </w:r>
      <w:r w:rsidR="00804017" w:rsidRPr="00286011">
        <w:rPr>
          <w:rFonts w:asciiTheme="majorBidi" w:hAnsiTheme="majorBidi" w:cstheme="majorBidi"/>
        </w:rPr>
        <w:t xml:space="preserve">nterviews with </w:t>
      </w:r>
      <w:proofErr w:type="spellStart"/>
      <w:r w:rsidR="00804017" w:rsidRPr="00286011">
        <w:rPr>
          <w:rFonts w:asciiTheme="majorBidi" w:hAnsiTheme="majorBidi" w:cstheme="majorBidi"/>
        </w:rPr>
        <w:t>Adiv</w:t>
      </w:r>
      <w:proofErr w:type="spellEnd"/>
      <w:r w:rsidR="00804017" w:rsidRPr="00286011">
        <w:rPr>
          <w:rFonts w:asciiTheme="majorBidi" w:hAnsiTheme="majorBidi" w:cstheme="majorBidi"/>
        </w:rPr>
        <w:t xml:space="preserve"> </w:t>
      </w:r>
      <w:r w:rsidR="00BE00BA" w:rsidRPr="00286011">
        <w:rPr>
          <w:rFonts w:asciiTheme="majorBidi" w:hAnsiTheme="majorBidi" w:cstheme="majorBidi"/>
        </w:rPr>
        <w:t>2022;</w:t>
      </w:r>
      <w:r w:rsidR="00804017" w:rsidRPr="00286011">
        <w:rPr>
          <w:rFonts w:asciiTheme="majorBidi" w:hAnsiTheme="majorBidi" w:cstheme="majorBidi"/>
        </w:rPr>
        <w:t xml:space="preserve"> </w:t>
      </w:r>
      <w:proofErr w:type="spellStart"/>
      <w:r w:rsidR="00804017" w:rsidRPr="00286011">
        <w:rPr>
          <w:rFonts w:asciiTheme="majorBidi" w:hAnsiTheme="majorBidi" w:cstheme="majorBidi"/>
        </w:rPr>
        <w:t>Livne</w:t>
      </w:r>
      <w:proofErr w:type="spellEnd"/>
      <w:r w:rsidR="00804017" w:rsidRPr="00286011">
        <w:rPr>
          <w:rFonts w:asciiTheme="majorBidi" w:hAnsiTheme="majorBidi" w:cstheme="majorBidi"/>
        </w:rPr>
        <w:t xml:space="preserve"> 2022</w:t>
      </w:r>
      <w:r w:rsidR="00BE00BA" w:rsidRPr="00286011">
        <w:rPr>
          <w:rFonts w:asciiTheme="majorBidi" w:hAnsiTheme="majorBidi" w:cstheme="majorBidi"/>
        </w:rPr>
        <w:t xml:space="preserve">; </w:t>
      </w:r>
      <w:proofErr w:type="spellStart"/>
      <w:r w:rsidR="00BE00BA" w:rsidRPr="00286011">
        <w:rPr>
          <w:rFonts w:asciiTheme="majorBidi" w:hAnsiTheme="majorBidi" w:cstheme="majorBidi"/>
        </w:rPr>
        <w:t>Tsemel</w:t>
      </w:r>
      <w:proofErr w:type="spellEnd"/>
      <w:r w:rsidR="00BE00BA" w:rsidRPr="00286011">
        <w:rPr>
          <w:rFonts w:asciiTheme="majorBidi" w:hAnsiTheme="majorBidi" w:cstheme="majorBidi"/>
        </w:rPr>
        <w:t xml:space="preserve"> 2022</w:t>
      </w:r>
      <w:r w:rsidRPr="00286011">
        <w:rPr>
          <w:rFonts w:asciiTheme="majorBidi" w:hAnsiTheme="majorBidi" w:cstheme="majorBidi"/>
        </w:rPr>
        <w:t>).</w:t>
      </w:r>
    </w:p>
    <w:p w14:paraId="616E1645" w14:textId="2EF420AE" w:rsidR="0067700C" w:rsidRPr="00286011" w:rsidRDefault="00804017" w:rsidP="005A6929">
      <w:pPr>
        <w:ind w:firstLine="454"/>
        <w:jc w:val="both"/>
        <w:rPr>
          <w:rFonts w:asciiTheme="majorBidi" w:hAnsiTheme="majorBidi" w:cstheme="majorBidi"/>
        </w:rPr>
      </w:pPr>
      <w:r w:rsidRPr="00286011">
        <w:rPr>
          <w:rFonts w:asciiTheme="majorBidi" w:hAnsiTheme="majorBidi" w:cstheme="majorBidi"/>
        </w:rPr>
        <w:t>Contemporarily, activists</w:t>
      </w:r>
      <w:r w:rsidR="00EC1F93" w:rsidRPr="00286011">
        <w:rPr>
          <w:rFonts w:asciiTheme="majorBidi" w:hAnsiTheme="majorBidi" w:cstheme="majorBidi"/>
        </w:rPr>
        <w:t xml:space="preserve"> are routinely arrested</w:t>
      </w:r>
      <w:r w:rsidRPr="00286011">
        <w:rPr>
          <w:rFonts w:asciiTheme="majorBidi" w:hAnsiTheme="majorBidi" w:cstheme="majorBidi"/>
        </w:rPr>
        <w:t xml:space="preserve"> in the West Bank during demonstrations or direct actions </w:t>
      </w:r>
      <w:r w:rsidR="00EC1F93" w:rsidRPr="00286011">
        <w:rPr>
          <w:rFonts w:asciiTheme="majorBidi" w:hAnsiTheme="majorBidi" w:cstheme="majorBidi"/>
        </w:rPr>
        <w:t xml:space="preserve">conducted in collaboration </w:t>
      </w:r>
      <w:r w:rsidR="004D3A1E" w:rsidRPr="00286011">
        <w:rPr>
          <w:rFonts w:asciiTheme="majorBidi" w:hAnsiTheme="majorBidi" w:cstheme="majorBidi"/>
        </w:rPr>
        <w:t xml:space="preserve">or coordination </w:t>
      </w:r>
      <w:r w:rsidRPr="00286011">
        <w:rPr>
          <w:rFonts w:asciiTheme="majorBidi" w:hAnsiTheme="majorBidi" w:cstheme="majorBidi"/>
        </w:rPr>
        <w:t>with Palestinians, but while the Palestinians are detained for prolonged periods, the Jewish activists are frequently released within hours.</w:t>
      </w:r>
      <w:r w:rsidR="00281ED9" w:rsidRPr="00286011">
        <w:rPr>
          <w:rFonts w:asciiTheme="majorBidi" w:hAnsiTheme="majorBidi" w:cstheme="majorBidi"/>
        </w:rPr>
        <w:t xml:space="preserve"> </w:t>
      </w:r>
      <w:r w:rsidR="00EC1F93" w:rsidRPr="00286011">
        <w:rPr>
          <w:rFonts w:asciiTheme="majorBidi" w:hAnsiTheme="majorBidi" w:cstheme="majorBidi"/>
        </w:rPr>
        <w:t xml:space="preserve">Additionally, the </w:t>
      </w:r>
      <w:r w:rsidR="00EC7BE2" w:rsidRPr="00286011">
        <w:rPr>
          <w:rFonts w:asciiTheme="majorBidi" w:hAnsiTheme="majorBidi" w:cstheme="majorBidi"/>
        </w:rPr>
        <w:t>Shin Bet</w:t>
      </w:r>
      <w:r w:rsidR="00EC1F93" w:rsidRPr="00286011">
        <w:rPr>
          <w:rFonts w:asciiTheme="majorBidi" w:hAnsiTheme="majorBidi" w:cstheme="majorBidi"/>
        </w:rPr>
        <w:t xml:space="preserve"> </w:t>
      </w:r>
      <w:r w:rsidR="003465E3" w:rsidRPr="00286011">
        <w:rPr>
          <w:rFonts w:asciiTheme="majorBidi" w:hAnsiTheme="majorBidi" w:cstheme="majorBidi"/>
        </w:rPr>
        <w:t>is</w:t>
      </w:r>
      <w:r w:rsidR="00EC1F93" w:rsidRPr="00286011">
        <w:rPr>
          <w:rFonts w:asciiTheme="majorBidi" w:hAnsiTheme="majorBidi" w:cstheme="majorBidi"/>
        </w:rPr>
        <w:t xml:space="preserve"> involved in </w:t>
      </w:r>
      <w:proofErr w:type="spellStart"/>
      <w:r w:rsidR="00EC1F93" w:rsidRPr="00286011">
        <w:rPr>
          <w:rFonts w:asciiTheme="majorBidi" w:hAnsiTheme="majorBidi" w:cstheme="majorBidi"/>
        </w:rPr>
        <w:t>surveilling</w:t>
      </w:r>
      <w:proofErr w:type="spellEnd"/>
      <w:r w:rsidR="00EC1F93" w:rsidRPr="00286011">
        <w:rPr>
          <w:rFonts w:asciiTheme="majorBidi" w:hAnsiTheme="majorBidi" w:cstheme="majorBidi"/>
        </w:rPr>
        <w:t xml:space="preserve"> Jewish </w:t>
      </w:r>
      <w:r w:rsidR="003465E3" w:rsidRPr="00286011">
        <w:rPr>
          <w:rFonts w:asciiTheme="majorBidi" w:hAnsiTheme="majorBidi" w:cstheme="majorBidi"/>
        </w:rPr>
        <w:t xml:space="preserve">Israeli </w:t>
      </w:r>
      <w:r w:rsidR="008770B5" w:rsidRPr="00286011">
        <w:rPr>
          <w:rFonts w:asciiTheme="majorBidi" w:hAnsiTheme="majorBidi" w:cstheme="majorBidi"/>
        </w:rPr>
        <w:t>activists that routinely participate in demonstrations and/or direct actions in the West Bank</w:t>
      </w:r>
      <w:r w:rsidR="003465E3" w:rsidRPr="00286011">
        <w:rPr>
          <w:rFonts w:asciiTheme="majorBidi" w:hAnsiTheme="majorBidi" w:cstheme="majorBidi"/>
        </w:rPr>
        <w:t>.</w:t>
      </w:r>
      <w:r w:rsidR="008770B5" w:rsidRPr="00286011">
        <w:rPr>
          <w:rFonts w:asciiTheme="majorBidi" w:hAnsiTheme="majorBidi" w:cstheme="majorBidi"/>
        </w:rPr>
        <w:t xml:space="preserve"> </w:t>
      </w:r>
      <w:r w:rsidR="003465E3" w:rsidRPr="00286011">
        <w:rPr>
          <w:rFonts w:asciiTheme="majorBidi" w:hAnsiTheme="majorBidi" w:cstheme="majorBidi"/>
        </w:rPr>
        <w:t xml:space="preserve">Some activists </w:t>
      </w:r>
      <w:r w:rsidR="00DD781A" w:rsidRPr="00286011">
        <w:rPr>
          <w:rFonts w:asciiTheme="majorBidi" w:hAnsiTheme="majorBidi" w:cstheme="majorBidi"/>
        </w:rPr>
        <w:t>hav</w:t>
      </w:r>
      <w:r w:rsidR="008770B5" w:rsidRPr="00286011">
        <w:rPr>
          <w:rFonts w:asciiTheme="majorBidi" w:hAnsiTheme="majorBidi" w:cstheme="majorBidi"/>
        </w:rPr>
        <w:t>e</w:t>
      </w:r>
      <w:r w:rsidR="00DD781A" w:rsidRPr="00286011">
        <w:rPr>
          <w:rFonts w:asciiTheme="majorBidi" w:hAnsiTheme="majorBidi" w:cstheme="majorBidi"/>
        </w:rPr>
        <w:t xml:space="preserve"> been</w:t>
      </w:r>
      <w:r w:rsidR="008770B5" w:rsidRPr="00286011">
        <w:rPr>
          <w:rFonts w:asciiTheme="majorBidi" w:hAnsiTheme="majorBidi" w:cstheme="majorBidi"/>
        </w:rPr>
        <w:t xml:space="preserve"> </w:t>
      </w:r>
      <w:r w:rsidR="007F0D2D" w:rsidRPr="00286011">
        <w:rPr>
          <w:rFonts w:asciiTheme="majorBidi" w:hAnsiTheme="majorBidi" w:cstheme="majorBidi"/>
        </w:rPr>
        <w:t>‘invited’</w:t>
      </w:r>
      <w:r w:rsidR="008770B5" w:rsidRPr="00286011">
        <w:rPr>
          <w:rFonts w:asciiTheme="majorBidi" w:hAnsiTheme="majorBidi" w:cstheme="majorBidi"/>
        </w:rPr>
        <w:t xml:space="preserve"> to ‘questioning’, and threatened that if they will not cooperate or share information, they will be summoned to an official interrogation (ACRI 201</w:t>
      </w:r>
      <w:r w:rsidR="00E37B24" w:rsidRPr="00286011">
        <w:rPr>
          <w:rFonts w:asciiTheme="majorBidi" w:hAnsiTheme="majorBidi" w:cstheme="majorBidi"/>
        </w:rPr>
        <w:t>7</w:t>
      </w:r>
      <w:r w:rsidR="008770B5" w:rsidRPr="00286011">
        <w:rPr>
          <w:rFonts w:asciiTheme="majorBidi" w:hAnsiTheme="majorBidi" w:cstheme="majorBidi"/>
        </w:rPr>
        <w:t xml:space="preserve">, </w:t>
      </w:r>
      <w:r w:rsidR="00EB1B9A" w:rsidRPr="00286011">
        <w:rPr>
          <w:rFonts w:asciiTheme="majorBidi" w:hAnsiTheme="majorBidi" w:cstheme="majorBidi"/>
        </w:rPr>
        <w:t>Margalit</w:t>
      </w:r>
      <w:r w:rsidR="008770B5" w:rsidRPr="00286011">
        <w:rPr>
          <w:rFonts w:asciiTheme="majorBidi" w:hAnsiTheme="majorBidi" w:cstheme="majorBidi"/>
        </w:rPr>
        <w:t xml:space="preserve"> 2018</w:t>
      </w:r>
      <w:r w:rsidR="007F0D2D" w:rsidRPr="00286011">
        <w:rPr>
          <w:rFonts w:asciiTheme="majorBidi" w:hAnsiTheme="majorBidi" w:cstheme="majorBidi"/>
        </w:rPr>
        <w:t>). Shin Bet representatives</w:t>
      </w:r>
      <w:r w:rsidR="003465E3" w:rsidRPr="00286011">
        <w:rPr>
          <w:rFonts w:asciiTheme="majorBidi" w:hAnsiTheme="majorBidi" w:cstheme="majorBidi"/>
        </w:rPr>
        <w:t xml:space="preserve"> explained that th</w:t>
      </w:r>
      <w:r w:rsidR="007F0D2D" w:rsidRPr="00286011">
        <w:rPr>
          <w:rFonts w:asciiTheme="majorBidi" w:hAnsiTheme="majorBidi" w:cstheme="majorBidi"/>
        </w:rPr>
        <w:t>is practice is</w:t>
      </w:r>
      <w:r w:rsidR="003465E3" w:rsidRPr="00286011">
        <w:rPr>
          <w:rFonts w:asciiTheme="majorBidi" w:hAnsiTheme="majorBidi" w:cstheme="majorBidi"/>
        </w:rPr>
        <w:t xml:space="preserve"> meant t</w:t>
      </w:r>
      <w:r w:rsidR="00EC1F93" w:rsidRPr="00286011">
        <w:rPr>
          <w:rFonts w:asciiTheme="majorBidi" w:hAnsiTheme="majorBidi" w:cstheme="majorBidi"/>
        </w:rPr>
        <w:t xml:space="preserve">o deter those </w:t>
      </w:r>
      <w:r w:rsidR="00EC7BE2" w:rsidRPr="00286011">
        <w:rPr>
          <w:rFonts w:asciiTheme="majorBidi" w:hAnsiTheme="majorBidi" w:cstheme="majorBidi"/>
        </w:rPr>
        <w:t>taking part</w:t>
      </w:r>
      <w:r w:rsidR="00EC1F93" w:rsidRPr="00286011">
        <w:rPr>
          <w:rFonts w:asciiTheme="majorBidi" w:hAnsiTheme="majorBidi" w:cstheme="majorBidi"/>
        </w:rPr>
        <w:t xml:space="preserve"> in what the organisation defines as </w:t>
      </w:r>
      <w:r w:rsidR="00EC7BE2" w:rsidRPr="00286011">
        <w:rPr>
          <w:rFonts w:asciiTheme="majorBidi" w:hAnsiTheme="majorBidi" w:cstheme="majorBidi"/>
        </w:rPr>
        <w:t>“</w:t>
      </w:r>
      <w:r w:rsidR="00EC1F93" w:rsidRPr="00286011">
        <w:rPr>
          <w:rFonts w:asciiTheme="majorBidi" w:hAnsiTheme="majorBidi" w:cstheme="majorBidi"/>
        </w:rPr>
        <w:t xml:space="preserve">involvement in subversive illegal activities that can amount to </w:t>
      </w:r>
      <w:r w:rsidR="00EC7BE2" w:rsidRPr="00286011">
        <w:rPr>
          <w:rFonts w:asciiTheme="majorBidi" w:hAnsiTheme="majorBidi" w:cstheme="majorBidi"/>
        </w:rPr>
        <w:t xml:space="preserve">a </w:t>
      </w:r>
      <w:r w:rsidR="00DC7A4B" w:rsidRPr="00286011">
        <w:rPr>
          <w:rFonts w:asciiTheme="majorBidi" w:hAnsiTheme="majorBidi" w:cstheme="majorBidi"/>
        </w:rPr>
        <w:t>threat</w:t>
      </w:r>
      <w:r w:rsidR="00EC7BE2" w:rsidRPr="00286011">
        <w:rPr>
          <w:rFonts w:asciiTheme="majorBidi" w:hAnsiTheme="majorBidi" w:cstheme="majorBidi"/>
        </w:rPr>
        <w:t xml:space="preserve"> on</w:t>
      </w:r>
      <w:r w:rsidR="007F0D2D" w:rsidRPr="00286011">
        <w:rPr>
          <w:rFonts w:asciiTheme="majorBidi" w:hAnsiTheme="majorBidi" w:cstheme="majorBidi"/>
        </w:rPr>
        <w:t xml:space="preserve"> Israel’s</w:t>
      </w:r>
      <w:r w:rsidR="00EC1F93" w:rsidRPr="00286011">
        <w:rPr>
          <w:rFonts w:asciiTheme="majorBidi" w:hAnsiTheme="majorBidi" w:cstheme="majorBidi"/>
        </w:rPr>
        <w:t xml:space="preserve"> national security</w:t>
      </w:r>
      <w:r w:rsidR="00AB5639" w:rsidRPr="00286011">
        <w:rPr>
          <w:rFonts w:asciiTheme="majorBidi" w:hAnsiTheme="majorBidi" w:cstheme="majorBidi"/>
        </w:rPr>
        <w:t>” (Preliminary answer by the Sh</w:t>
      </w:r>
      <w:r w:rsidR="00EC7BE2" w:rsidRPr="00286011">
        <w:rPr>
          <w:rFonts w:asciiTheme="majorBidi" w:hAnsiTheme="majorBidi" w:cstheme="majorBidi"/>
        </w:rPr>
        <w:t>in Bet</w:t>
      </w:r>
      <w:r w:rsidR="00AB5639" w:rsidRPr="00286011">
        <w:rPr>
          <w:rFonts w:asciiTheme="majorBidi" w:hAnsiTheme="majorBidi" w:cstheme="majorBidi"/>
        </w:rPr>
        <w:t xml:space="preserve"> and the Israeli Police in </w:t>
      </w:r>
      <w:r w:rsidR="00EC7BE2" w:rsidRPr="00286011">
        <w:rPr>
          <w:rFonts w:asciiTheme="majorBidi" w:hAnsiTheme="majorBidi" w:cstheme="majorBidi"/>
        </w:rPr>
        <w:t>Supreme Court case</w:t>
      </w:r>
      <w:r w:rsidR="00AB5639" w:rsidRPr="00286011">
        <w:rPr>
          <w:rFonts w:asciiTheme="majorBidi" w:hAnsiTheme="majorBidi" w:cstheme="majorBidi"/>
        </w:rPr>
        <w:t xml:space="preserve"> 5277/13</w:t>
      </w:r>
      <w:r w:rsidR="008F63AA" w:rsidRPr="00286011">
        <w:rPr>
          <w:rFonts w:asciiTheme="majorBidi" w:hAnsiTheme="majorBidi" w:cstheme="majorBidi"/>
        </w:rPr>
        <w:t>, 2013: 2</w:t>
      </w:r>
      <w:r w:rsidR="00AB5639" w:rsidRPr="00286011">
        <w:rPr>
          <w:rFonts w:asciiTheme="majorBidi" w:hAnsiTheme="majorBidi" w:cstheme="majorBidi"/>
        </w:rPr>
        <w:t xml:space="preserve">). </w:t>
      </w:r>
      <w:r w:rsidR="0067700C" w:rsidRPr="00286011">
        <w:rPr>
          <w:rFonts w:asciiTheme="majorBidi" w:hAnsiTheme="majorBidi" w:cstheme="majorBidi"/>
        </w:rPr>
        <w:t>But while subjecting activists to psychological and financial strain that can deter some, such practices do not indicate an overall trend to formally criminalise political activism of Jewish citizens.</w:t>
      </w:r>
    </w:p>
    <w:p w14:paraId="34BB56C8" w14:textId="1995162A" w:rsidR="00C75640" w:rsidRPr="00286011" w:rsidRDefault="00D40008" w:rsidP="009C0723">
      <w:pPr>
        <w:ind w:firstLine="454"/>
        <w:jc w:val="both"/>
        <w:rPr>
          <w:rFonts w:asciiTheme="majorBidi" w:hAnsiTheme="majorBidi" w:cstheme="majorBidi"/>
        </w:rPr>
      </w:pPr>
      <w:r w:rsidRPr="00286011">
        <w:rPr>
          <w:rFonts w:asciiTheme="majorBidi" w:hAnsiTheme="majorBidi" w:cstheme="majorBidi"/>
        </w:rPr>
        <w:t>T</w:t>
      </w:r>
      <w:r w:rsidR="00821045" w:rsidRPr="00286011">
        <w:rPr>
          <w:rFonts w:asciiTheme="majorBidi" w:hAnsiTheme="majorBidi" w:cstheme="majorBidi"/>
        </w:rPr>
        <w:t xml:space="preserve">he case of the </w:t>
      </w:r>
      <w:r w:rsidR="00E34F5E" w:rsidRPr="00286011">
        <w:rPr>
          <w:rFonts w:asciiTheme="majorBidi" w:hAnsiTheme="majorBidi" w:cstheme="majorBidi"/>
        </w:rPr>
        <w:t>‘</w:t>
      </w:r>
      <w:proofErr w:type="spellStart"/>
      <w:r w:rsidR="00821045" w:rsidRPr="00286011">
        <w:rPr>
          <w:rFonts w:asciiTheme="majorBidi" w:hAnsiTheme="majorBidi" w:cstheme="majorBidi"/>
        </w:rPr>
        <w:t>delegitimation</w:t>
      </w:r>
      <w:proofErr w:type="spellEnd"/>
      <w:r w:rsidR="00821045" w:rsidRPr="00286011">
        <w:rPr>
          <w:rFonts w:asciiTheme="majorBidi" w:hAnsiTheme="majorBidi" w:cstheme="majorBidi"/>
        </w:rPr>
        <w:t xml:space="preserve"> threat</w:t>
      </w:r>
      <w:r w:rsidR="00E34F5E" w:rsidRPr="00286011">
        <w:rPr>
          <w:rFonts w:asciiTheme="majorBidi" w:hAnsiTheme="majorBidi" w:cstheme="majorBidi"/>
        </w:rPr>
        <w:t>’</w:t>
      </w:r>
      <w:r w:rsidR="00821045" w:rsidRPr="00286011">
        <w:rPr>
          <w:rFonts w:asciiTheme="majorBidi" w:hAnsiTheme="majorBidi" w:cstheme="majorBidi"/>
        </w:rPr>
        <w:t xml:space="preserve"> provides an interesting example where </w:t>
      </w:r>
      <w:r w:rsidR="00E34F5E" w:rsidRPr="00286011">
        <w:rPr>
          <w:rFonts w:asciiTheme="majorBidi" w:hAnsiTheme="majorBidi" w:cstheme="majorBidi"/>
        </w:rPr>
        <w:t xml:space="preserve">it is possible to </w:t>
      </w:r>
      <w:r w:rsidR="00821045" w:rsidRPr="00286011">
        <w:rPr>
          <w:rFonts w:asciiTheme="majorBidi" w:hAnsiTheme="majorBidi" w:cstheme="majorBidi"/>
        </w:rPr>
        <w:t>trace a move</w:t>
      </w:r>
      <w:r w:rsidR="00E34F5E" w:rsidRPr="00286011">
        <w:rPr>
          <w:rFonts w:asciiTheme="majorBidi" w:hAnsiTheme="majorBidi" w:cstheme="majorBidi"/>
        </w:rPr>
        <w:t>ment of</w:t>
      </w:r>
      <w:r w:rsidR="00821045" w:rsidRPr="00286011">
        <w:rPr>
          <w:rFonts w:asciiTheme="majorBidi" w:hAnsiTheme="majorBidi" w:cstheme="majorBidi"/>
        </w:rPr>
        <w:t xml:space="preserve"> the threshold of criminalisation, from informal means by non-state actors to formal tools, </w:t>
      </w:r>
      <w:r w:rsidR="00A4134E" w:rsidRPr="00286011">
        <w:rPr>
          <w:rFonts w:asciiTheme="majorBidi" w:hAnsiTheme="majorBidi" w:cstheme="majorBidi"/>
        </w:rPr>
        <w:t>as well as</w:t>
      </w:r>
      <w:r w:rsidR="00E34F5E" w:rsidRPr="00286011">
        <w:rPr>
          <w:rFonts w:asciiTheme="majorBidi" w:hAnsiTheme="majorBidi" w:cstheme="majorBidi"/>
        </w:rPr>
        <w:t xml:space="preserve"> the feeding of informal, non-state actors and strategies into </w:t>
      </w:r>
      <w:r w:rsidR="00821045" w:rsidRPr="00286011">
        <w:rPr>
          <w:rFonts w:asciiTheme="majorBidi" w:hAnsiTheme="majorBidi" w:cstheme="majorBidi"/>
        </w:rPr>
        <w:t xml:space="preserve">formal </w:t>
      </w:r>
      <w:r w:rsidR="00E34F5E" w:rsidRPr="00286011">
        <w:rPr>
          <w:rFonts w:asciiTheme="majorBidi" w:hAnsiTheme="majorBidi" w:cstheme="majorBidi"/>
        </w:rPr>
        <w:t>strategies</w:t>
      </w:r>
      <w:r w:rsidR="00821045" w:rsidRPr="00286011">
        <w:rPr>
          <w:rFonts w:asciiTheme="majorBidi" w:hAnsiTheme="majorBidi" w:cstheme="majorBidi"/>
        </w:rPr>
        <w:t xml:space="preserve"> </w:t>
      </w:r>
      <w:r w:rsidR="00E34F5E" w:rsidRPr="00286011">
        <w:rPr>
          <w:rFonts w:asciiTheme="majorBidi" w:hAnsiTheme="majorBidi" w:cstheme="majorBidi"/>
        </w:rPr>
        <w:t>of the state.</w:t>
      </w:r>
      <w:r w:rsidR="00821045" w:rsidRPr="00286011">
        <w:rPr>
          <w:rFonts w:asciiTheme="majorBidi" w:hAnsiTheme="majorBidi" w:cstheme="majorBidi"/>
        </w:rPr>
        <w:t xml:space="preserve"> </w:t>
      </w:r>
      <w:r w:rsidR="00F43DF1" w:rsidRPr="00286011">
        <w:rPr>
          <w:rFonts w:asciiTheme="majorBidi" w:hAnsiTheme="majorBidi" w:cstheme="majorBidi"/>
        </w:rPr>
        <w:t>Additionally, t</w:t>
      </w:r>
      <w:r w:rsidR="00821045" w:rsidRPr="00286011">
        <w:rPr>
          <w:rFonts w:asciiTheme="majorBidi" w:hAnsiTheme="majorBidi" w:cstheme="majorBidi"/>
        </w:rPr>
        <w:t>he blurred lines here between in/formal and non/state are interesting</w:t>
      </w:r>
      <w:r w:rsidR="00F43DF1" w:rsidRPr="00286011">
        <w:rPr>
          <w:rFonts w:asciiTheme="majorBidi" w:hAnsiTheme="majorBidi" w:cstheme="majorBidi"/>
        </w:rPr>
        <w:t xml:space="preserve"> </w:t>
      </w:r>
      <w:r w:rsidR="0055380E" w:rsidRPr="00286011">
        <w:rPr>
          <w:rFonts w:asciiTheme="majorBidi" w:hAnsiTheme="majorBidi" w:cstheme="majorBidi"/>
        </w:rPr>
        <w:t xml:space="preserve">and </w:t>
      </w:r>
      <w:r w:rsidR="00F43DF1" w:rsidRPr="00286011">
        <w:rPr>
          <w:rFonts w:asciiTheme="majorBidi" w:hAnsiTheme="majorBidi" w:cstheme="majorBidi"/>
        </w:rPr>
        <w:t>should be analysed and explained.</w:t>
      </w:r>
      <w:r w:rsidR="00821045" w:rsidRPr="00286011">
        <w:rPr>
          <w:rFonts w:asciiTheme="majorBidi" w:hAnsiTheme="majorBidi" w:cstheme="majorBidi"/>
        </w:rPr>
        <w:t xml:space="preserve"> </w:t>
      </w:r>
      <w:r w:rsidR="00C75640" w:rsidRPr="00286011">
        <w:rPr>
          <w:rFonts w:asciiTheme="majorBidi" w:hAnsiTheme="majorBidi" w:cstheme="majorBidi"/>
        </w:rPr>
        <w:t xml:space="preserve">The case in point here is the Boycott Divestment and Sanctions campaign, and the involvement of Jewish Israeli activists in it. </w:t>
      </w:r>
    </w:p>
    <w:p w14:paraId="3A5FC5EC" w14:textId="28607324" w:rsidR="00D60748" w:rsidRPr="00286011" w:rsidRDefault="00C75640" w:rsidP="009C0723">
      <w:pPr>
        <w:autoSpaceDE w:val="0"/>
        <w:autoSpaceDN w:val="0"/>
        <w:adjustRightInd w:val="0"/>
        <w:ind w:firstLine="454"/>
        <w:jc w:val="both"/>
        <w:rPr>
          <w:rFonts w:asciiTheme="majorBidi" w:hAnsiTheme="majorBidi" w:cstheme="majorBidi"/>
        </w:rPr>
      </w:pPr>
      <w:r w:rsidRPr="00286011">
        <w:rPr>
          <w:rFonts w:asciiTheme="majorBidi" w:hAnsiTheme="majorBidi" w:cstheme="majorBidi"/>
        </w:rPr>
        <w:t>On 9 July 2005, a collection of 170 Palestinian political parties, unions, associations, coalitions and organisations representing the Palestinian people (including refugees, inhabitant</w:t>
      </w:r>
      <w:r w:rsidR="00DD781A" w:rsidRPr="00286011">
        <w:rPr>
          <w:rFonts w:asciiTheme="majorBidi" w:hAnsiTheme="majorBidi" w:cstheme="majorBidi"/>
        </w:rPr>
        <w:t>s</w:t>
      </w:r>
      <w:r w:rsidRPr="00286011">
        <w:rPr>
          <w:rFonts w:asciiTheme="majorBidi" w:hAnsiTheme="majorBidi" w:cstheme="majorBidi"/>
        </w:rPr>
        <w:t xml:space="preserve"> of the West Bank and Gaza Strip and those holding Israeli citizenship) issued a call for boycott, divestment and sanctions against Israel. According to the call, these measures should be maintained until Israel meets its obligation to ‘recognise the Palestinian people’s inalienable right to self-determination and fully comply with the precepts of international law’. These include ending the occupation and colonisation of Palestine; recognising the rights of the Palestinian citizens of Israel to full equality and respecting, protecting and promoting the right of return of the Palestinians refugees according to UN resolution 194</w:t>
      </w:r>
      <w:r w:rsidR="008B55AF" w:rsidRPr="00286011">
        <w:rPr>
          <w:rFonts w:asciiTheme="majorBidi" w:hAnsiTheme="majorBidi" w:cstheme="majorBidi"/>
        </w:rPr>
        <w:t xml:space="preserve"> (bdsmovement.net)</w:t>
      </w:r>
      <w:r w:rsidRPr="00286011">
        <w:rPr>
          <w:rFonts w:asciiTheme="majorBidi" w:hAnsiTheme="majorBidi" w:cstheme="majorBidi"/>
        </w:rPr>
        <w:t>.</w:t>
      </w:r>
      <w:r w:rsidR="00D60748" w:rsidRPr="00286011">
        <w:rPr>
          <w:rFonts w:asciiTheme="majorBidi" w:hAnsiTheme="majorBidi" w:cstheme="majorBidi"/>
        </w:rPr>
        <w:t xml:space="preserve"> </w:t>
      </w:r>
    </w:p>
    <w:p w14:paraId="7F4B3CAB" w14:textId="36EF1980" w:rsidR="00C75640" w:rsidRPr="00286011" w:rsidRDefault="00C75640" w:rsidP="00D60748">
      <w:pPr>
        <w:autoSpaceDE w:val="0"/>
        <w:autoSpaceDN w:val="0"/>
        <w:adjustRightInd w:val="0"/>
        <w:ind w:firstLine="454"/>
        <w:jc w:val="both"/>
        <w:rPr>
          <w:rFonts w:asciiTheme="majorBidi" w:hAnsiTheme="majorBidi" w:cstheme="majorBidi"/>
        </w:rPr>
      </w:pPr>
      <w:r w:rsidRPr="00286011">
        <w:rPr>
          <w:rFonts w:asciiTheme="majorBidi" w:eastAsia="Times New Roman" w:hAnsiTheme="majorBidi" w:cstheme="majorBidi"/>
          <w:color w:val="000000" w:themeColor="text1"/>
          <w:shd w:val="clear" w:color="auto" w:fill="FFFFFF"/>
          <w:lang w:eastAsia="en-GB"/>
        </w:rPr>
        <w:t xml:space="preserve">From inside Israel, a small group called </w:t>
      </w:r>
      <w:r w:rsidRPr="00286011">
        <w:rPr>
          <w:rFonts w:asciiTheme="majorBidi" w:eastAsia="Times New Roman" w:hAnsiTheme="majorBidi" w:cstheme="majorBidi"/>
          <w:i/>
          <w:iCs/>
          <w:color w:val="000000" w:themeColor="text1"/>
          <w:shd w:val="clear" w:color="auto" w:fill="FFFFFF"/>
          <w:lang w:eastAsia="en-GB"/>
        </w:rPr>
        <w:t>Boycott From Within!</w:t>
      </w:r>
      <w:r w:rsidRPr="00286011">
        <w:rPr>
          <w:rFonts w:asciiTheme="majorBidi" w:eastAsia="Times New Roman" w:hAnsiTheme="majorBidi" w:cstheme="majorBidi"/>
          <w:color w:val="000000" w:themeColor="text1"/>
          <w:shd w:val="clear" w:color="auto" w:fill="FFFFFF"/>
          <w:lang w:eastAsia="en-GB"/>
        </w:rPr>
        <w:t xml:space="preserve"> </w:t>
      </w:r>
      <w:r w:rsidR="008B55AF" w:rsidRPr="00286011">
        <w:rPr>
          <w:rFonts w:asciiTheme="majorBidi" w:eastAsia="Times New Roman" w:hAnsiTheme="majorBidi" w:cstheme="majorBidi"/>
          <w:color w:val="000000" w:themeColor="text1"/>
          <w:shd w:val="clear" w:color="auto" w:fill="FFFFFF"/>
          <w:lang w:eastAsia="en-GB"/>
        </w:rPr>
        <w:t>c</w:t>
      </w:r>
      <w:r w:rsidRPr="00286011">
        <w:rPr>
          <w:rFonts w:asciiTheme="majorBidi" w:eastAsia="Times New Roman" w:hAnsiTheme="majorBidi" w:cstheme="majorBidi"/>
          <w:color w:val="000000" w:themeColor="text1"/>
          <w:shd w:val="clear" w:color="auto" w:fill="FFFFFF"/>
          <w:lang w:eastAsia="en-GB"/>
        </w:rPr>
        <w:t>omposed of Israeli citizens, Jewish and Palestinian (</w:t>
      </w:r>
      <w:r w:rsidR="008B55AF" w:rsidRPr="00286011">
        <w:rPr>
          <w:rFonts w:asciiTheme="majorBidi" w:eastAsia="Times New Roman" w:hAnsiTheme="majorBidi" w:cstheme="majorBidi"/>
          <w:color w:val="000000" w:themeColor="text1"/>
          <w:shd w:val="clear" w:color="auto" w:fill="FFFFFF"/>
          <w:lang w:eastAsia="en-GB"/>
        </w:rPr>
        <w:t xml:space="preserve">with </w:t>
      </w:r>
      <w:r w:rsidRPr="00286011">
        <w:rPr>
          <w:rFonts w:asciiTheme="majorBidi" w:eastAsia="Times New Roman" w:hAnsiTheme="majorBidi" w:cstheme="majorBidi"/>
          <w:color w:val="000000" w:themeColor="text1"/>
          <w:shd w:val="clear" w:color="auto" w:fill="FFFFFF"/>
          <w:lang w:eastAsia="en-GB"/>
        </w:rPr>
        <w:t>around 1000 signatories</w:t>
      </w:r>
      <w:r w:rsidR="0098548A" w:rsidRPr="00286011">
        <w:rPr>
          <w:rFonts w:asciiTheme="majorBidi" w:eastAsia="Times New Roman" w:hAnsiTheme="majorBidi" w:cstheme="majorBidi"/>
          <w:color w:val="000000" w:themeColor="text1"/>
          <w:shd w:val="clear" w:color="auto" w:fill="FFFFFF"/>
          <w:lang w:eastAsia="en-GB"/>
        </w:rPr>
        <w:t xml:space="preserve"> added their names</w:t>
      </w:r>
      <w:r w:rsidRPr="00286011">
        <w:rPr>
          <w:rFonts w:asciiTheme="majorBidi" w:eastAsia="Times New Roman" w:hAnsiTheme="majorBidi" w:cstheme="majorBidi"/>
          <w:color w:val="000000" w:themeColor="text1"/>
          <w:shd w:val="clear" w:color="auto" w:fill="FFFFFF"/>
          <w:lang w:eastAsia="en-GB"/>
        </w:rPr>
        <w:t xml:space="preserve">) endorsed the BDS call and actively promote it both inside and outside Israel. </w:t>
      </w:r>
      <w:r w:rsidR="005643D1" w:rsidRPr="00286011">
        <w:rPr>
          <w:rFonts w:asciiTheme="majorBidi" w:eastAsia="Times New Roman" w:hAnsiTheme="majorBidi" w:cstheme="majorBidi"/>
          <w:color w:val="000000" w:themeColor="text1"/>
          <w:shd w:val="clear" w:color="auto" w:fill="FFFFFF"/>
          <w:lang w:eastAsia="en-GB"/>
        </w:rPr>
        <w:t>Officially f</w:t>
      </w:r>
      <w:r w:rsidRPr="00286011">
        <w:rPr>
          <w:rFonts w:asciiTheme="majorBidi" w:eastAsia="Times New Roman" w:hAnsiTheme="majorBidi" w:cstheme="majorBidi"/>
          <w:color w:val="000000" w:themeColor="text1"/>
          <w:shd w:val="clear" w:color="auto" w:fill="FFFFFF"/>
          <w:lang w:eastAsia="en-GB"/>
        </w:rPr>
        <w:t>ormed in 2008</w:t>
      </w:r>
      <w:r w:rsidR="005643D1" w:rsidRPr="00286011">
        <w:rPr>
          <w:rFonts w:asciiTheme="majorBidi" w:eastAsia="Times New Roman" w:hAnsiTheme="majorBidi" w:cstheme="majorBidi"/>
          <w:color w:val="000000" w:themeColor="text1"/>
          <w:shd w:val="clear" w:color="auto" w:fill="FFFFFF"/>
          <w:lang w:eastAsia="en-GB"/>
        </w:rPr>
        <w:t xml:space="preserve"> by activists that were previously involved in boycott initiatives</w:t>
      </w:r>
      <w:r w:rsidRPr="00286011">
        <w:rPr>
          <w:rFonts w:asciiTheme="majorBidi" w:eastAsia="Times New Roman" w:hAnsiTheme="majorBidi" w:cstheme="majorBidi"/>
          <w:color w:val="000000" w:themeColor="text1"/>
          <w:shd w:val="clear" w:color="auto" w:fill="FFFFFF"/>
          <w:lang w:eastAsia="en-GB"/>
        </w:rPr>
        <w:t>, the group is dedicated to support</w:t>
      </w:r>
      <w:r w:rsidR="00DD781A" w:rsidRPr="00286011">
        <w:rPr>
          <w:rFonts w:asciiTheme="majorBidi" w:eastAsia="Times New Roman" w:hAnsiTheme="majorBidi" w:cstheme="majorBidi"/>
          <w:color w:val="000000" w:themeColor="text1"/>
          <w:shd w:val="clear" w:color="auto" w:fill="FFFFFF"/>
          <w:lang w:eastAsia="en-GB"/>
        </w:rPr>
        <w:t>ing</w:t>
      </w:r>
      <w:r w:rsidRPr="00286011">
        <w:rPr>
          <w:rFonts w:asciiTheme="majorBidi" w:eastAsia="Times New Roman" w:hAnsiTheme="majorBidi" w:cstheme="majorBidi"/>
          <w:color w:val="000000" w:themeColor="text1"/>
          <w:shd w:val="clear" w:color="auto" w:fill="FFFFFF"/>
          <w:lang w:eastAsia="en-GB"/>
        </w:rPr>
        <w:t xml:space="preserve"> the existing </w:t>
      </w:r>
      <w:r w:rsidR="005643D1" w:rsidRPr="00286011">
        <w:rPr>
          <w:rFonts w:asciiTheme="majorBidi" w:eastAsia="Times New Roman" w:hAnsiTheme="majorBidi" w:cstheme="majorBidi"/>
          <w:color w:val="000000" w:themeColor="text1"/>
          <w:shd w:val="clear" w:color="auto" w:fill="FFFFFF"/>
          <w:lang w:eastAsia="en-GB"/>
        </w:rPr>
        <w:t xml:space="preserve">Palestinian </w:t>
      </w:r>
      <w:r w:rsidRPr="00286011">
        <w:rPr>
          <w:rFonts w:asciiTheme="majorBidi" w:eastAsia="Times New Roman" w:hAnsiTheme="majorBidi" w:cstheme="majorBidi"/>
          <w:color w:val="000000" w:themeColor="text1"/>
          <w:shd w:val="clear" w:color="auto" w:fill="FFFFFF"/>
          <w:lang w:eastAsia="en-GB"/>
        </w:rPr>
        <w:t xml:space="preserve">campaign and act as enablers for </w:t>
      </w:r>
      <w:r w:rsidR="005643D1" w:rsidRPr="00286011">
        <w:rPr>
          <w:rFonts w:asciiTheme="majorBidi" w:eastAsia="Times New Roman" w:hAnsiTheme="majorBidi" w:cstheme="majorBidi"/>
          <w:color w:val="000000" w:themeColor="text1"/>
          <w:shd w:val="clear" w:color="auto" w:fill="FFFFFF"/>
          <w:lang w:eastAsia="en-GB"/>
        </w:rPr>
        <w:t>its</w:t>
      </w:r>
      <w:r w:rsidRPr="00286011">
        <w:rPr>
          <w:rFonts w:asciiTheme="majorBidi" w:eastAsia="Times New Roman" w:hAnsiTheme="majorBidi" w:cstheme="majorBidi"/>
          <w:color w:val="000000" w:themeColor="text1"/>
          <w:shd w:val="clear" w:color="auto" w:fill="FFFFFF"/>
          <w:lang w:eastAsia="en-GB"/>
        </w:rPr>
        <w:t xml:space="preserve"> demands. One important role of the Jewish (Israeli) supporters of BDS is to provide the legitimacy to the campaign that is commonly framed as ‘antisemitic’ by its opponents</w:t>
      </w:r>
      <w:r w:rsidR="005F5219" w:rsidRPr="00286011">
        <w:rPr>
          <w:rFonts w:asciiTheme="majorBidi" w:eastAsia="Times New Roman" w:hAnsiTheme="majorBidi" w:cstheme="majorBidi"/>
          <w:color w:val="000000" w:themeColor="text1"/>
          <w:shd w:val="clear" w:color="auto" w:fill="FFFFFF"/>
          <w:lang w:eastAsia="en-GB"/>
        </w:rPr>
        <w:t xml:space="preserve"> (</w:t>
      </w:r>
      <w:r w:rsidR="008B55AF" w:rsidRPr="00286011">
        <w:rPr>
          <w:rFonts w:asciiTheme="majorBidi" w:eastAsia="Times New Roman" w:hAnsiTheme="majorBidi" w:cstheme="majorBidi"/>
          <w:color w:val="000000" w:themeColor="text1"/>
          <w:shd w:val="clear" w:color="auto" w:fill="FFFFFF"/>
          <w:lang w:eastAsia="en-GB"/>
        </w:rPr>
        <w:t>Weizman 201</w:t>
      </w:r>
      <w:r w:rsidR="00BE0FC4" w:rsidRPr="00286011">
        <w:rPr>
          <w:rFonts w:asciiTheme="majorBidi" w:eastAsia="Times New Roman" w:hAnsiTheme="majorBidi" w:cstheme="majorBidi"/>
          <w:color w:val="000000" w:themeColor="text1"/>
          <w:shd w:val="clear" w:color="auto" w:fill="FFFFFF"/>
          <w:lang w:eastAsia="en-GB"/>
        </w:rPr>
        <w:t>7</w:t>
      </w:r>
      <w:r w:rsidR="005F5219" w:rsidRPr="00286011">
        <w:rPr>
          <w:rFonts w:asciiTheme="majorBidi" w:eastAsia="Times New Roman" w:hAnsiTheme="majorBidi" w:cstheme="majorBidi"/>
          <w:color w:val="000000" w:themeColor="text1"/>
          <w:shd w:val="clear" w:color="auto" w:fill="FFFFFF"/>
          <w:lang w:eastAsia="en-GB"/>
        </w:rPr>
        <w:t>)</w:t>
      </w:r>
      <w:r w:rsidRPr="00286011">
        <w:rPr>
          <w:rFonts w:asciiTheme="majorBidi" w:eastAsia="Times New Roman" w:hAnsiTheme="majorBidi" w:cstheme="majorBidi"/>
          <w:color w:val="000000" w:themeColor="text1"/>
          <w:shd w:val="clear" w:color="auto" w:fill="FFFFFF"/>
          <w:lang w:eastAsia="en-GB"/>
        </w:rPr>
        <w:t>.</w:t>
      </w:r>
    </w:p>
    <w:p w14:paraId="04637026" w14:textId="7FE4240C" w:rsidR="00C75640" w:rsidRPr="00286011" w:rsidRDefault="009C0723" w:rsidP="009C0723">
      <w:pPr>
        <w:autoSpaceDE w:val="0"/>
        <w:autoSpaceDN w:val="0"/>
        <w:adjustRightInd w:val="0"/>
        <w:ind w:firstLine="454"/>
        <w:jc w:val="both"/>
        <w:rPr>
          <w:rFonts w:asciiTheme="majorBidi" w:hAnsiTheme="majorBidi" w:cstheme="majorBidi"/>
        </w:rPr>
      </w:pPr>
      <w:r w:rsidRPr="00286011">
        <w:rPr>
          <w:rFonts w:asciiTheme="majorBidi" w:hAnsiTheme="majorBidi" w:cstheme="majorBidi"/>
        </w:rPr>
        <w:t xml:space="preserve">It was not the first time a boycott was issued against the State of Israel – indeed the Arab League decided on a policy of economic boycott since 1946, before the establishment of the state, in an attempt to pressurise and isolate the Israeli economy. The boycott reached its peak in the 1970s, but gradually lost its grip starting with the signing of the peace treaty Israel-Egypt, and subsequent agreements in the 1990s and later on. However, it seems that the perception of threat from the reformulated boycott movement, originating in grassroots Palestinian organising and its spread and hold on western civil society became heightened.  </w:t>
      </w:r>
      <w:r w:rsidR="00C75640" w:rsidRPr="00286011">
        <w:rPr>
          <w:rFonts w:asciiTheme="majorBidi" w:hAnsiTheme="majorBidi" w:cstheme="majorBidi"/>
        </w:rPr>
        <w:t xml:space="preserve">In its 17 years of existence, the </w:t>
      </w:r>
      <w:r w:rsidR="00E664BD" w:rsidRPr="00286011">
        <w:rPr>
          <w:rFonts w:asciiTheme="majorBidi" w:hAnsiTheme="majorBidi" w:cstheme="majorBidi"/>
        </w:rPr>
        <w:t xml:space="preserve">BDS </w:t>
      </w:r>
      <w:r w:rsidR="00C75640" w:rsidRPr="00286011">
        <w:rPr>
          <w:rFonts w:asciiTheme="majorBidi" w:hAnsiTheme="majorBidi" w:cstheme="majorBidi"/>
        </w:rPr>
        <w:t xml:space="preserve">movement managed to achieve a discursive change around the question of Palestine, gaining visibility and supporters internationally. Despite not succeeding in mobilising foreign governments to impose sanctions on Israel or in inflicting significant economic harm on Israel, the </w:t>
      </w:r>
      <w:r w:rsidR="0016506F" w:rsidRPr="00286011">
        <w:rPr>
          <w:rFonts w:asciiTheme="majorBidi" w:hAnsiTheme="majorBidi" w:cstheme="majorBidi"/>
        </w:rPr>
        <w:t>echoes</w:t>
      </w:r>
      <w:r w:rsidR="00C75640" w:rsidRPr="00286011">
        <w:rPr>
          <w:rFonts w:asciiTheme="majorBidi" w:hAnsiTheme="majorBidi" w:cstheme="majorBidi"/>
        </w:rPr>
        <w:t xml:space="preserve"> of its activity reached the corridors of governments, notably the US congress and the UK parliament. </w:t>
      </w:r>
      <w:r w:rsidR="0037482B" w:rsidRPr="00286011">
        <w:rPr>
          <w:rFonts w:asciiTheme="majorBidi" w:hAnsiTheme="majorBidi" w:cstheme="majorBidi"/>
        </w:rPr>
        <w:t>S</w:t>
      </w:r>
      <w:r w:rsidR="00C75640" w:rsidRPr="00286011">
        <w:rPr>
          <w:rFonts w:asciiTheme="majorBidi" w:hAnsiTheme="majorBidi" w:cstheme="majorBidi"/>
        </w:rPr>
        <w:t>everal articles in the international media, including the Guardian</w:t>
      </w:r>
      <w:r w:rsidR="00ED2DB4" w:rsidRPr="00286011">
        <w:rPr>
          <w:rFonts w:asciiTheme="majorBidi" w:hAnsiTheme="majorBidi" w:cstheme="majorBidi"/>
        </w:rPr>
        <w:t xml:space="preserve"> (Thrall 2018)</w:t>
      </w:r>
      <w:r w:rsidR="00C75640" w:rsidRPr="00286011">
        <w:rPr>
          <w:rFonts w:asciiTheme="majorBidi" w:hAnsiTheme="majorBidi" w:cstheme="majorBidi"/>
        </w:rPr>
        <w:t>, the Times</w:t>
      </w:r>
      <w:r w:rsidR="0037482B" w:rsidRPr="00286011">
        <w:rPr>
          <w:rFonts w:asciiTheme="majorBidi" w:hAnsiTheme="majorBidi" w:cstheme="majorBidi"/>
        </w:rPr>
        <w:t xml:space="preserve"> </w:t>
      </w:r>
      <w:r w:rsidR="00ED2DB4" w:rsidRPr="00286011">
        <w:rPr>
          <w:rFonts w:asciiTheme="majorBidi" w:hAnsiTheme="majorBidi" w:cstheme="majorBidi"/>
        </w:rPr>
        <w:t xml:space="preserve">(Mansoor 2020) </w:t>
      </w:r>
      <w:r w:rsidR="0037482B" w:rsidRPr="00286011">
        <w:rPr>
          <w:rFonts w:asciiTheme="majorBidi" w:hAnsiTheme="majorBidi" w:cstheme="majorBidi"/>
        </w:rPr>
        <w:t xml:space="preserve">and </w:t>
      </w:r>
      <w:r w:rsidR="00C75640" w:rsidRPr="00286011">
        <w:rPr>
          <w:rFonts w:asciiTheme="majorBidi" w:hAnsiTheme="majorBidi" w:cstheme="majorBidi"/>
        </w:rPr>
        <w:t>the New York Times</w:t>
      </w:r>
      <w:r w:rsidR="00ED2DB4" w:rsidRPr="00286011">
        <w:rPr>
          <w:rFonts w:asciiTheme="majorBidi" w:hAnsiTheme="majorBidi" w:cstheme="majorBidi"/>
        </w:rPr>
        <w:t xml:space="preserve"> (</w:t>
      </w:r>
      <w:proofErr w:type="spellStart"/>
      <w:r w:rsidR="00ED2DB4" w:rsidRPr="00286011">
        <w:rPr>
          <w:rFonts w:asciiTheme="majorBidi" w:hAnsiTheme="majorBidi" w:cstheme="majorBidi"/>
          <w:color w:val="000000" w:themeColor="text1"/>
        </w:rPr>
        <w:t>Halbfinger</w:t>
      </w:r>
      <w:proofErr w:type="spellEnd"/>
      <w:r w:rsidR="00ED2DB4" w:rsidRPr="00286011">
        <w:rPr>
          <w:rFonts w:asciiTheme="majorBidi" w:hAnsiTheme="majorBidi" w:cstheme="majorBidi"/>
          <w:color w:val="000000" w:themeColor="text1"/>
        </w:rPr>
        <w:t xml:space="preserve"> et al 2019)</w:t>
      </w:r>
      <w:r w:rsidR="00C75640" w:rsidRPr="00286011">
        <w:rPr>
          <w:rFonts w:asciiTheme="majorBidi" w:hAnsiTheme="majorBidi" w:cstheme="majorBidi"/>
        </w:rPr>
        <w:t xml:space="preserve">, </w:t>
      </w:r>
      <w:r w:rsidR="0037482B" w:rsidRPr="00286011">
        <w:rPr>
          <w:rFonts w:asciiTheme="majorBidi" w:hAnsiTheme="majorBidi" w:cstheme="majorBidi"/>
        </w:rPr>
        <w:t xml:space="preserve">were dedicated to assess the movement, </w:t>
      </w:r>
      <w:r w:rsidR="00C75640" w:rsidRPr="00286011">
        <w:rPr>
          <w:rFonts w:asciiTheme="majorBidi" w:hAnsiTheme="majorBidi" w:cstheme="majorBidi"/>
          <w:color w:val="000000" w:themeColor="text1"/>
        </w:rPr>
        <w:t xml:space="preserve">echoing </w:t>
      </w:r>
      <w:r w:rsidR="0037482B" w:rsidRPr="00286011">
        <w:rPr>
          <w:rFonts w:asciiTheme="majorBidi" w:hAnsiTheme="majorBidi" w:cstheme="majorBidi"/>
          <w:color w:val="000000" w:themeColor="text1"/>
        </w:rPr>
        <w:t>its</w:t>
      </w:r>
      <w:r w:rsidR="00C75640" w:rsidRPr="00286011">
        <w:rPr>
          <w:rFonts w:asciiTheme="majorBidi" w:hAnsiTheme="majorBidi" w:cstheme="majorBidi"/>
          <w:color w:val="000000" w:themeColor="text1"/>
        </w:rPr>
        <w:t xml:space="preserve"> visibility and impact. In a 2018 article, the journalist and human rights activist Ben White argued that in the short to medium term, “</w:t>
      </w:r>
      <w:r w:rsidR="00C75640" w:rsidRPr="00286011">
        <w:rPr>
          <w:rFonts w:asciiTheme="majorBidi" w:eastAsia="Times New Roman" w:hAnsiTheme="majorBidi" w:cstheme="majorBidi"/>
          <w:color w:val="000000" w:themeColor="text1"/>
          <w:shd w:val="clear" w:color="auto" w:fill="FFFFFF"/>
          <w:lang w:eastAsia="en-GB"/>
        </w:rPr>
        <w:t>the BDS campaign is about three objectives: a shift in discourse, the promotion of accountability, and the growing isolation of Israel. Since 2005, there has clearly been progress on all three fronts”</w:t>
      </w:r>
      <w:r w:rsidR="0037482B" w:rsidRPr="00286011">
        <w:rPr>
          <w:rFonts w:asciiTheme="majorBidi" w:eastAsia="Times New Roman" w:hAnsiTheme="majorBidi" w:cstheme="majorBidi"/>
          <w:color w:val="000000" w:themeColor="text1"/>
          <w:shd w:val="clear" w:color="auto" w:fill="FFFFFF"/>
          <w:lang w:eastAsia="en-GB"/>
        </w:rPr>
        <w:t xml:space="preserve"> (White 2018).</w:t>
      </w:r>
      <w:r w:rsidR="00C75640" w:rsidRPr="00286011">
        <w:rPr>
          <w:rFonts w:asciiTheme="majorBidi" w:eastAsia="Times New Roman" w:hAnsiTheme="majorBidi" w:cstheme="majorBidi"/>
          <w:color w:val="000000" w:themeColor="text1"/>
          <w:shd w:val="clear" w:color="auto" w:fill="FFFFFF"/>
          <w:lang w:eastAsia="en-GB"/>
        </w:rPr>
        <w:t xml:space="preserve"> </w:t>
      </w:r>
    </w:p>
    <w:p w14:paraId="1444A190" w14:textId="40637130" w:rsidR="00274128" w:rsidRPr="00286011" w:rsidRDefault="00E664BD" w:rsidP="005A6929">
      <w:pPr>
        <w:ind w:firstLine="454"/>
        <w:jc w:val="both"/>
        <w:rPr>
          <w:rFonts w:asciiTheme="majorBidi" w:hAnsiTheme="majorBidi" w:cstheme="majorBidi"/>
        </w:rPr>
      </w:pPr>
      <w:r w:rsidRPr="00286011">
        <w:rPr>
          <w:rFonts w:asciiTheme="majorBidi" w:hAnsiTheme="majorBidi" w:cstheme="majorBidi"/>
        </w:rPr>
        <w:t xml:space="preserve">In Israel, </w:t>
      </w:r>
      <w:r w:rsidR="007045BE" w:rsidRPr="00286011">
        <w:rPr>
          <w:rFonts w:asciiTheme="majorBidi" w:hAnsiTheme="majorBidi" w:cstheme="majorBidi"/>
        </w:rPr>
        <w:t>the growing visibility of the BDS movement and the discursive shift it prompted in liberal circles in Europe and the US about Israel and the conflict in Palestine is observed with concern. S</w:t>
      </w:r>
      <w:r w:rsidR="00EA0142" w:rsidRPr="00286011">
        <w:rPr>
          <w:rFonts w:asciiTheme="majorBidi" w:hAnsiTheme="majorBidi" w:cstheme="majorBidi"/>
        </w:rPr>
        <w:t>tate officials and governmental bodies</w:t>
      </w:r>
      <w:r w:rsidR="00FE0A51" w:rsidRPr="00286011">
        <w:rPr>
          <w:rFonts w:asciiTheme="majorBidi" w:hAnsiTheme="majorBidi" w:cstheme="majorBidi"/>
        </w:rPr>
        <w:t xml:space="preserve"> refer to</w:t>
      </w:r>
      <w:r w:rsidR="00BE4C1B" w:rsidRPr="00286011">
        <w:rPr>
          <w:rFonts w:asciiTheme="majorBidi" w:hAnsiTheme="majorBidi" w:cstheme="majorBidi"/>
        </w:rPr>
        <w:t xml:space="preserve"> </w:t>
      </w:r>
      <w:r w:rsidR="00E73310" w:rsidRPr="00286011">
        <w:rPr>
          <w:rFonts w:asciiTheme="majorBidi" w:hAnsiTheme="majorBidi" w:cstheme="majorBidi"/>
        </w:rPr>
        <w:t>it as a</w:t>
      </w:r>
      <w:r w:rsidR="00D21BA8" w:rsidRPr="00286011">
        <w:rPr>
          <w:rFonts w:asciiTheme="majorBidi" w:hAnsiTheme="majorBidi" w:cstheme="majorBidi"/>
        </w:rPr>
        <w:t xml:space="preserve"> </w:t>
      </w:r>
      <w:r w:rsidR="00397B37" w:rsidRPr="00286011">
        <w:rPr>
          <w:rFonts w:asciiTheme="majorBidi" w:hAnsiTheme="majorBidi" w:cstheme="majorBidi"/>
          <w:i/>
          <w:iCs/>
        </w:rPr>
        <w:t>“</w:t>
      </w:r>
      <w:r w:rsidR="00397B37" w:rsidRPr="00286011">
        <w:rPr>
          <w:rFonts w:asciiTheme="majorBidi" w:hAnsiTheme="majorBidi" w:cstheme="majorBidi"/>
        </w:rPr>
        <w:t>significant threat to the strength and national security of the State of Israel” (</w:t>
      </w:r>
      <w:r w:rsidR="0036564D" w:rsidRPr="00286011">
        <w:rPr>
          <w:rFonts w:asciiTheme="majorBidi" w:hAnsiTheme="majorBidi" w:cstheme="majorBidi"/>
        </w:rPr>
        <w:t xml:space="preserve">Israel’s </w:t>
      </w:r>
      <w:r w:rsidR="00397B37" w:rsidRPr="00286011">
        <w:rPr>
          <w:rFonts w:asciiTheme="majorBidi" w:hAnsiTheme="majorBidi" w:cstheme="majorBidi"/>
        </w:rPr>
        <w:t>Population and Immigration Authority, 2017)</w:t>
      </w:r>
      <w:r w:rsidR="005F5219" w:rsidRPr="00286011">
        <w:rPr>
          <w:rFonts w:asciiTheme="majorBidi" w:hAnsiTheme="majorBidi" w:cstheme="majorBidi"/>
        </w:rPr>
        <w:t>.</w:t>
      </w:r>
      <w:r w:rsidR="000B4F93" w:rsidRPr="00286011">
        <w:rPr>
          <w:rFonts w:asciiTheme="majorBidi" w:hAnsiTheme="majorBidi" w:cstheme="majorBidi"/>
        </w:rPr>
        <w:t xml:space="preserve"> </w:t>
      </w:r>
      <w:r w:rsidR="00D859B7" w:rsidRPr="00286011">
        <w:rPr>
          <w:rFonts w:asciiTheme="majorBidi" w:hAnsiTheme="majorBidi" w:cstheme="majorBidi"/>
        </w:rPr>
        <w:t xml:space="preserve">References </w:t>
      </w:r>
      <w:r w:rsidR="00D21BA8" w:rsidRPr="00286011">
        <w:rPr>
          <w:rFonts w:asciiTheme="majorBidi" w:hAnsiTheme="majorBidi" w:cstheme="majorBidi"/>
        </w:rPr>
        <w:t>to the intensity</w:t>
      </w:r>
      <w:r w:rsidR="00DB42FE" w:rsidRPr="00286011">
        <w:rPr>
          <w:rFonts w:asciiTheme="majorBidi" w:hAnsiTheme="majorBidi" w:cstheme="majorBidi"/>
        </w:rPr>
        <w:t xml:space="preserve"> of the </w:t>
      </w:r>
      <w:r w:rsidR="00D859B7" w:rsidRPr="00286011">
        <w:rPr>
          <w:rFonts w:asciiTheme="majorBidi" w:hAnsiTheme="majorBidi" w:cstheme="majorBidi"/>
        </w:rPr>
        <w:t xml:space="preserve">threat </w:t>
      </w:r>
      <w:r w:rsidR="00A86302" w:rsidRPr="00286011">
        <w:rPr>
          <w:rFonts w:asciiTheme="majorBidi" w:hAnsiTheme="majorBidi" w:cstheme="majorBidi"/>
        </w:rPr>
        <w:t xml:space="preserve">the movement poses </w:t>
      </w:r>
      <w:r w:rsidR="00D859B7" w:rsidRPr="00286011">
        <w:rPr>
          <w:rFonts w:asciiTheme="majorBidi" w:hAnsiTheme="majorBidi" w:cstheme="majorBidi"/>
        </w:rPr>
        <w:t>commonly</w:t>
      </w:r>
      <w:r w:rsidR="00A86302" w:rsidRPr="00286011">
        <w:rPr>
          <w:rFonts w:asciiTheme="majorBidi" w:hAnsiTheme="majorBidi" w:cstheme="majorBidi"/>
        </w:rPr>
        <w:t xml:space="preserve"> appear</w:t>
      </w:r>
      <w:r w:rsidR="00D859B7" w:rsidRPr="00286011">
        <w:rPr>
          <w:rFonts w:asciiTheme="majorBidi" w:hAnsiTheme="majorBidi" w:cstheme="majorBidi"/>
        </w:rPr>
        <w:t xml:space="preserve"> in speeches</w:t>
      </w:r>
      <w:r w:rsidR="00A86302" w:rsidRPr="00286011">
        <w:rPr>
          <w:rFonts w:asciiTheme="majorBidi" w:hAnsiTheme="majorBidi" w:cstheme="majorBidi"/>
        </w:rPr>
        <w:t xml:space="preserve"> and statements</w:t>
      </w:r>
      <w:r w:rsidR="00D859B7" w:rsidRPr="00286011">
        <w:rPr>
          <w:rFonts w:asciiTheme="majorBidi" w:hAnsiTheme="majorBidi" w:cstheme="majorBidi"/>
        </w:rPr>
        <w:t xml:space="preserve"> made by </w:t>
      </w:r>
      <w:r w:rsidR="00F141C3" w:rsidRPr="00286011">
        <w:rPr>
          <w:rFonts w:asciiTheme="majorBidi" w:hAnsiTheme="majorBidi" w:cstheme="majorBidi"/>
        </w:rPr>
        <w:t>Israeli prime ministers,</w:t>
      </w:r>
      <w:r w:rsidR="00D859B7" w:rsidRPr="00286011">
        <w:rPr>
          <w:rFonts w:asciiTheme="majorBidi" w:hAnsiTheme="majorBidi" w:cstheme="majorBidi"/>
        </w:rPr>
        <w:t xml:space="preserve"> ministers or members of parliament</w:t>
      </w:r>
      <w:r w:rsidR="00DB42FE" w:rsidRPr="00286011">
        <w:rPr>
          <w:rFonts w:asciiTheme="majorBidi" w:hAnsiTheme="majorBidi" w:cstheme="majorBidi"/>
        </w:rPr>
        <w:t>, with the Israeli Prime Minister Netanyahu declar</w:t>
      </w:r>
      <w:r w:rsidR="00D21BA8" w:rsidRPr="00286011">
        <w:rPr>
          <w:rFonts w:asciiTheme="majorBidi" w:hAnsiTheme="majorBidi" w:cstheme="majorBidi"/>
        </w:rPr>
        <w:t>ing in 2015</w:t>
      </w:r>
      <w:r w:rsidR="00DB42FE" w:rsidRPr="00286011">
        <w:rPr>
          <w:rFonts w:asciiTheme="majorBidi" w:hAnsiTheme="majorBidi" w:cstheme="majorBidi"/>
        </w:rPr>
        <w:t xml:space="preserve"> the BDS as a ‘strategic threat facing the state of Israel, alongside Iran and Hizballah</w:t>
      </w:r>
      <w:r w:rsidR="0036564D" w:rsidRPr="00286011">
        <w:rPr>
          <w:rFonts w:asciiTheme="majorBidi" w:hAnsiTheme="majorBidi" w:cstheme="majorBidi"/>
        </w:rPr>
        <w:t>’</w:t>
      </w:r>
      <w:r w:rsidR="00F0590C" w:rsidRPr="00286011">
        <w:rPr>
          <w:rFonts w:asciiTheme="majorBidi" w:hAnsiTheme="majorBidi" w:cstheme="majorBidi"/>
        </w:rPr>
        <w:t xml:space="preserve"> (Shalev 2015)</w:t>
      </w:r>
      <w:r w:rsidR="00D859B7" w:rsidRPr="00286011">
        <w:rPr>
          <w:rFonts w:asciiTheme="majorBidi" w:hAnsiTheme="majorBidi" w:cstheme="majorBidi"/>
        </w:rPr>
        <w:t xml:space="preserve">. </w:t>
      </w:r>
      <w:r w:rsidR="00274128" w:rsidRPr="00286011">
        <w:rPr>
          <w:rFonts w:asciiTheme="majorBidi" w:hAnsiTheme="majorBidi" w:cstheme="majorBidi"/>
        </w:rPr>
        <w:t xml:space="preserve">Leading Israeli think-tanks, such as the Institute for </w:t>
      </w:r>
      <w:r w:rsidR="0013488E" w:rsidRPr="00286011">
        <w:rPr>
          <w:rFonts w:asciiTheme="majorBidi" w:hAnsiTheme="majorBidi" w:cstheme="majorBidi"/>
        </w:rPr>
        <w:t xml:space="preserve">Policy and Strategy at the Interdisciplinary Centre in Herzliya </w:t>
      </w:r>
      <w:r w:rsidR="00274128" w:rsidRPr="00286011">
        <w:rPr>
          <w:rFonts w:asciiTheme="majorBidi" w:hAnsiTheme="majorBidi" w:cstheme="majorBidi"/>
        </w:rPr>
        <w:t xml:space="preserve">claimed in 2016 </w:t>
      </w:r>
      <w:r w:rsidR="002227BF" w:rsidRPr="00286011">
        <w:rPr>
          <w:rFonts w:asciiTheme="majorBidi" w:hAnsiTheme="majorBidi" w:cstheme="majorBidi"/>
        </w:rPr>
        <w:t xml:space="preserve">that the BDS movements is </w:t>
      </w:r>
      <w:r w:rsidR="00274128" w:rsidRPr="00286011">
        <w:rPr>
          <w:rFonts w:asciiTheme="majorBidi" w:hAnsiTheme="majorBidi" w:cstheme="majorBidi"/>
        </w:rPr>
        <w:t>win</w:t>
      </w:r>
      <w:r w:rsidR="002227BF" w:rsidRPr="00286011">
        <w:rPr>
          <w:rFonts w:asciiTheme="majorBidi" w:hAnsiTheme="majorBidi" w:cstheme="majorBidi"/>
        </w:rPr>
        <w:t>ning</w:t>
      </w:r>
      <w:r w:rsidR="00274128" w:rsidRPr="00286011">
        <w:rPr>
          <w:rFonts w:asciiTheme="majorBidi" w:hAnsiTheme="majorBidi" w:cstheme="majorBidi"/>
        </w:rPr>
        <w:t xml:space="preserve"> the battle over the </w:t>
      </w:r>
      <w:r w:rsidR="002227BF" w:rsidRPr="00286011">
        <w:rPr>
          <w:rFonts w:asciiTheme="majorBidi" w:hAnsiTheme="majorBidi" w:cstheme="majorBidi"/>
        </w:rPr>
        <w:t>hearts and minds</w:t>
      </w:r>
      <w:r w:rsidR="00274128" w:rsidRPr="00286011">
        <w:rPr>
          <w:rFonts w:asciiTheme="majorBidi" w:hAnsiTheme="majorBidi" w:cstheme="majorBidi"/>
        </w:rPr>
        <w:t xml:space="preserve"> in most western societies that are </w:t>
      </w:r>
      <w:r w:rsidR="002227BF" w:rsidRPr="00286011">
        <w:rPr>
          <w:rFonts w:asciiTheme="majorBidi" w:hAnsiTheme="majorBidi" w:cstheme="majorBidi"/>
        </w:rPr>
        <w:t>traditionally Israel’s allies</w:t>
      </w:r>
      <w:r w:rsidR="00274128" w:rsidRPr="00286011">
        <w:rPr>
          <w:rFonts w:asciiTheme="majorBidi" w:hAnsiTheme="majorBidi" w:cstheme="majorBidi"/>
        </w:rPr>
        <w:t>, and accordingly,</w:t>
      </w:r>
      <w:r w:rsidR="001F39BA" w:rsidRPr="00286011">
        <w:rPr>
          <w:rFonts w:asciiTheme="majorBidi" w:hAnsiTheme="majorBidi" w:cstheme="majorBidi"/>
        </w:rPr>
        <w:t xml:space="preserve"> it is a strategic threat that </w:t>
      </w:r>
      <w:r w:rsidR="00274128" w:rsidRPr="00286011">
        <w:rPr>
          <w:rFonts w:asciiTheme="majorBidi" w:hAnsiTheme="majorBidi" w:cstheme="majorBidi"/>
        </w:rPr>
        <w:t xml:space="preserve">“might </w:t>
      </w:r>
      <w:r w:rsidR="001F39BA" w:rsidRPr="00286011">
        <w:rPr>
          <w:rFonts w:asciiTheme="majorBidi" w:hAnsiTheme="majorBidi" w:cstheme="majorBidi"/>
        </w:rPr>
        <w:t>demand</w:t>
      </w:r>
      <w:r w:rsidR="00274128" w:rsidRPr="00286011">
        <w:rPr>
          <w:rFonts w:asciiTheme="majorBidi" w:hAnsiTheme="majorBidi" w:cstheme="majorBidi"/>
        </w:rPr>
        <w:t xml:space="preserve"> a heavy price from the State of Israel and </w:t>
      </w:r>
      <w:r w:rsidR="001F39BA" w:rsidRPr="00286011">
        <w:rPr>
          <w:rFonts w:asciiTheme="majorBidi" w:hAnsiTheme="majorBidi" w:cstheme="majorBidi"/>
        </w:rPr>
        <w:t>will</w:t>
      </w:r>
      <w:r w:rsidR="00274128" w:rsidRPr="00286011">
        <w:rPr>
          <w:rFonts w:asciiTheme="majorBidi" w:hAnsiTheme="majorBidi" w:cstheme="majorBidi"/>
        </w:rPr>
        <w:t xml:space="preserve"> endanger its vital interest in the future” (S</w:t>
      </w:r>
      <w:r w:rsidR="001F39BA" w:rsidRPr="00286011">
        <w:rPr>
          <w:rFonts w:asciiTheme="majorBidi" w:hAnsiTheme="majorBidi" w:cstheme="majorBidi"/>
        </w:rPr>
        <w:t xml:space="preserve">hay and </w:t>
      </w:r>
      <w:proofErr w:type="spellStart"/>
      <w:r w:rsidR="001F39BA" w:rsidRPr="00286011">
        <w:rPr>
          <w:rFonts w:asciiTheme="majorBidi" w:hAnsiTheme="majorBidi" w:cstheme="majorBidi"/>
        </w:rPr>
        <w:t>Mintz</w:t>
      </w:r>
      <w:proofErr w:type="spellEnd"/>
      <w:r w:rsidR="001F39BA" w:rsidRPr="00286011">
        <w:rPr>
          <w:rFonts w:asciiTheme="majorBidi" w:hAnsiTheme="majorBidi" w:cstheme="majorBidi"/>
        </w:rPr>
        <w:t xml:space="preserve"> </w:t>
      </w:r>
      <w:r w:rsidR="00274128" w:rsidRPr="00286011">
        <w:rPr>
          <w:rFonts w:asciiTheme="majorBidi" w:hAnsiTheme="majorBidi" w:cstheme="majorBidi"/>
        </w:rPr>
        <w:t>2016, 3)</w:t>
      </w:r>
      <w:r w:rsidR="002227BF" w:rsidRPr="00286011">
        <w:rPr>
          <w:rFonts w:asciiTheme="majorBidi" w:hAnsiTheme="majorBidi" w:cstheme="majorBidi"/>
        </w:rPr>
        <w:t xml:space="preserve">. </w:t>
      </w:r>
    </w:p>
    <w:p w14:paraId="6C38BC48" w14:textId="43358DD9" w:rsidR="006F5BD6" w:rsidRPr="00286011" w:rsidRDefault="00274128" w:rsidP="003D216F">
      <w:pPr>
        <w:ind w:firstLine="454"/>
        <w:jc w:val="both"/>
        <w:rPr>
          <w:rFonts w:asciiTheme="majorBidi" w:hAnsiTheme="majorBidi" w:cstheme="majorBidi"/>
          <w:i/>
          <w:iCs/>
        </w:rPr>
      </w:pPr>
      <w:r w:rsidRPr="00286011">
        <w:rPr>
          <w:rFonts w:asciiTheme="majorBidi" w:hAnsiTheme="majorBidi" w:cstheme="majorBidi"/>
        </w:rPr>
        <w:t xml:space="preserve"> </w:t>
      </w:r>
      <w:r w:rsidR="00F141C3" w:rsidRPr="00286011">
        <w:rPr>
          <w:rFonts w:asciiTheme="majorBidi" w:hAnsiTheme="majorBidi" w:cstheme="majorBidi"/>
        </w:rPr>
        <w:t xml:space="preserve">For </w:t>
      </w:r>
      <w:r w:rsidR="00D21BA8" w:rsidRPr="00286011">
        <w:rPr>
          <w:rFonts w:asciiTheme="majorBidi" w:hAnsiTheme="majorBidi" w:cstheme="majorBidi"/>
        </w:rPr>
        <w:t>the</w:t>
      </w:r>
      <w:r w:rsidR="00F141C3" w:rsidRPr="00286011">
        <w:rPr>
          <w:rFonts w:asciiTheme="majorBidi" w:hAnsiTheme="majorBidi" w:cstheme="majorBidi"/>
        </w:rPr>
        <w:t xml:space="preserve"> purposes </w:t>
      </w:r>
      <w:r w:rsidR="00D21BA8" w:rsidRPr="00286011">
        <w:rPr>
          <w:rFonts w:asciiTheme="majorBidi" w:hAnsiTheme="majorBidi" w:cstheme="majorBidi"/>
        </w:rPr>
        <w:t xml:space="preserve">of the analysis </w:t>
      </w:r>
      <w:r w:rsidR="00F141C3" w:rsidRPr="00286011">
        <w:rPr>
          <w:rFonts w:asciiTheme="majorBidi" w:hAnsiTheme="majorBidi" w:cstheme="majorBidi"/>
        </w:rPr>
        <w:t>here</w:t>
      </w:r>
      <w:r w:rsidR="00D859B7" w:rsidRPr="00286011">
        <w:rPr>
          <w:rFonts w:asciiTheme="majorBidi" w:hAnsiTheme="majorBidi" w:cstheme="majorBidi"/>
        </w:rPr>
        <w:t>,</w:t>
      </w:r>
      <w:r w:rsidR="00C75640" w:rsidRPr="00286011">
        <w:rPr>
          <w:rFonts w:asciiTheme="majorBidi" w:hAnsiTheme="majorBidi" w:cstheme="majorBidi"/>
        </w:rPr>
        <w:t xml:space="preserve"> </w:t>
      </w:r>
      <w:r w:rsidR="00E664BD" w:rsidRPr="00286011">
        <w:rPr>
          <w:rFonts w:asciiTheme="majorBidi" w:hAnsiTheme="majorBidi" w:cstheme="majorBidi"/>
        </w:rPr>
        <w:t xml:space="preserve">I would like </w:t>
      </w:r>
      <w:r w:rsidR="00C75640" w:rsidRPr="00286011">
        <w:rPr>
          <w:rFonts w:asciiTheme="majorBidi" w:hAnsiTheme="majorBidi" w:cstheme="majorBidi"/>
        </w:rPr>
        <w:t xml:space="preserve">focus on </w:t>
      </w:r>
      <w:r w:rsidR="00262A35" w:rsidRPr="00286011">
        <w:rPr>
          <w:rFonts w:asciiTheme="majorBidi" w:hAnsiTheme="majorBidi" w:cstheme="majorBidi"/>
        </w:rPr>
        <w:t>reactions in Israel to the movement</w:t>
      </w:r>
      <w:r w:rsidR="00C75640" w:rsidRPr="00286011">
        <w:rPr>
          <w:rFonts w:asciiTheme="majorBidi" w:hAnsiTheme="majorBidi" w:cstheme="majorBidi"/>
        </w:rPr>
        <w:t xml:space="preserve">. </w:t>
      </w:r>
      <w:r w:rsidR="00262A35" w:rsidRPr="00286011">
        <w:rPr>
          <w:rFonts w:asciiTheme="majorBidi" w:hAnsiTheme="majorBidi" w:cstheme="majorBidi"/>
        </w:rPr>
        <w:t>I argue that a</w:t>
      </w:r>
      <w:r w:rsidR="00C75640" w:rsidRPr="00286011">
        <w:rPr>
          <w:rFonts w:asciiTheme="majorBidi" w:hAnsiTheme="majorBidi" w:cstheme="majorBidi"/>
        </w:rPr>
        <w:t xml:space="preserve">n indication of the movement’s strength (and perceived threat) is found in the efforts Israel is putting, both domestically and globally to thwart its activities. </w:t>
      </w:r>
      <w:r w:rsidR="00262A35" w:rsidRPr="00286011">
        <w:rPr>
          <w:rFonts w:asciiTheme="majorBidi" w:hAnsiTheme="majorBidi" w:cstheme="majorBidi"/>
        </w:rPr>
        <w:t xml:space="preserve">When the threshold of threat is met, as is the case with the BDS movement, </w:t>
      </w:r>
      <w:r w:rsidR="00BD6241" w:rsidRPr="00286011">
        <w:rPr>
          <w:rFonts w:asciiTheme="majorBidi" w:hAnsiTheme="majorBidi" w:cstheme="majorBidi"/>
        </w:rPr>
        <w:t>variety of mechanism</w:t>
      </w:r>
      <w:r w:rsidR="00862DED" w:rsidRPr="00286011">
        <w:rPr>
          <w:rFonts w:asciiTheme="majorBidi" w:hAnsiTheme="majorBidi" w:cstheme="majorBidi"/>
        </w:rPr>
        <w:t>, efforts and strategies</w:t>
      </w:r>
      <w:r w:rsidR="00BD6241" w:rsidRPr="00286011">
        <w:rPr>
          <w:rFonts w:asciiTheme="majorBidi" w:hAnsiTheme="majorBidi" w:cstheme="majorBidi"/>
        </w:rPr>
        <w:t xml:space="preserve"> were put in place by both </w:t>
      </w:r>
      <w:r w:rsidR="00C75640" w:rsidRPr="00286011">
        <w:rPr>
          <w:rFonts w:asciiTheme="majorBidi" w:hAnsiTheme="majorBidi" w:cstheme="majorBidi"/>
        </w:rPr>
        <w:t xml:space="preserve">state </w:t>
      </w:r>
      <w:r w:rsidR="003D216F" w:rsidRPr="00286011">
        <w:rPr>
          <w:rFonts w:asciiTheme="majorBidi" w:hAnsiTheme="majorBidi" w:cstheme="majorBidi"/>
        </w:rPr>
        <w:t xml:space="preserve">bodies, </w:t>
      </w:r>
      <w:r w:rsidR="00C51992" w:rsidRPr="00286011">
        <w:rPr>
          <w:rFonts w:asciiTheme="majorBidi" w:hAnsiTheme="majorBidi" w:cstheme="majorBidi"/>
        </w:rPr>
        <w:t xml:space="preserve">civil society </w:t>
      </w:r>
      <w:r w:rsidR="003D216F" w:rsidRPr="00286011">
        <w:rPr>
          <w:rFonts w:asciiTheme="majorBidi" w:hAnsiTheme="majorBidi" w:cstheme="majorBidi"/>
        </w:rPr>
        <w:t xml:space="preserve">organisations and the media </w:t>
      </w:r>
      <w:r w:rsidR="00C75640" w:rsidRPr="00286011">
        <w:rPr>
          <w:rFonts w:asciiTheme="majorBidi" w:hAnsiTheme="majorBidi" w:cstheme="majorBidi"/>
        </w:rPr>
        <w:t xml:space="preserve">to </w:t>
      </w:r>
      <w:r w:rsidR="001C0438" w:rsidRPr="00286011">
        <w:rPr>
          <w:rFonts w:asciiTheme="majorBidi" w:hAnsiTheme="majorBidi" w:cstheme="majorBidi"/>
        </w:rPr>
        <w:t xml:space="preserve">repress and </w:t>
      </w:r>
      <w:r w:rsidR="00C75640" w:rsidRPr="00286011">
        <w:rPr>
          <w:rFonts w:asciiTheme="majorBidi" w:hAnsiTheme="majorBidi" w:cstheme="majorBidi"/>
        </w:rPr>
        <w:t xml:space="preserve">criminalise BDS activism and </w:t>
      </w:r>
      <w:r w:rsidR="000B4F93" w:rsidRPr="00286011">
        <w:rPr>
          <w:rFonts w:asciiTheme="majorBidi" w:hAnsiTheme="majorBidi" w:cstheme="majorBidi"/>
        </w:rPr>
        <w:t xml:space="preserve">its </w:t>
      </w:r>
      <w:r w:rsidR="00C75640" w:rsidRPr="00286011">
        <w:rPr>
          <w:rFonts w:asciiTheme="majorBidi" w:hAnsiTheme="majorBidi" w:cstheme="majorBidi"/>
        </w:rPr>
        <w:t>activists</w:t>
      </w:r>
      <w:r w:rsidR="00031819" w:rsidRPr="00286011">
        <w:rPr>
          <w:rFonts w:asciiTheme="majorBidi" w:hAnsiTheme="majorBidi" w:cstheme="majorBidi"/>
        </w:rPr>
        <w:t xml:space="preserve"> from within</w:t>
      </w:r>
      <w:r w:rsidR="00C75640" w:rsidRPr="00286011">
        <w:rPr>
          <w:rFonts w:asciiTheme="majorBidi" w:hAnsiTheme="majorBidi" w:cstheme="majorBidi"/>
        </w:rPr>
        <w:t>.</w:t>
      </w:r>
      <w:r w:rsidR="003D216F" w:rsidRPr="00286011">
        <w:rPr>
          <w:rFonts w:asciiTheme="majorBidi" w:hAnsiTheme="majorBidi" w:cstheme="majorBidi"/>
        </w:rPr>
        <w:t xml:space="preserve"> </w:t>
      </w:r>
      <w:r w:rsidR="00A2338F" w:rsidRPr="00286011">
        <w:rPr>
          <w:rFonts w:asciiTheme="majorBidi" w:hAnsiTheme="majorBidi" w:cstheme="majorBidi"/>
        </w:rPr>
        <w:t>It involve</w:t>
      </w:r>
      <w:r w:rsidR="00FE0A51" w:rsidRPr="00286011">
        <w:rPr>
          <w:rFonts w:asciiTheme="majorBidi" w:hAnsiTheme="majorBidi" w:cstheme="majorBidi"/>
        </w:rPr>
        <w:t>s</w:t>
      </w:r>
      <w:r w:rsidR="00A2338F" w:rsidRPr="00286011">
        <w:rPr>
          <w:rFonts w:asciiTheme="majorBidi" w:hAnsiTheme="majorBidi" w:cstheme="majorBidi"/>
        </w:rPr>
        <w:t xml:space="preserve"> a concerted effort</w:t>
      </w:r>
      <w:r w:rsidR="00F05DBC" w:rsidRPr="00286011">
        <w:rPr>
          <w:rFonts w:asciiTheme="majorBidi" w:hAnsiTheme="majorBidi" w:cstheme="majorBidi"/>
        </w:rPr>
        <w:t>s</w:t>
      </w:r>
      <w:r w:rsidR="00A2338F" w:rsidRPr="00286011">
        <w:rPr>
          <w:rFonts w:asciiTheme="majorBidi" w:hAnsiTheme="majorBidi" w:cstheme="majorBidi"/>
        </w:rPr>
        <w:t xml:space="preserve"> of </w:t>
      </w:r>
      <w:r w:rsidR="007B2C4B" w:rsidRPr="00286011">
        <w:rPr>
          <w:rFonts w:asciiTheme="majorBidi" w:hAnsiTheme="majorBidi" w:cstheme="majorBidi"/>
        </w:rPr>
        <w:t xml:space="preserve">various </w:t>
      </w:r>
      <w:r w:rsidR="00A2338F" w:rsidRPr="00286011">
        <w:rPr>
          <w:rFonts w:asciiTheme="majorBidi" w:hAnsiTheme="majorBidi" w:cstheme="majorBidi"/>
        </w:rPr>
        <w:t>governmental bodies, civil society organisations, the</w:t>
      </w:r>
      <w:r w:rsidR="004B0C2F" w:rsidRPr="00286011">
        <w:rPr>
          <w:rFonts w:asciiTheme="majorBidi" w:hAnsiTheme="majorBidi" w:cstheme="majorBidi"/>
        </w:rPr>
        <w:t xml:space="preserve"> </w:t>
      </w:r>
      <w:r w:rsidR="00A2338F" w:rsidRPr="00286011">
        <w:rPr>
          <w:rFonts w:asciiTheme="majorBidi" w:hAnsiTheme="majorBidi" w:cstheme="majorBidi"/>
        </w:rPr>
        <w:t xml:space="preserve">media and also individuals </w:t>
      </w:r>
      <w:r w:rsidR="004B0C2F" w:rsidRPr="00286011">
        <w:rPr>
          <w:rFonts w:asciiTheme="majorBidi" w:hAnsiTheme="majorBidi" w:cstheme="majorBidi"/>
        </w:rPr>
        <w:t xml:space="preserve">who </w:t>
      </w:r>
      <w:r w:rsidR="00A2338F" w:rsidRPr="00286011">
        <w:rPr>
          <w:rFonts w:asciiTheme="majorBidi" w:hAnsiTheme="majorBidi" w:cstheme="majorBidi"/>
        </w:rPr>
        <w:t>join forces to win the hearts and mind</w:t>
      </w:r>
      <w:r w:rsidR="00DD781A" w:rsidRPr="00286011">
        <w:rPr>
          <w:rFonts w:asciiTheme="majorBidi" w:hAnsiTheme="majorBidi" w:cstheme="majorBidi"/>
        </w:rPr>
        <w:t>s</w:t>
      </w:r>
      <w:r w:rsidR="00A2338F" w:rsidRPr="00286011">
        <w:rPr>
          <w:rFonts w:asciiTheme="majorBidi" w:hAnsiTheme="majorBidi" w:cstheme="majorBidi"/>
        </w:rPr>
        <w:t xml:space="preserve"> of the international public opinion. </w:t>
      </w:r>
      <w:r w:rsidR="00F141C3" w:rsidRPr="00286011">
        <w:rPr>
          <w:rFonts w:asciiTheme="majorBidi" w:hAnsiTheme="majorBidi" w:cstheme="majorBidi"/>
        </w:rPr>
        <w:t>The state channell</w:t>
      </w:r>
      <w:r w:rsidR="0036564D" w:rsidRPr="00286011">
        <w:rPr>
          <w:rFonts w:asciiTheme="majorBidi" w:hAnsiTheme="majorBidi" w:cstheme="majorBidi"/>
        </w:rPr>
        <w:t>ed</w:t>
      </w:r>
      <w:r w:rsidR="00F141C3" w:rsidRPr="00286011">
        <w:rPr>
          <w:rFonts w:asciiTheme="majorBidi" w:hAnsiTheme="majorBidi" w:cstheme="majorBidi"/>
        </w:rPr>
        <w:t xml:space="preserve"> </w:t>
      </w:r>
      <w:r w:rsidR="00C04109" w:rsidRPr="00286011">
        <w:rPr>
          <w:rFonts w:asciiTheme="majorBidi" w:hAnsiTheme="majorBidi" w:cstheme="majorBidi"/>
        </w:rPr>
        <w:t>substantial</w:t>
      </w:r>
      <w:r w:rsidR="00134691" w:rsidRPr="00286011">
        <w:rPr>
          <w:rFonts w:asciiTheme="majorBidi" w:hAnsiTheme="majorBidi" w:cstheme="majorBidi"/>
        </w:rPr>
        <w:t xml:space="preserve"> </w:t>
      </w:r>
      <w:r w:rsidR="00F141C3" w:rsidRPr="00286011">
        <w:rPr>
          <w:rFonts w:asciiTheme="majorBidi" w:hAnsiTheme="majorBidi" w:cstheme="majorBidi"/>
        </w:rPr>
        <w:t xml:space="preserve">resources </w:t>
      </w:r>
      <w:r w:rsidR="00240EB5" w:rsidRPr="00286011">
        <w:rPr>
          <w:rFonts w:asciiTheme="majorBidi" w:hAnsiTheme="majorBidi" w:cstheme="majorBidi"/>
        </w:rPr>
        <w:t>(</w:t>
      </w:r>
      <w:proofErr w:type="spellStart"/>
      <w:r w:rsidR="00240EB5" w:rsidRPr="00286011">
        <w:rPr>
          <w:rFonts w:asciiTheme="majorBidi" w:hAnsiTheme="majorBidi" w:cstheme="majorBidi"/>
        </w:rPr>
        <w:t>Tibon</w:t>
      </w:r>
      <w:proofErr w:type="spellEnd"/>
      <w:r w:rsidR="00240EB5" w:rsidRPr="00286011">
        <w:rPr>
          <w:rFonts w:asciiTheme="majorBidi" w:hAnsiTheme="majorBidi" w:cstheme="majorBidi"/>
        </w:rPr>
        <w:t xml:space="preserve"> 2016) </w:t>
      </w:r>
      <w:r w:rsidR="00F141C3" w:rsidRPr="00286011">
        <w:rPr>
          <w:rFonts w:asciiTheme="majorBidi" w:hAnsiTheme="majorBidi" w:cstheme="majorBidi"/>
        </w:rPr>
        <w:t>and dedicat</w:t>
      </w:r>
      <w:r w:rsidR="0036564D" w:rsidRPr="00286011">
        <w:rPr>
          <w:rFonts w:asciiTheme="majorBidi" w:hAnsiTheme="majorBidi" w:cstheme="majorBidi"/>
        </w:rPr>
        <w:t>ed</w:t>
      </w:r>
      <w:r w:rsidR="00F141C3" w:rsidRPr="00286011">
        <w:rPr>
          <w:rFonts w:asciiTheme="majorBidi" w:hAnsiTheme="majorBidi" w:cstheme="majorBidi"/>
        </w:rPr>
        <w:t xml:space="preserve"> governmental offices or branches of existing offices to </w:t>
      </w:r>
      <w:r w:rsidR="006F5BD6" w:rsidRPr="00286011">
        <w:rPr>
          <w:rFonts w:asciiTheme="majorBidi" w:hAnsiTheme="majorBidi" w:cstheme="majorBidi"/>
        </w:rPr>
        <w:t>combat</w:t>
      </w:r>
      <w:r w:rsidR="00F141C3" w:rsidRPr="00286011">
        <w:rPr>
          <w:rFonts w:asciiTheme="majorBidi" w:hAnsiTheme="majorBidi" w:cstheme="majorBidi"/>
        </w:rPr>
        <w:t xml:space="preserve"> the threat. </w:t>
      </w:r>
      <w:r w:rsidR="001F39BA" w:rsidRPr="00286011">
        <w:rPr>
          <w:rFonts w:asciiTheme="majorBidi" w:hAnsiTheme="majorBidi" w:cstheme="majorBidi"/>
        </w:rPr>
        <w:t>Noteworthy</w:t>
      </w:r>
      <w:r w:rsidR="006107B8" w:rsidRPr="00286011">
        <w:rPr>
          <w:rFonts w:asciiTheme="majorBidi" w:hAnsiTheme="majorBidi" w:cstheme="majorBidi"/>
        </w:rPr>
        <w:t xml:space="preserve"> here</w:t>
      </w:r>
      <w:r w:rsidR="001F39BA" w:rsidRPr="00286011">
        <w:rPr>
          <w:rFonts w:asciiTheme="majorBidi" w:hAnsiTheme="majorBidi" w:cstheme="majorBidi"/>
        </w:rPr>
        <w:t xml:space="preserve"> is the </w:t>
      </w:r>
      <w:r w:rsidR="00AC6EB8" w:rsidRPr="00286011">
        <w:rPr>
          <w:rFonts w:asciiTheme="majorBidi" w:hAnsiTheme="majorBidi" w:cstheme="majorBidi"/>
        </w:rPr>
        <w:t xml:space="preserve">Ministry of </w:t>
      </w:r>
      <w:r w:rsidR="001F39BA" w:rsidRPr="00286011">
        <w:rPr>
          <w:rFonts w:asciiTheme="majorBidi" w:hAnsiTheme="majorBidi" w:cstheme="majorBidi"/>
        </w:rPr>
        <w:t xml:space="preserve">Strategic Affairs that was re-established in October 2015 </w:t>
      </w:r>
      <w:r w:rsidR="008B4694" w:rsidRPr="00286011">
        <w:rPr>
          <w:rFonts w:asciiTheme="majorBidi" w:hAnsiTheme="majorBidi" w:cstheme="majorBidi"/>
        </w:rPr>
        <w:t>as the highest authority to act and coordinate “the battle against de-legitimation”.</w:t>
      </w:r>
      <w:r w:rsidR="008B4694" w:rsidRPr="00286011">
        <w:rPr>
          <w:rStyle w:val="FootnoteReference"/>
          <w:rFonts w:asciiTheme="majorBidi" w:hAnsiTheme="majorBidi" w:cstheme="majorBidi"/>
        </w:rPr>
        <w:footnoteReference w:id="4"/>
      </w:r>
      <w:r w:rsidR="008B4694" w:rsidRPr="00286011">
        <w:rPr>
          <w:rFonts w:asciiTheme="majorBidi" w:hAnsiTheme="majorBidi" w:cstheme="majorBidi"/>
        </w:rPr>
        <w:t xml:space="preserve"> </w:t>
      </w:r>
      <w:r w:rsidR="006107B8" w:rsidRPr="00286011">
        <w:rPr>
          <w:rFonts w:asciiTheme="majorBidi" w:hAnsiTheme="majorBidi" w:cstheme="majorBidi"/>
        </w:rPr>
        <w:t xml:space="preserve">The </w:t>
      </w:r>
      <w:r w:rsidR="00C96DB8" w:rsidRPr="00286011">
        <w:rPr>
          <w:rFonts w:asciiTheme="majorBidi" w:hAnsiTheme="majorBidi" w:cstheme="majorBidi"/>
        </w:rPr>
        <w:t>Ministry</w:t>
      </w:r>
      <w:r w:rsidR="006107B8" w:rsidRPr="00286011">
        <w:rPr>
          <w:rFonts w:asciiTheme="majorBidi" w:hAnsiTheme="majorBidi" w:cstheme="majorBidi"/>
        </w:rPr>
        <w:t xml:space="preserve"> </w:t>
      </w:r>
      <w:r w:rsidR="00AD52E9" w:rsidRPr="00286011">
        <w:rPr>
          <w:rFonts w:asciiTheme="majorBidi" w:hAnsiTheme="majorBidi" w:cstheme="majorBidi"/>
        </w:rPr>
        <w:t xml:space="preserve">was closed in 2021 and its responsibilities </w:t>
      </w:r>
      <w:r w:rsidR="00A72A58" w:rsidRPr="00286011">
        <w:rPr>
          <w:rFonts w:asciiTheme="majorBidi" w:hAnsiTheme="majorBidi" w:cstheme="majorBidi"/>
        </w:rPr>
        <w:t xml:space="preserve">then </w:t>
      </w:r>
      <w:r w:rsidR="00AD52E9" w:rsidRPr="00286011">
        <w:rPr>
          <w:rFonts w:asciiTheme="majorBidi" w:hAnsiTheme="majorBidi" w:cstheme="majorBidi"/>
        </w:rPr>
        <w:t xml:space="preserve">moved to the Ministry of Foreign Affairs. </w:t>
      </w:r>
    </w:p>
    <w:p w14:paraId="49E8FF7E" w14:textId="3647A3D7" w:rsidR="00C75640" w:rsidRPr="00286011" w:rsidRDefault="006F5BD6" w:rsidP="006F5BD6">
      <w:pPr>
        <w:ind w:firstLine="454"/>
        <w:jc w:val="both"/>
        <w:rPr>
          <w:rFonts w:asciiTheme="majorBidi" w:hAnsiTheme="majorBidi" w:cstheme="majorBidi"/>
          <w:iCs/>
        </w:rPr>
      </w:pPr>
      <w:r w:rsidRPr="00286011">
        <w:rPr>
          <w:rFonts w:asciiTheme="majorBidi" w:hAnsiTheme="majorBidi" w:cstheme="majorBidi"/>
        </w:rPr>
        <w:t xml:space="preserve">In terms of formal criminalisation tools, </w:t>
      </w:r>
      <w:r w:rsidR="00C96DB8" w:rsidRPr="00286011">
        <w:rPr>
          <w:rFonts w:asciiTheme="majorBidi" w:hAnsiTheme="majorBidi" w:cstheme="majorBidi"/>
        </w:rPr>
        <w:t>already in</w:t>
      </w:r>
      <w:r w:rsidR="0007370D" w:rsidRPr="00286011">
        <w:rPr>
          <w:rFonts w:asciiTheme="majorBidi" w:hAnsiTheme="majorBidi" w:cstheme="majorBidi"/>
        </w:rPr>
        <w:t xml:space="preserve"> 2011 </w:t>
      </w:r>
      <w:r w:rsidR="00783035" w:rsidRPr="00286011">
        <w:rPr>
          <w:rFonts w:asciiTheme="majorBidi" w:hAnsiTheme="majorBidi" w:cstheme="majorBidi"/>
        </w:rPr>
        <w:t>t</w:t>
      </w:r>
      <w:r w:rsidR="001601D9" w:rsidRPr="00286011">
        <w:rPr>
          <w:rFonts w:asciiTheme="majorBidi" w:hAnsiTheme="majorBidi" w:cstheme="majorBidi"/>
        </w:rPr>
        <w:t xml:space="preserve">he </w:t>
      </w:r>
      <w:r w:rsidR="00C75640" w:rsidRPr="00286011">
        <w:rPr>
          <w:rFonts w:asciiTheme="majorBidi" w:hAnsiTheme="majorBidi" w:cstheme="majorBidi"/>
        </w:rPr>
        <w:t xml:space="preserve">Israeli parliament </w:t>
      </w:r>
      <w:r w:rsidR="00783035" w:rsidRPr="00286011">
        <w:rPr>
          <w:rFonts w:asciiTheme="majorBidi" w:hAnsiTheme="majorBidi" w:cstheme="majorBidi"/>
        </w:rPr>
        <w:t xml:space="preserve">(Knesset) </w:t>
      </w:r>
      <w:r w:rsidR="00C75640" w:rsidRPr="00286011">
        <w:rPr>
          <w:rFonts w:asciiTheme="majorBidi" w:hAnsiTheme="majorBidi" w:cstheme="majorBidi"/>
        </w:rPr>
        <w:t xml:space="preserve">enacted </w:t>
      </w:r>
      <w:r w:rsidR="0007370D" w:rsidRPr="00286011">
        <w:rPr>
          <w:rFonts w:asciiTheme="majorBidi" w:hAnsiTheme="majorBidi" w:cstheme="majorBidi"/>
        </w:rPr>
        <w:t>t</w:t>
      </w:r>
      <w:r w:rsidR="00783035" w:rsidRPr="00286011">
        <w:rPr>
          <w:rFonts w:asciiTheme="majorBidi" w:hAnsiTheme="majorBidi" w:cstheme="majorBidi"/>
        </w:rPr>
        <w:t>h</w:t>
      </w:r>
      <w:r w:rsidR="00C75640" w:rsidRPr="00286011">
        <w:rPr>
          <w:rFonts w:asciiTheme="majorBidi" w:hAnsiTheme="majorBidi" w:cstheme="majorBidi"/>
        </w:rPr>
        <w:t xml:space="preserve">e </w:t>
      </w:r>
      <w:r w:rsidR="00C75640" w:rsidRPr="00286011">
        <w:rPr>
          <w:rFonts w:asciiTheme="majorBidi" w:hAnsiTheme="majorBidi" w:cstheme="majorBidi"/>
          <w:i/>
        </w:rPr>
        <w:t>Law for Prevention of Damage to the State of Israel through Boycott</w:t>
      </w:r>
      <w:r w:rsidR="007B2C4B" w:rsidRPr="00286011">
        <w:rPr>
          <w:rFonts w:asciiTheme="majorBidi" w:hAnsiTheme="majorBidi" w:cstheme="majorBidi"/>
          <w:i/>
        </w:rPr>
        <w:t>-2011</w:t>
      </w:r>
      <w:r w:rsidR="00783035" w:rsidRPr="00286011">
        <w:rPr>
          <w:rFonts w:asciiTheme="majorBidi" w:hAnsiTheme="majorBidi" w:cstheme="majorBidi"/>
          <w:i/>
        </w:rPr>
        <w:t xml:space="preserve"> </w:t>
      </w:r>
      <w:r w:rsidR="0007370D" w:rsidRPr="00286011">
        <w:rPr>
          <w:rFonts w:asciiTheme="majorBidi" w:hAnsiTheme="majorBidi" w:cstheme="majorBidi"/>
          <w:iCs/>
        </w:rPr>
        <w:t xml:space="preserve">that </w:t>
      </w:r>
      <w:r w:rsidR="00C75640" w:rsidRPr="00286011">
        <w:rPr>
          <w:rFonts w:asciiTheme="majorBidi" w:hAnsiTheme="majorBidi" w:cstheme="majorBidi"/>
        </w:rPr>
        <w:t>prohibits the public promotion of boycott by Israeli individuals and organisations. The law imposes financial sanctions against civil society organisations and businesses that call for or participate in economic, cultural or academic boycotts of Israel</w:t>
      </w:r>
      <w:r w:rsidR="00CD728C" w:rsidRPr="00286011">
        <w:rPr>
          <w:rFonts w:asciiTheme="majorBidi" w:hAnsiTheme="majorBidi" w:cstheme="majorBidi"/>
        </w:rPr>
        <w:t xml:space="preserve"> </w:t>
      </w:r>
      <w:r w:rsidR="00C75640" w:rsidRPr="00286011">
        <w:rPr>
          <w:rFonts w:asciiTheme="majorBidi" w:hAnsiTheme="majorBidi" w:cstheme="majorBidi"/>
        </w:rPr>
        <w:t>(</w:t>
      </w:r>
      <w:proofErr w:type="spellStart"/>
      <w:r w:rsidR="008E5D0A" w:rsidRPr="00286011">
        <w:rPr>
          <w:rFonts w:asciiTheme="majorBidi" w:hAnsiTheme="majorBidi" w:cstheme="majorBidi"/>
        </w:rPr>
        <w:t>Brinn</w:t>
      </w:r>
      <w:proofErr w:type="spellEnd"/>
      <w:r w:rsidR="008E5D0A" w:rsidRPr="00286011">
        <w:rPr>
          <w:rFonts w:asciiTheme="majorBidi" w:hAnsiTheme="majorBidi" w:cstheme="majorBidi"/>
        </w:rPr>
        <w:t xml:space="preserve"> 2012</w:t>
      </w:r>
      <w:r w:rsidR="00C75640" w:rsidRPr="00286011">
        <w:rPr>
          <w:rFonts w:asciiTheme="majorBidi" w:hAnsiTheme="majorBidi" w:cstheme="majorBidi"/>
        </w:rPr>
        <w:t xml:space="preserve">). </w:t>
      </w:r>
      <w:r w:rsidR="00CD728C" w:rsidRPr="00286011">
        <w:rPr>
          <w:rFonts w:asciiTheme="majorBidi" w:hAnsiTheme="majorBidi" w:cstheme="majorBidi"/>
        </w:rPr>
        <w:t>T</w:t>
      </w:r>
      <w:r w:rsidR="00C75640" w:rsidRPr="00286011">
        <w:rPr>
          <w:rFonts w:asciiTheme="majorBidi" w:hAnsiTheme="majorBidi" w:cstheme="majorBidi"/>
        </w:rPr>
        <w:t xml:space="preserve">o this date, in the 11 years since its enactment, the law has not been activated against any individual Israeli citizen. </w:t>
      </w:r>
      <w:r w:rsidR="00D324BA" w:rsidRPr="00286011">
        <w:rPr>
          <w:rFonts w:asciiTheme="majorBidi" w:hAnsiTheme="majorBidi" w:cstheme="majorBidi"/>
        </w:rPr>
        <w:t>To address this, and in order to i</w:t>
      </w:r>
      <w:r w:rsidR="00D027CA" w:rsidRPr="00286011">
        <w:rPr>
          <w:rFonts w:asciiTheme="majorBidi" w:hAnsiTheme="majorBidi" w:cstheme="majorBidi"/>
        </w:rPr>
        <w:t>ncrease the efficacy of the law</w:t>
      </w:r>
      <w:r w:rsidR="00FA26F5" w:rsidRPr="00286011">
        <w:rPr>
          <w:rFonts w:asciiTheme="majorBidi" w:hAnsiTheme="majorBidi" w:cstheme="majorBidi"/>
        </w:rPr>
        <w:t xml:space="preserve">, an ongoing attempt is made </w:t>
      </w:r>
      <w:r w:rsidR="00D324BA" w:rsidRPr="00286011">
        <w:rPr>
          <w:rFonts w:asciiTheme="majorBidi" w:hAnsiTheme="majorBidi" w:cstheme="majorBidi"/>
        </w:rPr>
        <w:t xml:space="preserve">in the Knesset </w:t>
      </w:r>
      <w:r w:rsidR="00FA26F5" w:rsidRPr="00286011">
        <w:rPr>
          <w:rFonts w:asciiTheme="majorBidi" w:hAnsiTheme="majorBidi" w:cstheme="majorBidi"/>
        </w:rPr>
        <w:t xml:space="preserve">to </w:t>
      </w:r>
      <w:r w:rsidR="00D324BA" w:rsidRPr="00286011">
        <w:rPr>
          <w:rFonts w:asciiTheme="majorBidi" w:hAnsiTheme="majorBidi" w:cstheme="majorBidi"/>
        </w:rPr>
        <w:t>approve</w:t>
      </w:r>
      <w:r w:rsidR="00FA26F5" w:rsidRPr="00286011">
        <w:rPr>
          <w:rFonts w:asciiTheme="majorBidi" w:hAnsiTheme="majorBidi" w:cstheme="majorBidi"/>
        </w:rPr>
        <w:t xml:space="preserve"> </w:t>
      </w:r>
      <w:r w:rsidR="00D324BA" w:rsidRPr="00286011">
        <w:rPr>
          <w:rFonts w:asciiTheme="majorBidi" w:hAnsiTheme="majorBidi" w:cstheme="majorBidi"/>
        </w:rPr>
        <w:t>specific</w:t>
      </w:r>
      <w:r w:rsidR="00FA26F5" w:rsidRPr="00286011">
        <w:rPr>
          <w:rFonts w:asciiTheme="majorBidi" w:hAnsiTheme="majorBidi" w:cstheme="majorBidi"/>
        </w:rPr>
        <w:t xml:space="preserve"> </w:t>
      </w:r>
      <w:r w:rsidR="00AC6EB8" w:rsidRPr="00286011">
        <w:rPr>
          <w:rFonts w:asciiTheme="majorBidi" w:hAnsiTheme="majorBidi" w:cstheme="majorBidi"/>
        </w:rPr>
        <w:t>regulations</w:t>
      </w:r>
      <w:r w:rsidR="00FA26F5" w:rsidRPr="00286011">
        <w:rPr>
          <w:rFonts w:asciiTheme="majorBidi" w:hAnsiTheme="majorBidi" w:cstheme="majorBidi"/>
        </w:rPr>
        <w:t xml:space="preserve"> o</w:t>
      </w:r>
      <w:r w:rsidR="00D324BA" w:rsidRPr="00286011">
        <w:rPr>
          <w:rFonts w:asciiTheme="majorBidi" w:hAnsiTheme="majorBidi" w:cstheme="majorBidi"/>
        </w:rPr>
        <w:t>f the</w:t>
      </w:r>
      <w:r w:rsidR="00FA26F5" w:rsidRPr="00286011">
        <w:rPr>
          <w:rFonts w:asciiTheme="majorBidi" w:hAnsiTheme="majorBidi" w:cstheme="majorBidi"/>
        </w:rPr>
        <w:t xml:space="preserve"> law</w:t>
      </w:r>
      <w:r w:rsidR="00D324BA" w:rsidRPr="00286011">
        <w:rPr>
          <w:rFonts w:asciiTheme="majorBidi" w:hAnsiTheme="majorBidi" w:cstheme="majorBidi"/>
        </w:rPr>
        <w:t xml:space="preserve"> </w:t>
      </w:r>
      <w:r w:rsidR="008A3CE9" w:rsidRPr="00286011">
        <w:rPr>
          <w:rFonts w:asciiTheme="majorBidi" w:hAnsiTheme="majorBidi" w:cstheme="majorBidi"/>
        </w:rPr>
        <w:t>that are meant to impose sanctions on individuals or organisations that call or support the boycott</w:t>
      </w:r>
      <w:r w:rsidR="00720758" w:rsidRPr="00286011">
        <w:rPr>
          <w:rFonts w:asciiTheme="majorBidi" w:hAnsiTheme="majorBidi" w:cstheme="majorBidi"/>
        </w:rPr>
        <w:t xml:space="preserve"> (draft of sub-ordinances 2022)</w:t>
      </w:r>
      <w:r w:rsidR="008A3CE9" w:rsidRPr="00286011">
        <w:rPr>
          <w:rFonts w:asciiTheme="majorBidi" w:hAnsiTheme="majorBidi" w:cstheme="majorBidi"/>
        </w:rPr>
        <w:t xml:space="preserve">. The last discussion was held in March 2022 but the sub-ordinances were not </w:t>
      </w:r>
      <w:r w:rsidR="00CD728C" w:rsidRPr="00286011">
        <w:rPr>
          <w:rFonts w:asciiTheme="majorBidi" w:hAnsiTheme="majorBidi" w:cstheme="majorBidi"/>
        </w:rPr>
        <w:t xml:space="preserve">yet </w:t>
      </w:r>
      <w:r w:rsidR="00720758" w:rsidRPr="00286011">
        <w:rPr>
          <w:rFonts w:asciiTheme="majorBidi" w:hAnsiTheme="majorBidi" w:cstheme="majorBidi"/>
        </w:rPr>
        <w:t>presented to the Knesset for vote</w:t>
      </w:r>
      <w:r w:rsidR="00E452DB" w:rsidRPr="00286011">
        <w:rPr>
          <w:rFonts w:asciiTheme="majorBidi" w:hAnsiTheme="majorBidi" w:cstheme="majorBidi"/>
        </w:rPr>
        <w:t xml:space="preserve">. The new Minister of Finance, </w:t>
      </w:r>
      <w:proofErr w:type="spellStart"/>
      <w:r w:rsidR="00E452DB" w:rsidRPr="00286011">
        <w:rPr>
          <w:rFonts w:asciiTheme="majorBidi" w:hAnsiTheme="majorBidi" w:cstheme="majorBidi"/>
        </w:rPr>
        <w:t>Btzalel</w:t>
      </w:r>
      <w:proofErr w:type="spellEnd"/>
      <w:r w:rsidR="00E452DB" w:rsidRPr="00286011">
        <w:rPr>
          <w:rFonts w:asciiTheme="majorBidi" w:hAnsiTheme="majorBidi" w:cstheme="majorBidi"/>
        </w:rPr>
        <w:t xml:space="preserve"> </w:t>
      </w:r>
      <w:proofErr w:type="spellStart"/>
      <w:r w:rsidR="00E452DB" w:rsidRPr="00286011">
        <w:rPr>
          <w:rFonts w:asciiTheme="majorBidi" w:hAnsiTheme="majorBidi" w:cstheme="majorBidi"/>
        </w:rPr>
        <w:t>Smotrich</w:t>
      </w:r>
      <w:proofErr w:type="spellEnd"/>
      <w:r w:rsidR="00E452DB" w:rsidRPr="00286011">
        <w:rPr>
          <w:rFonts w:asciiTheme="majorBidi" w:hAnsiTheme="majorBidi" w:cstheme="majorBidi"/>
        </w:rPr>
        <w:t xml:space="preserve"> announced that he is planning to sign the </w:t>
      </w:r>
      <w:r w:rsidR="00AC6EB8" w:rsidRPr="00286011">
        <w:rPr>
          <w:rFonts w:asciiTheme="majorBidi" w:hAnsiTheme="majorBidi" w:cstheme="majorBidi"/>
        </w:rPr>
        <w:t xml:space="preserve">regulations </w:t>
      </w:r>
      <w:r w:rsidR="00E452DB" w:rsidRPr="00286011">
        <w:rPr>
          <w:rFonts w:asciiTheme="majorBidi" w:hAnsiTheme="majorBidi" w:cstheme="majorBidi"/>
        </w:rPr>
        <w:t>that will now move to discussion in the parliamentary committee for law and constitution</w:t>
      </w:r>
      <w:r w:rsidR="00C57072" w:rsidRPr="00286011">
        <w:rPr>
          <w:rFonts w:asciiTheme="majorBidi" w:hAnsiTheme="majorBidi" w:cstheme="majorBidi"/>
        </w:rPr>
        <w:t xml:space="preserve"> (</w:t>
      </w:r>
      <w:proofErr w:type="spellStart"/>
      <w:r w:rsidR="00C57072" w:rsidRPr="00286011">
        <w:rPr>
          <w:rFonts w:asciiTheme="majorBidi" w:hAnsiTheme="majorBidi" w:cstheme="majorBidi"/>
        </w:rPr>
        <w:t>Kahana</w:t>
      </w:r>
      <w:proofErr w:type="spellEnd"/>
      <w:r w:rsidR="00C57072" w:rsidRPr="00286011">
        <w:rPr>
          <w:rFonts w:asciiTheme="majorBidi" w:hAnsiTheme="majorBidi" w:cstheme="majorBidi"/>
        </w:rPr>
        <w:t xml:space="preserve"> 2023)</w:t>
      </w:r>
      <w:r w:rsidR="00E452DB" w:rsidRPr="00286011">
        <w:rPr>
          <w:rFonts w:asciiTheme="majorBidi" w:hAnsiTheme="majorBidi" w:cstheme="majorBidi"/>
        </w:rPr>
        <w:t xml:space="preserve">. </w:t>
      </w:r>
    </w:p>
    <w:p w14:paraId="0A9E6B6E" w14:textId="61943969" w:rsidR="00C75640" w:rsidRPr="00286011" w:rsidRDefault="00C75640" w:rsidP="005A6929">
      <w:pPr>
        <w:ind w:firstLine="454"/>
        <w:jc w:val="both"/>
        <w:rPr>
          <w:rFonts w:asciiTheme="majorBidi" w:hAnsiTheme="majorBidi" w:cstheme="majorBidi"/>
        </w:rPr>
      </w:pPr>
      <w:r w:rsidRPr="00286011">
        <w:rPr>
          <w:rFonts w:asciiTheme="majorBidi" w:hAnsiTheme="majorBidi" w:cstheme="majorBidi"/>
        </w:rPr>
        <w:t>While the boycott prohibition law targets the ‘threat from within’</w:t>
      </w:r>
      <w:r w:rsidR="00783035" w:rsidRPr="00286011">
        <w:rPr>
          <w:rFonts w:asciiTheme="majorBidi" w:hAnsiTheme="majorBidi" w:cstheme="majorBidi"/>
        </w:rPr>
        <w:t xml:space="preserve">, </w:t>
      </w:r>
      <w:r w:rsidRPr="00286011">
        <w:rPr>
          <w:rFonts w:asciiTheme="majorBidi" w:hAnsiTheme="majorBidi" w:cstheme="majorBidi"/>
        </w:rPr>
        <w:t xml:space="preserve">an additional piece of legislation was introduced in order to limit the entry of non-citizens into Israel, if they are BDS activists or working for </w:t>
      </w:r>
      <w:r w:rsidR="00783035" w:rsidRPr="00286011">
        <w:rPr>
          <w:rFonts w:asciiTheme="majorBidi" w:hAnsiTheme="majorBidi" w:cstheme="majorBidi"/>
        </w:rPr>
        <w:t xml:space="preserve">an </w:t>
      </w:r>
      <w:r w:rsidRPr="00286011">
        <w:rPr>
          <w:rFonts w:asciiTheme="majorBidi" w:hAnsiTheme="majorBidi" w:cstheme="majorBidi"/>
        </w:rPr>
        <w:t>organisation that promot</w:t>
      </w:r>
      <w:r w:rsidR="00783035" w:rsidRPr="00286011">
        <w:rPr>
          <w:rFonts w:asciiTheme="majorBidi" w:hAnsiTheme="majorBidi" w:cstheme="majorBidi"/>
        </w:rPr>
        <w:t xml:space="preserve">es or </w:t>
      </w:r>
      <w:r w:rsidRPr="00286011">
        <w:rPr>
          <w:rFonts w:asciiTheme="majorBidi" w:hAnsiTheme="majorBidi" w:cstheme="majorBidi"/>
        </w:rPr>
        <w:t xml:space="preserve">call for BDS. </w:t>
      </w:r>
      <w:r w:rsidR="00BC0E94" w:rsidRPr="00286011">
        <w:rPr>
          <w:rFonts w:asciiTheme="majorBidi" w:hAnsiTheme="majorBidi" w:cstheme="majorBidi"/>
        </w:rPr>
        <w:t xml:space="preserve">The </w:t>
      </w:r>
      <w:r w:rsidRPr="00286011">
        <w:rPr>
          <w:rFonts w:asciiTheme="majorBidi" w:hAnsiTheme="majorBidi" w:cstheme="majorBidi"/>
          <w:i/>
          <w:iCs/>
        </w:rPr>
        <w:t>Entry into Israel Law-1952</w:t>
      </w:r>
      <w:r w:rsidR="00BC0E94" w:rsidRPr="00286011">
        <w:rPr>
          <w:rFonts w:asciiTheme="majorBidi" w:hAnsiTheme="majorBidi" w:cstheme="majorBidi"/>
          <w:i/>
          <w:iCs/>
        </w:rPr>
        <w:t xml:space="preserve"> (Amendment 28) </w:t>
      </w:r>
      <w:r w:rsidRPr="00286011">
        <w:rPr>
          <w:rFonts w:asciiTheme="majorBidi" w:hAnsiTheme="majorBidi" w:cstheme="majorBidi"/>
        </w:rPr>
        <w:t>determines that “no permit or visa of any type will be granted to a person who is not an Israeli citizen or with a permanent residency permit in Israel if they are, or the organisation they work for, knowingly published a call to boycott the state of Israel”. Th</w:t>
      </w:r>
      <w:r w:rsidR="008C59F4" w:rsidRPr="00286011">
        <w:rPr>
          <w:rFonts w:asciiTheme="majorBidi" w:hAnsiTheme="majorBidi" w:cstheme="majorBidi"/>
        </w:rPr>
        <w:t>is</w:t>
      </w:r>
      <w:r w:rsidRPr="00286011">
        <w:rPr>
          <w:rFonts w:asciiTheme="majorBidi" w:hAnsiTheme="majorBidi" w:cstheme="majorBidi"/>
        </w:rPr>
        <w:t xml:space="preserve"> law was used in order to </w:t>
      </w:r>
      <w:r w:rsidR="001319B9" w:rsidRPr="00286011">
        <w:rPr>
          <w:rFonts w:asciiTheme="majorBidi" w:hAnsiTheme="majorBidi" w:cstheme="majorBidi"/>
        </w:rPr>
        <w:t xml:space="preserve">detain and in some cases </w:t>
      </w:r>
      <w:r w:rsidRPr="00286011">
        <w:rPr>
          <w:rFonts w:asciiTheme="majorBidi" w:hAnsiTheme="majorBidi" w:cstheme="majorBidi"/>
        </w:rPr>
        <w:t xml:space="preserve">deny entry </w:t>
      </w:r>
      <w:r w:rsidR="00F4006F" w:rsidRPr="00286011">
        <w:rPr>
          <w:rFonts w:asciiTheme="majorBidi" w:hAnsiTheme="majorBidi" w:cstheme="majorBidi"/>
        </w:rPr>
        <w:t>of several international activists to Israel</w:t>
      </w:r>
      <w:r w:rsidR="00392B9F" w:rsidRPr="00286011">
        <w:rPr>
          <w:rFonts w:asciiTheme="majorBidi" w:hAnsiTheme="majorBidi" w:cstheme="majorBidi"/>
        </w:rPr>
        <w:t xml:space="preserve"> (</w:t>
      </w:r>
      <w:r w:rsidR="001319B9" w:rsidRPr="00286011">
        <w:rPr>
          <w:rFonts w:asciiTheme="majorBidi" w:hAnsiTheme="majorBidi" w:cstheme="majorBidi"/>
        </w:rPr>
        <w:t>Landau 2018</w:t>
      </w:r>
      <w:r w:rsidR="00392B9F" w:rsidRPr="00286011">
        <w:rPr>
          <w:rFonts w:asciiTheme="majorBidi" w:hAnsiTheme="majorBidi" w:cstheme="majorBidi"/>
        </w:rPr>
        <w:t>)</w:t>
      </w:r>
      <w:r w:rsidR="00F4006F" w:rsidRPr="00286011">
        <w:rPr>
          <w:rFonts w:asciiTheme="majorBidi" w:hAnsiTheme="majorBidi" w:cstheme="majorBidi"/>
        </w:rPr>
        <w:t xml:space="preserve">. </w:t>
      </w:r>
    </w:p>
    <w:p w14:paraId="35556C23" w14:textId="5C0BAA7D" w:rsidR="00A62332" w:rsidRPr="00286011" w:rsidRDefault="00D775D6" w:rsidP="00286011">
      <w:pPr>
        <w:ind w:firstLine="454"/>
        <w:jc w:val="both"/>
        <w:rPr>
          <w:rFonts w:asciiTheme="majorBidi" w:hAnsiTheme="majorBidi" w:cstheme="majorBidi"/>
        </w:rPr>
      </w:pPr>
      <w:r w:rsidRPr="00286011">
        <w:rPr>
          <w:rFonts w:asciiTheme="majorBidi" w:hAnsiTheme="majorBidi" w:cstheme="majorBidi"/>
        </w:rPr>
        <w:t xml:space="preserve">However, the efforts to combat the BDS movement and the subsequent </w:t>
      </w:r>
      <w:proofErr w:type="spellStart"/>
      <w:r w:rsidRPr="00286011">
        <w:rPr>
          <w:rFonts w:asciiTheme="majorBidi" w:hAnsiTheme="majorBidi" w:cstheme="majorBidi"/>
        </w:rPr>
        <w:t>delegitimation</w:t>
      </w:r>
      <w:proofErr w:type="spellEnd"/>
      <w:r w:rsidRPr="00286011">
        <w:rPr>
          <w:rFonts w:asciiTheme="majorBidi" w:hAnsiTheme="majorBidi" w:cstheme="majorBidi"/>
        </w:rPr>
        <w:t xml:space="preserve"> of the Israeli state involves more than legislation. </w:t>
      </w:r>
      <w:r w:rsidR="00442544" w:rsidRPr="00286011">
        <w:rPr>
          <w:rFonts w:asciiTheme="majorBidi" w:hAnsiTheme="majorBidi" w:cstheme="majorBidi"/>
        </w:rPr>
        <w:t>C</w:t>
      </w:r>
      <w:r w:rsidRPr="00286011">
        <w:rPr>
          <w:rFonts w:asciiTheme="majorBidi" w:hAnsiTheme="majorBidi" w:cstheme="majorBidi"/>
        </w:rPr>
        <w:t>ivil society organisations</w:t>
      </w:r>
      <w:r w:rsidR="00442544" w:rsidRPr="00286011">
        <w:rPr>
          <w:rFonts w:asciiTheme="majorBidi" w:hAnsiTheme="majorBidi" w:cstheme="majorBidi"/>
        </w:rPr>
        <w:t xml:space="preserve"> and</w:t>
      </w:r>
      <w:r w:rsidRPr="00286011">
        <w:rPr>
          <w:rFonts w:asciiTheme="majorBidi" w:hAnsiTheme="majorBidi" w:cstheme="majorBidi"/>
        </w:rPr>
        <w:t xml:space="preserve"> media organs</w:t>
      </w:r>
      <w:r w:rsidR="00442544" w:rsidRPr="00286011">
        <w:rPr>
          <w:rFonts w:asciiTheme="majorBidi" w:hAnsiTheme="majorBidi" w:cstheme="majorBidi"/>
        </w:rPr>
        <w:t xml:space="preserve"> are </w:t>
      </w:r>
      <w:r w:rsidRPr="00286011">
        <w:rPr>
          <w:rFonts w:asciiTheme="majorBidi" w:hAnsiTheme="majorBidi" w:cstheme="majorBidi"/>
        </w:rPr>
        <w:t xml:space="preserve">working hand-in-glove with governmental offices to silence Israeli supporters of the movement. These are joining forces to create a sense of ‘moral panic’ </w:t>
      </w:r>
      <w:r w:rsidR="005733DF" w:rsidRPr="00286011">
        <w:rPr>
          <w:rFonts w:asciiTheme="majorBidi" w:hAnsiTheme="majorBidi" w:cstheme="majorBidi"/>
        </w:rPr>
        <w:t xml:space="preserve">around the activity of the movement. </w:t>
      </w:r>
      <w:r w:rsidR="005B12D1" w:rsidRPr="00286011">
        <w:rPr>
          <w:rFonts w:asciiTheme="majorBidi" w:hAnsiTheme="majorBidi" w:cstheme="majorBidi"/>
        </w:rPr>
        <w:t xml:space="preserve">A striking example of this is the ‘Know the </w:t>
      </w:r>
      <w:r w:rsidR="008D6FD4" w:rsidRPr="00286011">
        <w:rPr>
          <w:rFonts w:asciiTheme="majorBidi" w:hAnsiTheme="majorBidi" w:cstheme="majorBidi"/>
        </w:rPr>
        <w:t>Traitor</w:t>
      </w:r>
      <w:r w:rsidR="005B12D1" w:rsidRPr="00286011">
        <w:rPr>
          <w:rFonts w:asciiTheme="majorBidi" w:hAnsiTheme="majorBidi" w:cstheme="majorBidi"/>
        </w:rPr>
        <w:t>’</w:t>
      </w:r>
      <w:r w:rsidR="005B12D1" w:rsidRPr="00286011">
        <w:rPr>
          <w:rStyle w:val="FootnoteReference"/>
          <w:rFonts w:asciiTheme="majorBidi" w:hAnsiTheme="majorBidi" w:cstheme="majorBidi"/>
        </w:rPr>
        <w:footnoteReference w:id="5"/>
      </w:r>
      <w:r w:rsidR="005B12D1" w:rsidRPr="00286011">
        <w:rPr>
          <w:rFonts w:asciiTheme="majorBidi" w:hAnsiTheme="majorBidi" w:cstheme="majorBidi"/>
        </w:rPr>
        <w:t xml:space="preserve"> campaign led by </w:t>
      </w:r>
      <w:proofErr w:type="spellStart"/>
      <w:r w:rsidR="005B12D1" w:rsidRPr="00286011">
        <w:rPr>
          <w:rFonts w:asciiTheme="majorBidi" w:hAnsiTheme="majorBidi" w:cstheme="majorBidi"/>
        </w:rPr>
        <w:t>Im</w:t>
      </w:r>
      <w:proofErr w:type="spellEnd"/>
      <w:r w:rsidR="005B12D1" w:rsidRPr="00286011">
        <w:rPr>
          <w:rFonts w:asciiTheme="majorBidi" w:hAnsiTheme="majorBidi" w:cstheme="majorBidi"/>
        </w:rPr>
        <w:t xml:space="preserve"> </w:t>
      </w:r>
      <w:proofErr w:type="spellStart"/>
      <w:r w:rsidR="005B12D1" w:rsidRPr="00286011">
        <w:rPr>
          <w:rFonts w:asciiTheme="majorBidi" w:hAnsiTheme="majorBidi" w:cstheme="majorBidi"/>
        </w:rPr>
        <w:t>Tirzu</w:t>
      </w:r>
      <w:proofErr w:type="spellEnd"/>
      <w:r w:rsidR="00C43173" w:rsidRPr="00286011">
        <w:rPr>
          <w:rFonts w:asciiTheme="majorBidi" w:hAnsiTheme="majorBidi" w:cstheme="majorBidi"/>
        </w:rPr>
        <w:t xml:space="preserve">, an organisation funded in </w:t>
      </w:r>
      <w:r w:rsidR="005B12D1" w:rsidRPr="00286011">
        <w:rPr>
          <w:rFonts w:asciiTheme="majorBidi" w:hAnsiTheme="majorBidi" w:cstheme="majorBidi"/>
        </w:rPr>
        <w:t>2006 with the aim of ‘building a Zionist society’ (</w:t>
      </w:r>
      <w:proofErr w:type="spellStart"/>
      <w:r w:rsidR="005B12D1" w:rsidRPr="00286011">
        <w:rPr>
          <w:rFonts w:asciiTheme="majorBidi" w:hAnsiTheme="majorBidi" w:cstheme="majorBidi"/>
        </w:rPr>
        <w:t>Im</w:t>
      </w:r>
      <w:proofErr w:type="spellEnd"/>
      <w:r w:rsidR="005B12D1" w:rsidRPr="00286011">
        <w:rPr>
          <w:rFonts w:asciiTheme="majorBidi" w:hAnsiTheme="majorBidi" w:cstheme="majorBidi"/>
        </w:rPr>
        <w:t xml:space="preserve"> </w:t>
      </w:r>
      <w:proofErr w:type="spellStart"/>
      <w:r w:rsidR="005B12D1" w:rsidRPr="00286011">
        <w:rPr>
          <w:rFonts w:asciiTheme="majorBidi" w:hAnsiTheme="majorBidi" w:cstheme="majorBidi"/>
        </w:rPr>
        <w:t>Tirzu</w:t>
      </w:r>
      <w:proofErr w:type="spellEnd"/>
      <w:r w:rsidR="005B12D1" w:rsidRPr="00286011">
        <w:rPr>
          <w:rFonts w:asciiTheme="majorBidi" w:hAnsiTheme="majorBidi" w:cstheme="majorBidi"/>
        </w:rPr>
        <w:t xml:space="preserve"> </w:t>
      </w:r>
      <w:r w:rsidR="00442544" w:rsidRPr="00286011">
        <w:rPr>
          <w:rFonts w:asciiTheme="majorBidi" w:hAnsiTheme="majorBidi" w:cstheme="majorBidi"/>
        </w:rPr>
        <w:t>Website</w:t>
      </w:r>
      <w:r w:rsidR="005B12D1" w:rsidRPr="00286011">
        <w:rPr>
          <w:rFonts w:asciiTheme="majorBidi" w:hAnsiTheme="majorBidi" w:cstheme="majorBidi"/>
        </w:rPr>
        <w:t xml:space="preserve">). The campaign </w:t>
      </w:r>
      <w:r w:rsidR="008D6FD4" w:rsidRPr="00286011">
        <w:rPr>
          <w:rFonts w:asciiTheme="majorBidi" w:hAnsiTheme="majorBidi" w:cstheme="majorBidi"/>
        </w:rPr>
        <w:t xml:space="preserve">is a database, and </w:t>
      </w:r>
      <w:r w:rsidR="005B12D1" w:rsidRPr="00286011">
        <w:rPr>
          <w:rFonts w:asciiTheme="majorBidi" w:hAnsiTheme="majorBidi" w:cstheme="majorBidi"/>
        </w:rPr>
        <w:t>provid</w:t>
      </w:r>
      <w:r w:rsidR="008D6FD4" w:rsidRPr="00286011">
        <w:rPr>
          <w:rFonts w:asciiTheme="majorBidi" w:hAnsiTheme="majorBidi" w:cstheme="majorBidi"/>
        </w:rPr>
        <w:t>es</w:t>
      </w:r>
      <w:r w:rsidR="005B12D1" w:rsidRPr="00286011">
        <w:rPr>
          <w:rFonts w:asciiTheme="majorBidi" w:hAnsiTheme="majorBidi" w:cstheme="majorBidi"/>
        </w:rPr>
        <w:t xml:space="preserve"> the public access to information about </w:t>
      </w:r>
      <w:r w:rsidR="008D6FD4" w:rsidRPr="00286011">
        <w:rPr>
          <w:rFonts w:asciiTheme="majorBidi" w:hAnsiTheme="majorBidi" w:cstheme="majorBidi"/>
        </w:rPr>
        <w:t xml:space="preserve">activists and organisations </w:t>
      </w:r>
      <w:r w:rsidR="005B12D1" w:rsidRPr="00286011">
        <w:rPr>
          <w:rFonts w:asciiTheme="majorBidi" w:hAnsiTheme="majorBidi" w:cstheme="majorBidi"/>
        </w:rPr>
        <w:t>th</w:t>
      </w:r>
      <w:r w:rsidR="008D6FD4" w:rsidRPr="00286011">
        <w:rPr>
          <w:rFonts w:asciiTheme="majorBidi" w:hAnsiTheme="majorBidi" w:cstheme="majorBidi"/>
        </w:rPr>
        <w:t>at</w:t>
      </w:r>
      <w:r w:rsidR="005B12D1" w:rsidRPr="00286011">
        <w:rPr>
          <w:rFonts w:asciiTheme="majorBidi" w:hAnsiTheme="majorBidi" w:cstheme="majorBidi"/>
        </w:rPr>
        <w:t xml:space="preserve"> ac</w:t>
      </w:r>
      <w:r w:rsidR="008D6FD4" w:rsidRPr="00286011">
        <w:rPr>
          <w:rFonts w:asciiTheme="majorBidi" w:hAnsiTheme="majorBidi" w:cstheme="majorBidi"/>
        </w:rPr>
        <w:t>t to</w:t>
      </w:r>
      <w:r w:rsidR="005B12D1" w:rsidRPr="00286011">
        <w:rPr>
          <w:rFonts w:asciiTheme="majorBidi" w:hAnsiTheme="majorBidi" w:cstheme="majorBidi"/>
        </w:rPr>
        <w:t xml:space="preserve"> delegitim</w:t>
      </w:r>
      <w:r w:rsidR="008D6FD4" w:rsidRPr="00286011">
        <w:rPr>
          <w:rFonts w:asciiTheme="majorBidi" w:hAnsiTheme="majorBidi" w:cstheme="majorBidi"/>
        </w:rPr>
        <w:t>ise</w:t>
      </w:r>
      <w:r w:rsidR="005B12D1" w:rsidRPr="00286011">
        <w:rPr>
          <w:rFonts w:asciiTheme="majorBidi" w:hAnsiTheme="majorBidi" w:cstheme="majorBidi"/>
        </w:rPr>
        <w:t xml:space="preserve"> soldiers or settlers</w:t>
      </w:r>
      <w:r w:rsidR="00FE1080" w:rsidRPr="00286011">
        <w:rPr>
          <w:rFonts w:asciiTheme="majorBidi" w:hAnsiTheme="majorBidi" w:cstheme="majorBidi"/>
        </w:rPr>
        <w:t>, and e</w:t>
      </w:r>
      <w:r w:rsidR="00651632" w:rsidRPr="00286011">
        <w:rPr>
          <w:rFonts w:asciiTheme="majorBidi" w:hAnsiTheme="majorBidi" w:cstheme="majorBidi"/>
        </w:rPr>
        <w:t xml:space="preserve">ncourages the public to report any </w:t>
      </w:r>
      <w:r w:rsidR="00FE1080" w:rsidRPr="00286011">
        <w:rPr>
          <w:rFonts w:asciiTheme="majorBidi" w:hAnsiTheme="majorBidi" w:cstheme="majorBidi"/>
        </w:rPr>
        <w:t>‘</w:t>
      </w:r>
      <w:r w:rsidR="00651632" w:rsidRPr="00286011">
        <w:rPr>
          <w:rFonts w:asciiTheme="majorBidi" w:hAnsiTheme="majorBidi" w:cstheme="majorBidi"/>
        </w:rPr>
        <w:t>incide</w:t>
      </w:r>
      <w:r w:rsidR="00FE1080" w:rsidRPr="00286011">
        <w:rPr>
          <w:rFonts w:asciiTheme="majorBidi" w:hAnsiTheme="majorBidi" w:cstheme="majorBidi"/>
        </w:rPr>
        <w:t xml:space="preserve">nts’ so that </w:t>
      </w:r>
      <w:r w:rsidR="009C280F" w:rsidRPr="00286011">
        <w:rPr>
          <w:rFonts w:asciiTheme="majorBidi" w:hAnsiTheme="majorBidi" w:cstheme="majorBidi"/>
        </w:rPr>
        <w:t>the organisation will consider “public or legal course of action”</w:t>
      </w:r>
      <w:r w:rsidR="008D6FD4" w:rsidRPr="00286011">
        <w:rPr>
          <w:rFonts w:asciiTheme="majorBidi" w:hAnsiTheme="majorBidi" w:cstheme="majorBidi"/>
        </w:rPr>
        <w:t xml:space="preserve"> (</w:t>
      </w:r>
      <w:hyperlink r:id="rId8" w:history="1">
        <w:r w:rsidR="008D6FD4" w:rsidRPr="00286011">
          <w:rPr>
            <w:rStyle w:val="Hyperlink"/>
            <w:rFonts w:asciiTheme="majorBidi" w:hAnsiTheme="majorBidi" w:cstheme="majorBidi"/>
          </w:rPr>
          <w:t>https://radicalactivists.imti.org.il</w:t>
        </w:r>
      </w:hyperlink>
      <w:r w:rsidR="008D6FD4" w:rsidRPr="00286011">
        <w:rPr>
          <w:rFonts w:asciiTheme="majorBidi" w:hAnsiTheme="majorBidi" w:cstheme="majorBidi"/>
        </w:rPr>
        <w:t>)</w:t>
      </w:r>
      <w:r w:rsidR="00651632" w:rsidRPr="00286011">
        <w:rPr>
          <w:rFonts w:asciiTheme="majorBidi" w:hAnsiTheme="majorBidi" w:cstheme="majorBidi"/>
        </w:rPr>
        <w:t xml:space="preserve">. </w:t>
      </w:r>
      <w:proofErr w:type="spellStart"/>
      <w:r w:rsidR="00FE1080" w:rsidRPr="00286011">
        <w:rPr>
          <w:rFonts w:asciiTheme="majorBidi" w:hAnsiTheme="majorBidi" w:cstheme="majorBidi"/>
        </w:rPr>
        <w:t>Im</w:t>
      </w:r>
      <w:proofErr w:type="spellEnd"/>
      <w:r w:rsidR="00FE1080" w:rsidRPr="00286011">
        <w:rPr>
          <w:rFonts w:asciiTheme="majorBidi" w:hAnsiTheme="majorBidi" w:cstheme="majorBidi"/>
        </w:rPr>
        <w:t xml:space="preserve"> </w:t>
      </w:r>
      <w:proofErr w:type="spellStart"/>
      <w:r w:rsidR="00FE1080" w:rsidRPr="00286011">
        <w:rPr>
          <w:rFonts w:asciiTheme="majorBidi" w:hAnsiTheme="majorBidi" w:cstheme="majorBidi"/>
        </w:rPr>
        <w:t>Tirzu</w:t>
      </w:r>
      <w:proofErr w:type="spellEnd"/>
      <w:r w:rsidR="00FE1080" w:rsidRPr="00286011">
        <w:rPr>
          <w:rFonts w:asciiTheme="majorBidi" w:hAnsiTheme="majorBidi" w:cstheme="majorBidi"/>
        </w:rPr>
        <w:t xml:space="preserve"> </w:t>
      </w:r>
      <w:r w:rsidR="00243B63" w:rsidRPr="00286011">
        <w:rPr>
          <w:rFonts w:asciiTheme="majorBidi" w:hAnsiTheme="majorBidi" w:cstheme="majorBidi"/>
        </w:rPr>
        <w:t>also</w:t>
      </w:r>
      <w:r w:rsidR="00FE1080" w:rsidRPr="00286011">
        <w:rPr>
          <w:rFonts w:asciiTheme="majorBidi" w:hAnsiTheme="majorBidi" w:cstheme="majorBidi"/>
        </w:rPr>
        <w:t xml:space="preserve"> monitors</w:t>
      </w:r>
      <w:r w:rsidR="00D40008" w:rsidRPr="00286011">
        <w:rPr>
          <w:rFonts w:asciiTheme="majorBidi" w:hAnsiTheme="majorBidi" w:cstheme="majorBidi"/>
        </w:rPr>
        <w:t xml:space="preserve"> Israeli academics</w:t>
      </w:r>
      <w:r w:rsidR="00FE1080" w:rsidRPr="00286011">
        <w:rPr>
          <w:rFonts w:asciiTheme="majorBidi" w:hAnsiTheme="majorBidi" w:cstheme="majorBidi"/>
        </w:rPr>
        <w:t xml:space="preserve">, and </w:t>
      </w:r>
      <w:r w:rsidR="00243B63" w:rsidRPr="00286011">
        <w:rPr>
          <w:rFonts w:asciiTheme="majorBidi" w:hAnsiTheme="majorBidi" w:cstheme="majorBidi"/>
        </w:rPr>
        <w:t>‘</w:t>
      </w:r>
      <w:r w:rsidR="00FE1080" w:rsidRPr="00286011">
        <w:rPr>
          <w:rFonts w:asciiTheme="majorBidi" w:hAnsiTheme="majorBidi" w:cstheme="majorBidi"/>
        </w:rPr>
        <w:t>name and shame</w:t>
      </w:r>
      <w:r w:rsidR="00243B63" w:rsidRPr="00286011">
        <w:rPr>
          <w:rFonts w:asciiTheme="majorBidi" w:hAnsiTheme="majorBidi" w:cstheme="majorBidi"/>
        </w:rPr>
        <w:t>’</w:t>
      </w:r>
      <w:r w:rsidR="00FE1080" w:rsidRPr="00286011">
        <w:rPr>
          <w:rFonts w:asciiTheme="majorBidi" w:hAnsiTheme="majorBidi" w:cstheme="majorBidi"/>
        </w:rPr>
        <w:t xml:space="preserve"> those who support the</w:t>
      </w:r>
      <w:r w:rsidR="00D40008" w:rsidRPr="00286011">
        <w:rPr>
          <w:rFonts w:asciiTheme="majorBidi" w:hAnsiTheme="majorBidi" w:cstheme="majorBidi"/>
        </w:rPr>
        <w:t xml:space="preserve"> BDS </w:t>
      </w:r>
      <w:r w:rsidR="00FE1080" w:rsidRPr="00286011">
        <w:rPr>
          <w:rFonts w:asciiTheme="majorBidi" w:hAnsiTheme="majorBidi" w:cstheme="majorBidi"/>
        </w:rPr>
        <w:t xml:space="preserve">movement. </w:t>
      </w:r>
      <w:r w:rsidR="00BA0A0E" w:rsidRPr="00286011">
        <w:rPr>
          <w:rFonts w:asciiTheme="majorBidi" w:hAnsiTheme="majorBidi" w:cstheme="majorBidi"/>
        </w:rPr>
        <w:t>A</w:t>
      </w:r>
      <w:r w:rsidR="00FE1080" w:rsidRPr="00286011">
        <w:rPr>
          <w:rFonts w:asciiTheme="majorBidi" w:hAnsiTheme="majorBidi" w:cstheme="majorBidi"/>
        </w:rPr>
        <w:t xml:space="preserve"> report</w:t>
      </w:r>
      <w:r w:rsidR="00D40008" w:rsidRPr="00286011">
        <w:rPr>
          <w:rFonts w:asciiTheme="majorBidi" w:hAnsiTheme="majorBidi" w:cstheme="majorBidi"/>
        </w:rPr>
        <w:t xml:space="preserve"> </w:t>
      </w:r>
      <w:r w:rsidR="00FE1080" w:rsidRPr="00286011">
        <w:rPr>
          <w:rFonts w:asciiTheme="majorBidi" w:hAnsiTheme="majorBidi" w:cstheme="majorBidi"/>
        </w:rPr>
        <w:t xml:space="preserve">published in </w:t>
      </w:r>
      <w:r w:rsidR="00D40008" w:rsidRPr="00286011">
        <w:rPr>
          <w:rFonts w:asciiTheme="majorBidi" w:hAnsiTheme="majorBidi" w:cstheme="majorBidi"/>
        </w:rPr>
        <w:t xml:space="preserve">2016 included </w:t>
      </w:r>
      <w:r w:rsidR="00FE1080" w:rsidRPr="00286011">
        <w:rPr>
          <w:rFonts w:asciiTheme="majorBidi" w:hAnsiTheme="majorBidi" w:cstheme="majorBidi"/>
        </w:rPr>
        <w:t xml:space="preserve">a </w:t>
      </w:r>
      <w:r w:rsidR="00D40008" w:rsidRPr="00286011">
        <w:rPr>
          <w:rFonts w:asciiTheme="majorBidi" w:hAnsiTheme="majorBidi" w:cstheme="majorBidi"/>
        </w:rPr>
        <w:t>recommendation to the</w:t>
      </w:r>
      <w:r w:rsidR="00FE1080" w:rsidRPr="00286011">
        <w:rPr>
          <w:rFonts w:asciiTheme="majorBidi" w:hAnsiTheme="majorBidi" w:cstheme="majorBidi"/>
        </w:rPr>
        <w:t xml:space="preserve"> Council for</w:t>
      </w:r>
      <w:r w:rsidR="00D40008" w:rsidRPr="00286011">
        <w:rPr>
          <w:rFonts w:asciiTheme="majorBidi" w:hAnsiTheme="majorBidi" w:cstheme="majorBidi"/>
        </w:rPr>
        <w:t xml:space="preserve"> Higher Education and the </w:t>
      </w:r>
      <w:r w:rsidR="00FE1080" w:rsidRPr="00286011">
        <w:rPr>
          <w:rFonts w:asciiTheme="majorBidi" w:hAnsiTheme="majorBidi" w:cstheme="majorBidi"/>
        </w:rPr>
        <w:t>M</w:t>
      </w:r>
      <w:r w:rsidR="00D40008" w:rsidRPr="00286011">
        <w:rPr>
          <w:rFonts w:asciiTheme="majorBidi" w:hAnsiTheme="majorBidi" w:cstheme="majorBidi"/>
        </w:rPr>
        <w:t xml:space="preserve">inister of </w:t>
      </w:r>
      <w:r w:rsidR="00FE1080" w:rsidRPr="00286011">
        <w:rPr>
          <w:rFonts w:asciiTheme="majorBidi" w:hAnsiTheme="majorBidi" w:cstheme="majorBidi"/>
        </w:rPr>
        <w:t>E</w:t>
      </w:r>
      <w:r w:rsidR="00D40008" w:rsidRPr="00286011">
        <w:rPr>
          <w:rFonts w:asciiTheme="majorBidi" w:hAnsiTheme="majorBidi" w:cstheme="majorBidi"/>
        </w:rPr>
        <w:t xml:space="preserve">ducation to </w:t>
      </w:r>
      <w:r w:rsidR="00FE1080" w:rsidRPr="00286011">
        <w:rPr>
          <w:rFonts w:asciiTheme="majorBidi" w:hAnsiTheme="majorBidi" w:cstheme="majorBidi"/>
        </w:rPr>
        <w:t xml:space="preserve">immediately dismiss </w:t>
      </w:r>
      <w:r w:rsidR="00D40008" w:rsidRPr="00286011">
        <w:rPr>
          <w:rFonts w:asciiTheme="majorBidi" w:hAnsiTheme="majorBidi" w:cstheme="majorBidi"/>
        </w:rPr>
        <w:t xml:space="preserve">any Israeli academics that are promoting the academic boycott of Israeli institutions while working in </w:t>
      </w:r>
      <w:r w:rsidR="00FE1080" w:rsidRPr="00286011">
        <w:rPr>
          <w:rFonts w:asciiTheme="majorBidi" w:hAnsiTheme="majorBidi" w:cstheme="majorBidi"/>
        </w:rPr>
        <w:t xml:space="preserve">an </w:t>
      </w:r>
      <w:r w:rsidR="00D40008" w:rsidRPr="00286011">
        <w:rPr>
          <w:rFonts w:asciiTheme="majorBidi" w:hAnsiTheme="majorBidi" w:cstheme="majorBidi"/>
        </w:rPr>
        <w:t>Israeli institution,</w:t>
      </w:r>
      <w:r w:rsidR="00FE1080" w:rsidRPr="00286011">
        <w:rPr>
          <w:rFonts w:asciiTheme="majorBidi" w:hAnsiTheme="majorBidi" w:cstheme="majorBidi"/>
        </w:rPr>
        <w:t xml:space="preserve"> and</w:t>
      </w:r>
      <w:r w:rsidR="00D40008" w:rsidRPr="00286011">
        <w:rPr>
          <w:rFonts w:asciiTheme="majorBidi" w:hAnsiTheme="majorBidi" w:cstheme="majorBidi"/>
        </w:rPr>
        <w:t xml:space="preserve"> call for sanctions against any academics or any institutions that enable th</w:t>
      </w:r>
      <w:r w:rsidR="0011376D" w:rsidRPr="00286011">
        <w:rPr>
          <w:rFonts w:asciiTheme="majorBidi" w:hAnsiTheme="majorBidi" w:cstheme="majorBidi"/>
        </w:rPr>
        <w:t>os</w:t>
      </w:r>
      <w:r w:rsidR="00D40008" w:rsidRPr="00286011">
        <w:rPr>
          <w:rFonts w:asciiTheme="majorBidi" w:hAnsiTheme="majorBidi" w:cstheme="majorBidi"/>
        </w:rPr>
        <w:t xml:space="preserve">e </w:t>
      </w:r>
      <w:r w:rsidR="00243B63" w:rsidRPr="00286011">
        <w:rPr>
          <w:rFonts w:asciiTheme="majorBidi" w:hAnsiTheme="majorBidi" w:cstheme="majorBidi"/>
        </w:rPr>
        <w:t xml:space="preserve">who are </w:t>
      </w:r>
      <w:r w:rsidR="00D40008" w:rsidRPr="00286011">
        <w:rPr>
          <w:rFonts w:asciiTheme="majorBidi" w:hAnsiTheme="majorBidi" w:cstheme="majorBidi"/>
        </w:rPr>
        <w:t>supporting the boycott and promot</w:t>
      </w:r>
      <w:r w:rsidR="00243B63" w:rsidRPr="00286011">
        <w:rPr>
          <w:rFonts w:asciiTheme="majorBidi" w:hAnsiTheme="majorBidi" w:cstheme="majorBidi"/>
        </w:rPr>
        <w:t>ing</w:t>
      </w:r>
      <w:r w:rsidR="00D40008" w:rsidRPr="00286011">
        <w:rPr>
          <w:rFonts w:asciiTheme="majorBidi" w:hAnsiTheme="majorBidi" w:cstheme="majorBidi"/>
        </w:rPr>
        <w:t xml:space="preserve"> </w:t>
      </w:r>
      <w:r w:rsidR="0011376D" w:rsidRPr="00286011">
        <w:rPr>
          <w:rFonts w:asciiTheme="majorBidi" w:hAnsiTheme="majorBidi" w:cstheme="majorBidi"/>
        </w:rPr>
        <w:t xml:space="preserve">a </w:t>
      </w:r>
      <w:r w:rsidR="00D40008" w:rsidRPr="00286011">
        <w:rPr>
          <w:rFonts w:asciiTheme="majorBidi" w:hAnsiTheme="majorBidi" w:cstheme="majorBidi"/>
        </w:rPr>
        <w:t xml:space="preserve">variety of activities on campus, including waving the Palestinians flag, </w:t>
      </w:r>
      <w:r w:rsidR="00FE1080" w:rsidRPr="00286011">
        <w:rPr>
          <w:rFonts w:asciiTheme="majorBidi" w:hAnsiTheme="majorBidi" w:cstheme="majorBidi"/>
        </w:rPr>
        <w:t xml:space="preserve">and </w:t>
      </w:r>
      <w:r w:rsidR="00D40008" w:rsidRPr="00286011">
        <w:rPr>
          <w:rFonts w:asciiTheme="majorBidi" w:hAnsiTheme="majorBidi" w:cstheme="majorBidi"/>
        </w:rPr>
        <w:t xml:space="preserve">calling for refusal to serve in the army and, of course, calling </w:t>
      </w:r>
      <w:r w:rsidR="0011376D" w:rsidRPr="00286011">
        <w:rPr>
          <w:rFonts w:asciiTheme="majorBidi" w:hAnsiTheme="majorBidi" w:cstheme="majorBidi"/>
        </w:rPr>
        <w:t>f</w:t>
      </w:r>
      <w:r w:rsidR="00D40008" w:rsidRPr="00286011">
        <w:rPr>
          <w:rFonts w:asciiTheme="majorBidi" w:hAnsiTheme="majorBidi" w:cstheme="majorBidi"/>
        </w:rPr>
        <w:t>o</w:t>
      </w:r>
      <w:r w:rsidR="0011376D" w:rsidRPr="00286011">
        <w:rPr>
          <w:rFonts w:asciiTheme="majorBidi" w:hAnsiTheme="majorBidi" w:cstheme="majorBidi"/>
        </w:rPr>
        <w:t>r</w:t>
      </w:r>
      <w:r w:rsidR="00D40008" w:rsidRPr="00286011">
        <w:rPr>
          <w:rFonts w:asciiTheme="majorBidi" w:hAnsiTheme="majorBidi" w:cstheme="majorBidi"/>
        </w:rPr>
        <w:t xml:space="preserve"> BDS</w:t>
      </w:r>
      <w:r w:rsidR="00C43173" w:rsidRPr="00286011">
        <w:rPr>
          <w:rFonts w:asciiTheme="majorBidi" w:hAnsiTheme="majorBidi" w:cstheme="majorBidi"/>
        </w:rPr>
        <w:t xml:space="preserve"> (Golan 2016)</w:t>
      </w:r>
      <w:r w:rsidR="00D40008" w:rsidRPr="00286011">
        <w:rPr>
          <w:rFonts w:asciiTheme="majorBidi" w:hAnsiTheme="majorBidi" w:cstheme="majorBidi"/>
        </w:rPr>
        <w:t xml:space="preserve">. </w:t>
      </w:r>
      <w:r w:rsidR="00FE1080" w:rsidRPr="00286011">
        <w:rPr>
          <w:rFonts w:asciiTheme="majorBidi" w:hAnsiTheme="majorBidi" w:cstheme="majorBidi"/>
        </w:rPr>
        <w:t>The</w:t>
      </w:r>
      <w:r w:rsidR="00D40008" w:rsidRPr="00286011">
        <w:rPr>
          <w:rFonts w:asciiTheme="majorBidi" w:hAnsiTheme="majorBidi" w:cstheme="majorBidi"/>
        </w:rPr>
        <w:t xml:space="preserve"> report was submitted to the parliament</w:t>
      </w:r>
      <w:r w:rsidR="00BA0A0E" w:rsidRPr="00286011">
        <w:rPr>
          <w:rFonts w:asciiTheme="majorBidi" w:hAnsiTheme="majorBidi" w:cstheme="majorBidi"/>
        </w:rPr>
        <w:t>ar</w:t>
      </w:r>
      <w:r w:rsidR="00442544" w:rsidRPr="00286011">
        <w:rPr>
          <w:rFonts w:asciiTheme="majorBidi" w:hAnsiTheme="majorBidi" w:cstheme="majorBidi"/>
        </w:rPr>
        <w:t>y</w:t>
      </w:r>
      <w:r w:rsidR="00D40008" w:rsidRPr="00286011">
        <w:rPr>
          <w:rFonts w:asciiTheme="majorBidi" w:hAnsiTheme="majorBidi" w:cstheme="majorBidi"/>
        </w:rPr>
        <w:t xml:space="preserve"> education committee that convened in 2016 </w:t>
      </w:r>
      <w:r w:rsidR="00FE1080" w:rsidRPr="00286011">
        <w:rPr>
          <w:rFonts w:asciiTheme="majorBidi" w:hAnsiTheme="majorBidi" w:cstheme="majorBidi"/>
        </w:rPr>
        <w:t>to discuss the matter. Finally, the</w:t>
      </w:r>
      <w:r w:rsidR="00442544" w:rsidRPr="00286011">
        <w:rPr>
          <w:rFonts w:asciiTheme="majorBidi" w:hAnsiTheme="majorBidi" w:cstheme="majorBidi"/>
        </w:rPr>
        <w:t xml:space="preserve"> recommendations</w:t>
      </w:r>
      <w:r w:rsidR="00FE1080" w:rsidRPr="00286011">
        <w:rPr>
          <w:rFonts w:asciiTheme="majorBidi" w:hAnsiTheme="majorBidi" w:cstheme="majorBidi"/>
        </w:rPr>
        <w:t xml:space="preserve"> were not adopted </w:t>
      </w:r>
      <w:r w:rsidR="00BA0A0E" w:rsidRPr="00286011">
        <w:rPr>
          <w:rFonts w:asciiTheme="majorBidi" w:hAnsiTheme="majorBidi" w:cstheme="majorBidi"/>
        </w:rPr>
        <w:t>(</w:t>
      </w:r>
      <w:r w:rsidR="0059657C" w:rsidRPr="00286011">
        <w:rPr>
          <w:rFonts w:asciiTheme="majorBidi" w:hAnsiTheme="majorBidi" w:cstheme="majorBidi"/>
        </w:rPr>
        <w:t>Knesset Education Committee June 2016</w:t>
      </w:r>
      <w:r w:rsidR="00BA0A0E" w:rsidRPr="00286011">
        <w:rPr>
          <w:rFonts w:asciiTheme="majorBidi" w:hAnsiTheme="majorBidi" w:cstheme="majorBidi"/>
        </w:rPr>
        <w:t>)</w:t>
      </w:r>
      <w:r w:rsidR="00FE1080" w:rsidRPr="00286011">
        <w:rPr>
          <w:rFonts w:asciiTheme="majorBidi" w:hAnsiTheme="majorBidi" w:cstheme="majorBidi"/>
        </w:rPr>
        <w:t>.</w:t>
      </w:r>
      <w:r w:rsidR="00FA26F5" w:rsidRPr="00286011">
        <w:rPr>
          <w:rFonts w:asciiTheme="majorBidi" w:hAnsiTheme="majorBidi" w:cstheme="majorBidi"/>
        </w:rPr>
        <w:t xml:space="preserve"> </w:t>
      </w:r>
      <w:r w:rsidR="002D6936" w:rsidRPr="00286011">
        <w:rPr>
          <w:rFonts w:asciiTheme="majorBidi" w:hAnsiTheme="majorBidi" w:cstheme="majorBidi"/>
        </w:rPr>
        <w:t>M</w:t>
      </w:r>
      <w:r w:rsidR="00FA26F5" w:rsidRPr="00286011">
        <w:rPr>
          <w:rFonts w:asciiTheme="majorBidi" w:hAnsiTheme="majorBidi" w:cstheme="majorBidi"/>
        </w:rPr>
        <w:t xml:space="preserve">edia </w:t>
      </w:r>
      <w:r w:rsidR="002D6936" w:rsidRPr="00286011">
        <w:rPr>
          <w:rFonts w:asciiTheme="majorBidi" w:hAnsiTheme="majorBidi" w:cstheme="majorBidi"/>
        </w:rPr>
        <w:t xml:space="preserve">organs </w:t>
      </w:r>
      <w:r w:rsidR="00FA26F5" w:rsidRPr="00286011">
        <w:rPr>
          <w:rFonts w:asciiTheme="majorBidi" w:hAnsiTheme="majorBidi" w:cstheme="majorBidi"/>
        </w:rPr>
        <w:t>also do not shy away from stirring the panic around the Jewish-Israeli supporters of the BDS/</w:t>
      </w:r>
      <w:proofErr w:type="spellStart"/>
      <w:r w:rsidR="00FA26F5" w:rsidRPr="00286011">
        <w:rPr>
          <w:rFonts w:asciiTheme="majorBidi" w:hAnsiTheme="majorBidi" w:cstheme="majorBidi"/>
        </w:rPr>
        <w:t>Delegitimation</w:t>
      </w:r>
      <w:proofErr w:type="spellEnd"/>
      <w:r w:rsidR="00FA26F5" w:rsidRPr="00286011">
        <w:rPr>
          <w:rFonts w:asciiTheme="majorBidi" w:hAnsiTheme="majorBidi" w:cstheme="majorBidi"/>
        </w:rPr>
        <w:t xml:space="preserve"> movement. One example is the</w:t>
      </w:r>
      <w:r w:rsidR="00FA26F5" w:rsidRPr="00286011">
        <w:rPr>
          <w:rFonts w:asciiTheme="majorBidi" w:hAnsiTheme="majorBidi" w:cstheme="majorBidi"/>
          <w:lang w:val="en-US"/>
        </w:rPr>
        <w:t xml:space="preserve"> popular TV show ‘</w:t>
      </w:r>
      <w:proofErr w:type="spellStart"/>
      <w:r w:rsidR="00FA26F5" w:rsidRPr="00286011">
        <w:rPr>
          <w:rFonts w:asciiTheme="majorBidi" w:hAnsiTheme="majorBidi" w:cstheme="majorBidi"/>
          <w:lang w:val="en-US"/>
        </w:rPr>
        <w:t>Shetah</w:t>
      </w:r>
      <w:proofErr w:type="spellEnd"/>
      <w:r w:rsidR="00FA26F5" w:rsidRPr="00286011">
        <w:rPr>
          <w:rFonts w:asciiTheme="majorBidi" w:hAnsiTheme="majorBidi" w:cstheme="majorBidi"/>
          <w:lang w:val="en-US"/>
        </w:rPr>
        <w:t xml:space="preserve"> </w:t>
      </w:r>
      <w:proofErr w:type="spellStart"/>
      <w:r w:rsidR="00FA26F5" w:rsidRPr="00286011">
        <w:rPr>
          <w:rFonts w:asciiTheme="majorBidi" w:hAnsiTheme="majorBidi" w:cstheme="majorBidi"/>
          <w:lang w:val="en-US"/>
        </w:rPr>
        <w:t>H</w:t>
      </w:r>
      <w:r w:rsidR="007917B9" w:rsidRPr="00286011">
        <w:rPr>
          <w:rFonts w:asciiTheme="majorBidi" w:hAnsiTheme="majorBidi" w:cstheme="majorBidi"/>
          <w:lang w:val="en-US"/>
        </w:rPr>
        <w:t>e</w:t>
      </w:r>
      <w:r w:rsidR="00FA26F5" w:rsidRPr="00286011">
        <w:rPr>
          <w:rFonts w:asciiTheme="majorBidi" w:hAnsiTheme="majorBidi" w:cstheme="majorBidi"/>
          <w:lang w:val="en-US"/>
        </w:rPr>
        <w:t>fker</w:t>
      </w:r>
      <w:proofErr w:type="spellEnd"/>
      <w:r w:rsidR="00FA26F5" w:rsidRPr="00286011">
        <w:rPr>
          <w:rFonts w:asciiTheme="majorBidi" w:hAnsiTheme="majorBidi" w:cstheme="majorBidi"/>
          <w:lang w:val="en-US"/>
        </w:rPr>
        <w:t xml:space="preserve">’ </w:t>
      </w:r>
      <w:r w:rsidR="002D6936" w:rsidRPr="00286011">
        <w:rPr>
          <w:rFonts w:asciiTheme="majorBidi" w:hAnsiTheme="majorBidi" w:cstheme="majorBidi"/>
          <w:lang w:val="en-US"/>
        </w:rPr>
        <w:t xml:space="preserve">(no-man’s land) </w:t>
      </w:r>
      <w:r w:rsidR="00FA26F5" w:rsidRPr="00286011">
        <w:rPr>
          <w:rFonts w:asciiTheme="majorBidi" w:hAnsiTheme="majorBidi" w:cstheme="majorBidi"/>
          <w:lang w:val="en-US"/>
        </w:rPr>
        <w:t>o</w:t>
      </w:r>
      <w:r w:rsidR="00BA0A0E" w:rsidRPr="00286011">
        <w:rPr>
          <w:rFonts w:asciiTheme="majorBidi" w:hAnsiTheme="majorBidi" w:cstheme="majorBidi"/>
          <w:lang w:val="en-US"/>
        </w:rPr>
        <w:t>f</w:t>
      </w:r>
      <w:r w:rsidR="00FA26F5" w:rsidRPr="00286011">
        <w:rPr>
          <w:rFonts w:asciiTheme="majorBidi" w:hAnsiTheme="majorBidi" w:cstheme="majorBidi"/>
          <w:lang w:val="en-US"/>
        </w:rPr>
        <w:t xml:space="preserve"> the Israeli </w:t>
      </w:r>
      <w:r w:rsidR="002D6936" w:rsidRPr="00286011">
        <w:rPr>
          <w:rFonts w:asciiTheme="majorBidi" w:hAnsiTheme="majorBidi" w:cstheme="majorBidi"/>
          <w:lang w:val="en-US"/>
        </w:rPr>
        <w:t xml:space="preserve">public </w:t>
      </w:r>
      <w:r w:rsidR="00FA26F5" w:rsidRPr="00286011">
        <w:rPr>
          <w:rFonts w:asciiTheme="majorBidi" w:hAnsiTheme="majorBidi" w:cstheme="majorBidi"/>
          <w:lang w:val="en-US"/>
        </w:rPr>
        <w:t xml:space="preserve">channel 11 that conducted an investigation in 2018 into </w:t>
      </w:r>
      <w:r w:rsidR="002D6936" w:rsidRPr="00286011">
        <w:rPr>
          <w:rFonts w:asciiTheme="majorBidi" w:hAnsiTheme="majorBidi" w:cstheme="majorBidi"/>
          <w:lang w:val="en-US"/>
        </w:rPr>
        <w:t xml:space="preserve">what they called </w:t>
      </w:r>
      <w:r w:rsidR="00FA26F5" w:rsidRPr="00286011">
        <w:rPr>
          <w:rFonts w:asciiTheme="majorBidi" w:hAnsiTheme="majorBidi" w:cstheme="majorBidi"/>
          <w:lang w:val="en-US"/>
        </w:rPr>
        <w:t>the ‘</w:t>
      </w:r>
      <w:r w:rsidR="002D6936" w:rsidRPr="00286011">
        <w:rPr>
          <w:rFonts w:asciiTheme="majorBidi" w:hAnsiTheme="majorBidi" w:cstheme="majorBidi"/>
          <w:lang w:val="en-US"/>
        </w:rPr>
        <w:t>Aces</w:t>
      </w:r>
      <w:r w:rsidR="00FA26F5" w:rsidRPr="00286011">
        <w:rPr>
          <w:rFonts w:asciiTheme="majorBidi" w:hAnsiTheme="majorBidi" w:cstheme="majorBidi"/>
          <w:lang w:val="en-US"/>
        </w:rPr>
        <w:t xml:space="preserve"> of the BDS movement’, the Israeli citizens that support the boycott movement and provide it with legitimacy around the world, raising alarm and fear that, “</w:t>
      </w:r>
      <w:r w:rsidR="00FA26F5" w:rsidRPr="00286011">
        <w:rPr>
          <w:rFonts w:asciiTheme="majorBidi" w:hAnsiTheme="majorBidi" w:cstheme="majorBidi"/>
        </w:rPr>
        <w:t xml:space="preserve">those that are most influential in the movement are just like you: Israeli citizens” (Kan 11, 2018). </w:t>
      </w:r>
    </w:p>
    <w:p w14:paraId="143798FF" w14:textId="63A9EBB8" w:rsidR="00F7714D" w:rsidRPr="00286011" w:rsidRDefault="00F7714D" w:rsidP="005A6929">
      <w:pPr>
        <w:ind w:firstLine="454"/>
        <w:jc w:val="both"/>
        <w:rPr>
          <w:rFonts w:asciiTheme="majorBidi" w:hAnsiTheme="majorBidi" w:cstheme="majorBidi"/>
        </w:rPr>
      </w:pPr>
      <w:r w:rsidRPr="00286011">
        <w:rPr>
          <w:rFonts w:asciiTheme="majorBidi" w:hAnsiTheme="majorBidi" w:cstheme="majorBidi"/>
        </w:rPr>
        <w:t>The efforts</w:t>
      </w:r>
      <w:r w:rsidR="00BA0A0E" w:rsidRPr="00286011">
        <w:rPr>
          <w:rFonts w:asciiTheme="majorBidi" w:hAnsiTheme="majorBidi" w:cstheme="majorBidi"/>
        </w:rPr>
        <w:t xml:space="preserve"> to combat the movement</w:t>
      </w:r>
      <w:r w:rsidRPr="00286011">
        <w:rPr>
          <w:rFonts w:asciiTheme="majorBidi" w:hAnsiTheme="majorBidi" w:cstheme="majorBidi"/>
        </w:rPr>
        <w:t xml:space="preserve"> are </w:t>
      </w:r>
      <w:r w:rsidR="00BA0A0E" w:rsidRPr="00286011">
        <w:rPr>
          <w:rFonts w:asciiTheme="majorBidi" w:hAnsiTheme="majorBidi" w:cstheme="majorBidi"/>
        </w:rPr>
        <w:t xml:space="preserve">much </w:t>
      </w:r>
      <w:r w:rsidRPr="00286011">
        <w:rPr>
          <w:rFonts w:asciiTheme="majorBidi" w:hAnsiTheme="majorBidi" w:cstheme="majorBidi"/>
        </w:rPr>
        <w:t>wider</w:t>
      </w:r>
      <w:r w:rsidR="00BA0A0E" w:rsidRPr="00286011">
        <w:rPr>
          <w:rFonts w:asciiTheme="majorBidi" w:hAnsiTheme="majorBidi" w:cstheme="majorBidi"/>
        </w:rPr>
        <w:t>,</w:t>
      </w:r>
      <w:r w:rsidRPr="00286011">
        <w:rPr>
          <w:rFonts w:asciiTheme="majorBidi" w:hAnsiTheme="majorBidi" w:cstheme="majorBidi"/>
        </w:rPr>
        <w:t xml:space="preserve"> since the majority of activism is done abroad, where the hand of Israeli legislation and security forces cannot reach to stop and silence </w:t>
      </w:r>
      <w:r w:rsidR="00BA0A0E" w:rsidRPr="00286011">
        <w:rPr>
          <w:rFonts w:asciiTheme="majorBidi" w:hAnsiTheme="majorBidi" w:cstheme="majorBidi"/>
        </w:rPr>
        <w:t>BDS activists</w:t>
      </w:r>
      <w:r w:rsidRPr="00286011">
        <w:rPr>
          <w:rFonts w:asciiTheme="majorBidi" w:hAnsiTheme="majorBidi" w:cstheme="majorBidi"/>
        </w:rPr>
        <w:t>. Here, alongside diplomatic efforts and extensive use of public diplomacy (</w:t>
      </w:r>
      <w:r w:rsidR="00BA0A0E" w:rsidRPr="00286011">
        <w:rPr>
          <w:rFonts w:asciiTheme="majorBidi" w:hAnsiTheme="majorBidi" w:cstheme="majorBidi"/>
        </w:rPr>
        <w:t>‘H</w:t>
      </w:r>
      <w:r w:rsidRPr="00286011">
        <w:rPr>
          <w:rFonts w:asciiTheme="majorBidi" w:hAnsiTheme="majorBidi" w:cstheme="majorBidi"/>
        </w:rPr>
        <w:t>asbara</w:t>
      </w:r>
      <w:r w:rsidR="00BA0A0E" w:rsidRPr="00286011">
        <w:rPr>
          <w:rFonts w:asciiTheme="majorBidi" w:hAnsiTheme="majorBidi" w:cstheme="majorBidi"/>
        </w:rPr>
        <w:t>’</w:t>
      </w:r>
      <w:r w:rsidRPr="00286011">
        <w:rPr>
          <w:rFonts w:asciiTheme="majorBidi" w:hAnsiTheme="majorBidi" w:cstheme="majorBidi"/>
        </w:rPr>
        <w:t>) Israeli citizens and Jewish individual</w:t>
      </w:r>
      <w:r w:rsidR="00BA0A0E" w:rsidRPr="00286011">
        <w:rPr>
          <w:rFonts w:asciiTheme="majorBidi" w:hAnsiTheme="majorBidi" w:cstheme="majorBidi"/>
        </w:rPr>
        <w:t>s</w:t>
      </w:r>
      <w:r w:rsidRPr="00286011">
        <w:rPr>
          <w:rFonts w:asciiTheme="majorBidi" w:hAnsiTheme="majorBidi" w:cstheme="majorBidi"/>
        </w:rPr>
        <w:t xml:space="preserve"> and organisation</w:t>
      </w:r>
      <w:r w:rsidR="00BA0A0E" w:rsidRPr="00286011">
        <w:rPr>
          <w:rFonts w:asciiTheme="majorBidi" w:hAnsiTheme="majorBidi" w:cstheme="majorBidi"/>
        </w:rPr>
        <w:t>s</w:t>
      </w:r>
      <w:r w:rsidRPr="00286011">
        <w:rPr>
          <w:rFonts w:asciiTheme="majorBidi" w:hAnsiTheme="majorBidi" w:cstheme="majorBidi"/>
        </w:rPr>
        <w:t xml:space="preserve"> around the world are encouraged to take </w:t>
      </w:r>
      <w:r w:rsidR="00BA0A0E" w:rsidRPr="00286011">
        <w:rPr>
          <w:rFonts w:asciiTheme="majorBidi" w:hAnsiTheme="majorBidi" w:cstheme="majorBidi"/>
        </w:rPr>
        <w:t>active part in the battle</w:t>
      </w:r>
      <w:r w:rsidRPr="00286011">
        <w:rPr>
          <w:rFonts w:asciiTheme="majorBidi" w:hAnsiTheme="majorBidi" w:cstheme="majorBidi"/>
        </w:rPr>
        <w:t>. A</w:t>
      </w:r>
      <w:r w:rsidR="00BA0A0E" w:rsidRPr="00286011">
        <w:rPr>
          <w:rFonts w:asciiTheme="majorBidi" w:hAnsiTheme="majorBidi" w:cstheme="majorBidi"/>
        </w:rPr>
        <w:t>n</w:t>
      </w:r>
      <w:r w:rsidRPr="00286011">
        <w:rPr>
          <w:rFonts w:asciiTheme="majorBidi" w:hAnsiTheme="majorBidi" w:cstheme="majorBidi"/>
        </w:rPr>
        <w:t xml:space="preserve"> interesting initiative in this regard is the ‘Screen Savers’ (</w:t>
      </w:r>
      <w:proofErr w:type="spellStart"/>
      <w:r w:rsidRPr="00286011">
        <w:rPr>
          <w:rFonts w:asciiTheme="majorBidi" w:hAnsiTheme="majorBidi" w:cstheme="majorBidi"/>
        </w:rPr>
        <w:t>Shomray</w:t>
      </w:r>
      <w:proofErr w:type="spellEnd"/>
      <w:r w:rsidRPr="00286011">
        <w:rPr>
          <w:rFonts w:asciiTheme="majorBidi" w:hAnsiTheme="majorBidi" w:cstheme="majorBidi"/>
        </w:rPr>
        <w:t xml:space="preserve"> </w:t>
      </w:r>
      <w:proofErr w:type="spellStart"/>
      <w:r w:rsidRPr="00286011">
        <w:rPr>
          <w:rFonts w:asciiTheme="majorBidi" w:hAnsiTheme="majorBidi" w:cstheme="majorBidi"/>
        </w:rPr>
        <w:t>Masakh</w:t>
      </w:r>
      <w:proofErr w:type="spellEnd"/>
      <w:r w:rsidRPr="00286011">
        <w:rPr>
          <w:rFonts w:asciiTheme="majorBidi" w:hAnsiTheme="majorBidi" w:cstheme="majorBidi"/>
        </w:rPr>
        <w:t>) project, a joint venture of the popular Israeli news platform Ynet, the newspaper that owns it, Yediot Aharonot, together with the Governmental Office for Strategic Affairs, that was launched in 2017</w:t>
      </w:r>
      <w:r w:rsidR="00BA0A0E" w:rsidRPr="00286011">
        <w:rPr>
          <w:rFonts w:asciiTheme="majorBidi" w:hAnsiTheme="majorBidi" w:cstheme="majorBidi"/>
        </w:rPr>
        <w:t xml:space="preserve">. </w:t>
      </w:r>
      <w:r w:rsidRPr="00286011">
        <w:rPr>
          <w:rFonts w:asciiTheme="majorBidi" w:hAnsiTheme="majorBidi" w:cstheme="majorBidi"/>
        </w:rPr>
        <w:t xml:space="preserve">This initiative is meant to “wage the battle in the networks against the boycott movements” </w:t>
      </w:r>
      <w:r w:rsidR="00BA0A0E" w:rsidRPr="00286011">
        <w:rPr>
          <w:rFonts w:asciiTheme="majorBidi" w:hAnsiTheme="majorBidi" w:cstheme="majorBidi"/>
        </w:rPr>
        <w:t xml:space="preserve">(Weiss 2017) </w:t>
      </w:r>
      <w:r w:rsidRPr="00286011">
        <w:rPr>
          <w:rFonts w:asciiTheme="majorBidi" w:hAnsiTheme="majorBidi" w:cstheme="majorBidi"/>
        </w:rPr>
        <w:t xml:space="preserve">For that, it calls Israeli citizens to take part in the battle for the image of </w:t>
      </w:r>
      <w:r w:rsidR="00BA0A0E" w:rsidRPr="00286011">
        <w:rPr>
          <w:rFonts w:asciiTheme="majorBidi" w:hAnsiTheme="majorBidi" w:cstheme="majorBidi"/>
        </w:rPr>
        <w:t xml:space="preserve">the State of </w:t>
      </w:r>
      <w:r w:rsidRPr="00286011">
        <w:rPr>
          <w:rFonts w:asciiTheme="majorBidi" w:hAnsiTheme="majorBidi" w:cstheme="majorBidi"/>
        </w:rPr>
        <w:t xml:space="preserve">Israel. Another example is the 4IL project, initiative of the </w:t>
      </w:r>
      <w:r w:rsidR="00BA0A0E" w:rsidRPr="00286011">
        <w:rPr>
          <w:rFonts w:asciiTheme="majorBidi" w:hAnsiTheme="majorBidi" w:cstheme="majorBidi"/>
        </w:rPr>
        <w:t>M</w:t>
      </w:r>
      <w:r w:rsidRPr="00286011">
        <w:rPr>
          <w:rFonts w:asciiTheme="majorBidi" w:hAnsiTheme="majorBidi" w:cstheme="majorBidi"/>
        </w:rPr>
        <w:t xml:space="preserve">inistry of </w:t>
      </w:r>
      <w:r w:rsidR="00BA0A0E" w:rsidRPr="00286011">
        <w:rPr>
          <w:rFonts w:asciiTheme="majorBidi" w:hAnsiTheme="majorBidi" w:cstheme="majorBidi"/>
        </w:rPr>
        <w:t>F</w:t>
      </w:r>
      <w:r w:rsidRPr="00286011">
        <w:rPr>
          <w:rFonts w:asciiTheme="majorBidi" w:hAnsiTheme="majorBidi" w:cstheme="majorBidi"/>
        </w:rPr>
        <w:t xml:space="preserve">oreign </w:t>
      </w:r>
      <w:r w:rsidR="00BA0A0E" w:rsidRPr="00286011">
        <w:rPr>
          <w:rFonts w:asciiTheme="majorBidi" w:hAnsiTheme="majorBidi" w:cstheme="majorBidi"/>
        </w:rPr>
        <w:t>A</w:t>
      </w:r>
      <w:r w:rsidRPr="00286011">
        <w:rPr>
          <w:rFonts w:asciiTheme="majorBidi" w:hAnsiTheme="majorBidi" w:cstheme="majorBidi"/>
        </w:rPr>
        <w:t xml:space="preserve">ffairs calling people around the world to join the battle against </w:t>
      </w:r>
      <w:proofErr w:type="spellStart"/>
      <w:r w:rsidRPr="00286011">
        <w:rPr>
          <w:rFonts w:asciiTheme="majorBidi" w:hAnsiTheme="majorBidi" w:cstheme="majorBidi"/>
        </w:rPr>
        <w:t>delegitimation</w:t>
      </w:r>
      <w:proofErr w:type="spellEnd"/>
      <w:r w:rsidRPr="00286011">
        <w:rPr>
          <w:rFonts w:asciiTheme="majorBidi" w:hAnsiTheme="majorBidi" w:cstheme="majorBidi"/>
        </w:rPr>
        <w:t xml:space="preserve">. </w:t>
      </w:r>
    </w:p>
    <w:p w14:paraId="566CF9C7" w14:textId="2DB734D7" w:rsidR="00CF791E" w:rsidRPr="00286011" w:rsidRDefault="00555A00" w:rsidP="00CF791E">
      <w:pPr>
        <w:ind w:firstLine="454"/>
        <w:jc w:val="both"/>
        <w:rPr>
          <w:rFonts w:asciiTheme="majorBidi" w:hAnsiTheme="majorBidi" w:cstheme="majorBidi"/>
        </w:rPr>
      </w:pPr>
      <w:r w:rsidRPr="00286011">
        <w:rPr>
          <w:rFonts w:asciiTheme="majorBidi" w:hAnsiTheme="majorBidi" w:cstheme="majorBidi"/>
        </w:rPr>
        <w:t>T</w:t>
      </w:r>
      <w:r w:rsidR="00B148D5" w:rsidRPr="00286011">
        <w:rPr>
          <w:rFonts w:asciiTheme="majorBidi" w:hAnsiTheme="majorBidi" w:cstheme="majorBidi"/>
        </w:rPr>
        <w:t>he scale and scope of these efforts,</w:t>
      </w:r>
      <w:r w:rsidR="00D721E0" w:rsidRPr="00286011">
        <w:rPr>
          <w:rFonts w:asciiTheme="majorBidi" w:hAnsiTheme="majorBidi" w:cstheme="majorBidi"/>
        </w:rPr>
        <w:t xml:space="preserve"> the multiplicity of agents (state and non-state)</w:t>
      </w:r>
      <w:r w:rsidR="00B148D5" w:rsidRPr="00286011">
        <w:rPr>
          <w:rFonts w:asciiTheme="majorBidi" w:hAnsiTheme="majorBidi" w:cstheme="majorBidi"/>
        </w:rPr>
        <w:t xml:space="preserve"> </w:t>
      </w:r>
      <w:r w:rsidRPr="00286011">
        <w:rPr>
          <w:rFonts w:asciiTheme="majorBidi" w:hAnsiTheme="majorBidi" w:cstheme="majorBidi"/>
        </w:rPr>
        <w:t xml:space="preserve">clearly illustrate the intensified perception of threat the movement poses to the State of Israel, </w:t>
      </w:r>
      <w:r w:rsidR="00AF4863" w:rsidRPr="00286011">
        <w:rPr>
          <w:rFonts w:asciiTheme="majorBidi" w:hAnsiTheme="majorBidi" w:cstheme="majorBidi"/>
        </w:rPr>
        <w:t>as it risks to threaten</w:t>
      </w:r>
      <w:r w:rsidRPr="00286011">
        <w:rPr>
          <w:rFonts w:asciiTheme="majorBidi" w:hAnsiTheme="majorBidi" w:cstheme="majorBidi"/>
        </w:rPr>
        <w:t xml:space="preserve"> its desire to be accepted as a legitimate democratic and liberal state </w:t>
      </w:r>
      <w:r w:rsidR="00AF4863" w:rsidRPr="00286011">
        <w:rPr>
          <w:rFonts w:asciiTheme="majorBidi" w:hAnsiTheme="majorBidi" w:cstheme="majorBidi"/>
        </w:rPr>
        <w:t>among</w:t>
      </w:r>
      <w:r w:rsidRPr="00286011">
        <w:rPr>
          <w:rFonts w:asciiTheme="majorBidi" w:hAnsiTheme="majorBidi" w:cstheme="majorBidi"/>
        </w:rPr>
        <w:t xml:space="preserve"> western political centres. </w:t>
      </w:r>
      <w:r w:rsidR="00D721E0" w:rsidRPr="00286011">
        <w:rPr>
          <w:rFonts w:asciiTheme="majorBidi" w:hAnsiTheme="majorBidi" w:cstheme="majorBidi"/>
        </w:rPr>
        <w:t xml:space="preserve">The threshold of threat was met with the shifting of discourse internationally, and with  it, mechanisms of repression and criminalisation kicked into use. </w:t>
      </w:r>
      <w:r w:rsidR="00200731" w:rsidRPr="00286011">
        <w:rPr>
          <w:rFonts w:asciiTheme="majorBidi" w:hAnsiTheme="majorBidi" w:cstheme="majorBidi"/>
        </w:rPr>
        <w:t>However, f</w:t>
      </w:r>
      <w:r w:rsidR="000B4BB0" w:rsidRPr="00286011">
        <w:rPr>
          <w:rFonts w:asciiTheme="majorBidi" w:hAnsiTheme="majorBidi" w:cstheme="majorBidi"/>
        </w:rPr>
        <w:t xml:space="preserve">ormal </w:t>
      </w:r>
      <w:r w:rsidR="00B148D5" w:rsidRPr="00286011">
        <w:rPr>
          <w:rFonts w:asciiTheme="majorBidi" w:hAnsiTheme="majorBidi" w:cstheme="majorBidi"/>
        </w:rPr>
        <w:t xml:space="preserve">repression and criminalisation </w:t>
      </w:r>
      <w:r w:rsidR="00D721E0" w:rsidRPr="00286011">
        <w:rPr>
          <w:rFonts w:asciiTheme="majorBidi" w:hAnsiTheme="majorBidi" w:cstheme="majorBidi"/>
        </w:rPr>
        <w:t xml:space="preserve">(legislation, law enforcement) </w:t>
      </w:r>
      <w:r w:rsidR="00B148D5" w:rsidRPr="00286011">
        <w:rPr>
          <w:rFonts w:asciiTheme="majorBidi" w:hAnsiTheme="majorBidi" w:cstheme="majorBidi"/>
        </w:rPr>
        <w:t xml:space="preserve">of Jewish Israeli citizens </w:t>
      </w:r>
      <w:r w:rsidR="00D721E0" w:rsidRPr="00286011">
        <w:rPr>
          <w:rFonts w:asciiTheme="majorBidi" w:hAnsiTheme="majorBidi" w:cstheme="majorBidi"/>
        </w:rPr>
        <w:t xml:space="preserve">still </w:t>
      </w:r>
      <w:r w:rsidR="00B148D5" w:rsidRPr="00286011">
        <w:rPr>
          <w:rFonts w:asciiTheme="majorBidi" w:hAnsiTheme="majorBidi" w:cstheme="majorBidi"/>
        </w:rPr>
        <w:t>remains minima</w:t>
      </w:r>
      <w:r w:rsidR="000B4BB0" w:rsidRPr="00286011">
        <w:rPr>
          <w:rFonts w:asciiTheme="majorBidi" w:hAnsiTheme="majorBidi" w:cstheme="majorBidi"/>
        </w:rPr>
        <w:t>l</w:t>
      </w:r>
      <w:r w:rsidR="00A23BE5" w:rsidRPr="00286011">
        <w:rPr>
          <w:rFonts w:asciiTheme="majorBidi" w:hAnsiTheme="majorBidi" w:cstheme="majorBidi"/>
        </w:rPr>
        <w:t xml:space="preserve">. Formal criminalisation and repression </w:t>
      </w:r>
      <w:r w:rsidR="00B148D5" w:rsidRPr="00286011">
        <w:rPr>
          <w:rFonts w:asciiTheme="majorBidi" w:hAnsiTheme="majorBidi" w:cstheme="majorBidi"/>
        </w:rPr>
        <w:t>exist</w:t>
      </w:r>
      <w:r w:rsidR="00A23BE5" w:rsidRPr="00286011">
        <w:rPr>
          <w:rFonts w:asciiTheme="majorBidi" w:hAnsiTheme="majorBidi" w:cstheme="majorBidi"/>
        </w:rPr>
        <w:t xml:space="preserve"> </w:t>
      </w:r>
      <w:r w:rsidR="00B148D5" w:rsidRPr="00286011">
        <w:rPr>
          <w:rFonts w:asciiTheme="majorBidi" w:hAnsiTheme="majorBidi" w:cstheme="majorBidi"/>
        </w:rPr>
        <w:t>only at the margins, with arrests, interrogations</w:t>
      </w:r>
      <w:r w:rsidR="00B27428" w:rsidRPr="00286011">
        <w:rPr>
          <w:rFonts w:asciiTheme="majorBidi" w:hAnsiTheme="majorBidi" w:cstheme="majorBidi"/>
        </w:rPr>
        <w:t xml:space="preserve"> and </w:t>
      </w:r>
      <w:r w:rsidR="00B148D5" w:rsidRPr="00286011">
        <w:rPr>
          <w:rFonts w:asciiTheme="majorBidi" w:hAnsiTheme="majorBidi" w:cstheme="majorBidi"/>
        </w:rPr>
        <w:t xml:space="preserve">surveillance by the state’s security services. </w:t>
      </w:r>
      <w:r w:rsidR="00B27428" w:rsidRPr="00286011">
        <w:rPr>
          <w:rFonts w:asciiTheme="majorBidi" w:hAnsiTheme="majorBidi" w:cstheme="majorBidi"/>
        </w:rPr>
        <w:t>M</w:t>
      </w:r>
      <w:r w:rsidR="00B148D5" w:rsidRPr="00286011">
        <w:rPr>
          <w:rFonts w:asciiTheme="majorBidi" w:hAnsiTheme="majorBidi" w:cstheme="majorBidi"/>
        </w:rPr>
        <w:t>ore</w:t>
      </w:r>
      <w:r w:rsidR="00831636" w:rsidRPr="00286011">
        <w:rPr>
          <w:rFonts w:asciiTheme="majorBidi" w:hAnsiTheme="majorBidi" w:cstheme="majorBidi"/>
        </w:rPr>
        <w:t xml:space="preserve"> wide</w:t>
      </w:r>
      <w:r w:rsidR="00A23BE5" w:rsidRPr="00286011">
        <w:rPr>
          <w:rFonts w:asciiTheme="majorBidi" w:hAnsiTheme="majorBidi" w:cstheme="majorBidi"/>
        </w:rPr>
        <w:t xml:space="preserve">spread is the use of informal tools </w:t>
      </w:r>
      <w:r w:rsidR="00D721E0" w:rsidRPr="00286011">
        <w:rPr>
          <w:rFonts w:asciiTheme="majorBidi" w:hAnsiTheme="majorBidi" w:cstheme="majorBidi"/>
        </w:rPr>
        <w:t xml:space="preserve">by </w:t>
      </w:r>
      <w:r w:rsidR="00200731" w:rsidRPr="00286011">
        <w:rPr>
          <w:rFonts w:asciiTheme="majorBidi" w:hAnsiTheme="majorBidi" w:cstheme="majorBidi"/>
        </w:rPr>
        <w:t>civil society organisations</w:t>
      </w:r>
      <w:r w:rsidR="00A23BE5" w:rsidRPr="00286011">
        <w:rPr>
          <w:rFonts w:asciiTheme="majorBidi" w:hAnsiTheme="majorBidi" w:cstheme="majorBidi"/>
        </w:rPr>
        <w:t>, with</w:t>
      </w:r>
      <w:r w:rsidR="00B148D5" w:rsidRPr="00286011">
        <w:rPr>
          <w:rFonts w:asciiTheme="majorBidi" w:hAnsiTheme="majorBidi" w:cstheme="majorBidi"/>
        </w:rPr>
        <w:t xml:space="preserve"> monitoring</w:t>
      </w:r>
      <w:r w:rsidR="00B27428" w:rsidRPr="00286011">
        <w:rPr>
          <w:rFonts w:asciiTheme="majorBidi" w:hAnsiTheme="majorBidi" w:cstheme="majorBidi"/>
        </w:rPr>
        <w:t xml:space="preserve"> and</w:t>
      </w:r>
      <w:r w:rsidR="00B148D5" w:rsidRPr="00286011">
        <w:rPr>
          <w:rFonts w:asciiTheme="majorBidi" w:hAnsiTheme="majorBidi" w:cstheme="majorBidi"/>
        </w:rPr>
        <w:t xml:space="preserve"> labelling </w:t>
      </w:r>
      <w:r w:rsidR="00831636" w:rsidRPr="00286011">
        <w:rPr>
          <w:rFonts w:asciiTheme="majorBidi" w:hAnsiTheme="majorBidi" w:cstheme="majorBidi"/>
        </w:rPr>
        <w:t>of activists, groups and individuals.</w:t>
      </w:r>
      <w:r w:rsidR="00102DB3" w:rsidRPr="00286011">
        <w:rPr>
          <w:rFonts w:asciiTheme="majorBidi" w:hAnsiTheme="majorBidi" w:cstheme="majorBidi"/>
        </w:rPr>
        <w:t xml:space="preserve"> </w:t>
      </w:r>
      <w:r w:rsidR="00D721E0" w:rsidRPr="00286011">
        <w:rPr>
          <w:rFonts w:asciiTheme="majorBidi" w:hAnsiTheme="majorBidi" w:cstheme="majorBidi"/>
        </w:rPr>
        <w:t xml:space="preserve">However, it would be wrong to see the two as disconnected. </w:t>
      </w:r>
      <w:r w:rsidR="000B4BB0" w:rsidRPr="00286011">
        <w:rPr>
          <w:rFonts w:asciiTheme="majorBidi" w:hAnsiTheme="majorBidi" w:cstheme="majorBidi"/>
        </w:rPr>
        <w:t xml:space="preserve">The contact points between the </w:t>
      </w:r>
      <w:r w:rsidR="00D721E0" w:rsidRPr="00286011">
        <w:rPr>
          <w:rFonts w:asciiTheme="majorBidi" w:hAnsiTheme="majorBidi" w:cstheme="majorBidi"/>
        </w:rPr>
        <w:t>formal and informal</w:t>
      </w:r>
      <w:r w:rsidR="000B4BB0" w:rsidRPr="00286011">
        <w:rPr>
          <w:rFonts w:asciiTheme="majorBidi" w:hAnsiTheme="majorBidi" w:cstheme="majorBidi"/>
        </w:rPr>
        <w:t xml:space="preserve"> criminalisation and the</w:t>
      </w:r>
      <w:r w:rsidR="00D721E0" w:rsidRPr="00286011">
        <w:rPr>
          <w:rFonts w:asciiTheme="majorBidi" w:hAnsiTheme="majorBidi" w:cstheme="majorBidi"/>
        </w:rPr>
        <w:t xml:space="preserve"> work of</w:t>
      </w:r>
      <w:r w:rsidR="000B4BB0" w:rsidRPr="00286011">
        <w:rPr>
          <w:rFonts w:asciiTheme="majorBidi" w:hAnsiTheme="majorBidi" w:cstheme="majorBidi"/>
        </w:rPr>
        <w:t xml:space="preserve"> state </w:t>
      </w:r>
      <w:r w:rsidR="00D721E0" w:rsidRPr="00286011">
        <w:rPr>
          <w:rFonts w:asciiTheme="majorBidi" w:hAnsiTheme="majorBidi" w:cstheme="majorBidi"/>
        </w:rPr>
        <w:t xml:space="preserve">and civil society </w:t>
      </w:r>
      <w:r w:rsidR="000B4BB0" w:rsidRPr="00286011">
        <w:rPr>
          <w:rFonts w:asciiTheme="majorBidi" w:hAnsiTheme="majorBidi" w:cstheme="majorBidi"/>
        </w:rPr>
        <w:t xml:space="preserve">actors are </w:t>
      </w:r>
      <w:r w:rsidR="00D721E0" w:rsidRPr="00286011">
        <w:rPr>
          <w:rFonts w:asciiTheme="majorBidi" w:hAnsiTheme="majorBidi" w:cstheme="majorBidi"/>
        </w:rPr>
        <w:t>important to note, mainly in a society like the Israeli one that is characterised by strong identification of state and society. For that, w</w:t>
      </w:r>
      <w:r w:rsidR="000B4BB0" w:rsidRPr="00286011">
        <w:rPr>
          <w:rFonts w:asciiTheme="majorBidi" w:hAnsiTheme="majorBidi" w:cstheme="majorBidi"/>
        </w:rPr>
        <w:t xml:space="preserve">hen </w:t>
      </w:r>
      <w:r w:rsidR="00D721E0" w:rsidRPr="00286011">
        <w:rPr>
          <w:rFonts w:asciiTheme="majorBidi" w:hAnsiTheme="majorBidi" w:cstheme="majorBidi"/>
        </w:rPr>
        <w:t xml:space="preserve">repression and </w:t>
      </w:r>
      <w:r w:rsidR="000B4BB0" w:rsidRPr="00286011">
        <w:rPr>
          <w:rFonts w:asciiTheme="majorBidi" w:hAnsiTheme="majorBidi" w:cstheme="majorBidi"/>
        </w:rPr>
        <w:t>criminalisation intensifies, the soft spots of the state are revealed</w:t>
      </w:r>
      <w:r w:rsidR="00D721E0" w:rsidRPr="00286011">
        <w:rPr>
          <w:rFonts w:asciiTheme="majorBidi" w:hAnsiTheme="majorBidi" w:cstheme="majorBidi"/>
        </w:rPr>
        <w:t xml:space="preserve"> – the threat encapsulated in </w:t>
      </w:r>
      <w:proofErr w:type="spellStart"/>
      <w:r w:rsidR="00D721E0" w:rsidRPr="00286011">
        <w:rPr>
          <w:rFonts w:asciiTheme="majorBidi" w:hAnsiTheme="majorBidi" w:cstheme="majorBidi"/>
        </w:rPr>
        <w:t>delegitimation</w:t>
      </w:r>
      <w:proofErr w:type="spellEnd"/>
      <w:r w:rsidR="00D721E0" w:rsidRPr="00286011">
        <w:rPr>
          <w:rFonts w:asciiTheme="majorBidi" w:hAnsiTheme="majorBidi" w:cstheme="majorBidi"/>
        </w:rPr>
        <w:t xml:space="preserve"> is </w:t>
      </w:r>
      <w:r w:rsidR="00200731" w:rsidRPr="00286011">
        <w:rPr>
          <w:rFonts w:asciiTheme="majorBidi" w:hAnsiTheme="majorBidi" w:cstheme="majorBidi"/>
        </w:rPr>
        <w:t>substantial</w:t>
      </w:r>
      <w:r w:rsidR="000B4BB0" w:rsidRPr="00286011">
        <w:rPr>
          <w:rFonts w:asciiTheme="majorBidi" w:hAnsiTheme="majorBidi" w:cstheme="majorBidi"/>
        </w:rPr>
        <w:t xml:space="preserve">. </w:t>
      </w:r>
    </w:p>
    <w:p w14:paraId="647F2456" w14:textId="77777777" w:rsidR="00B148D5" w:rsidRPr="00286011" w:rsidRDefault="00B148D5" w:rsidP="005A6929">
      <w:pPr>
        <w:ind w:firstLine="454"/>
        <w:jc w:val="both"/>
        <w:rPr>
          <w:rFonts w:asciiTheme="majorBidi" w:hAnsiTheme="majorBidi" w:cstheme="majorBidi"/>
          <w:lang w:val="en-US"/>
        </w:rPr>
      </w:pPr>
    </w:p>
    <w:p w14:paraId="45C87C06" w14:textId="542CB69A" w:rsidR="002D4549" w:rsidRPr="00286011" w:rsidRDefault="009C3356" w:rsidP="00102DB3">
      <w:pPr>
        <w:jc w:val="both"/>
        <w:rPr>
          <w:rFonts w:asciiTheme="majorBidi" w:hAnsiTheme="majorBidi" w:cstheme="majorBidi"/>
          <w:i/>
          <w:iCs/>
        </w:rPr>
      </w:pPr>
      <w:r w:rsidRPr="00286011">
        <w:rPr>
          <w:rFonts w:asciiTheme="majorBidi" w:hAnsiTheme="majorBidi" w:cstheme="majorBidi"/>
          <w:i/>
          <w:iCs/>
        </w:rPr>
        <w:t xml:space="preserve">Conclusion </w:t>
      </w:r>
    </w:p>
    <w:p w14:paraId="5266056A" w14:textId="77777777" w:rsidR="003E3963" w:rsidRPr="00286011" w:rsidRDefault="003E3963" w:rsidP="00102DB3">
      <w:pPr>
        <w:jc w:val="both"/>
        <w:rPr>
          <w:rFonts w:asciiTheme="majorBidi" w:hAnsiTheme="majorBidi" w:cstheme="majorBidi"/>
          <w:i/>
          <w:iCs/>
        </w:rPr>
      </w:pPr>
    </w:p>
    <w:p w14:paraId="1C06499F" w14:textId="48CC07AC" w:rsidR="00781FDF" w:rsidRPr="00286011" w:rsidRDefault="00772599" w:rsidP="005A6929">
      <w:pPr>
        <w:jc w:val="both"/>
        <w:rPr>
          <w:rFonts w:asciiTheme="majorBidi" w:hAnsiTheme="majorBidi" w:cstheme="majorBidi"/>
        </w:rPr>
      </w:pPr>
      <w:r w:rsidRPr="00286011">
        <w:rPr>
          <w:rFonts w:asciiTheme="majorBidi" w:hAnsiTheme="majorBidi" w:cstheme="majorBidi"/>
        </w:rPr>
        <w:t xml:space="preserve">In the time </w:t>
      </w:r>
      <w:r w:rsidR="009C3FE3" w:rsidRPr="00286011">
        <w:rPr>
          <w:rFonts w:asciiTheme="majorBidi" w:hAnsiTheme="majorBidi" w:cstheme="majorBidi"/>
        </w:rPr>
        <w:t>when I conclude</w:t>
      </w:r>
      <w:r w:rsidRPr="00286011">
        <w:rPr>
          <w:rFonts w:asciiTheme="majorBidi" w:hAnsiTheme="majorBidi" w:cstheme="majorBidi"/>
        </w:rPr>
        <w:t xml:space="preserve"> this article, the political map is Israel is shifting further to the right. The 5</w:t>
      </w:r>
      <w:r w:rsidRPr="00286011">
        <w:rPr>
          <w:rFonts w:asciiTheme="majorBidi" w:hAnsiTheme="majorBidi" w:cstheme="majorBidi"/>
          <w:vertAlign w:val="superscript"/>
        </w:rPr>
        <w:t>th</w:t>
      </w:r>
      <w:r w:rsidRPr="00286011">
        <w:rPr>
          <w:rFonts w:asciiTheme="majorBidi" w:hAnsiTheme="majorBidi" w:cstheme="majorBidi"/>
        </w:rPr>
        <w:t xml:space="preserve"> election campaign since 2019 has led to the prominence of the ‘national religious’ camp, headed by </w:t>
      </w:r>
      <w:proofErr w:type="spellStart"/>
      <w:r w:rsidRPr="00286011">
        <w:rPr>
          <w:rFonts w:asciiTheme="majorBidi" w:hAnsiTheme="majorBidi" w:cstheme="majorBidi"/>
        </w:rPr>
        <w:t>Itamar</w:t>
      </w:r>
      <w:proofErr w:type="spellEnd"/>
      <w:r w:rsidRPr="00286011">
        <w:rPr>
          <w:rFonts w:asciiTheme="majorBidi" w:hAnsiTheme="majorBidi" w:cstheme="majorBidi"/>
        </w:rPr>
        <w:t xml:space="preserve"> Ben </w:t>
      </w:r>
      <w:proofErr w:type="spellStart"/>
      <w:r w:rsidRPr="00286011">
        <w:rPr>
          <w:rFonts w:asciiTheme="majorBidi" w:hAnsiTheme="majorBidi" w:cstheme="majorBidi"/>
        </w:rPr>
        <w:t>Gvir</w:t>
      </w:r>
      <w:proofErr w:type="spellEnd"/>
      <w:r w:rsidRPr="00286011">
        <w:rPr>
          <w:rFonts w:asciiTheme="majorBidi" w:hAnsiTheme="majorBidi" w:cstheme="majorBidi"/>
        </w:rPr>
        <w:t xml:space="preserve"> and </w:t>
      </w:r>
      <w:proofErr w:type="spellStart"/>
      <w:r w:rsidRPr="00286011">
        <w:rPr>
          <w:rFonts w:asciiTheme="majorBidi" w:hAnsiTheme="majorBidi" w:cstheme="majorBidi"/>
        </w:rPr>
        <w:t>B</w:t>
      </w:r>
      <w:r w:rsidR="00200731" w:rsidRPr="00286011">
        <w:rPr>
          <w:rFonts w:asciiTheme="majorBidi" w:hAnsiTheme="majorBidi" w:cstheme="majorBidi"/>
        </w:rPr>
        <w:t>e</w:t>
      </w:r>
      <w:r w:rsidRPr="00286011">
        <w:rPr>
          <w:rFonts w:asciiTheme="majorBidi" w:hAnsiTheme="majorBidi" w:cstheme="majorBidi"/>
        </w:rPr>
        <w:t>tzalel</w:t>
      </w:r>
      <w:proofErr w:type="spellEnd"/>
      <w:r w:rsidRPr="00286011">
        <w:rPr>
          <w:rFonts w:asciiTheme="majorBidi" w:hAnsiTheme="majorBidi" w:cstheme="majorBidi"/>
        </w:rPr>
        <w:t xml:space="preserve"> </w:t>
      </w:r>
      <w:proofErr w:type="spellStart"/>
      <w:r w:rsidRPr="00286011">
        <w:rPr>
          <w:rFonts w:asciiTheme="majorBidi" w:hAnsiTheme="majorBidi" w:cstheme="majorBidi"/>
        </w:rPr>
        <w:t>Smotrich</w:t>
      </w:r>
      <w:proofErr w:type="spellEnd"/>
      <w:r w:rsidRPr="00286011">
        <w:rPr>
          <w:rFonts w:asciiTheme="majorBidi" w:hAnsiTheme="majorBidi" w:cstheme="majorBidi"/>
        </w:rPr>
        <w:t>.</w:t>
      </w:r>
      <w:r w:rsidR="008956F7" w:rsidRPr="00286011">
        <w:rPr>
          <w:rFonts w:asciiTheme="majorBidi" w:hAnsiTheme="majorBidi" w:cstheme="majorBidi"/>
        </w:rPr>
        <w:t xml:space="preserve"> </w:t>
      </w:r>
      <w:r w:rsidR="000B4BB0" w:rsidRPr="00286011">
        <w:rPr>
          <w:rFonts w:asciiTheme="majorBidi" w:hAnsiTheme="majorBidi" w:cstheme="majorBidi"/>
        </w:rPr>
        <w:t xml:space="preserve">Radical </w:t>
      </w:r>
      <w:r w:rsidR="002F5495" w:rsidRPr="00286011">
        <w:rPr>
          <w:rFonts w:asciiTheme="majorBidi" w:hAnsiTheme="majorBidi" w:cstheme="majorBidi"/>
        </w:rPr>
        <w:t xml:space="preserve">Kahanist </w:t>
      </w:r>
      <w:r w:rsidR="008956F7" w:rsidRPr="00286011">
        <w:rPr>
          <w:rFonts w:asciiTheme="majorBidi" w:hAnsiTheme="majorBidi" w:cstheme="majorBidi"/>
        </w:rPr>
        <w:t>right wing</w:t>
      </w:r>
      <w:r w:rsidRPr="00286011">
        <w:rPr>
          <w:rFonts w:asciiTheme="majorBidi" w:hAnsiTheme="majorBidi" w:cstheme="majorBidi"/>
        </w:rPr>
        <w:t xml:space="preserve"> ideology that advocates ‘Jewish </w:t>
      </w:r>
      <w:r w:rsidR="008956F7" w:rsidRPr="00286011">
        <w:rPr>
          <w:rFonts w:asciiTheme="majorBidi" w:hAnsiTheme="majorBidi" w:cstheme="majorBidi"/>
        </w:rPr>
        <w:t>Power</w:t>
      </w:r>
      <w:r w:rsidRPr="00286011">
        <w:rPr>
          <w:rFonts w:asciiTheme="majorBidi" w:hAnsiTheme="majorBidi" w:cstheme="majorBidi"/>
        </w:rPr>
        <w:t xml:space="preserve">’ (the name of Ben Gvir’s party), </w:t>
      </w:r>
      <w:r w:rsidR="000B4BB0" w:rsidRPr="00286011">
        <w:rPr>
          <w:rFonts w:asciiTheme="majorBidi" w:hAnsiTheme="majorBidi" w:cstheme="majorBidi"/>
        </w:rPr>
        <w:t xml:space="preserve">the </w:t>
      </w:r>
      <w:r w:rsidRPr="00286011">
        <w:rPr>
          <w:rFonts w:asciiTheme="majorBidi" w:hAnsiTheme="majorBidi" w:cstheme="majorBidi"/>
        </w:rPr>
        <w:t xml:space="preserve">extension of Israeli sovereignty in the West Bank and silencing of left wing political activism is now at the </w:t>
      </w:r>
      <w:r w:rsidR="00C238CC" w:rsidRPr="00286011">
        <w:rPr>
          <w:rFonts w:asciiTheme="majorBidi" w:hAnsiTheme="majorBidi" w:cstheme="majorBidi"/>
        </w:rPr>
        <w:t>heart</w:t>
      </w:r>
      <w:r w:rsidRPr="00286011">
        <w:rPr>
          <w:rFonts w:asciiTheme="majorBidi" w:hAnsiTheme="majorBidi" w:cstheme="majorBidi"/>
        </w:rPr>
        <w:t xml:space="preserve"> of the political system. </w:t>
      </w:r>
      <w:r w:rsidR="00102DB3" w:rsidRPr="00286011">
        <w:rPr>
          <w:rFonts w:asciiTheme="majorBidi" w:hAnsiTheme="majorBidi" w:cstheme="majorBidi"/>
        </w:rPr>
        <w:t xml:space="preserve">Attacks of the institutions of the liberal (settler) state by this camp are more prominent, with </w:t>
      </w:r>
      <w:r w:rsidR="00227526" w:rsidRPr="00286011">
        <w:rPr>
          <w:rFonts w:asciiTheme="majorBidi" w:hAnsiTheme="majorBidi" w:cstheme="majorBidi"/>
        </w:rPr>
        <w:t>a</w:t>
      </w:r>
      <w:r w:rsidR="00AC6EB8" w:rsidRPr="00286011">
        <w:rPr>
          <w:rFonts w:asciiTheme="majorBidi" w:hAnsiTheme="majorBidi" w:cstheme="majorBidi"/>
        </w:rPr>
        <w:t xml:space="preserve"> programme of </w:t>
      </w:r>
      <w:r w:rsidR="00227526" w:rsidRPr="00286011">
        <w:rPr>
          <w:rFonts w:asciiTheme="majorBidi" w:hAnsiTheme="majorBidi" w:cstheme="majorBidi"/>
        </w:rPr>
        <w:t xml:space="preserve">legislation that is meant to enable the parliament to bypass </w:t>
      </w:r>
      <w:r w:rsidR="00102DB3" w:rsidRPr="00286011">
        <w:rPr>
          <w:rFonts w:asciiTheme="majorBidi" w:hAnsiTheme="majorBidi" w:cstheme="majorBidi"/>
        </w:rPr>
        <w:t xml:space="preserve">Supreme </w:t>
      </w:r>
      <w:r w:rsidR="00227526" w:rsidRPr="00286011">
        <w:rPr>
          <w:rFonts w:asciiTheme="majorBidi" w:hAnsiTheme="majorBidi" w:cstheme="majorBidi"/>
        </w:rPr>
        <w:t xml:space="preserve">Court decisions and disqualification of laws, an act </w:t>
      </w:r>
      <w:r w:rsidR="00102DB3" w:rsidRPr="00286011">
        <w:rPr>
          <w:rFonts w:asciiTheme="majorBidi" w:hAnsiTheme="majorBidi" w:cstheme="majorBidi"/>
        </w:rPr>
        <w:t xml:space="preserve">that will de-facto jeopardise the separation of </w:t>
      </w:r>
      <w:r w:rsidR="00227526" w:rsidRPr="00286011">
        <w:rPr>
          <w:rFonts w:asciiTheme="majorBidi" w:hAnsiTheme="majorBidi" w:cstheme="majorBidi"/>
        </w:rPr>
        <w:t>powers</w:t>
      </w:r>
      <w:r w:rsidR="00102DB3" w:rsidRPr="00286011">
        <w:rPr>
          <w:rFonts w:asciiTheme="majorBidi" w:hAnsiTheme="majorBidi" w:cstheme="majorBidi"/>
        </w:rPr>
        <w:t xml:space="preserve"> at the heart of the Israeli </w:t>
      </w:r>
      <w:r w:rsidR="00781FDF" w:rsidRPr="00286011">
        <w:rPr>
          <w:rFonts w:asciiTheme="majorBidi" w:hAnsiTheme="majorBidi" w:cstheme="majorBidi"/>
        </w:rPr>
        <w:t>state</w:t>
      </w:r>
      <w:r w:rsidR="00C238CC" w:rsidRPr="00286011">
        <w:rPr>
          <w:rFonts w:asciiTheme="majorBidi" w:hAnsiTheme="majorBidi" w:cstheme="majorBidi"/>
        </w:rPr>
        <w:t xml:space="preserve"> (</w:t>
      </w:r>
      <w:proofErr w:type="spellStart"/>
      <w:r w:rsidR="00BE4281" w:rsidRPr="00286011">
        <w:rPr>
          <w:rFonts w:asciiTheme="majorBidi" w:hAnsiTheme="majorBidi" w:cstheme="majorBidi"/>
        </w:rPr>
        <w:t>Tsimuki</w:t>
      </w:r>
      <w:proofErr w:type="spellEnd"/>
      <w:r w:rsidR="00BE4281" w:rsidRPr="00286011">
        <w:rPr>
          <w:rFonts w:asciiTheme="majorBidi" w:hAnsiTheme="majorBidi" w:cstheme="majorBidi"/>
        </w:rPr>
        <w:t xml:space="preserve"> 2023</w:t>
      </w:r>
      <w:r w:rsidR="00C238CC" w:rsidRPr="00286011">
        <w:rPr>
          <w:rFonts w:asciiTheme="majorBidi" w:hAnsiTheme="majorBidi" w:cstheme="majorBidi"/>
        </w:rPr>
        <w:t>)</w:t>
      </w:r>
      <w:r w:rsidR="00102DB3" w:rsidRPr="00286011">
        <w:rPr>
          <w:rFonts w:asciiTheme="majorBidi" w:hAnsiTheme="majorBidi" w:cstheme="majorBidi"/>
        </w:rPr>
        <w:t>.</w:t>
      </w:r>
      <w:r w:rsidR="00781FDF" w:rsidRPr="00286011">
        <w:rPr>
          <w:rFonts w:asciiTheme="majorBidi" w:hAnsiTheme="majorBidi" w:cstheme="majorBidi"/>
        </w:rPr>
        <w:t xml:space="preserve"> </w:t>
      </w:r>
      <w:r w:rsidR="00A512D7" w:rsidRPr="00286011">
        <w:rPr>
          <w:rFonts w:asciiTheme="majorBidi" w:hAnsiTheme="majorBidi" w:cstheme="majorBidi"/>
        </w:rPr>
        <w:t xml:space="preserve">These processes were </w:t>
      </w:r>
      <w:r w:rsidR="00781FDF" w:rsidRPr="00286011">
        <w:rPr>
          <w:rFonts w:asciiTheme="majorBidi" w:hAnsiTheme="majorBidi" w:cstheme="majorBidi"/>
        </w:rPr>
        <w:t xml:space="preserve">compared to </w:t>
      </w:r>
      <w:r w:rsidR="00A512D7" w:rsidRPr="00286011">
        <w:rPr>
          <w:rFonts w:asciiTheme="majorBidi" w:hAnsiTheme="majorBidi" w:cstheme="majorBidi"/>
        </w:rPr>
        <w:t>similar</w:t>
      </w:r>
      <w:r w:rsidR="00781FDF" w:rsidRPr="00286011">
        <w:rPr>
          <w:rFonts w:asciiTheme="majorBidi" w:hAnsiTheme="majorBidi" w:cstheme="majorBidi"/>
        </w:rPr>
        <w:t xml:space="preserve"> ones </w:t>
      </w:r>
      <w:r w:rsidR="00A512D7" w:rsidRPr="00286011">
        <w:rPr>
          <w:rFonts w:asciiTheme="majorBidi" w:hAnsiTheme="majorBidi" w:cstheme="majorBidi"/>
        </w:rPr>
        <w:t>that took place in</w:t>
      </w:r>
      <w:r w:rsidR="00781FDF" w:rsidRPr="00286011">
        <w:rPr>
          <w:rFonts w:asciiTheme="majorBidi" w:hAnsiTheme="majorBidi" w:cstheme="majorBidi"/>
        </w:rPr>
        <w:t xml:space="preserve"> Hungary or Poland</w:t>
      </w:r>
      <w:r w:rsidR="00A512D7" w:rsidRPr="00286011">
        <w:rPr>
          <w:rFonts w:asciiTheme="majorBidi" w:hAnsiTheme="majorBidi" w:cstheme="majorBidi"/>
        </w:rPr>
        <w:t xml:space="preserve"> in recent years</w:t>
      </w:r>
      <w:r w:rsidR="00AC6EB8" w:rsidRPr="00286011">
        <w:rPr>
          <w:rFonts w:asciiTheme="majorBidi" w:hAnsiTheme="majorBidi" w:cstheme="majorBidi"/>
        </w:rPr>
        <w:t xml:space="preserve">, and triggered a mass scale protests all over the country </w:t>
      </w:r>
      <w:r w:rsidR="001D7721" w:rsidRPr="00286011">
        <w:rPr>
          <w:rFonts w:asciiTheme="majorBidi" w:hAnsiTheme="majorBidi" w:cstheme="majorBidi"/>
        </w:rPr>
        <w:t>for the past three months</w:t>
      </w:r>
      <w:r w:rsidR="00781FDF" w:rsidRPr="00286011">
        <w:rPr>
          <w:rFonts w:asciiTheme="majorBidi" w:hAnsiTheme="majorBidi" w:cstheme="majorBidi"/>
        </w:rPr>
        <w:t>.</w:t>
      </w:r>
      <w:r w:rsidR="00102DB3" w:rsidRPr="00286011">
        <w:rPr>
          <w:rFonts w:asciiTheme="majorBidi" w:hAnsiTheme="majorBidi" w:cstheme="majorBidi"/>
        </w:rPr>
        <w:t xml:space="preserve"> </w:t>
      </w:r>
    </w:p>
    <w:p w14:paraId="2183A9AE" w14:textId="564F3969" w:rsidR="00E82B39" w:rsidRPr="00286011" w:rsidRDefault="003F61B9" w:rsidP="00781FDF">
      <w:pPr>
        <w:ind w:firstLine="454"/>
        <w:jc w:val="both"/>
        <w:rPr>
          <w:rFonts w:asciiTheme="majorBidi" w:hAnsiTheme="majorBidi" w:cstheme="majorBidi"/>
        </w:rPr>
      </w:pPr>
      <w:r w:rsidRPr="00286011">
        <w:rPr>
          <w:rFonts w:asciiTheme="majorBidi" w:hAnsiTheme="majorBidi" w:cstheme="majorBidi"/>
        </w:rPr>
        <w:t>It remains to be seen the extent to which the thresholds of criminalisation and repression will continue to shift</w:t>
      </w:r>
      <w:r w:rsidR="000B4BB0" w:rsidRPr="00286011">
        <w:rPr>
          <w:rFonts w:asciiTheme="majorBidi" w:hAnsiTheme="majorBidi" w:cstheme="majorBidi"/>
        </w:rPr>
        <w:t>, and which individuals and groups will find themselves on the ‘other’ side</w:t>
      </w:r>
      <w:r w:rsidR="008C22A6" w:rsidRPr="00286011">
        <w:rPr>
          <w:rFonts w:asciiTheme="majorBidi" w:hAnsiTheme="majorBidi" w:cstheme="majorBidi"/>
        </w:rPr>
        <w:t xml:space="preserve"> of the threshold</w:t>
      </w:r>
      <w:r w:rsidRPr="00286011">
        <w:rPr>
          <w:rFonts w:asciiTheme="majorBidi" w:hAnsiTheme="majorBidi" w:cstheme="majorBidi"/>
        </w:rPr>
        <w:t xml:space="preserve">. </w:t>
      </w:r>
      <w:r w:rsidR="002F01DA" w:rsidRPr="00286011">
        <w:rPr>
          <w:rFonts w:asciiTheme="majorBidi" w:hAnsiTheme="majorBidi" w:cstheme="majorBidi"/>
        </w:rPr>
        <w:t xml:space="preserve">Building on already existing trends from the Unity Intifada of 2021, and the statements made by the minister of </w:t>
      </w:r>
      <w:r w:rsidR="008C22A6" w:rsidRPr="00286011">
        <w:rPr>
          <w:rFonts w:asciiTheme="majorBidi" w:hAnsiTheme="majorBidi" w:cstheme="majorBidi"/>
        </w:rPr>
        <w:t>‘national</w:t>
      </w:r>
      <w:r w:rsidR="002F01DA" w:rsidRPr="00286011">
        <w:rPr>
          <w:rFonts w:asciiTheme="majorBidi" w:hAnsiTheme="majorBidi" w:cstheme="majorBidi"/>
        </w:rPr>
        <w:t xml:space="preserve"> security</w:t>
      </w:r>
      <w:r w:rsidR="008C22A6" w:rsidRPr="00286011">
        <w:rPr>
          <w:rFonts w:asciiTheme="majorBidi" w:hAnsiTheme="majorBidi" w:cstheme="majorBidi"/>
        </w:rPr>
        <w:t>’</w:t>
      </w:r>
      <w:r w:rsidR="002F01DA" w:rsidRPr="00286011">
        <w:rPr>
          <w:rFonts w:asciiTheme="majorBidi" w:hAnsiTheme="majorBidi" w:cstheme="majorBidi"/>
        </w:rPr>
        <w:t xml:space="preserve"> Ben </w:t>
      </w:r>
      <w:proofErr w:type="spellStart"/>
      <w:r w:rsidR="002F01DA" w:rsidRPr="00286011">
        <w:rPr>
          <w:rFonts w:asciiTheme="majorBidi" w:hAnsiTheme="majorBidi" w:cstheme="majorBidi"/>
        </w:rPr>
        <w:t>Gvir</w:t>
      </w:r>
      <w:proofErr w:type="spellEnd"/>
      <w:r w:rsidR="002F01DA" w:rsidRPr="00286011">
        <w:rPr>
          <w:rFonts w:asciiTheme="majorBidi" w:hAnsiTheme="majorBidi" w:cstheme="majorBidi"/>
        </w:rPr>
        <w:t>, the racial threshold seems to be further taking hold over the threshold of citizenship</w:t>
      </w:r>
      <w:r w:rsidR="00E82B39" w:rsidRPr="00286011">
        <w:rPr>
          <w:rFonts w:asciiTheme="majorBidi" w:hAnsiTheme="majorBidi" w:cstheme="majorBidi"/>
        </w:rPr>
        <w:t xml:space="preserve">, with </w:t>
      </w:r>
      <w:r w:rsidR="002F5495" w:rsidRPr="00286011">
        <w:rPr>
          <w:rFonts w:asciiTheme="majorBidi" w:hAnsiTheme="majorBidi" w:cstheme="majorBidi"/>
        </w:rPr>
        <w:t>statements promising</w:t>
      </w:r>
      <w:r w:rsidR="00E82B39" w:rsidRPr="00286011">
        <w:rPr>
          <w:rFonts w:asciiTheme="majorBidi" w:hAnsiTheme="majorBidi" w:cstheme="majorBidi"/>
        </w:rPr>
        <w:t xml:space="preserve"> to change the rules of engagements, and providing greater legal immunity to the security forces in the line of duty (</w:t>
      </w:r>
      <w:proofErr w:type="spellStart"/>
      <w:r w:rsidR="009A7B60" w:rsidRPr="00286011">
        <w:rPr>
          <w:rFonts w:asciiTheme="majorBidi" w:hAnsiTheme="majorBidi" w:cstheme="majorBidi"/>
        </w:rPr>
        <w:t>Golditch</w:t>
      </w:r>
      <w:proofErr w:type="spellEnd"/>
      <w:r w:rsidR="009A7B60" w:rsidRPr="00286011">
        <w:rPr>
          <w:rFonts w:asciiTheme="majorBidi" w:hAnsiTheme="majorBidi" w:cstheme="majorBidi"/>
        </w:rPr>
        <w:t xml:space="preserve">, </w:t>
      </w:r>
      <w:proofErr w:type="spellStart"/>
      <w:r w:rsidR="009A7B60" w:rsidRPr="00286011">
        <w:rPr>
          <w:rFonts w:asciiTheme="majorBidi" w:hAnsiTheme="majorBidi" w:cstheme="majorBidi"/>
        </w:rPr>
        <w:t>Azoulay</w:t>
      </w:r>
      <w:proofErr w:type="spellEnd"/>
      <w:r w:rsidR="009A7B60" w:rsidRPr="00286011">
        <w:rPr>
          <w:rFonts w:asciiTheme="majorBidi" w:hAnsiTheme="majorBidi" w:cstheme="majorBidi"/>
        </w:rPr>
        <w:t xml:space="preserve"> and </w:t>
      </w:r>
      <w:proofErr w:type="spellStart"/>
      <w:r w:rsidR="009A7B60" w:rsidRPr="00286011">
        <w:rPr>
          <w:rFonts w:asciiTheme="majorBidi" w:hAnsiTheme="majorBidi" w:cstheme="majorBidi"/>
        </w:rPr>
        <w:t>Karni</w:t>
      </w:r>
      <w:proofErr w:type="spellEnd"/>
      <w:r w:rsidR="009A7B60" w:rsidRPr="00286011">
        <w:rPr>
          <w:rFonts w:asciiTheme="majorBidi" w:hAnsiTheme="majorBidi" w:cstheme="majorBidi"/>
        </w:rPr>
        <w:t xml:space="preserve"> 2022</w:t>
      </w:r>
      <w:r w:rsidR="00E82B39" w:rsidRPr="00286011">
        <w:rPr>
          <w:rFonts w:asciiTheme="majorBidi" w:hAnsiTheme="majorBidi" w:cstheme="majorBidi"/>
        </w:rPr>
        <w:t>).</w:t>
      </w:r>
      <w:r w:rsidR="002F5495" w:rsidRPr="00286011">
        <w:rPr>
          <w:rFonts w:asciiTheme="majorBidi" w:hAnsiTheme="majorBidi" w:cstheme="majorBidi"/>
        </w:rPr>
        <w:t xml:space="preserve"> The probab</w:t>
      </w:r>
      <w:r w:rsidR="006916AF" w:rsidRPr="00286011">
        <w:rPr>
          <w:rFonts w:asciiTheme="majorBidi" w:hAnsiTheme="majorBidi" w:cstheme="majorBidi"/>
        </w:rPr>
        <w:t>i</w:t>
      </w:r>
      <w:r w:rsidR="002F5495" w:rsidRPr="00286011">
        <w:rPr>
          <w:rFonts w:asciiTheme="majorBidi" w:hAnsiTheme="majorBidi" w:cstheme="majorBidi"/>
        </w:rPr>
        <w:t>l</w:t>
      </w:r>
      <w:r w:rsidR="006916AF" w:rsidRPr="00286011">
        <w:rPr>
          <w:rFonts w:asciiTheme="majorBidi" w:hAnsiTheme="majorBidi" w:cstheme="majorBidi"/>
        </w:rPr>
        <w:t>it</w:t>
      </w:r>
      <w:r w:rsidR="002F5495" w:rsidRPr="00286011">
        <w:rPr>
          <w:rFonts w:asciiTheme="majorBidi" w:hAnsiTheme="majorBidi" w:cstheme="majorBidi"/>
        </w:rPr>
        <w:t>y for increased</w:t>
      </w:r>
      <w:r w:rsidR="008C22A6" w:rsidRPr="00286011">
        <w:rPr>
          <w:rFonts w:asciiTheme="majorBidi" w:hAnsiTheme="majorBidi" w:cstheme="majorBidi"/>
        </w:rPr>
        <w:t xml:space="preserve"> formal</w:t>
      </w:r>
      <w:r w:rsidR="002F5495" w:rsidRPr="00286011">
        <w:rPr>
          <w:rFonts w:asciiTheme="majorBidi" w:hAnsiTheme="majorBidi" w:cstheme="majorBidi"/>
        </w:rPr>
        <w:t xml:space="preserve"> repression of political activism of anticolonial Jewish Israelis is still </w:t>
      </w:r>
      <w:r w:rsidR="009C3FE3" w:rsidRPr="00286011">
        <w:rPr>
          <w:rFonts w:asciiTheme="majorBidi" w:hAnsiTheme="majorBidi" w:cstheme="majorBidi"/>
        </w:rPr>
        <w:t>unknown</w:t>
      </w:r>
      <w:r w:rsidR="008C22A6" w:rsidRPr="00286011">
        <w:rPr>
          <w:rFonts w:asciiTheme="majorBidi" w:hAnsiTheme="majorBidi" w:cstheme="majorBidi"/>
        </w:rPr>
        <w:t xml:space="preserve">, but a few incidents from the last weeks indicate a possibility of change also here: the now viral video of a soldier beating up an activist in Hebron </w:t>
      </w:r>
      <w:r w:rsidR="002F459A" w:rsidRPr="00286011">
        <w:rPr>
          <w:rFonts w:asciiTheme="majorBidi" w:hAnsiTheme="majorBidi" w:cstheme="majorBidi"/>
        </w:rPr>
        <w:t xml:space="preserve">while another </w:t>
      </w:r>
      <w:r w:rsidR="008C22A6" w:rsidRPr="00286011">
        <w:rPr>
          <w:rFonts w:asciiTheme="majorBidi" w:hAnsiTheme="majorBidi" w:cstheme="majorBidi"/>
        </w:rPr>
        <w:t>soldier threatening that “Ben Gvir will finally put some order in here</w:t>
      </w:r>
      <w:r w:rsidR="00B52C35" w:rsidRPr="00286011">
        <w:rPr>
          <w:rFonts w:asciiTheme="majorBidi" w:hAnsiTheme="majorBidi" w:cstheme="majorBidi"/>
        </w:rPr>
        <w:t>. That’s it, you’re done. I am the one that determined what is the law, and you are breaking the law</w:t>
      </w:r>
      <w:r w:rsidR="008C22A6" w:rsidRPr="00286011">
        <w:rPr>
          <w:rFonts w:asciiTheme="majorBidi" w:hAnsiTheme="majorBidi" w:cstheme="majorBidi"/>
        </w:rPr>
        <w:t>” (</w:t>
      </w:r>
      <w:r w:rsidR="00B52C35" w:rsidRPr="00286011">
        <w:rPr>
          <w:rFonts w:asciiTheme="majorBidi" w:hAnsiTheme="majorBidi" w:cstheme="majorBidi"/>
        </w:rPr>
        <w:t xml:space="preserve">Ben </w:t>
      </w:r>
      <w:proofErr w:type="spellStart"/>
      <w:r w:rsidR="00B52C35" w:rsidRPr="00286011">
        <w:rPr>
          <w:rFonts w:asciiTheme="majorBidi" w:hAnsiTheme="majorBidi" w:cstheme="majorBidi"/>
        </w:rPr>
        <w:t>Kimon</w:t>
      </w:r>
      <w:proofErr w:type="spellEnd"/>
      <w:r w:rsidR="00B52C35" w:rsidRPr="00286011">
        <w:rPr>
          <w:rFonts w:asciiTheme="majorBidi" w:hAnsiTheme="majorBidi" w:cstheme="majorBidi"/>
        </w:rPr>
        <w:t xml:space="preserve">, </w:t>
      </w:r>
      <w:proofErr w:type="spellStart"/>
      <w:r w:rsidR="00B52C35" w:rsidRPr="00286011">
        <w:rPr>
          <w:rFonts w:asciiTheme="majorBidi" w:hAnsiTheme="majorBidi" w:cstheme="majorBidi"/>
        </w:rPr>
        <w:t>Zeytun</w:t>
      </w:r>
      <w:proofErr w:type="spellEnd"/>
      <w:r w:rsidR="00B52C35" w:rsidRPr="00286011">
        <w:rPr>
          <w:rFonts w:asciiTheme="majorBidi" w:hAnsiTheme="majorBidi" w:cstheme="majorBidi"/>
        </w:rPr>
        <w:t xml:space="preserve"> and Fox 2022)</w:t>
      </w:r>
      <w:r w:rsidR="008C22A6" w:rsidRPr="00286011">
        <w:rPr>
          <w:rFonts w:asciiTheme="majorBidi" w:hAnsiTheme="majorBidi" w:cstheme="majorBidi"/>
        </w:rPr>
        <w:t>; and the army stopping a visit of a group of left wing activist</w:t>
      </w:r>
      <w:r w:rsidR="006916AF" w:rsidRPr="00286011">
        <w:rPr>
          <w:rFonts w:asciiTheme="majorBidi" w:hAnsiTheme="majorBidi" w:cstheme="majorBidi"/>
        </w:rPr>
        <w:t>s</w:t>
      </w:r>
      <w:r w:rsidR="008C22A6" w:rsidRPr="00286011">
        <w:rPr>
          <w:rFonts w:asciiTheme="majorBidi" w:hAnsiTheme="majorBidi" w:cstheme="majorBidi"/>
        </w:rPr>
        <w:t xml:space="preserve"> to the old city of Hebron with a ‘closed military zone’ order (</w:t>
      </w:r>
      <w:proofErr w:type="spellStart"/>
      <w:r w:rsidR="002F459A" w:rsidRPr="00286011">
        <w:rPr>
          <w:rFonts w:asciiTheme="majorBidi" w:hAnsiTheme="majorBidi" w:cstheme="majorBidi"/>
        </w:rPr>
        <w:t>Shezaf</w:t>
      </w:r>
      <w:proofErr w:type="spellEnd"/>
      <w:r w:rsidR="002F459A" w:rsidRPr="00286011">
        <w:rPr>
          <w:rFonts w:asciiTheme="majorBidi" w:hAnsiTheme="majorBidi" w:cstheme="majorBidi"/>
        </w:rPr>
        <w:t xml:space="preserve"> 2022</w:t>
      </w:r>
      <w:r w:rsidR="008C22A6" w:rsidRPr="00286011">
        <w:rPr>
          <w:rFonts w:asciiTheme="majorBidi" w:hAnsiTheme="majorBidi" w:cstheme="majorBidi"/>
        </w:rPr>
        <w:t>) are just a few indicators</w:t>
      </w:r>
      <w:r w:rsidR="00781FDF" w:rsidRPr="00286011">
        <w:rPr>
          <w:rFonts w:asciiTheme="majorBidi" w:hAnsiTheme="majorBidi" w:cstheme="majorBidi"/>
        </w:rPr>
        <w:t xml:space="preserve"> for the creeping measures that previously were kept solely to deal with Palestinian dissent, but threaten to become more widespread to Israel’s privileged citizens</w:t>
      </w:r>
      <w:r w:rsidR="002F5495" w:rsidRPr="00286011">
        <w:rPr>
          <w:rFonts w:asciiTheme="majorBidi" w:hAnsiTheme="majorBidi" w:cstheme="majorBidi"/>
        </w:rPr>
        <w:t xml:space="preserve">. </w:t>
      </w:r>
    </w:p>
    <w:p w14:paraId="5E3AE442" w14:textId="27EF7501" w:rsidR="00262A35" w:rsidRPr="00286011" w:rsidRDefault="00E82B39" w:rsidP="009C3FE3">
      <w:pPr>
        <w:jc w:val="both"/>
        <w:rPr>
          <w:rFonts w:asciiTheme="majorBidi" w:hAnsiTheme="majorBidi" w:cstheme="majorBidi"/>
        </w:rPr>
      </w:pPr>
      <w:r w:rsidRPr="00286011">
        <w:rPr>
          <w:rFonts w:asciiTheme="majorBidi" w:hAnsiTheme="majorBidi" w:cstheme="majorBidi"/>
        </w:rPr>
        <w:tab/>
        <w:t xml:space="preserve">I </w:t>
      </w:r>
      <w:r w:rsidR="00630AC8" w:rsidRPr="00286011">
        <w:rPr>
          <w:rFonts w:asciiTheme="majorBidi" w:hAnsiTheme="majorBidi" w:cstheme="majorBidi"/>
        </w:rPr>
        <w:t>end this article</w:t>
      </w:r>
      <w:r w:rsidRPr="00286011">
        <w:rPr>
          <w:rFonts w:asciiTheme="majorBidi" w:hAnsiTheme="majorBidi" w:cstheme="majorBidi"/>
        </w:rPr>
        <w:t xml:space="preserve"> with a short sketch by </w:t>
      </w:r>
      <w:proofErr w:type="spellStart"/>
      <w:r w:rsidRPr="00286011">
        <w:rPr>
          <w:rFonts w:asciiTheme="majorBidi" w:hAnsiTheme="majorBidi" w:cstheme="majorBidi"/>
        </w:rPr>
        <w:t>Hanoch</w:t>
      </w:r>
      <w:proofErr w:type="spellEnd"/>
      <w:r w:rsidRPr="00286011">
        <w:rPr>
          <w:rFonts w:asciiTheme="majorBidi" w:hAnsiTheme="majorBidi" w:cstheme="majorBidi"/>
        </w:rPr>
        <w:t xml:space="preserve"> Levin, the famous Israeli satirical playwright, sharp</w:t>
      </w:r>
      <w:r w:rsidR="006916AF" w:rsidRPr="00286011">
        <w:rPr>
          <w:rFonts w:asciiTheme="majorBidi" w:hAnsiTheme="majorBidi" w:cstheme="majorBidi"/>
        </w:rPr>
        <w:t>l</w:t>
      </w:r>
      <w:r w:rsidRPr="00286011">
        <w:rPr>
          <w:rFonts w:asciiTheme="majorBidi" w:hAnsiTheme="majorBidi" w:cstheme="majorBidi"/>
        </w:rPr>
        <w:t>y criticising the ways in which Palestinians in the Occupied Territories are being t</w:t>
      </w:r>
      <w:r w:rsidR="00630AC8" w:rsidRPr="00286011">
        <w:rPr>
          <w:rFonts w:asciiTheme="majorBidi" w:hAnsiTheme="majorBidi" w:cstheme="majorBidi"/>
        </w:rPr>
        <w:t>argeted</w:t>
      </w:r>
      <w:r w:rsidRPr="00286011">
        <w:rPr>
          <w:rFonts w:asciiTheme="majorBidi" w:hAnsiTheme="majorBidi" w:cstheme="majorBidi"/>
        </w:rPr>
        <w:t xml:space="preserve"> by the Israeli security forces. </w:t>
      </w:r>
      <w:r w:rsidR="00630AC8" w:rsidRPr="00286011">
        <w:rPr>
          <w:rFonts w:asciiTheme="majorBidi" w:hAnsiTheme="majorBidi" w:cstheme="majorBidi"/>
        </w:rPr>
        <w:t>It clearly illustrates that the threshold of threat doesn’t need to necessarily involve action, but sometimes the threat is someone’s mere existence. Here, it is the Palestinians in the Occupied Territories, elsewhere we saw it stretches to Palestinian citizens. Will it reach also Jewish Israeli</w:t>
      </w:r>
      <w:r w:rsidR="006916AF" w:rsidRPr="00286011">
        <w:rPr>
          <w:rFonts w:asciiTheme="majorBidi" w:hAnsiTheme="majorBidi" w:cstheme="majorBidi"/>
        </w:rPr>
        <w:t>s</w:t>
      </w:r>
      <w:r w:rsidR="00630AC8" w:rsidRPr="00286011">
        <w:rPr>
          <w:rFonts w:asciiTheme="majorBidi" w:hAnsiTheme="majorBidi" w:cstheme="majorBidi"/>
        </w:rPr>
        <w:t xml:space="preserve"> who oppose the colonial order that preserves Jewish supremacy on the land? </w:t>
      </w:r>
      <w:r w:rsidR="009C3FE3" w:rsidRPr="00286011">
        <w:rPr>
          <w:rFonts w:asciiTheme="majorBidi" w:hAnsiTheme="majorBidi" w:cstheme="majorBidi"/>
        </w:rPr>
        <w:t xml:space="preserve">Probably not (yet). </w:t>
      </w:r>
    </w:p>
    <w:p w14:paraId="4F5AA266" w14:textId="77777777" w:rsidR="00E82B39" w:rsidRPr="00286011" w:rsidRDefault="00E82B39" w:rsidP="005A6929">
      <w:pPr>
        <w:jc w:val="both"/>
        <w:rPr>
          <w:rFonts w:asciiTheme="majorBidi" w:hAnsiTheme="majorBidi" w:cstheme="majorBidi"/>
          <w:i/>
          <w:iCs/>
        </w:rPr>
      </w:pPr>
    </w:p>
    <w:p w14:paraId="7E88D8DF" w14:textId="23037E46" w:rsidR="00C75640" w:rsidRPr="00286011" w:rsidRDefault="00E82B39" w:rsidP="00E82B39">
      <w:pPr>
        <w:ind w:left="227" w:right="227"/>
        <w:rPr>
          <w:rFonts w:asciiTheme="majorBidi" w:hAnsiTheme="majorBidi" w:cstheme="majorBidi"/>
          <w:i/>
          <w:iCs/>
          <w:sz w:val="22"/>
          <w:szCs w:val="22"/>
        </w:rPr>
      </w:pPr>
      <w:r w:rsidRPr="00286011">
        <w:rPr>
          <w:rFonts w:asciiTheme="majorBidi" w:hAnsiTheme="majorBidi" w:cstheme="majorBidi"/>
          <w:i/>
          <w:iCs/>
          <w:sz w:val="22"/>
          <w:szCs w:val="22"/>
        </w:rPr>
        <w:t>Security instructions:</w:t>
      </w:r>
      <w:r w:rsidRPr="00286011">
        <w:rPr>
          <w:rFonts w:asciiTheme="majorBidi" w:hAnsiTheme="majorBidi" w:cstheme="majorBidi"/>
          <w:i/>
          <w:iCs/>
          <w:sz w:val="22"/>
          <w:szCs w:val="22"/>
        </w:rPr>
        <w:br/>
        <w:t>A man walking down the street glancing nervously from side to side and over his shoulder – shall be suspected of being an Arab terrorist.</w:t>
      </w:r>
      <w:r w:rsidRPr="00286011">
        <w:rPr>
          <w:rFonts w:asciiTheme="majorBidi" w:hAnsiTheme="majorBidi" w:cstheme="majorBidi"/>
          <w:i/>
          <w:iCs/>
          <w:sz w:val="22"/>
          <w:szCs w:val="22"/>
        </w:rPr>
        <w:br/>
        <w:t>A man walking down the street looking calmly ahead of him – shall be suspected of being a level-headed Arab terrorist.</w:t>
      </w:r>
      <w:r w:rsidRPr="00286011">
        <w:rPr>
          <w:rFonts w:asciiTheme="majorBidi" w:hAnsiTheme="majorBidi" w:cstheme="majorBidi"/>
          <w:i/>
          <w:iCs/>
          <w:sz w:val="22"/>
          <w:szCs w:val="22"/>
        </w:rPr>
        <w:br/>
        <w:t>A man walking down the street looking up at the sky – shall be suspected of being a religious Arab terrorist.</w:t>
      </w:r>
      <w:r w:rsidRPr="00286011">
        <w:rPr>
          <w:rFonts w:asciiTheme="majorBidi" w:hAnsiTheme="majorBidi" w:cstheme="majorBidi"/>
          <w:i/>
          <w:iCs/>
          <w:sz w:val="22"/>
          <w:szCs w:val="22"/>
        </w:rPr>
        <w:br/>
        <w:t>A man walking down the street staring at the ground – shall be suspected of being a shy Arab terrorist.</w:t>
      </w:r>
      <w:r w:rsidRPr="00286011">
        <w:rPr>
          <w:rFonts w:asciiTheme="majorBidi" w:hAnsiTheme="majorBidi" w:cstheme="majorBidi"/>
          <w:i/>
          <w:iCs/>
          <w:sz w:val="22"/>
          <w:szCs w:val="22"/>
        </w:rPr>
        <w:br/>
        <w:t>A man walking down the street with his eyes shut – shall be suspected of being a drowsy Arab terrorist.</w:t>
      </w:r>
      <w:r w:rsidRPr="00286011">
        <w:rPr>
          <w:rFonts w:asciiTheme="majorBidi" w:hAnsiTheme="majorBidi" w:cstheme="majorBidi"/>
          <w:i/>
          <w:iCs/>
          <w:sz w:val="22"/>
          <w:szCs w:val="22"/>
        </w:rPr>
        <w:br/>
        <w:t>A man not walking down the street – shall be suspected of being a sick Arab terrorist.</w:t>
      </w:r>
      <w:r w:rsidRPr="00286011">
        <w:rPr>
          <w:rFonts w:asciiTheme="majorBidi" w:hAnsiTheme="majorBidi" w:cstheme="majorBidi"/>
          <w:i/>
          <w:iCs/>
          <w:sz w:val="22"/>
          <w:szCs w:val="22"/>
        </w:rPr>
        <w:br/>
        <w:t xml:space="preserve">All the suspects listed above shall be arrested. In the event of an attempted escape, a warning shot will be fired in the air. The body will be taken to the forensic institute. </w:t>
      </w:r>
    </w:p>
    <w:p w14:paraId="3B4BB565" w14:textId="77777777" w:rsidR="006B394E" w:rsidRPr="00286011" w:rsidRDefault="006B394E" w:rsidP="006B394E">
      <w:pPr>
        <w:ind w:right="227"/>
        <w:rPr>
          <w:rFonts w:asciiTheme="majorBidi" w:hAnsiTheme="majorBidi" w:cstheme="majorBidi"/>
          <w:sz w:val="22"/>
          <w:szCs w:val="22"/>
        </w:rPr>
      </w:pPr>
    </w:p>
    <w:p w14:paraId="207F653B" w14:textId="006A80DC" w:rsidR="00604765" w:rsidRPr="00286011" w:rsidRDefault="00604765" w:rsidP="00E82B39">
      <w:pPr>
        <w:jc w:val="both"/>
        <w:rPr>
          <w:rFonts w:asciiTheme="majorBidi" w:hAnsiTheme="majorBidi" w:cstheme="majorBidi"/>
          <w:sz w:val="22"/>
          <w:szCs w:val="22"/>
          <w:rtl/>
        </w:rPr>
      </w:pPr>
    </w:p>
    <w:p w14:paraId="2719220A" w14:textId="11103F64" w:rsidR="00945B8B" w:rsidRPr="00286011" w:rsidRDefault="003948C4" w:rsidP="005A6929">
      <w:pPr>
        <w:jc w:val="both"/>
        <w:rPr>
          <w:rFonts w:asciiTheme="majorBidi" w:hAnsiTheme="majorBidi" w:cstheme="majorBidi"/>
          <w:b/>
          <w:bCs/>
        </w:rPr>
      </w:pPr>
      <w:r w:rsidRPr="00286011">
        <w:rPr>
          <w:rFonts w:asciiTheme="majorBidi" w:hAnsiTheme="majorBidi" w:cstheme="majorBidi"/>
          <w:b/>
          <w:bCs/>
        </w:rPr>
        <w:t>References</w:t>
      </w:r>
    </w:p>
    <w:p w14:paraId="375CACBB" w14:textId="77777777" w:rsidR="003948C4" w:rsidRPr="00286011" w:rsidRDefault="003948C4" w:rsidP="005A6929">
      <w:pPr>
        <w:jc w:val="both"/>
        <w:rPr>
          <w:rFonts w:asciiTheme="majorBidi" w:hAnsiTheme="majorBidi" w:cstheme="majorBidi"/>
          <w:b/>
          <w:bCs/>
        </w:rPr>
      </w:pPr>
    </w:p>
    <w:p w14:paraId="282E9B87"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Abel, R. (1998). ‘Speaking law to power: Occasions for cause lawyering’, in A </w:t>
      </w:r>
      <w:proofErr w:type="spellStart"/>
      <w:r w:rsidRPr="00286011">
        <w:rPr>
          <w:rFonts w:asciiTheme="majorBidi" w:hAnsiTheme="majorBidi" w:cstheme="majorBidi"/>
          <w:color w:val="000000" w:themeColor="text1"/>
        </w:rPr>
        <w:t>Sarat</w:t>
      </w:r>
      <w:proofErr w:type="spellEnd"/>
      <w:r w:rsidRPr="00286011">
        <w:rPr>
          <w:rFonts w:asciiTheme="majorBidi" w:hAnsiTheme="majorBidi" w:cstheme="majorBidi"/>
          <w:color w:val="000000" w:themeColor="text1"/>
        </w:rPr>
        <w:t xml:space="preserve">, and S </w:t>
      </w:r>
      <w:proofErr w:type="spellStart"/>
      <w:r w:rsidRPr="00286011">
        <w:rPr>
          <w:rFonts w:asciiTheme="majorBidi" w:hAnsiTheme="majorBidi" w:cstheme="majorBidi"/>
          <w:color w:val="000000" w:themeColor="text1"/>
        </w:rPr>
        <w:t>Scheingold</w:t>
      </w:r>
      <w:proofErr w:type="spellEnd"/>
      <w:r w:rsidRPr="00286011">
        <w:rPr>
          <w:rFonts w:asciiTheme="majorBidi" w:hAnsiTheme="majorBidi" w:cstheme="majorBidi"/>
          <w:color w:val="000000" w:themeColor="text1"/>
        </w:rPr>
        <w:t xml:space="preserve"> (eds) </w:t>
      </w:r>
      <w:r w:rsidRPr="00286011">
        <w:rPr>
          <w:rFonts w:asciiTheme="majorBidi" w:hAnsiTheme="majorBidi" w:cstheme="majorBidi"/>
          <w:i/>
          <w:color w:val="000000" w:themeColor="text1"/>
        </w:rPr>
        <w:t>Cause Lawyering: Political Commitments and Professional Responsibilities</w:t>
      </w:r>
      <w:r w:rsidRPr="00286011">
        <w:rPr>
          <w:rFonts w:asciiTheme="majorBidi" w:hAnsiTheme="majorBidi" w:cstheme="majorBidi"/>
          <w:color w:val="000000" w:themeColor="text1"/>
        </w:rPr>
        <w:t xml:space="preserve">, New York: Oxford University Press, pp 69-117. </w:t>
      </w:r>
    </w:p>
    <w:p w14:paraId="1F1159B2"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Adalah</w:t>
      </w:r>
      <w:proofErr w:type="spellEnd"/>
      <w:r w:rsidRPr="00286011">
        <w:rPr>
          <w:rFonts w:asciiTheme="majorBidi" w:hAnsiTheme="majorBidi" w:cstheme="majorBidi"/>
          <w:color w:val="000000" w:themeColor="text1"/>
        </w:rPr>
        <w:t xml:space="preserve"> (2003) </w:t>
      </w:r>
      <w:r w:rsidRPr="00286011">
        <w:rPr>
          <w:rFonts w:asciiTheme="majorBidi" w:hAnsiTheme="majorBidi" w:cstheme="majorBidi"/>
          <w:i/>
          <w:iCs/>
          <w:color w:val="000000" w:themeColor="text1"/>
        </w:rPr>
        <w:t>October 2000: Law and Politics Before the Or Commission of Inquiry</w:t>
      </w:r>
      <w:r w:rsidRPr="00286011">
        <w:rPr>
          <w:rFonts w:asciiTheme="majorBidi" w:hAnsiTheme="majorBidi" w:cstheme="majorBidi"/>
          <w:color w:val="000000" w:themeColor="text1"/>
        </w:rPr>
        <w:t xml:space="preserve">, Haifa: </w:t>
      </w:r>
      <w:proofErr w:type="spellStart"/>
      <w:r w:rsidRPr="00286011">
        <w:rPr>
          <w:rFonts w:asciiTheme="majorBidi" w:hAnsiTheme="majorBidi" w:cstheme="majorBidi"/>
          <w:color w:val="000000" w:themeColor="text1"/>
        </w:rPr>
        <w:t>Adalah</w:t>
      </w:r>
      <w:proofErr w:type="spellEnd"/>
      <w:r w:rsidRPr="00286011">
        <w:rPr>
          <w:rFonts w:asciiTheme="majorBidi" w:hAnsiTheme="majorBidi" w:cstheme="majorBidi"/>
          <w:color w:val="000000" w:themeColor="text1"/>
        </w:rPr>
        <w:t xml:space="preserve">. </w:t>
      </w:r>
    </w:p>
    <w:p w14:paraId="77AAB85C"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Association for Civil Right in Israel (2017) </w:t>
      </w:r>
      <w:r w:rsidRPr="00286011">
        <w:rPr>
          <w:rFonts w:asciiTheme="majorBidi" w:hAnsiTheme="majorBidi" w:cstheme="majorBidi"/>
          <w:i/>
          <w:iCs/>
          <w:color w:val="000000" w:themeColor="text1"/>
        </w:rPr>
        <w:t>Summoning political activists for ‘warning conversations’ in the Shin-Bet</w:t>
      </w:r>
      <w:r w:rsidRPr="00286011">
        <w:rPr>
          <w:rFonts w:asciiTheme="majorBidi" w:hAnsiTheme="majorBidi" w:cstheme="majorBidi"/>
          <w:color w:val="000000" w:themeColor="text1"/>
        </w:rPr>
        <w:t xml:space="preserve"> </w:t>
      </w:r>
      <w:hyperlink r:id="rId9" w:history="1">
        <w:r w:rsidRPr="00286011">
          <w:rPr>
            <w:rStyle w:val="Hyperlink"/>
            <w:rFonts w:asciiTheme="majorBidi" w:hAnsiTheme="majorBidi" w:cstheme="majorBidi"/>
            <w:color w:val="000000" w:themeColor="text1"/>
          </w:rPr>
          <w:t>https://law.acri.org.il/he/28085</w:t>
        </w:r>
      </w:hyperlink>
      <w:r w:rsidRPr="00286011">
        <w:rPr>
          <w:rFonts w:asciiTheme="majorBidi" w:hAnsiTheme="majorBidi" w:cstheme="majorBidi"/>
          <w:color w:val="000000" w:themeColor="text1"/>
        </w:rPr>
        <w:t xml:space="preserve"> [Hebrew] </w:t>
      </w:r>
    </w:p>
    <w:p w14:paraId="6B6F9230"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i/>
          <w:iCs/>
          <w:color w:val="000000" w:themeColor="text1"/>
        </w:rPr>
        <w:t>Association for Civil Right in Israel v The Security Service Agency and the Israeli Police</w:t>
      </w:r>
      <w:r w:rsidRPr="00286011">
        <w:rPr>
          <w:rFonts w:asciiTheme="majorBidi" w:hAnsiTheme="majorBidi" w:cstheme="majorBidi"/>
          <w:color w:val="000000" w:themeColor="text1"/>
        </w:rPr>
        <w:t xml:space="preserve"> [2013] Supreme Court Case 5277/13. </w:t>
      </w:r>
    </w:p>
    <w:p w14:paraId="32482384" w14:textId="77777777" w:rsidR="003948C4" w:rsidRPr="00286011" w:rsidRDefault="003948C4" w:rsidP="003948C4">
      <w:pPr>
        <w:shd w:val="clear" w:color="auto" w:fill="FFFFFF"/>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Barghouti, O. (2011) </w:t>
      </w:r>
      <w:r w:rsidRPr="00286011">
        <w:rPr>
          <w:rFonts w:asciiTheme="majorBidi" w:hAnsiTheme="majorBidi" w:cstheme="majorBidi"/>
          <w:i/>
          <w:iCs/>
          <w:color w:val="000000" w:themeColor="text1"/>
        </w:rPr>
        <w:t>BDS: boycott, divestment, sanctions: the global struggle for Palestinian Rights</w:t>
      </w:r>
      <w:r w:rsidRPr="00286011">
        <w:rPr>
          <w:rFonts w:asciiTheme="majorBidi" w:hAnsiTheme="majorBidi" w:cstheme="majorBidi"/>
          <w:color w:val="000000" w:themeColor="text1"/>
        </w:rPr>
        <w:t xml:space="preserve">, Chicago: Haymarket Books. </w:t>
      </w:r>
    </w:p>
    <w:p w14:paraId="14873DF9" w14:textId="77777777" w:rsidR="003948C4" w:rsidRPr="00286011" w:rsidRDefault="003948C4" w:rsidP="003948C4">
      <w:pPr>
        <w:shd w:val="clear" w:color="auto" w:fill="FFFFFF"/>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Ben </w:t>
      </w:r>
      <w:proofErr w:type="spellStart"/>
      <w:r w:rsidRPr="00286011">
        <w:rPr>
          <w:rFonts w:asciiTheme="majorBidi" w:hAnsiTheme="majorBidi" w:cstheme="majorBidi"/>
          <w:color w:val="000000" w:themeColor="text1"/>
        </w:rPr>
        <w:t>Kimon</w:t>
      </w:r>
      <w:proofErr w:type="spellEnd"/>
      <w:r w:rsidRPr="00286011">
        <w:rPr>
          <w:rFonts w:asciiTheme="majorBidi" w:hAnsiTheme="majorBidi" w:cstheme="majorBidi"/>
          <w:color w:val="000000" w:themeColor="text1"/>
        </w:rPr>
        <w:t xml:space="preserve"> E., </w:t>
      </w:r>
      <w:proofErr w:type="spellStart"/>
      <w:r w:rsidRPr="00286011">
        <w:rPr>
          <w:rFonts w:asciiTheme="majorBidi" w:hAnsiTheme="majorBidi" w:cstheme="majorBidi"/>
          <w:color w:val="000000" w:themeColor="text1"/>
        </w:rPr>
        <w:t>Zeytum</w:t>
      </w:r>
      <w:proofErr w:type="spellEnd"/>
      <w:r w:rsidRPr="00286011">
        <w:rPr>
          <w:rFonts w:asciiTheme="majorBidi" w:hAnsiTheme="majorBidi" w:cstheme="majorBidi"/>
          <w:color w:val="000000" w:themeColor="text1"/>
        </w:rPr>
        <w:t xml:space="preserve"> Y., and N. Fox (2022) ‘Combatants from </w:t>
      </w:r>
      <w:proofErr w:type="spellStart"/>
      <w:r w:rsidRPr="00286011">
        <w:rPr>
          <w:rFonts w:asciiTheme="majorBidi" w:hAnsiTheme="majorBidi" w:cstheme="majorBidi"/>
          <w:color w:val="000000" w:themeColor="text1"/>
        </w:rPr>
        <w:t>Giva’ati</w:t>
      </w:r>
      <w:proofErr w:type="spellEnd"/>
      <w:r w:rsidRPr="00286011">
        <w:rPr>
          <w:rFonts w:asciiTheme="majorBidi" w:hAnsiTheme="majorBidi" w:cstheme="majorBidi"/>
          <w:color w:val="000000" w:themeColor="text1"/>
        </w:rPr>
        <w:t xml:space="preserve"> attacked a leftist activists and were suspended: “Ben </w:t>
      </w:r>
      <w:proofErr w:type="spellStart"/>
      <w:r w:rsidRPr="00286011">
        <w:rPr>
          <w:rFonts w:asciiTheme="majorBidi" w:hAnsiTheme="majorBidi" w:cstheme="majorBidi"/>
          <w:color w:val="000000" w:themeColor="text1"/>
        </w:rPr>
        <w:t>Gvir</w:t>
      </w:r>
      <w:proofErr w:type="spellEnd"/>
      <w:r w:rsidRPr="00286011">
        <w:rPr>
          <w:rFonts w:asciiTheme="majorBidi" w:hAnsiTheme="majorBidi" w:cstheme="majorBidi"/>
          <w:color w:val="000000" w:themeColor="text1"/>
        </w:rPr>
        <w:t xml:space="preserve"> will put order here”’, </w:t>
      </w:r>
      <w:proofErr w:type="spellStart"/>
      <w:r w:rsidRPr="00286011">
        <w:rPr>
          <w:rFonts w:asciiTheme="majorBidi" w:hAnsiTheme="majorBidi" w:cstheme="majorBidi"/>
          <w:i/>
          <w:iCs/>
          <w:color w:val="000000" w:themeColor="text1"/>
        </w:rPr>
        <w:t>Ynet</w:t>
      </w:r>
      <w:proofErr w:type="spellEnd"/>
      <w:r w:rsidRPr="00286011">
        <w:rPr>
          <w:rFonts w:asciiTheme="majorBidi" w:hAnsiTheme="majorBidi" w:cstheme="majorBidi"/>
          <w:color w:val="000000" w:themeColor="text1"/>
        </w:rPr>
        <w:t xml:space="preserve"> </w:t>
      </w:r>
      <w:hyperlink r:id="rId10" w:history="1">
        <w:r w:rsidRPr="00286011">
          <w:rPr>
            <w:rStyle w:val="Hyperlink"/>
            <w:rFonts w:asciiTheme="majorBidi" w:hAnsiTheme="majorBidi" w:cstheme="majorBidi"/>
            <w:color w:val="000000" w:themeColor="text1"/>
          </w:rPr>
          <w:t>https://www.ynet.co.il/news/article/bk9jtnrus</w:t>
        </w:r>
      </w:hyperlink>
      <w:r w:rsidRPr="00286011">
        <w:rPr>
          <w:rFonts w:asciiTheme="majorBidi" w:hAnsiTheme="majorBidi" w:cstheme="majorBidi"/>
          <w:color w:val="000000" w:themeColor="text1"/>
        </w:rPr>
        <w:t xml:space="preserve"> [Hebrew]</w:t>
      </w:r>
    </w:p>
    <w:p w14:paraId="236123B8" w14:textId="77777777" w:rsidR="003948C4" w:rsidRPr="00286011" w:rsidRDefault="003948C4" w:rsidP="003948C4">
      <w:pPr>
        <w:spacing w:after="60"/>
        <w:jc w:val="both"/>
        <w:rPr>
          <w:rFonts w:asciiTheme="majorBidi" w:eastAsia="Times New Roman" w:hAnsiTheme="majorBidi" w:cstheme="majorBidi"/>
          <w:color w:val="000000" w:themeColor="text1"/>
          <w:shd w:val="clear" w:color="auto" w:fill="FFFFFF"/>
          <w:lang w:eastAsia="en-GB"/>
        </w:rPr>
      </w:pPr>
      <w:r w:rsidRPr="00286011">
        <w:rPr>
          <w:rFonts w:asciiTheme="majorBidi" w:eastAsia="Times New Roman" w:hAnsiTheme="majorBidi" w:cstheme="majorBidi"/>
          <w:color w:val="000000" w:themeColor="text1"/>
          <w:shd w:val="clear" w:color="auto" w:fill="FFFFFF"/>
          <w:lang w:eastAsia="en-GB"/>
        </w:rPr>
        <w:t xml:space="preserve">Benjamin, W. (2002) </w:t>
      </w:r>
      <w:r w:rsidRPr="00286011">
        <w:rPr>
          <w:rFonts w:asciiTheme="majorBidi" w:eastAsia="Times New Roman" w:hAnsiTheme="majorBidi" w:cstheme="majorBidi"/>
          <w:i/>
          <w:iCs/>
          <w:color w:val="000000" w:themeColor="text1"/>
          <w:shd w:val="clear" w:color="auto" w:fill="FFFFFF"/>
          <w:lang w:eastAsia="en-GB"/>
        </w:rPr>
        <w:t>The Arcades Project</w:t>
      </w:r>
      <w:r w:rsidRPr="00286011">
        <w:rPr>
          <w:rFonts w:asciiTheme="majorBidi" w:eastAsia="Times New Roman" w:hAnsiTheme="majorBidi" w:cstheme="majorBidi"/>
          <w:color w:val="000000" w:themeColor="text1"/>
          <w:shd w:val="clear" w:color="auto" w:fill="FFFFFF"/>
          <w:lang w:eastAsia="en-GB"/>
        </w:rPr>
        <w:t xml:space="preserve">, new edition, Cambridge, MA: Harvard University Press. </w:t>
      </w:r>
    </w:p>
    <w:p w14:paraId="60A40E67"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Berda</w:t>
      </w:r>
      <w:proofErr w:type="spellEnd"/>
      <w:r w:rsidRPr="00286011">
        <w:rPr>
          <w:rFonts w:asciiTheme="majorBidi" w:hAnsiTheme="majorBidi" w:cstheme="majorBidi"/>
          <w:color w:val="000000" w:themeColor="text1"/>
        </w:rPr>
        <w:t>, Y. (2020) ‘Managing ‘dangerous populations’: How colonial emergency laws shape citizenship’, </w:t>
      </w:r>
      <w:r w:rsidRPr="00286011">
        <w:rPr>
          <w:rFonts w:asciiTheme="majorBidi" w:hAnsiTheme="majorBidi" w:cstheme="majorBidi"/>
          <w:i/>
          <w:iCs/>
          <w:color w:val="000000" w:themeColor="text1"/>
        </w:rPr>
        <w:t>Security Dialogue</w:t>
      </w:r>
      <w:r w:rsidRPr="00286011">
        <w:rPr>
          <w:rFonts w:asciiTheme="majorBidi" w:hAnsiTheme="majorBidi" w:cstheme="majorBidi"/>
          <w:color w:val="000000" w:themeColor="text1"/>
        </w:rPr>
        <w:t xml:space="preserve">, vol 51, no 6, pp 557- 578.  </w:t>
      </w:r>
    </w:p>
    <w:p w14:paraId="10C966FA"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Boycott, Divestment and Sanctions Movement (2005) </w:t>
      </w:r>
      <w:r w:rsidRPr="00286011">
        <w:rPr>
          <w:rFonts w:asciiTheme="majorBidi" w:hAnsiTheme="majorBidi" w:cstheme="majorBidi"/>
          <w:i/>
          <w:iCs/>
          <w:color w:val="000000" w:themeColor="text1"/>
        </w:rPr>
        <w:t>The Call for Boycott, Divestment and Sanctions</w:t>
      </w:r>
      <w:r w:rsidRPr="00286011">
        <w:rPr>
          <w:rFonts w:asciiTheme="majorBidi" w:hAnsiTheme="majorBidi" w:cstheme="majorBidi"/>
          <w:color w:val="000000" w:themeColor="text1"/>
        </w:rPr>
        <w:t xml:space="preserve"> </w:t>
      </w:r>
      <w:hyperlink r:id="rId11" w:history="1">
        <w:r w:rsidRPr="00286011">
          <w:rPr>
            <w:rStyle w:val="Hyperlink"/>
            <w:rFonts w:asciiTheme="majorBidi" w:hAnsiTheme="majorBidi" w:cstheme="majorBidi"/>
            <w:color w:val="000000" w:themeColor="text1"/>
          </w:rPr>
          <w:t>https://bdsmovement.net/what-is-bds</w:t>
        </w:r>
      </w:hyperlink>
      <w:r w:rsidRPr="00286011">
        <w:rPr>
          <w:rFonts w:asciiTheme="majorBidi" w:hAnsiTheme="majorBidi" w:cstheme="majorBidi"/>
          <w:color w:val="000000" w:themeColor="text1"/>
        </w:rPr>
        <w:t xml:space="preserve">  </w:t>
      </w:r>
    </w:p>
    <w:p w14:paraId="19804B55"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Brinn</w:t>
      </w:r>
      <w:proofErr w:type="spellEnd"/>
      <w:r w:rsidRPr="00286011">
        <w:rPr>
          <w:rFonts w:asciiTheme="majorBidi" w:hAnsiTheme="majorBidi" w:cstheme="majorBidi"/>
          <w:color w:val="000000" w:themeColor="text1"/>
        </w:rPr>
        <w:t xml:space="preserve">, LA. (2012) ‘The Israeli anti-boycott law: Balancing the need for national legitimacy against the rights of dissenting individuals’, </w:t>
      </w:r>
      <w:r w:rsidRPr="00286011">
        <w:rPr>
          <w:rFonts w:asciiTheme="majorBidi" w:hAnsiTheme="majorBidi" w:cstheme="majorBidi"/>
          <w:i/>
          <w:iCs/>
          <w:color w:val="000000" w:themeColor="text1"/>
        </w:rPr>
        <w:t xml:space="preserve">Brooklyn Journal of International Law, </w:t>
      </w:r>
      <w:r w:rsidRPr="00286011">
        <w:rPr>
          <w:rFonts w:asciiTheme="majorBidi" w:hAnsiTheme="majorBidi" w:cstheme="majorBidi"/>
          <w:color w:val="000000" w:themeColor="text1"/>
        </w:rPr>
        <w:t xml:space="preserve">vol 38, no 1, pp 345-372. </w:t>
      </w:r>
    </w:p>
    <w:p w14:paraId="69D6AC6E"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Bruckenhaus</w:t>
      </w:r>
      <w:proofErr w:type="spellEnd"/>
      <w:r w:rsidRPr="00286011">
        <w:rPr>
          <w:rFonts w:asciiTheme="majorBidi" w:hAnsiTheme="majorBidi" w:cstheme="majorBidi"/>
          <w:color w:val="000000" w:themeColor="text1"/>
        </w:rPr>
        <w:t xml:space="preserve">, D. (2017) </w:t>
      </w:r>
      <w:r w:rsidRPr="00286011">
        <w:rPr>
          <w:rFonts w:asciiTheme="majorBidi" w:hAnsiTheme="majorBidi" w:cstheme="majorBidi"/>
          <w:i/>
          <w:iCs/>
          <w:color w:val="000000" w:themeColor="text1"/>
        </w:rPr>
        <w:t xml:space="preserve">Policing Transnational Protest: Liberal Imperialism and the Surveillance of </w:t>
      </w:r>
      <w:proofErr w:type="spellStart"/>
      <w:r w:rsidRPr="00286011">
        <w:rPr>
          <w:rFonts w:asciiTheme="majorBidi" w:hAnsiTheme="majorBidi" w:cstheme="majorBidi"/>
          <w:i/>
          <w:iCs/>
          <w:color w:val="000000" w:themeColor="text1"/>
        </w:rPr>
        <w:t>Anticolonialists</w:t>
      </w:r>
      <w:proofErr w:type="spellEnd"/>
      <w:r w:rsidRPr="00286011">
        <w:rPr>
          <w:rFonts w:asciiTheme="majorBidi" w:hAnsiTheme="majorBidi" w:cstheme="majorBidi"/>
          <w:i/>
          <w:iCs/>
          <w:color w:val="000000" w:themeColor="text1"/>
        </w:rPr>
        <w:t xml:space="preserve"> in Europe 1905-1945</w:t>
      </w:r>
      <w:r w:rsidRPr="00286011">
        <w:rPr>
          <w:rFonts w:asciiTheme="majorBidi" w:hAnsiTheme="majorBidi" w:cstheme="majorBidi"/>
          <w:color w:val="000000" w:themeColor="text1"/>
        </w:rPr>
        <w:t xml:space="preserve">, New York: Oxford University Press. </w:t>
      </w:r>
    </w:p>
    <w:p w14:paraId="6BA1ECC6" w14:textId="77777777" w:rsidR="003948C4" w:rsidRPr="00286011" w:rsidRDefault="003948C4" w:rsidP="003948C4">
      <w:pPr>
        <w:pStyle w:val="Heading1"/>
        <w:spacing w:before="0" w:beforeAutospacing="0" w:after="60" w:afterAutospacing="0"/>
        <w:jc w:val="both"/>
        <w:rPr>
          <w:rFonts w:asciiTheme="majorBidi" w:hAnsiTheme="majorBidi" w:cstheme="majorBidi"/>
          <w:b w:val="0"/>
          <w:bCs w:val="0"/>
          <w:color w:val="000000" w:themeColor="text1"/>
          <w:sz w:val="24"/>
          <w:szCs w:val="24"/>
        </w:rPr>
      </w:pPr>
      <w:proofErr w:type="spellStart"/>
      <w:r w:rsidRPr="00286011">
        <w:rPr>
          <w:rFonts w:asciiTheme="majorBidi" w:hAnsiTheme="majorBidi" w:cstheme="majorBidi"/>
          <w:b w:val="0"/>
          <w:bCs w:val="0"/>
          <w:color w:val="000000" w:themeColor="text1"/>
          <w:sz w:val="24"/>
          <w:szCs w:val="24"/>
        </w:rPr>
        <w:t>Chamayou</w:t>
      </w:r>
      <w:proofErr w:type="spellEnd"/>
      <w:r w:rsidRPr="00286011">
        <w:rPr>
          <w:rFonts w:asciiTheme="majorBidi" w:hAnsiTheme="majorBidi" w:cstheme="majorBidi"/>
          <w:b w:val="0"/>
          <w:bCs w:val="0"/>
          <w:color w:val="000000" w:themeColor="text1"/>
          <w:sz w:val="24"/>
          <w:szCs w:val="24"/>
        </w:rPr>
        <w:t xml:space="preserve">, G. (2021) “Postface: </w:t>
      </w:r>
      <w:proofErr w:type="spellStart"/>
      <w:r w:rsidRPr="00286011">
        <w:rPr>
          <w:rFonts w:asciiTheme="majorBidi" w:hAnsiTheme="majorBidi" w:cstheme="majorBidi"/>
          <w:b w:val="0"/>
          <w:bCs w:val="0"/>
          <w:color w:val="000000" w:themeColor="text1"/>
          <w:sz w:val="24"/>
          <w:szCs w:val="24"/>
        </w:rPr>
        <w:t>Qu’est-ce</w:t>
      </w:r>
      <w:proofErr w:type="spellEnd"/>
      <w:r w:rsidRPr="00286011">
        <w:rPr>
          <w:rFonts w:asciiTheme="majorBidi" w:hAnsiTheme="majorBidi" w:cstheme="majorBidi"/>
          <w:b w:val="0"/>
          <w:bCs w:val="0"/>
          <w:color w:val="000000" w:themeColor="text1"/>
          <w:sz w:val="24"/>
          <w:szCs w:val="24"/>
        </w:rPr>
        <w:t xml:space="preserve"> </w:t>
      </w:r>
      <w:proofErr w:type="spellStart"/>
      <w:r w:rsidRPr="00286011">
        <w:rPr>
          <w:rFonts w:asciiTheme="majorBidi" w:hAnsiTheme="majorBidi" w:cstheme="majorBidi"/>
          <w:b w:val="0"/>
          <w:bCs w:val="0"/>
          <w:color w:val="000000" w:themeColor="text1"/>
          <w:sz w:val="24"/>
          <w:szCs w:val="24"/>
        </w:rPr>
        <w:t>qu’un</w:t>
      </w:r>
      <w:proofErr w:type="spellEnd"/>
      <w:r w:rsidRPr="00286011">
        <w:rPr>
          <w:rFonts w:asciiTheme="majorBidi" w:hAnsiTheme="majorBidi" w:cstheme="majorBidi"/>
          <w:b w:val="0"/>
          <w:bCs w:val="0"/>
          <w:color w:val="000000" w:themeColor="text1"/>
          <w:sz w:val="24"/>
          <w:szCs w:val="24"/>
        </w:rPr>
        <w:t xml:space="preserve"> </w:t>
      </w:r>
      <w:proofErr w:type="spellStart"/>
      <w:r w:rsidRPr="00286011">
        <w:rPr>
          <w:rFonts w:asciiTheme="majorBidi" w:hAnsiTheme="majorBidi" w:cstheme="majorBidi"/>
          <w:b w:val="0"/>
          <w:bCs w:val="0"/>
          <w:color w:val="000000" w:themeColor="text1"/>
          <w:sz w:val="24"/>
          <w:szCs w:val="24"/>
        </w:rPr>
        <w:t>seuil</w:t>
      </w:r>
      <w:proofErr w:type="spellEnd"/>
      <w:r w:rsidRPr="00286011">
        <w:rPr>
          <w:rFonts w:asciiTheme="majorBidi" w:hAnsiTheme="majorBidi" w:cstheme="majorBidi"/>
          <w:b w:val="0"/>
          <w:bCs w:val="0"/>
          <w:color w:val="000000" w:themeColor="text1"/>
          <w:sz w:val="24"/>
          <w:szCs w:val="24"/>
        </w:rPr>
        <w:t xml:space="preserve"> ?” in Weizman, E </w:t>
      </w:r>
      <w:r w:rsidRPr="00286011">
        <w:rPr>
          <w:rFonts w:asciiTheme="majorBidi" w:hAnsiTheme="majorBidi" w:cstheme="majorBidi"/>
          <w:b w:val="0"/>
          <w:bCs w:val="0"/>
          <w:i/>
          <w:iCs/>
          <w:color w:val="000000" w:themeColor="text1"/>
          <w:sz w:val="24"/>
          <w:szCs w:val="24"/>
        </w:rPr>
        <w:t xml:space="preserve">La </w:t>
      </w:r>
      <w:proofErr w:type="spellStart"/>
      <w:r w:rsidRPr="00286011">
        <w:rPr>
          <w:rFonts w:asciiTheme="majorBidi" w:hAnsiTheme="majorBidi" w:cstheme="majorBidi"/>
          <w:b w:val="0"/>
          <w:bCs w:val="0"/>
          <w:i/>
          <w:iCs/>
          <w:color w:val="000000" w:themeColor="text1"/>
          <w:sz w:val="24"/>
          <w:szCs w:val="24"/>
        </w:rPr>
        <w:t>vérité</w:t>
      </w:r>
      <w:proofErr w:type="spellEnd"/>
      <w:r w:rsidRPr="00286011">
        <w:rPr>
          <w:rFonts w:asciiTheme="majorBidi" w:hAnsiTheme="majorBidi" w:cstheme="majorBidi"/>
          <w:b w:val="0"/>
          <w:bCs w:val="0"/>
          <w:i/>
          <w:iCs/>
          <w:color w:val="000000" w:themeColor="text1"/>
          <w:sz w:val="24"/>
          <w:szCs w:val="24"/>
        </w:rPr>
        <w:t xml:space="preserve"> </w:t>
      </w:r>
      <w:proofErr w:type="spellStart"/>
      <w:r w:rsidRPr="00286011">
        <w:rPr>
          <w:rFonts w:asciiTheme="majorBidi" w:hAnsiTheme="majorBidi" w:cstheme="majorBidi"/>
          <w:b w:val="0"/>
          <w:bCs w:val="0"/>
          <w:i/>
          <w:iCs/>
          <w:color w:val="000000" w:themeColor="text1"/>
          <w:sz w:val="24"/>
          <w:szCs w:val="24"/>
        </w:rPr>
        <w:t>en</w:t>
      </w:r>
      <w:proofErr w:type="spellEnd"/>
      <w:r w:rsidRPr="00286011">
        <w:rPr>
          <w:rFonts w:asciiTheme="majorBidi" w:hAnsiTheme="majorBidi" w:cstheme="majorBidi"/>
          <w:b w:val="0"/>
          <w:bCs w:val="0"/>
          <w:i/>
          <w:iCs/>
          <w:color w:val="000000" w:themeColor="text1"/>
          <w:sz w:val="24"/>
          <w:szCs w:val="24"/>
        </w:rPr>
        <w:t xml:space="preserve"> </w:t>
      </w:r>
      <w:proofErr w:type="spellStart"/>
      <w:r w:rsidRPr="00286011">
        <w:rPr>
          <w:rFonts w:asciiTheme="majorBidi" w:hAnsiTheme="majorBidi" w:cstheme="majorBidi"/>
          <w:b w:val="0"/>
          <w:bCs w:val="0"/>
          <w:i/>
          <w:iCs/>
          <w:color w:val="000000" w:themeColor="text1"/>
          <w:sz w:val="24"/>
          <w:szCs w:val="24"/>
        </w:rPr>
        <w:t>ruines</w:t>
      </w:r>
      <w:proofErr w:type="spellEnd"/>
      <w:r w:rsidRPr="00286011">
        <w:rPr>
          <w:rFonts w:asciiTheme="majorBidi" w:hAnsiTheme="majorBidi" w:cstheme="majorBidi"/>
          <w:b w:val="0"/>
          <w:bCs w:val="0"/>
          <w:i/>
          <w:iCs/>
          <w:color w:val="000000" w:themeColor="text1"/>
          <w:sz w:val="24"/>
          <w:szCs w:val="24"/>
        </w:rPr>
        <w:t xml:space="preserve"> - </w:t>
      </w:r>
      <w:proofErr w:type="spellStart"/>
      <w:r w:rsidRPr="00286011">
        <w:rPr>
          <w:rFonts w:asciiTheme="majorBidi" w:hAnsiTheme="majorBidi" w:cstheme="majorBidi"/>
          <w:b w:val="0"/>
          <w:bCs w:val="0"/>
          <w:i/>
          <w:iCs/>
          <w:color w:val="000000" w:themeColor="text1"/>
          <w:sz w:val="24"/>
          <w:szCs w:val="24"/>
        </w:rPr>
        <w:t>Manifeste</w:t>
      </w:r>
      <w:proofErr w:type="spellEnd"/>
      <w:r w:rsidRPr="00286011">
        <w:rPr>
          <w:rFonts w:asciiTheme="majorBidi" w:hAnsiTheme="majorBidi" w:cstheme="majorBidi"/>
          <w:b w:val="0"/>
          <w:bCs w:val="0"/>
          <w:i/>
          <w:iCs/>
          <w:color w:val="000000" w:themeColor="text1"/>
          <w:sz w:val="24"/>
          <w:szCs w:val="24"/>
        </w:rPr>
        <w:t xml:space="preserve"> pour </w:t>
      </w:r>
      <w:proofErr w:type="spellStart"/>
      <w:r w:rsidRPr="00286011">
        <w:rPr>
          <w:rFonts w:asciiTheme="majorBidi" w:hAnsiTheme="majorBidi" w:cstheme="majorBidi"/>
          <w:b w:val="0"/>
          <w:bCs w:val="0"/>
          <w:i/>
          <w:iCs/>
          <w:color w:val="000000" w:themeColor="text1"/>
          <w:sz w:val="24"/>
          <w:szCs w:val="24"/>
        </w:rPr>
        <w:t>une</w:t>
      </w:r>
      <w:proofErr w:type="spellEnd"/>
      <w:r w:rsidRPr="00286011">
        <w:rPr>
          <w:rFonts w:asciiTheme="majorBidi" w:hAnsiTheme="majorBidi" w:cstheme="majorBidi"/>
          <w:b w:val="0"/>
          <w:bCs w:val="0"/>
          <w:i/>
          <w:iCs/>
          <w:color w:val="000000" w:themeColor="text1"/>
          <w:sz w:val="24"/>
          <w:szCs w:val="24"/>
        </w:rPr>
        <w:t xml:space="preserve"> architecture </w:t>
      </w:r>
      <w:proofErr w:type="spellStart"/>
      <w:r w:rsidRPr="00286011">
        <w:rPr>
          <w:rFonts w:asciiTheme="majorBidi" w:hAnsiTheme="majorBidi" w:cstheme="majorBidi"/>
          <w:b w:val="0"/>
          <w:bCs w:val="0"/>
          <w:i/>
          <w:iCs/>
          <w:color w:val="000000" w:themeColor="text1"/>
          <w:sz w:val="24"/>
          <w:szCs w:val="24"/>
        </w:rPr>
        <w:t>forensique</w:t>
      </w:r>
      <w:proofErr w:type="spellEnd"/>
      <w:r w:rsidRPr="00286011">
        <w:rPr>
          <w:rFonts w:asciiTheme="majorBidi" w:hAnsiTheme="majorBidi" w:cstheme="majorBidi"/>
          <w:b w:val="0"/>
          <w:bCs w:val="0"/>
          <w:color w:val="000000" w:themeColor="text1"/>
          <w:sz w:val="24"/>
          <w:szCs w:val="24"/>
        </w:rPr>
        <w:t xml:space="preserve">. Paris: Zone. [French] </w:t>
      </w:r>
    </w:p>
    <w:p w14:paraId="3E054896" w14:textId="77777777" w:rsidR="003948C4" w:rsidRPr="00286011" w:rsidRDefault="003948C4" w:rsidP="003948C4">
      <w:pPr>
        <w:pStyle w:val="Heading1"/>
        <w:spacing w:before="0" w:beforeAutospacing="0" w:after="60" w:afterAutospacing="0"/>
        <w:jc w:val="both"/>
        <w:rPr>
          <w:rFonts w:asciiTheme="majorBidi" w:hAnsiTheme="majorBidi" w:cstheme="majorBidi"/>
          <w:b w:val="0"/>
          <w:bCs w:val="0"/>
          <w:color w:val="000000" w:themeColor="text1"/>
          <w:sz w:val="24"/>
          <w:szCs w:val="24"/>
        </w:rPr>
      </w:pPr>
      <w:proofErr w:type="spellStart"/>
      <w:r w:rsidRPr="00286011">
        <w:rPr>
          <w:rFonts w:asciiTheme="majorBidi" w:hAnsiTheme="majorBidi" w:cstheme="majorBidi"/>
          <w:b w:val="0"/>
          <w:bCs w:val="0"/>
          <w:color w:val="000000" w:themeColor="text1"/>
          <w:sz w:val="24"/>
          <w:szCs w:val="24"/>
          <w:shd w:val="clear" w:color="auto" w:fill="FFFFFF"/>
        </w:rPr>
        <w:t>Choudry</w:t>
      </w:r>
      <w:proofErr w:type="spellEnd"/>
      <w:r w:rsidRPr="00286011">
        <w:rPr>
          <w:rFonts w:asciiTheme="majorBidi" w:hAnsiTheme="majorBidi" w:cstheme="majorBidi"/>
          <w:b w:val="0"/>
          <w:bCs w:val="0"/>
          <w:color w:val="000000" w:themeColor="text1"/>
          <w:sz w:val="24"/>
          <w:szCs w:val="24"/>
          <w:shd w:val="clear" w:color="auto" w:fill="FFFFFF"/>
        </w:rPr>
        <w:t xml:space="preserve">, A. (ed) (2019) </w:t>
      </w:r>
      <w:r w:rsidRPr="00286011">
        <w:rPr>
          <w:rFonts w:asciiTheme="majorBidi" w:hAnsiTheme="majorBidi" w:cstheme="majorBidi"/>
          <w:b w:val="0"/>
          <w:bCs w:val="0"/>
          <w:i/>
          <w:iCs/>
          <w:color w:val="000000" w:themeColor="text1"/>
          <w:sz w:val="24"/>
          <w:szCs w:val="24"/>
          <w:shd w:val="clear" w:color="auto" w:fill="FFFFFF"/>
        </w:rPr>
        <w:t xml:space="preserve">Activists and the surveillance state: learning from repression, </w:t>
      </w:r>
      <w:r w:rsidRPr="00286011">
        <w:rPr>
          <w:rFonts w:asciiTheme="majorBidi" w:hAnsiTheme="majorBidi" w:cstheme="majorBidi"/>
          <w:b w:val="0"/>
          <w:bCs w:val="0"/>
          <w:color w:val="000000" w:themeColor="text1"/>
          <w:sz w:val="24"/>
          <w:szCs w:val="24"/>
          <w:shd w:val="clear" w:color="auto" w:fill="FFFFFF"/>
        </w:rPr>
        <w:t xml:space="preserve">London: Pluto Press. </w:t>
      </w:r>
    </w:p>
    <w:p w14:paraId="6BBE889E"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Gabel, P. and Harris P. (1982-1983) ‘Building Power and Breaking Images: Critical Legal Theory and the Practice of Law’, </w:t>
      </w:r>
      <w:r w:rsidRPr="00286011">
        <w:rPr>
          <w:rFonts w:asciiTheme="majorBidi" w:hAnsiTheme="majorBidi" w:cstheme="majorBidi"/>
          <w:i/>
          <w:color w:val="000000" w:themeColor="text1"/>
        </w:rPr>
        <w:t>NYU Review of Law and Social Change,</w:t>
      </w:r>
      <w:r w:rsidRPr="00286011">
        <w:rPr>
          <w:rFonts w:asciiTheme="majorBidi" w:hAnsiTheme="majorBidi" w:cstheme="majorBidi"/>
          <w:color w:val="000000" w:themeColor="text1"/>
        </w:rPr>
        <w:t xml:space="preserve"> vol 11, pp 369-411.</w:t>
      </w:r>
    </w:p>
    <w:p w14:paraId="078C0558"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Gabizon</w:t>
      </w:r>
      <w:proofErr w:type="spellEnd"/>
      <w:r w:rsidRPr="00286011">
        <w:rPr>
          <w:rFonts w:asciiTheme="majorBidi" w:hAnsiTheme="majorBidi" w:cstheme="majorBidi"/>
          <w:color w:val="000000" w:themeColor="text1"/>
        </w:rPr>
        <w:t xml:space="preserve">, R. (1999) </w:t>
      </w:r>
      <w:r w:rsidRPr="00286011">
        <w:rPr>
          <w:rFonts w:asciiTheme="majorBidi" w:hAnsiTheme="majorBidi" w:cstheme="majorBidi"/>
          <w:i/>
          <w:iCs/>
          <w:color w:val="000000" w:themeColor="text1"/>
        </w:rPr>
        <w:t>Israel as a Jewish and Democratic State: Tensions and Possibilities</w:t>
      </w:r>
      <w:r w:rsidRPr="00286011">
        <w:rPr>
          <w:rFonts w:asciiTheme="majorBidi" w:hAnsiTheme="majorBidi" w:cstheme="majorBidi"/>
          <w:color w:val="000000" w:themeColor="text1"/>
        </w:rPr>
        <w:t>, Tel Aviv: ha-Kibbutz ha-</w:t>
      </w:r>
      <w:proofErr w:type="spellStart"/>
      <w:r w:rsidRPr="00286011">
        <w:rPr>
          <w:rFonts w:asciiTheme="majorBidi" w:hAnsiTheme="majorBidi" w:cstheme="majorBidi"/>
          <w:color w:val="000000" w:themeColor="text1"/>
        </w:rPr>
        <w:t>Meuhad</w:t>
      </w:r>
      <w:proofErr w:type="spellEnd"/>
      <w:r w:rsidRPr="00286011">
        <w:rPr>
          <w:rFonts w:asciiTheme="majorBidi" w:hAnsiTheme="majorBidi" w:cstheme="majorBidi"/>
          <w:color w:val="000000" w:themeColor="text1"/>
        </w:rPr>
        <w:t>. [Hebrew]</w:t>
      </w:r>
    </w:p>
    <w:p w14:paraId="21B5C2D5"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Giddens, A (1985) </w:t>
      </w:r>
      <w:r w:rsidRPr="00286011">
        <w:rPr>
          <w:rFonts w:asciiTheme="majorBidi" w:hAnsiTheme="majorBidi" w:cstheme="majorBidi"/>
          <w:i/>
          <w:color w:val="000000" w:themeColor="text1"/>
        </w:rPr>
        <w:t>A Contemporary Critique of Historical Materialism: The Nation State and Violence</w:t>
      </w:r>
      <w:r w:rsidRPr="00286011">
        <w:rPr>
          <w:rFonts w:asciiTheme="majorBidi" w:hAnsiTheme="majorBidi" w:cstheme="majorBidi"/>
          <w:color w:val="000000" w:themeColor="text1"/>
        </w:rPr>
        <w:t>, London: Polity.</w:t>
      </w:r>
    </w:p>
    <w:p w14:paraId="55003241" w14:textId="77777777" w:rsidR="003948C4" w:rsidRPr="00286011" w:rsidRDefault="003948C4" w:rsidP="003948C4">
      <w:pPr>
        <w:spacing w:after="60"/>
        <w:jc w:val="both"/>
        <w:rPr>
          <w:rStyle w:val="authors"/>
          <w:rFonts w:asciiTheme="majorBidi" w:hAnsiTheme="majorBidi" w:cstheme="majorBidi"/>
          <w:color w:val="000000" w:themeColor="text1"/>
        </w:rPr>
      </w:pPr>
      <w:r w:rsidRPr="00286011">
        <w:rPr>
          <w:rFonts w:asciiTheme="majorBidi" w:hAnsiTheme="majorBidi" w:cstheme="majorBidi"/>
          <w:color w:val="000000" w:themeColor="text1"/>
        </w:rPr>
        <w:t xml:space="preserve">Gilroy, P. (1987) </w:t>
      </w:r>
      <w:r w:rsidRPr="00286011">
        <w:rPr>
          <w:rFonts w:asciiTheme="majorBidi" w:hAnsiTheme="majorBidi" w:cstheme="majorBidi"/>
          <w:i/>
          <w:color w:val="000000" w:themeColor="text1"/>
        </w:rPr>
        <w:t xml:space="preserve">There </w:t>
      </w:r>
      <w:proofErr w:type="spellStart"/>
      <w:r w:rsidRPr="00286011">
        <w:rPr>
          <w:rFonts w:asciiTheme="majorBidi" w:hAnsiTheme="majorBidi" w:cstheme="majorBidi"/>
          <w:i/>
          <w:color w:val="000000" w:themeColor="text1"/>
        </w:rPr>
        <w:t>Ain’t</w:t>
      </w:r>
      <w:proofErr w:type="spellEnd"/>
      <w:r w:rsidRPr="00286011">
        <w:rPr>
          <w:rFonts w:asciiTheme="majorBidi" w:hAnsiTheme="majorBidi" w:cstheme="majorBidi"/>
          <w:i/>
          <w:color w:val="000000" w:themeColor="text1"/>
        </w:rPr>
        <w:t xml:space="preserve"> No Black in the Union Jack: The Cultural Politics of Race and Nation</w:t>
      </w:r>
      <w:r w:rsidRPr="00286011">
        <w:rPr>
          <w:rFonts w:asciiTheme="majorBidi" w:hAnsiTheme="majorBidi" w:cstheme="majorBidi"/>
          <w:color w:val="000000" w:themeColor="text1"/>
        </w:rPr>
        <w:t>, London: Hutchinson.</w:t>
      </w:r>
    </w:p>
    <w:p w14:paraId="0394CF65" w14:textId="77777777" w:rsidR="003948C4" w:rsidRPr="00286011" w:rsidRDefault="003948C4" w:rsidP="003948C4">
      <w:pPr>
        <w:shd w:val="clear" w:color="auto" w:fill="FFFFFF"/>
        <w:spacing w:after="60"/>
        <w:jc w:val="both"/>
        <w:rPr>
          <w:rStyle w:val="authors"/>
          <w:rFonts w:asciiTheme="majorBidi" w:hAnsiTheme="majorBidi" w:cstheme="majorBidi"/>
          <w:color w:val="000000" w:themeColor="text1"/>
        </w:rPr>
      </w:pPr>
      <w:r w:rsidRPr="00286011">
        <w:rPr>
          <w:rStyle w:val="authors"/>
          <w:rFonts w:asciiTheme="majorBidi" w:hAnsiTheme="majorBidi" w:cstheme="majorBidi"/>
          <w:color w:val="000000" w:themeColor="text1"/>
        </w:rPr>
        <w:t xml:space="preserve">Golan, N. (2022) ‘I was supposed to be arrested, but I am Jewish’ </w:t>
      </w:r>
      <w:r w:rsidRPr="00286011">
        <w:rPr>
          <w:rStyle w:val="authors"/>
          <w:rFonts w:asciiTheme="majorBidi" w:hAnsiTheme="majorBidi" w:cstheme="majorBidi"/>
          <w:i/>
          <w:iCs/>
          <w:color w:val="000000" w:themeColor="text1"/>
        </w:rPr>
        <w:t xml:space="preserve">Haaretz </w:t>
      </w:r>
      <w:hyperlink r:id="rId12" w:history="1">
        <w:r w:rsidRPr="00286011">
          <w:rPr>
            <w:rStyle w:val="Hyperlink"/>
            <w:rFonts w:asciiTheme="majorBidi" w:hAnsiTheme="majorBidi" w:cstheme="majorBidi"/>
            <w:color w:val="000000" w:themeColor="text1"/>
          </w:rPr>
          <w:t>https://www.haaretz.co.il/opinions/2022-04-20/ty-article-opinion/.premium/00000180-6562-d895-abf9-ffe2e8580000</w:t>
        </w:r>
      </w:hyperlink>
      <w:r w:rsidRPr="00286011">
        <w:rPr>
          <w:rStyle w:val="authors"/>
          <w:rFonts w:asciiTheme="majorBidi" w:hAnsiTheme="majorBidi" w:cstheme="majorBidi"/>
          <w:color w:val="000000" w:themeColor="text1"/>
        </w:rPr>
        <w:t xml:space="preserve"> [Hebrew] </w:t>
      </w:r>
    </w:p>
    <w:p w14:paraId="7EE4F8C1"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Golan, S. (2016) </w:t>
      </w:r>
      <w:r w:rsidRPr="00286011">
        <w:rPr>
          <w:rFonts w:asciiTheme="majorBidi" w:hAnsiTheme="majorBidi" w:cstheme="majorBidi"/>
          <w:i/>
          <w:iCs/>
          <w:color w:val="000000" w:themeColor="text1"/>
        </w:rPr>
        <w:t xml:space="preserve">Israeli Academics in the Service of the BDS, </w:t>
      </w:r>
      <w:proofErr w:type="spellStart"/>
      <w:r w:rsidRPr="00286011">
        <w:rPr>
          <w:rFonts w:asciiTheme="majorBidi" w:hAnsiTheme="majorBidi" w:cstheme="majorBidi"/>
          <w:color w:val="000000" w:themeColor="text1"/>
        </w:rPr>
        <w:t>Jeruslaem</w:t>
      </w:r>
      <w:proofErr w:type="spellEnd"/>
      <w:r w:rsidRPr="00286011">
        <w:rPr>
          <w:rFonts w:asciiTheme="majorBidi" w:hAnsiTheme="majorBidi" w:cstheme="majorBidi"/>
          <w:color w:val="000000" w:themeColor="text1"/>
        </w:rPr>
        <w:t xml:space="preserve">: </w:t>
      </w:r>
      <w:proofErr w:type="spellStart"/>
      <w:r w:rsidRPr="00286011">
        <w:rPr>
          <w:rFonts w:asciiTheme="majorBidi" w:hAnsiTheme="majorBidi" w:cstheme="majorBidi"/>
          <w:color w:val="000000" w:themeColor="text1"/>
        </w:rPr>
        <w:t>Im</w:t>
      </w:r>
      <w:proofErr w:type="spellEnd"/>
      <w:r w:rsidRPr="00286011">
        <w:rPr>
          <w:rFonts w:asciiTheme="majorBidi" w:hAnsiTheme="majorBidi" w:cstheme="majorBidi"/>
          <w:color w:val="000000" w:themeColor="text1"/>
        </w:rPr>
        <w:t xml:space="preserve"> </w:t>
      </w:r>
      <w:proofErr w:type="spellStart"/>
      <w:r w:rsidRPr="00286011">
        <w:rPr>
          <w:rFonts w:asciiTheme="majorBidi" w:hAnsiTheme="majorBidi" w:cstheme="majorBidi"/>
          <w:color w:val="000000" w:themeColor="text1"/>
        </w:rPr>
        <w:t>Tirzu</w:t>
      </w:r>
      <w:proofErr w:type="spellEnd"/>
      <w:r w:rsidRPr="00286011">
        <w:rPr>
          <w:rFonts w:asciiTheme="majorBidi" w:hAnsiTheme="majorBidi" w:cstheme="majorBidi"/>
          <w:color w:val="000000" w:themeColor="text1"/>
        </w:rPr>
        <w:t xml:space="preserve"> </w:t>
      </w:r>
      <w:hyperlink r:id="rId13" w:history="1">
        <w:r w:rsidRPr="00286011">
          <w:rPr>
            <w:rStyle w:val="Hyperlink"/>
            <w:rFonts w:asciiTheme="majorBidi" w:hAnsiTheme="majorBidi" w:cstheme="majorBidi"/>
            <w:color w:val="000000" w:themeColor="text1"/>
          </w:rPr>
          <w:t>https://imti.org.il/26242/</w:t>
        </w:r>
      </w:hyperlink>
      <w:r w:rsidRPr="00286011">
        <w:rPr>
          <w:rFonts w:asciiTheme="majorBidi" w:hAnsiTheme="majorBidi" w:cstheme="majorBidi"/>
          <w:color w:val="000000" w:themeColor="text1"/>
        </w:rPr>
        <w:t xml:space="preserve"> [Hebrew]</w:t>
      </w:r>
    </w:p>
    <w:p w14:paraId="3128049E"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Goldberg, DT. (2002) </w:t>
      </w:r>
      <w:r w:rsidRPr="00286011">
        <w:rPr>
          <w:rFonts w:asciiTheme="majorBidi" w:hAnsiTheme="majorBidi" w:cstheme="majorBidi"/>
          <w:i/>
          <w:color w:val="000000" w:themeColor="text1"/>
        </w:rPr>
        <w:t>The Racial State</w:t>
      </w:r>
      <w:r w:rsidRPr="00286011">
        <w:rPr>
          <w:rFonts w:asciiTheme="majorBidi" w:hAnsiTheme="majorBidi" w:cstheme="majorBidi"/>
          <w:color w:val="000000" w:themeColor="text1"/>
        </w:rPr>
        <w:t>, Oxford: Blackwell Publishers.</w:t>
      </w:r>
    </w:p>
    <w:p w14:paraId="6745E8A7" w14:textId="77777777" w:rsidR="003948C4" w:rsidRPr="00286011" w:rsidRDefault="003948C4" w:rsidP="003948C4">
      <w:pPr>
        <w:shd w:val="clear" w:color="auto" w:fill="FFFFFF"/>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Golditch</w:t>
      </w:r>
      <w:proofErr w:type="spellEnd"/>
      <w:r w:rsidRPr="00286011">
        <w:rPr>
          <w:rFonts w:asciiTheme="majorBidi" w:hAnsiTheme="majorBidi" w:cstheme="majorBidi"/>
          <w:color w:val="000000" w:themeColor="text1"/>
        </w:rPr>
        <w:t xml:space="preserve">, H., </w:t>
      </w:r>
      <w:proofErr w:type="spellStart"/>
      <w:r w:rsidRPr="00286011">
        <w:rPr>
          <w:rFonts w:asciiTheme="majorBidi" w:hAnsiTheme="majorBidi" w:cstheme="majorBidi"/>
          <w:color w:val="000000" w:themeColor="text1"/>
        </w:rPr>
        <w:t>Azoulay</w:t>
      </w:r>
      <w:proofErr w:type="spellEnd"/>
      <w:r w:rsidRPr="00286011">
        <w:rPr>
          <w:rFonts w:asciiTheme="majorBidi" w:hAnsiTheme="majorBidi" w:cstheme="majorBidi"/>
          <w:color w:val="000000" w:themeColor="text1"/>
        </w:rPr>
        <w:t xml:space="preserve"> M. and Y. </w:t>
      </w:r>
      <w:proofErr w:type="spellStart"/>
      <w:r w:rsidRPr="00286011">
        <w:rPr>
          <w:rFonts w:asciiTheme="majorBidi" w:hAnsiTheme="majorBidi" w:cstheme="majorBidi"/>
          <w:color w:val="000000" w:themeColor="text1"/>
        </w:rPr>
        <w:t>Karni</w:t>
      </w:r>
      <w:proofErr w:type="spellEnd"/>
      <w:r w:rsidRPr="00286011">
        <w:rPr>
          <w:rFonts w:asciiTheme="majorBidi" w:hAnsiTheme="majorBidi" w:cstheme="majorBidi"/>
          <w:color w:val="000000" w:themeColor="text1"/>
        </w:rPr>
        <w:t xml:space="preserve"> (2022) ‘Ben </w:t>
      </w:r>
      <w:proofErr w:type="spellStart"/>
      <w:r w:rsidRPr="00286011">
        <w:rPr>
          <w:rFonts w:asciiTheme="majorBidi" w:hAnsiTheme="majorBidi" w:cstheme="majorBidi"/>
          <w:color w:val="000000" w:themeColor="text1"/>
        </w:rPr>
        <w:t>Gvir</w:t>
      </w:r>
      <w:proofErr w:type="spellEnd"/>
      <w:r w:rsidRPr="00286011">
        <w:rPr>
          <w:rFonts w:asciiTheme="majorBidi" w:hAnsiTheme="majorBidi" w:cstheme="majorBidi"/>
          <w:color w:val="000000" w:themeColor="text1"/>
        </w:rPr>
        <w:t xml:space="preserve">: In the next government I will demand the role of Minster of Internal Security’, </w:t>
      </w:r>
      <w:proofErr w:type="spellStart"/>
      <w:r w:rsidRPr="00286011">
        <w:rPr>
          <w:rFonts w:asciiTheme="majorBidi" w:hAnsiTheme="majorBidi" w:cstheme="majorBidi"/>
          <w:i/>
          <w:iCs/>
          <w:color w:val="000000" w:themeColor="text1"/>
        </w:rPr>
        <w:t>Ynet</w:t>
      </w:r>
      <w:proofErr w:type="spellEnd"/>
      <w:r w:rsidRPr="00286011">
        <w:rPr>
          <w:rFonts w:asciiTheme="majorBidi" w:hAnsiTheme="majorBidi" w:cstheme="majorBidi"/>
          <w:i/>
          <w:iCs/>
          <w:color w:val="000000" w:themeColor="text1"/>
        </w:rPr>
        <w:t xml:space="preserve"> </w:t>
      </w:r>
      <w:hyperlink r:id="rId14" w:history="1">
        <w:r w:rsidRPr="00286011">
          <w:rPr>
            <w:rStyle w:val="Hyperlink"/>
            <w:rFonts w:asciiTheme="majorBidi" w:hAnsiTheme="majorBidi" w:cstheme="majorBidi"/>
            <w:color w:val="000000" w:themeColor="text1"/>
          </w:rPr>
          <w:t>https://www.ynet.co.il/news/election2022/article/h1p49q2ej</w:t>
        </w:r>
      </w:hyperlink>
      <w:r w:rsidRPr="00286011">
        <w:rPr>
          <w:rFonts w:asciiTheme="majorBidi" w:hAnsiTheme="majorBidi" w:cstheme="majorBidi"/>
          <w:color w:val="000000" w:themeColor="text1"/>
        </w:rPr>
        <w:t xml:space="preserve"> </w:t>
      </w:r>
    </w:p>
    <w:p w14:paraId="7FFB44E7"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Halbfinger</w:t>
      </w:r>
      <w:proofErr w:type="spellEnd"/>
      <w:r w:rsidRPr="00286011">
        <w:rPr>
          <w:rFonts w:asciiTheme="majorBidi" w:hAnsiTheme="majorBidi" w:cstheme="majorBidi"/>
          <w:color w:val="000000" w:themeColor="text1"/>
        </w:rPr>
        <w:t xml:space="preserve">, D. M., Wines, M. and </w:t>
      </w:r>
      <w:proofErr w:type="spellStart"/>
      <w:r w:rsidRPr="00286011">
        <w:rPr>
          <w:rFonts w:asciiTheme="majorBidi" w:hAnsiTheme="majorBidi" w:cstheme="majorBidi"/>
          <w:color w:val="000000" w:themeColor="text1"/>
        </w:rPr>
        <w:t>Erlanfer</w:t>
      </w:r>
      <w:proofErr w:type="spellEnd"/>
      <w:r w:rsidRPr="00286011">
        <w:rPr>
          <w:rFonts w:asciiTheme="majorBidi" w:hAnsiTheme="majorBidi" w:cstheme="majorBidi"/>
          <w:color w:val="000000" w:themeColor="text1"/>
        </w:rPr>
        <w:t>, S. (2019)</w:t>
      </w:r>
      <w:r w:rsidRPr="00286011">
        <w:rPr>
          <w:rFonts w:asciiTheme="majorBidi" w:hAnsiTheme="majorBidi" w:cstheme="majorBidi"/>
          <w:i/>
          <w:iCs/>
          <w:color w:val="000000" w:themeColor="text1"/>
        </w:rPr>
        <w:t xml:space="preserve"> ‘</w:t>
      </w:r>
      <w:r w:rsidRPr="00286011">
        <w:rPr>
          <w:rFonts w:asciiTheme="majorBidi" w:hAnsiTheme="majorBidi" w:cstheme="majorBidi"/>
          <w:color w:val="000000" w:themeColor="text1"/>
        </w:rPr>
        <w:t xml:space="preserve">Is BDS Anti-Semitic? A Closer look at the Boycott Israel Campaign’, </w:t>
      </w:r>
      <w:r w:rsidRPr="00286011">
        <w:rPr>
          <w:rFonts w:asciiTheme="majorBidi" w:hAnsiTheme="majorBidi" w:cstheme="majorBidi"/>
          <w:i/>
          <w:iCs/>
          <w:color w:val="000000" w:themeColor="text1"/>
        </w:rPr>
        <w:t>The New York Times</w:t>
      </w:r>
      <w:r w:rsidRPr="00286011">
        <w:rPr>
          <w:rFonts w:asciiTheme="majorBidi" w:hAnsiTheme="majorBidi" w:cstheme="majorBidi"/>
          <w:color w:val="000000" w:themeColor="text1"/>
        </w:rPr>
        <w:t xml:space="preserve">. </w:t>
      </w:r>
      <w:hyperlink r:id="rId15" w:history="1">
        <w:r w:rsidRPr="00286011">
          <w:rPr>
            <w:rStyle w:val="Hyperlink"/>
            <w:rFonts w:asciiTheme="majorBidi" w:hAnsiTheme="majorBidi" w:cstheme="majorBidi"/>
            <w:color w:val="000000" w:themeColor="text1"/>
          </w:rPr>
          <w:t>https://www.nytimes.com/2019/07/27/world/middleeast/bds-israel-boycott-antisemitic.html</w:t>
        </w:r>
      </w:hyperlink>
      <w:r w:rsidRPr="00286011">
        <w:rPr>
          <w:rFonts w:asciiTheme="majorBidi" w:hAnsiTheme="majorBidi" w:cstheme="majorBidi"/>
          <w:color w:val="000000" w:themeColor="text1"/>
        </w:rPr>
        <w:t xml:space="preserve"> </w:t>
      </w:r>
    </w:p>
    <w:p w14:paraId="658F43E2" w14:textId="77777777" w:rsidR="003948C4" w:rsidRPr="00286011" w:rsidRDefault="003948C4" w:rsidP="003948C4">
      <w:pPr>
        <w:spacing w:after="60"/>
        <w:jc w:val="both"/>
        <w:rPr>
          <w:rFonts w:asciiTheme="majorBidi" w:eastAsia="Times New Roman" w:hAnsiTheme="majorBidi" w:cstheme="majorBidi"/>
          <w:color w:val="000000" w:themeColor="text1"/>
          <w:shd w:val="clear" w:color="auto" w:fill="FFFFFF"/>
          <w:lang w:eastAsia="en-GB"/>
        </w:rPr>
      </w:pPr>
      <w:r w:rsidRPr="00286011">
        <w:rPr>
          <w:rFonts w:asciiTheme="majorBidi" w:eastAsia="Times New Roman" w:hAnsiTheme="majorBidi" w:cstheme="majorBidi"/>
          <w:color w:val="000000" w:themeColor="text1"/>
          <w:shd w:val="clear" w:color="auto" w:fill="FFFFFF"/>
          <w:lang w:eastAsia="en-GB"/>
        </w:rPr>
        <w:t xml:space="preserve">Hall, S., </w:t>
      </w:r>
      <w:proofErr w:type="spellStart"/>
      <w:r w:rsidRPr="00286011">
        <w:rPr>
          <w:rFonts w:asciiTheme="majorBidi" w:eastAsia="Times New Roman" w:hAnsiTheme="majorBidi" w:cstheme="majorBidi"/>
          <w:color w:val="000000" w:themeColor="text1"/>
          <w:shd w:val="clear" w:color="auto" w:fill="FFFFFF"/>
          <w:lang w:eastAsia="en-GB"/>
        </w:rPr>
        <w:t>Critcher</w:t>
      </w:r>
      <w:proofErr w:type="spellEnd"/>
      <w:r w:rsidRPr="00286011">
        <w:rPr>
          <w:rFonts w:asciiTheme="majorBidi" w:eastAsia="Times New Roman" w:hAnsiTheme="majorBidi" w:cstheme="majorBidi"/>
          <w:color w:val="000000" w:themeColor="text1"/>
          <w:shd w:val="clear" w:color="auto" w:fill="FFFFFF"/>
          <w:lang w:eastAsia="en-GB"/>
        </w:rPr>
        <w:t xml:space="preserve">, C., Jefferson, T., Clarke, J. and B. Roberts (1978) </w:t>
      </w:r>
      <w:r w:rsidRPr="00286011">
        <w:rPr>
          <w:rFonts w:asciiTheme="majorBidi" w:eastAsia="Times New Roman" w:hAnsiTheme="majorBidi" w:cstheme="majorBidi"/>
          <w:i/>
          <w:iCs/>
          <w:color w:val="000000" w:themeColor="text1"/>
          <w:shd w:val="clear" w:color="auto" w:fill="FFFFFF"/>
          <w:lang w:eastAsia="en-GB"/>
        </w:rPr>
        <w:t xml:space="preserve">Policing the crisis, mugging, the state, and law and order, </w:t>
      </w:r>
      <w:r w:rsidRPr="00286011">
        <w:rPr>
          <w:rFonts w:asciiTheme="majorBidi" w:eastAsia="Times New Roman" w:hAnsiTheme="majorBidi" w:cstheme="majorBidi"/>
          <w:color w:val="000000" w:themeColor="text1"/>
          <w:shd w:val="clear" w:color="auto" w:fill="FFFFFF"/>
          <w:lang w:eastAsia="en-GB"/>
        </w:rPr>
        <w:t xml:space="preserve"> London: Macmillan. </w:t>
      </w:r>
    </w:p>
    <w:p w14:paraId="442C1995"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Hutchinson, AC. and Monahan, PJ. (1984) ‘Law, politics and critical legal scholars: The unfolding drama of American legal thought’, </w:t>
      </w:r>
      <w:r w:rsidRPr="00286011">
        <w:rPr>
          <w:rFonts w:asciiTheme="majorBidi" w:hAnsiTheme="majorBidi" w:cstheme="majorBidi"/>
          <w:i/>
          <w:color w:val="000000" w:themeColor="text1"/>
        </w:rPr>
        <w:t>Stanford Law Review,</w:t>
      </w:r>
      <w:r w:rsidRPr="00286011">
        <w:rPr>
          <w:rFonts w:asciiTheme="majorBidi" w:hAnsiTheme="majorBidi" w:cstheme="majorBidi"/>
          <w:color w:val="000000" w:themeColor="text1"/>
        </w:rPr>
        <w:t xml:space="preserve"> vol 36, no 1, pp 199-244.</w:t>
      </w:r>
    </w:p>
    <w:p w14:paraId="6ADE32DB"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Im</w:t>
      </w:r>
      <w:proofErr w:type="spellEnd"/>
      <w:r w:rsidRPr="00286011">
        <w:rPr>
          <w:rFonts w:asciiTheme="majorBidi" w:hAnsiTheme="majorBidi" w:cstheme="majorBidi"/>
          <w:color w:val="000000" w:themeColor="text1"/>
        </w:rPr>
        <w:t xml:space="preserve"> </w:t>
      </w:r>
      <w:proofErr w:type="spellStart"/>
      <w:r w:rsidRPr="00286011">
        <w:rPr>
          <w:rFonts w:asciiTheme="majorBidi" w:hAnsiTheme="majorBidi" w:cstheme="majorBidi"/>
          <w:color w:val="000000" w:themeColor="text1"/>
        </w:rPr>
        <w:t>Tirzu</w:t>
      </w:r>
      <w:proofErr w:type="spellEnd"/>
      <w:r w:rsidRPr="00286011">
        <w:rPr>
          <w:rFonts w:asciiTheme="majorBidi" w:hAnsiTheme="majorBidi" w:cstheme="majorBidi"/>
          <w:color w:val="000000" w:themeColor="text1"/>
        </w:rPr>
        <w:t xml:space="preserve">, </w:t>
      </w:r>
      <w:r w:rsidRPr="00286011">
        <w:rPr>
          <w:rFonts w:asciiTheme="majorBidi" w:hAnsiTheme="majorBidi" w:cstheme="majorBidi"/>
          <w:i/>
          <w:iCs/>
          <w:color w:val="000000" w:themeColor="text1"/>
        </w:rPr>
        <w:t>About Us</w:t>
      </w:r>
      <w:r w:rsidRPr="00286011">
        <w:rPr>
          <w:rFonts w:asciiTheme="majorBidi" w:hAnsiTheme="majorBidi" w:cstheme="majorBidi"/>
          <w:color w:val="000000" w:themeColor="text1"/>
        </w:rPr>
        <w:t xml:space="preserve"> </w:t>
      </w:r>
      <w:hyperlink r:id="rId16" w:history="1">
        <w:r w:rsidRPr="00286011">
          <w:rPr>
            <w:rStyle w:val="Hyperlink"/>
            <w:rFonts w:asciiTheme="majorBidi" w:hAnsiTheme="majorBidi" w:cstheme="majorBidi"/>
            <w:color w:val="000000" w:themeColor="text1"/>
          </w:rPr>
          <w:t>https://imti.org.il/</w:t>
        </w:r>
        <w:r w:rsidRPr="00286011">
          <w:rPr>
            <w:rStyle w:val="Hyperlink"/>
            <w:rFonts w:asciiTheme="majorBidi" w:hAnsiTheme="majorBidi" w:cstheme="majorBidi"/>
            <w:color w:val="000000" w:themeColor="text1"/>
            <w:rtl/>
          </w:rPr>
          <w:t>אודות</w:t>
        </w:r>
        <w:r w:rsidRPr="00286011">
          <w:rPr>
            <w:rStyle w:val="Hyperlink"/>
            <w:rFonts w:asciiTheme="majorBidi" w:hAnsiTheme="majorBidi" w:cstheme="majorBidi"/>
            <w:color w:val="000000" w:themeColor="text1"/>
          </w:rPr>
          <w:t>/</w:t>
        </w:r>
      </w:hyperlink>
      <w:r w:rsidRPr="00286011">
        <w:rPr>
          <w:rFonts w:asciiTheme="majorBidi" w:hAnsiTheme="majorBidi" w:cstheme="majorBidi"/>
          <w:color w:val="000000" w:themeColor="text1"/>
        </w:rPr>
        <w:t xml:space="preserve"> [Hebrew]</w:t>
      </w:r>
    </w:p>
    <w:p w14:paraId="6951F192"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Im</w:t>
      </w:r>
      <w:proofErr w:type="spellEnd"/>
      <w:r w:rsidRPr="00286011">
        <w:rPr>
          <w:rFonts w:asciiTheme="majorBidi" w:hAnsiTheme="majorBidi" w:cstheme="majorBidi"/>
          <w:color w:val="000000" w:themeColor="text1"/>
        </w:rPr>
        <w:t xml:space="preserve"> </w:t>
      </w:r>
      <w:proofErr w:type="spellStart"/>
      <w:r w:rsidRPr="00286011">
        <w:rPr>
          <w:rFonts w:asciiTheme="majorBidi" w:hAnsiTheme="majorBidi" w:cstheme="majorBidi"/>
          <w:color w:val="000000" w:themeColor="text1"/>
        </w:rPr>
        <w:t>Tirzu</w:t>
      </w:r>
      <w:proofErr w:type="spellEnd"/>
      <w:r w:rsidRPr="00286011">
        <w:rPr>
          <w:rFonts w:asciiTheme="majorBidi" w:hAnsiTheme="majorBidi" w:cstheme="majorBidi"/>
          <w:color w:val="000000" w:themeColor="text1"/>
        </w:rPr>
        <w:t xml:space="preserve">, </w:t>
      </w:r>
      <w:r w:rsidRPr="00286011">
        <w:rPr>
          <w:rFonts w:asciiTheme="majorBidi" w:hAnsiTheme="majorBidi" w:cstheme="majorBidi"/>
          <w:i/>
          <w:iCs/>
          <w:color w:val="000000" w:themeColor="text1"/>
        </w:rPr>
        <w:t>Know the Traitor</w:t>
      </w:r>
      <w:r w:rsidRPr="00286011">
        <w:rPr>
          <w:rFonts w:asciiTheme="majorBidi" w:hAnsiTheme="majorBidi" w:cstheme="majorBidi"/>
          <w:color w:val="000000" w:themeColor="text1"/>
        </w:rPr>
        <w:t xml:space="preserve">, </w:t>
      </w:r>
      <w:hyperlink r:id="rId17" w:history="1">
        <w:r w:rsidRPr="00286011">
          <w:rPr>
            <w:rStyle w:val="Hyperlink"/>
            <w:rFonts w:asciiTheme="majorBidi" w:hAnsiTheme="majorBidi" w:cstheme="majorBidi"/>
            <w:color w:val="000000" w:themeColor="text1"/>
          </w:rPr>
          <w:t>https://radicalactivists.imti.org.il</w:t>
        </w:r>
      </w:hyperlink>
      <w:r w:rsidRPr="00286011">
        <w:rPr>
          <w:rFonts w:asciiTheme="majorBidi" w:hAnsiTheme="majorBidi" w:cstheme="majorBidi"/>
          <w:color w:val="000000" w:themeColor="text1"/>
        </w:rPr>
        <w:t xml:space="preserve"> [Hebrew] </w:t>
      </w:r>
    </w:p>
    <w:p w14:paraId="07AD4B2E" w14:textId="77777777" w:rsidR="003948C4" w:rsidRPr="00286011" w:rsidRDefault="003948C4" w:rsidP="003948C4">
      <w:pPr>
        <w:spacing w:after="60"/>
        <w:jc w:val="both"/>
        <w:rPr>
          <w:rFonts w:asciiTheme="majorBidi" w:eastAsia="Times New Roman" w:hAnsiTheme="majorBidi" w:cstheme="majorBidi"/>
          <w:color w:val="000000" w:themeColor="text1"/>
          <w:shd w:val="clear" w:color="auto" w:fill="FFFFFF"/>
          <w:lang w:eastAsia="en-GB"/>
        </w:rPr>
      </w:pPr>
      <w:proofErr w:type="spellStart"/>
      <w:r w:rsidRPr="00286011">
        <w:rPr>
          <w:rFonts w:asciiTheme="majorBidi" w:eastAsia="Times New Roman" w:hAnsiTheme="majorBidi" w:cstheme="majorBidi"/>
          <w:color w:val="000000" w:themeColor="text1"/>
          <w:shd w:val="clear" w:color="auto" w:fill="FFFFFF"/>
          <w:lang w:eastAsia="en-GB"/>
        </w:rPr>
        <w:t>Jabareen</w:t>
      </w:r>
      <w:proofErr w:type="spellEnd"/>
      <w:r w:rsidRPr="00286011">
        <w:rPr>
          <w:rFonts w:asciiTheme="majorBidi" w:eastAsia="Times New Roman" w:hAnsiTheme="majorBidi" w:cstheme="majorBidi"/>
          <w:color w:val="000000" w:themeColor="text1"/>
          <w:shd w:val="clear" w:color="auto" w:fill="FFFFFF"/>
          <w:lang w:eastAsia="en-GB"/>
        </w:rPr>
        <w:t xml:space="preserve">, H. (2020) ‘Critique of the Study of the Israeli law: the centrality of the absence of the political in them’, Epilogue to the special issue ‘Law and Gaza’.” </w:t>
      </w:r>
      <w:proofErr w:type="spellStart"/>
      <w:r w:rsidRPr="00286011">
        <w:rPr>
          <w:rFonts w:asciiTheme="majorBidi" w:eastAsia="Times New Roman" w:hAnsiTheme="majorBidi" w:cstheme="majorBidi"/>
          <w:i/>
          <w:iCs/>
          <w:color w:val="000000" w:themeColor="text1"/>
          <w:shd w:val="clear" w:color="auto" w:fill="FFFFFF"/>
          <w:lang w:eastAsia="en-GB"/>
        </w:rPr>
        <w:t>Iyunay</w:t>
      </w:r>
      <w:proofErr w:type="spellEnd"/>
      <w:r w:rsidRPr="00286011">
        <w:rPr>
          <w:rFonts w:asciiTheme="majorBidi" w:eastAsia="Times New Roman" w:hAnsiTheme="majorBidi" w:cstheme="majorBidi"/>
          <w:i/>
          <w:iCs/>
          <w:color w:val="000000" w:themeColor="text1"/>
          <w:shd w:val="clear" w:color="auto" w:fill="FFFFFF"/>
          <w:lang w:eastAsia="en-GB"/>
        </w:rPr>
        <w:t xml:space="preserve"> </w:t>
      </w:r>
      <w:proofErr w:type="spellStart"/>
      <w:r w:rsidRPr="00286011">
        <w:rPr>
          <w:rFonts w:asciiTheme="majorBidi" w:eastAsia="Times New Roman" w:hAnsiTheme="majorBidi" w:cstheme="majorBidi"/>
          <w:i/>
          <w:iCs/>
          <w:color w:val="000000" w:themeColor="text1"/>
          <w:shd w:val="clear" w:color="auto" w:fill="FFFFFF"/>
          <w:lang w:eastAsia="en-GB"/>
        </w:rPr>
        <w:t>Mishpat</w:t>
      </w:r>
      <w:proofErr w:type="spellEnd"/>
      <w:r w:rsidRPr="00286011">
        <w:rPr>
          <w:rFonts w:asciiTheme="majorBidi" w:eastAsia="Times New Roman" w:hAnsiTheme="majorBidi" w:cstheme="majorBidi"/>
          <w:color w:val="000000" w:themeColor="text1"/>
          <w:shd w:val="clear" w:color="auto" w:fill="FFFFFF"/>
          <w:lang w:eastAsia="en-GB"/>
        </w:rPr>
        <w:t xml:space="preserve"> vol 43, pp 505-527. [Hebrew] </w:t>
      </w:r>
    </w:p>
    <w:p w14:paraId="1E29CEB9" w14:textId="77777777" w:rsidR="003948C4" w:rsidRPr="00286011" w:rsidRDefault="003948C4" w:rsidP="003948C4">
      <w:pPr>
        <w:shd w:val="clear" w:color="auto" w:fill="FFFFFF"/>
        <w:spacing w:after="60"/>
        <w:jc w:val="both"/>
        <w:rPr>
          <w:rFonts w:asciiTheme="majorBidi" w:hAnsiTheme="majorBidi" w:cstheme="majorBidi"/>
          <w:color w:val="000000" w:themeColor="text1"/>
        </w:rPr>
      </w:pPr>
      <w:proofErr w:type="spellStart"/>
      <w:r w:rsidRPr="00286011">
        <w:rPr>
          <w:rStyle w:val="authors"/>
          <w:rFonts w:asciiTheme="majorBidi" w:hAnsiTheme="majorBidi" w:cstheme="majorBidi"/>
          <w:color w:val="000000" w:themeColor="text1"/>
        </w:rPr>
        <w:t>Jabary</w:t>
      </w:r>
      <w:proofErr w:type="spellEnd"/>
      <w:r w:rsidRPr="00286011">
        <w:rPr>
          <w:rStyle w:val="authors"/>
          <w:rFonts w:asciiTheme="majorBidi" w:hAnsiTheme="majorBidi" w:cstheme="majorBidi"/>
          <w:color w:val="000000" w:themeColor="text1"/>
        </w:rPr>
        <w:t xml:space="preserve"> Salamanca, O., </w:t>
      </w:r>
      <w:proofErr w:type="spellStart"/>
      <w:r w:rsidRPr="00286011">
        <w:rPr>
          <w:rStyle w:val="authors"/>
          <w:rFonts w:asciiTheme="majorBidi" w:hAnsiTheme="majorBidi" w:cstheme="majorBidi"/>
          <w:color w:val="000000" w:themeColor="text1"/>
        </w:rPr>
        <w:t>Qato</w:t>
      </w:r>
      <w:proofErr w:type="spellEnd"/>
      <w:r w:rsidRPr="00286011">
        <w:rPr>
          <w:rStyle w:val="authors"/>
          <w:rFonts w:asciiTheme="majorBidi" w:hAnsiTheme="majorBidi" w:cstheme="majorBidi"/>
          <w:color w:val="000000" w:themeColor="text1"/>
        </w:rPr>
        <w:t xml:space="preserve">, M., Rabie, K. and S. </w:t>
      </w:r>
      <w:proofErr w:type="spellStart"/>
      <w:r w:rsidRPr="00286011">
        <w:rPr>
          <w:rStyle w:val="authors"/>
          <w:rFonts w:asciiTheme="majorBidi" w:hAnsiTheme="majorBidi" w:cstheme="majorBidi"/>
          <w:color w:val="000000" w:themeColor="text1"/>
        </w:rPr>
        <w:t>Samour</w:t>
      </w:r>
      <w:proofErr w:type="spellEnd"/>
      <w:r w:rsidRPr="00286011">
        <w:rPr>
          <w:rFonts w:asciiTheme="majorBidi" w:hAnsiTheme="majorBidi" w:cstheme="majorBidi"/>
          <w:color w:val="000000" w:themeColor="text1"/>
        </w:rPr>
        <w:t xml:space="preserve"> </w:t>
      </w:r>
      <w:r w:rsidRPr="00286011">
        <w:rPr>
          <w:rStyle w:val="Date2"/>
          <w:rFonts w:asciiTheme="majorBidi" w:hAnsiTheme="majorBidi" w:cstheme="majorBidi"/>
          <w:color w:val="000000" w:themeColor="text1"/>
        </w:rPr>
        <w:t>(2012)</w:t>
      </w:r>
      <w:r w:rsidRPr="00286011">
        <w:rPr>
          <w:rFonts w:asciiTheme="majorBidi" w:hAnsiTheme="majorBidi" w:cstheme="majorBidi"/>
          <w:color w:val="000000" w:themeColor="text1"/>
        </w:rPr>
        <w:t> ‘</w:t>
      </w:r>
      <w:r w:rsidRPr="00286011">
        <w:rPr>
          <w:rStyle w:val="arttitle"/>
          <w:rFonts w:asciiTheme="majorBidi" w:hAnsiTheme="majorBidi" w:cstheme="majorBidi"/>
          <w:color w:val="000000" w:themeColor="text1"/>
        </w:rPr>
        <w:t>Past is Present: Settler Colonialism in Palestine’,</w:t>
      </w:r>
      <w:r w:rsidRPr="00286011">
        <w:rPr>
          <w:rFonts w:asciiTheme="majorBidi" w:hAnsiTheme="majorBidi" w:cstheme="majorBidi"/>
          <w:color w:val="000000" w:themeColor="text1"/>
        </w:rPr>
        <w:t> </w:t>
      </w:r>
      <w:r w:rsidRPr="00286011">
        <w:rPr>
          <w:rStyle w:val="serialtitle"/>
          <w:rFonts w:asciiTheme="majorBidi" w:hAnsiTheme="majorBidi" w:cstheme="majorBidi"/>
          <w:i/>
          <w:iCs/>
          <w:color w:val="000000" w:themeColor="text1"/>
        </w:rPr>
        <w:t>Settler Colonial Studies</w:t>
      </w:r>
      <w:r w:rsidRPr="00286011">
        <w:rPr>
          <w:rStyle w:val="serialtitle"/>
          <w:rFonts w:asciiTheme="majorBidi" w:hAnsiTheme="majorBidi" w:cstheme="majorBidi"/>
          <w:color w:val="000000" w:themeColor="text1"/>
        </w:rPr>
        <w:t>,</w:t>
      </w:r>
      <w:r w:rsidRPr="00286011">
        <w:rPr>
          <w:rFonts w:asciiTheme="majorBidi" w:hAnsiTheme="majorBidi" w:cstheme="majorBidi"/>
          <w:color w:val="000000" w:themeColor="text1"/>
        </w:rPr>
        <w:t xml:space="preserve"> vol </w:t>
      </w:r>
      <w:r w:rsidRPr="00286011">
        <w:rPr>
          <w:rStyle w:val="volumeissue"/>
          <w:rFonts w:asciiTheme="majorBidi" w:hAnsiTheme="majorBidi" w:cstheme="majorBidi"/>
          <w:color w:val="000000" w:themeColor="text1"/>
        </w:rPr>
        <w:t>2, no 1,</w:t>
      </w:r>
      <w:r w:rsidRPr="00286011">
        <w:rPr>
          <w:rFonts w:asciiTheme="majorBidi" w:hAnsiTheme="majorBidi" w:cstheme="majorBidi"/>
          <w:color w:val="000000" w:themeColor="text1"/>
        </w:rPr>
        <w:t xml:space="preserve"> pp </w:t>
      </w:r>
      <w:r w:rsidRPr="00286011">
        <w:rPr>
          <w:rStyle w:val="pagerange"/>
          <w:rFonts w:asciiTheme="majorBidi" w:hAnsiTheme="majorBidi" w:cstheme="majorBidi"/>
          <w:color w:val="000000" w:themeColor="text1"/>
        </w:rPr>
        <w:t>1-8.</w:t>
      </w:r>
    </w:p>
    <w:p w14:paraId="44EC4CB9"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Jiryis</w:t>
      </w:r>
      <w:proofErr w:type="spellEnd"/>
      <w:r w:rsidRPr="00286011">
        <w:rPr>
          <w:rFonts w:asciiTheme="majorBidi" w:hAnsiTheme="majorBidi" w:cstheme="majorBidi"/>
          <w:color w:val="000000" w:themeColor="text1"/>
        </w:rPr>
        <w:t xml:space="preserve">, S. (1976) </w:t>
      </w:r>
      <w:r w:rsidRPr="00286011">
        <w:rPr>
          <w:rFonts w:asciiTheme="majorBidi" w:hAnsiTheme="majorBidi" w:cstheme="majorBidi"/>
          <w:i/>
          <w:color w:val="000000" w:themeColor="text1"/>
        </w:rPr>
        <w:t>The Arabs in Israel</w:t>
      </w:r>
      <w:r w:rsidRPr="00286011">
        <w:rPr>
          <w:rFonts w:asciiTheme="majorBidi" w:hAnsiTheme="majorBidi" w:cstheme="majorBidi"/>
          <w:color w:val="000000" w:themeColor="text1"/>
        </w:rPr>
        <w:t xml:space="preserve">, London: Monthly Review Press. </w:t>
      </w:r>
    </w:p>
    <w:p w14:paraId="384833EB"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Kahana</w:t>
      </w:r>
      <w:proofErr w:type="spellEnd"/>
      <w:r w:rsidRPr="00286011">
        <w:rPr>
          <w:rFonts w:asciiTheme="majorBidi" w:hAnsiTheme="majorBidi" w:cstheme="majorBidi"/>
          <w:color w:val="000000" w:themeColor="text1"/>
        </w:rPr>
        <w:t>, A (2023) ‘</w:t>
      </w:r>
      <w:proofErr w:type="spellStart"/>
      <w:r w:rsidRPr="00286011">
        <w:rPr>
          <w:rFonts w:asciiTheme="majorBidi" w:hAnsiTheme="majorBidi" w:cstheme="majorBidi"/>
          <w:color w:val="000000" w:themeColor="text1"/>
        </w:rPr>
        <w:t>Smotrich</w:t>
      </w:r>
      <w:proofErr w:type="spellEnd"/>
      <w:r w:rsidRPr="00286011">
        <w:rPr>
          <w:rFonts w:asciiTheme="majorBidi" w:hAnsiTheme="majorBidi" w:cstheme="majorBidi"/>
          <w:color w:val="000000" w:themeColor="text1"/>
        </w:rPr>
        <w:t xml:space="preserve"> announced: I will soon sign the ordinances of the boycott law’, </w:t>
      </w:r>
      <w:r w:rsidRPr="00286011">
        <w:rPr>
          <w:rFonts w:asciiTheme="majorBidi" w:hAnsiTheme="majorBidi" w:cstheme="majorBidi"/>
          <w:i/>
          <w:iCs/>
          <w:color w:val="000000" w:themeColor="text1"/>
        </w:rPr>
        <w:t>Israeli Hayom,</w:t>
      </w:r>
      <w:r w:rsidRPr="00286011">
        <w:rPr>
          <w:rFonts w:asciiTheme="majorBidi" w:hAnsiTheme="majorBidi" w:cstheme="majorBidi"/>
          <w:color w:val="000000" w:themeColor="text1"/>
        </w:rPr>
        <w:t xml:space="preserve"> </w:t>
      </w:r>
      <w:hyperlink r:id="rId18" w:history="1">
        <w:r w:rsidRPr="00286011">
          <w:rPr>
            <w:rStyle w:val="Hyperlink"/>
            <w:rFonts w:asciiTheme="majorBidi" w:hAnsiTheme="majorBidi" w:cstheme="majorBidi"/>
            <w:color w:val="000000" w:themeColor="text1"/>
          </w:rPr>
          <w:t>https://www.israelhayom.co.il/news/geopolitics/article/13538133</w:t>
        </w:r>
      </w:hyperlink>
      <w:r w:rsidRPr="00286011">
        <w:rPr>
          <w:rFonts w:asciiTheme="majorBidi" w:hAnsiTheme="majorBidi" w:cstheme="majorBidi"/>
          <w:color w:val="000000" w:themeColor="text1"/>
        </w:rPr>
        <w:t xml:space="preserve"> [Hebrew]</w:t>
      </w:r>
    </w:p>
    <w:p w14:paraId="44FC88A0"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Kaufman, E. (2003) </w:t>
      </w:r>
      <w:r w:rsidRPr="00286011">
        <w:rPr>
          <w:rFonts w:asciiTheme="majorBidi" w:hAnsiTheme="majorBidi" w:cstheme="majorBidi"/>
          <w:i/>
          <w:iCs/>
          <w:color w:val="000000" w:themeColor="text1"/>
        </w:rPr>
        <w:t>The Radical Left in Israel: A Comparative Analysis of Political Protest at Legitimacy Crisis</w:t>
      </w:r>
      <w:r w:rsidRPr="00286011">
        <w:rPr>
          <w:rFonts w:asciiTheme="majorBidi" w:hAnsiTheme="majorBidi" w:cstheme="majorBidi"/>
          <w:color w:val="000000" w:themeColor="text1"/>
        </w:rPr>
        <w:t>, MA dissertation in Political Science, Tel Aviv University. [Hebrew]</w:t>
      </w:r>
    </w:p>
    <w:p w14:paraId="58A7445C" w14:textId="23D3A7EF" w:rsidR="00176B2B" w:rsidRPr="00286011" w:rsidRDefault="00176B2B"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Knesset Education Committee (2016</w:t>
      </w:r>
      <w:r w:rsidRPr="00286011">
        <w:rPr>
          <w:rFonts w:asciiTheme="majorBidi" w:hAnsiTheme="majorBidi" w:cstheme="majorBidi"/>
          <w:i/>
          <w:iCs/>
          <w:color w:val="000000" w:themeColor="text1"/>
        </w:rPr>
        <w:t>) Protocol 205 from the committee’s meeting on 8 June 2016</w:t>
      </w:r>
      <w:r w:rsidRPr="00286011">
        <w:rPr>
          <w:rFonts w:asciiTheme="majorBidi" w:hAnsiTheme="majorBidi" w:cstheme="majorBidi"/>
          <w:color w:val="000000" w:themeColor="text1"/>
        </w:rPr>
        <w:t xml:space="preserve">. </w:t>
      </w:r>
      <w:hyperlink r:id="rId19" w:history="1">
        <w:r w:rsidRPr="00286011">
          <w:rPr>
            <w:rStyle w:val="Hyperlink"/>
            <w:rFonts w:asciiTheme="majorBidi" w:hAnsiTheme="majorBidi" w:cstheme="majorBidi"/>
          </w:rPr>
          <w:t>https://main.knesset.gov.il/Activity/committees/Education/Pages/CommitteeProtocols.aspx?ItemID=2003264</w:t>
        </w:r>
      </w:hyperlink>
      <w:r w:rsidRPr="00286011">
        <w:rPr>
          <w:rFonts w:asciiTheme="majorBidi" w:hAnsiTheme="majorBidi" w:cstheme="majorBidi"/>
          <w:color w:val="000000" w:themeColor="text1"/>
        </w:rPr>
        <w:t xml:space="preserve"> </w:t>
      </w:r>
    </w:p>
    <w:p w14:paraId="27123C31" w14:textId="0CEC19D2"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Landau N (2018) “Documents for the Ministry for Strategic Affairs Prove: Superficial search in Google and a right wing American website are the basis for denying entry to Israel” </w:t>
      </w:r>
      <w:r w:rsidRPr="00286011">
        <w:rPr>
          <w:rFonts w:asciiTheme="majorBidi" w:hAnsiTheme="majorBidi" w:cstheme="majorBidi"/>
          <w:i/>
          <w:iCs/>
          <w:color w:val="000000" w:themeColor="text1"/>
        </w:rPr>
        <w:t>Haaretz</w:t>
      </w:r>
      <w:r w:rsidRPr="00286011">
        <w:rPr>
          <w:rFonts w:asciiTheme="majorBidi" w:hAnsiTheme="majorBidi" w:cstheme="majorBidi"/>
          <w:color w:val="000000" w:themeColor="text1"/>
        </w:rPr>
        <w:t xml:space="preserve"> </w:t>
      </w:r>
      <w:hyperlink r:id="rId20" w:history="1">
        <w:r w:rsidRPr="00286011">
          <w:rPr>
            <w:rStyle w:val="Hyperlink"/>
            <w:rFonts w:asciiTheme="majorBidi" w:hAnsiTheme="majorBidi" w:cstheme="majorBidi"/>
            <w:color w:val="000000" w:themeColor="text1"/>
          </w:rPr>
          <w:t>https://www.haaretz.co.il/news/politics/2018-10-04/ty-article/.premium/0000017f-e5db-dea7-adff-f5fbb06d0000</w:t>
        </w:r>
      </w:hyperlink>
    </w:p>
    <w:p w14:paraId="019BE405"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Levin, H (1982) </w:t>
      </w:r>
      <w:r w:rsidRPr="00286011">
        <w:rPr>
          <w:rFonts w:asciiTheme="majorBidi" w:hAnsiTheme="majorBidi" w:cstheme="majorBidi"/>
          <w:i/>
          <w:iCs/>
          <w:color w:val="000000" w:themeColor="text1"/>
        </w:rPr>
        <w:t>The Patriot</w:t>
      </w:r>
      <w:r w:rsidRPr="00286011">
        <w:rPr>
          <w:rFonts w:asciiTheme="majorBidi" w:hAnsiTheme="majorBidi" w:cstheme="majorBidi"/>
          <w:color w:val="000000" w:themeColor="text1"/>
        </w:rPr>
        <w:t xml:space="preserve"> </w:t>
      </w:r>
      <w:hyperlink r:id="rId21" w:history="1">
        <w:r w:rsidRPr="00286011">
          <w:rPr>
            <w:rStyle w:val="Hyperlink"/>
            <w:rFonts w:asciiTheme="majorBidi" w:hAnsiTheme="majorBidi" w:cstheme="majorBidi"/>
            <w:color w:val="000000" w:themeColor="text1"/>
          </w:rPr>
          <w:t>https://www.hanochlevin.com/en/productions/1903</w:t>
        </w:r>
      </w:hyperlink>
      <w:r w:rsidRPr="00286011">
        <w:rPr>
          <w:rFonts w:asciiTheme="majorBidi" w:hAnsiTheme="majorBidi" w:cstheme="majorBidi"/>
          <w:color w:val="000000" w:themeColor="text1"/>
        </w:rPr>
        <w:t xml:space="preserve"> </w:t>
      </w:r>
    </w:p>
    <w:p w14:paraId="54873A7A" w14:textId="77777777" w:rsidR="003948C4" w:rsidRPr="00286011" w:rsidRDefault="003948C4" w:rsidP="003948C4">
      <w:pPr>
        <w:spacing w:after="60"/>
        <w:jc w:val="both"/>
        <w:rPr>
          <w:rFonts w:asciiTheme="majorBidi" w:hAnsiTheme="majorBidi" w:cstheme="majorBidi"/>
          <w:i/>
          <w:iCs/>
          <w:color w:val="000000" w:themeColor="text1"/>
        </w:rPr>
      </w:pPr>
      <w:r w:rsidRPr="00286011">
        <w:rPr>
          <w:rFonts w:asciiTheme="majorBidi" w:hAnsiTheme="majorBidi" w:cstheme="majorBidi"/>
          <w:color w:val="000000" w:themeColor="text1"/>
        </w:rPr>
        <w:t xml:space="preserve">Mansoor S (2020) ‘The Trump Administration is Cracking Down Against a Global </w:t>
      </w:r>
      <w:proofErr w:type="spellStart"/>
      <w:r w:rsidRPr="00286011">
        <w:rPr>
          <w:rFonts w:asciiTheme="majorBidi" w:hAnsiTheme="majorBidi" w:cstheme="majorBidi"/>
          <w:color w:val="000000" w:themeColor="text1"/>
        </w:rPr>
        <w:t>Movmeent</w:t>
      </w:r>
      <w:proofErr w:type="spellEnd"/>
      <w:r w:rsidRPr="00286011">
        <w:rPr>
          <w:rFonts w:asciiTheme="majorBidi" w:hAnsiTheme="majorBidi" w:cstheme="majorBidi"/>
          <w:color w:val="000000" w:themeColor="text1"/>
        </w:rPr>
        <w:t xml:space="preserve"> to </w:t>
      </w:r>
      <w:proofErr w:type="spellStart"/>
      <w:r w:rsidRPr="00286011">
        <w:rPr>
          <w:rFonts w:asciiTheme="majorBidi" w:hAnsiTheme="majorBidi" w:cstheme="majorBidi"/>
          <w:color w:val="000000" w:themeColor="text1"/>
        </w:rPr>
        <w:t>Boycot</w:t>
      </w:r>
      <w:proofErr w:type="spellEnd"/>
      <w:r w:rsidRPr="00286011">
        <w:rPr>
          <w:rFonts w:asciiTheme="majorBidi" w:hAnsiTheme="majorBidi" w:cstheme="majorBidi"/>
          <w:color w:val="000000" w:themeColor="text1"/>
        </w:rPr>
        <w:t xml:space="preserve"> Israel. Here’s What You Need to Know About BDS’, </w:t>
      </w:r>
      <w:r w:rsidRPr="00286011">
        <w:rPr>
          <w:rFonts w:asciiTheme="majorBidi" w:hAnsiTheme="majorBidi" w:cstheme="majorBidi"/>
          <w:i/>
          <w:iCs/>
          <w:color w:val="000000" w:themeColor="text1"/>
        </w:rPr>
        <w:t xml:space="preserve">The Times </w:t>
      </w:r>
      <w:hyperlink r:id="rId22" w:history="1">
        <w:r w:rsidRPr="00286011">
          <w:rPr>
            <w:rStyle w:val="Hyperlink"/>
            <w:rFonts w:asciiTheme="majorBidi" w:hAnsiTheme="majorBidi" w:cstheme="majorBidi"/>
            <w:i/>
            <w:iCs/>
            <w:color w:val="000000" w:themeColor="text1"/>
          </w:rPr>
          <w:t>https://time.com/5914975/what-to-know-about-bds/</w:t>
        </w:r>
      </w:hyperlink>
      <w:r w:rsidRPr="00286011">
        <w:rPr>
          <w:rFonts w:asciiTheme="majorBidi" w:hAnsiTheme="majorBidi" w:cstheme="majorBidi"/>
          <w:i/>
          <w:iCs/>
          <w:color w:val="000000" w:themeColor="text1"/>
        </w:rPr>
        <w:t xml:space="preserve"> </w:t>
      </w:r>
    </w:p>
    <w:p w14:paraId="62DB5008"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eastAsia="Times New Roman" w:hAnsiTheme="majorBidi" w:cstheme="majorBidi"/>
          <w:color w:val="000000" w:themeColor="text1"/>
          <w:shd w:val="clear" w:color="auto" w:fill="FFFFFF"/>
          <w:lang w:eastAsia="en-GB"/>
        </w:rPr>
        <w:t xml:space="preserve">Margalit, L. (2018) ‘The Shin Bet: protecting from </w:t>
      </w:r>
      <w:proofErr w:type="spellStart"/>
      <w:r w:rsidRPr="00286011">
        <w:rPr>
          <w:rFonts w:asciiTheme="majorBidi" w:eastAsia="Times New Roman" w:hAnsiTheme="majorBidi" w:cstheme="majorBidi"/>
          <w:color w:val="000000" w:themeColor="text1"/>
          <w:shd w:val="clear" w:color="auto" w:fill="FFFFFF"/>
          <w:lang w:eastAsia="en-GB"/>
        </w:rPr>
        <w:t>subversiveness</w:t>
      </w:r>
      <w:proofErr w:type="spellEnd"/>
      <w:r w:rsidRPr="00286011">
        <w:rPr>
          <w:rFonts w:asciiTheme="majorBidi" w:eastAsia="Times New Roman" w:hAnsiTheme="majorBidi" w:cstheme="majorBidi"/>
          <w:color w:val="000000" w:themeColor="text1"/>
          <w:shd w:val="clear" w:color="auto" w:fill="FFFFFF"/>
          <w:lang w:eastAsia="en-GB"/>
        </w:rPr>
        <w:t xml:space="preserve"> of undermining democracy?’, </w:t>
      </w:r>
      <w:r w:rsidRPr="00286011">
        <w:rPr>
          <w:rFonts w:asciiTheme="majorBidi" w:eastAsia="Times New Roman" w:hAnsiTheme="majorBidi" w:cstheme="majorBidi"/>
          <w:i/>
          <w:iCs/>
          <w:color w:val="000000" w:themeColor="text1"/>
          <w:shd w:val="clear" w:color="auto" w:fill="FFFFFF"/>
          <w:lang w:eastAsia="en-GB"/>
        </w:rPr>
        <w:t>Israeli Democracy Institute</w:t>
      </w:r>
      <w:r w:rsidRPr="00286011">
        <w:rPr>
          <w:rFonts w:asciiTheme="majorBidi" w:eastAsia="Times New Roman" w:hAnsiTheme="majorBidi" w:cstheme="majorBidi"/>
          <w:color w:val="000000" w:themeColor="text1"/>
          <w:shd w:val="clear" w:color="auto" w:fill="FFFFFF"/>
          <w:lang w:eastAsia="en-GB"/>
        </w:rPr>
        <w:t xml:space="preserve">, </w:t>
      </w:r>
      <w:hyperlink r:id="rId23" w:history="1">
        <w:r w:rsidRPr="00286011">
          <w:rPr>
            <w:rStyle w:val="Hyperlink"/>
            <w:rFonts w:asciiTheme="majorBidi" w:hAnsiTheme="majorBidi" w:cstheme="majorBidi"/>
            <w:color w:val="000000" w:themeColor="text1"/>
            <w:rtl/>
          </w:rPr>
          <w:t>השב</w:t>
        </w:r>
        <w:r w:rsidRPr="00286011">
          <w:rPr>
            <w:rStyle w:val="Hyperlink"/>
            <w:rFonts w:asciiTheme="majorBidi" w:hAnsiTheme="majorBidi" w:cstheme="majorBidi"/>
            <w:color w:val="000000" w:themeColor="text1"/>
          </w:rPr>
          <w:t>"</w:t>
        </w:r>
        <w:r w:rsidRPr="00286011">
          <w:rPr>
            <w:rStyle w:val="Hyperlink"/>
            <w:rFonts w:asciiTheme="majorBidi" w:hAnsiTheme="majorBidi" w:cstheme="majorBidi"/>
            <w:color w:val="000000" w:themeColor="text1"/>
            <w:rtl/>
          </w:rPr>
          <w:t>כ: מגן מפני חתרנות או חותר תחת הדמוקרטיה? - המכון הישראלי לדמוקרטיה</w:t>
        </w:r>
        <w:r w:rsidRPr="00286011">
          <w:rPr>
            <w:rStyle w:val="Hyperlink"/>
            <w:rFonts w:asciiTheme="majorBidi" w:hAnsiTheme="majorBidi" w:cstheme="majorBidi"/>
            <w:color w:val="000000" w:themeColor="text1"/>
          </w:rPr>
          <w:t xml:space="preserve"> (idi.org.il)</w:t>
        </w:r>
      </w:hyperlink>
      <w:r w:rsidRPr="00286011">
        <w:rPr>
          <w:rFonts w:asciiTheme="majorBidi" w:hAnsiTheme="majorBidi" w:cstheme="majorBidi"/>
          <w:color w:val="000000" w:themeColor="text1"/>
        </w:rPr>
        <w:t xml:space="preserve"> [Hebrew]</w:t>
      </w:r>
    </w:p>
    <w:p w14:paraId="129A35ED" w14:textId="77777777" w:rsidR="003948C4" w:rsidRPr="00286011" w:rsidRDefault="003948C4" w:rsidP="003948C4">
      <w:pPr>
        <w:spacing w:after="60"/>
        <w:jc w:val="both"/>
        <w:rPr>
          <w:rFonts w:asciiTheme="majorBidi" w:eastAsia="Times New Roman" w:hAnsiTheme="majorBidi" w:cstheme="majorBidi"/>
          <w:color w:val="000000" w:themeColor="text1"/>
          <w:shd w:val="clear" w:color="auto" w:fill="FFFFFF"/>
          <w:lang w:eastAsia="en-GB"/>
        </w:rPr>
      </w:pPr>
      <w:r w:rsidRPr="00286011">
        <w:rPr>
          <w:rFonts w:asciiTheme="majorBidi" w:hAnsiTheme="majorBidi" w:cstheme="majorBidi"/>
          <w:color w:val="000000" w:themeColor="text1"/>
        </w:rPr>
        <w:t xml:space="preserve">Office of the State Attorney (2022) </w:t>
      </w:r>
      <w:r w:rsidRPr="00286011">
        <w:rPr>
          <w:rFonts w:asciiTheme="majorBidi" w:eastAsia="Times New Roman" w:hAnsiTheme="majorBidi" w:cstheme="majorBidi"/>
          <w:i/>
          <w:iCs/>
          <w:color w:val="000000" w:themeColor="text1"/>
          <w:lang w:eastAsia="en-NZ"/>
        </w:rPr>
        <w:t>Guardian of the Walls Operation Report</w:t>
      </w:r>
      <w:r w:rsidRPr="00286011">
        <w:rPr>
          <w:rFonts w:asciiTheme="majorBidi" w:hAnsiTheme="majorBidi" w:cstheme="majorBidi"/>
          <w:color w:val="000000" w:themeColor="text1"/>
        </w:rPr>
        <w:t xml:space="preserve">. </w:t>
      </w:r>
      <w:hyperlink r:id="rId24" w:history="1">
        <w:r w:rsidRPr="00286011">
          <w:rPr>
            <w:rStyle w:val="Hyperlink"/>
            <w:rFonts w:asciiTheme="majorBidi" w:hAnsiTheme="majorBidi" w:cstheme="majorBidi"/>
            <w:color w:val="000000" w:themeColor="text1"/>
          </w:rPr>
          <w:t>https://www.gov.il/BlobFolder/generalpage/adm-dep-stock/he/Gates_Keeper_Summary.pdf</w:t>
        </w:r>
      </w:hyperlink>
      <w:r w:rsidRPr="00286011">
        <w:rPr>
          <w:rStyle w:val="Hyperlink"/>
          <w:rFonts w:asciiTheme="majorBidi" w:hAnsiTheme="majorBidi" w:cstheme="majorBidi"/>
          <w:color w:val="000000" w:themeColor="text1"/>
        </w:rPr>
        <w:t xml:space="preserve"> [Hebrew]</w:t>
      </w:r>
    </w:p>
    <w:p w14:paraId="4113719B" w14:textId="77777777" w:rsidR="003948C4" w:rsidRPr="00286011" w:rsidRDefault="003948C4" w:rsidP="003948C4">
      <w:pPr>
        <w:autoSpaceDE w:val="0"/>
        <w:autoSpaceDN w:val="0"/>
        <w:adjustRightInd w:val="0"/>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Owen, D. (2020) ‘The Demand for Nonviolent Palestinian Struggle Leads Us to Forget the Violence of the Occupation’, </w:t>
      </w:r>
      <w:proofErr w:type="spellStart"/>
      <w:r w:rsidRPr="00286011">
        <w:rPr>
          <w:rFonts w:asciiTheme="majorBidi" w:hAnsiTheme="majorBidi" w:cstheme="majorBidi"/>
          <w:i/>
          <w:iCs/>
          <w:color w:val="000000" w:themeColor="text1"/>
        </w:rPr>
        <w:t>Shiha</w:t>
      </w:r>
      <w:proofErr w:type="spellEnd"/>
      <w:r w:rsidRPr="00286011">
        <w:rPr>
          <w:rFonts w:asciiTheme="majorBidi" w:hAnsiTheme="majorBidi" w:cstheme="majorBidi"/>
          <w:i/>
          <w:iCs/>
          <w:color w:val="000000" w:themeColor="text1"/>
        </w:rPr>
        <w:t xml:space="preserve"> </w:t>
      </w:r>
      <w:proofErr w:type="spellStart"/>
      <w:r w:rsidRPr="00286011">
        <w:rPr>
          <w:rFonts w:asciiTheme="majorBidi" w:hAnsiTheme="majorBidi" w:cstheme="majorBidi"/>
          <w:i/>
          <w:iCs/>
          <w:color w:val="000000" w:themeColor="text1"/>
        </w:rPr>
        <w:t>Mekomit</w:t>
      </w:r>
      <w:proofErr w:type="spellEnd"/>
      <w:r w:rsidRPr="00286011">
        <w:rPr>
          <w:rFonts w:asciiTheme="majorBidi" w:hAnsiTheme="majorBidi" w:cstheme="majorBidi"/>
          <w:color w:val="000000" w:themeColor="text1"/>
        </w:rPr>
        <w:t xml:space="preserve">,. https://www.mekomit.co.il/- </w:t>
      </w:r>
      <w:r w:rsidRPr="00286011">
        <w:rPr>
          <w:rFonts w:asciiTheme="majorBidi" w:hAnsiTheme="majorBidi" w:cstheme="majorBidi"/>
          <w:color w:val="000000" w:themeColor="text1"/>
          <w:rtl/>
        </w:rPr>
        <w:t>אי-אלימות-מאבק</w:t>
      </w:r>
    </w:p>
    <w:p w14:paraId="21FA1D1B"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tl/>
        </w:rPr>
        <w:t>בכיבוש</w:t>
      </w:r>
      <w:r w:rsidRPr="00286011">
        <w:rPr>
          <w:rFonts w:asciiTheme="majorBidi" w:hAnsiTheme="majorBidi" w:cstheme="majorBidi"/>
          <w:color w:val="000000" w:themeColor="text1"/>
        </w:rPr>
        <w:t>†/ [Hebrew]</w:t>
      </w:r>
    </w:p>
    <w:p w14:paraId="133B4777"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Population and Immigration Authority (2017) ‘Criteria for Entering Israel for BDS Activists, </w:t>
      </w:r>
      <w:hyperlink r:id="rId25" w:history="1">
        <w:r w:rsidRPr="00286011">
          <w:rPr>
            <w:rStyle w:val="Hyperlink"/>
            <w:rFonts w:asciiTheme="majorBidi" w:hAnsiTheme="majorBidi" w:cstheme="majorBidi"/>
            <w:color w:val="000000" w:themeColor="text1"/>
          </w:rPr>
          <w:t>https://www.gov.il/he/departments/policies/bds_activits_criteria_for_entering_israel</w:t>
        </w:r>
      </w:hyperlink>
      <w:r w:rsidRPr="00286011">
        <w:rPr>
          <w:rFonts w:asciiTheme="majorBidi" w:hAnsiTheme="majorBidi" w:cstheme="majorBidi"/>
          <w:color w:val="000000" w:themeColor="text1"/>
        </w:rPr>
        <w:t xml:space="preserve"> [Hebrew]</w:t>
      </w:r>
    </w:p>
    <w:p w14:paraId="64314B9D"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Povinelli, EA. (2002) </w:t>
      </w:r>
      <w:r w:rsidRPr="00286011">
        <w:rPr>
          <w:rFonts w:asciiTheme="majorBidi" w:hAnsiTheme="majorBidi" w:cstheme="majorBidi"/>
          <w:i/>
          <w:color w:val="000000" w:themeColor="text1"/>
        </w:rPr>
        <w:t>The Cunning of Recognition: Indigenous Alterities and the Making of Australian Multiculturalism</w:t>
      </w:r>
      <w:r w:rsidRPr="00286011">
        <w:rPr>
          <w:rFonts w:asciiTheme="majorBidi" w:hAnsiTheme="majorBidi" w:cstheme="majorBidi"/>
          <w:color w:val="000000" w:themeColor="text1"/>
        </w:rPr>
        <w:t>, Durham: Duke University Press.</w:t>
      </w:r>
    </w:p>
    <w:p w14:paraId="31D19941" w14:textId="16ACF409" w:rsidR="00F73C15" w:rsidRPr="00286011" w:rsidRDefault="00F73C15" w:rsidP="003948C4">
      <w:pPr>
        <w:spacing w:after="60"/>
        <w:jc w:val="both"/>
        <w:rPr>
          <w:rFonts w:asciiTheme="majorBidi" w:eastAsia="Times New Roman" w:hAnsiTheme="majorBidi" w:cstheme="majorBidi"/>
          <w:color w:val="000000" w:themeColor="text1"/>
          <w:shd w:val="clear" w:color="auto" w:fill="FFFFFF"/>
          <w:lang w:eastAsia="en-GB"/>
        </w:rPr>
      </w:pPr>
      <w:r w:rsidRPr="00286011">
        <w:rPr>
          <w:rFonts w:asciiTheme="majorBidi" w:eastAsia="Times New Roman" w:hAnsiTheme="majorBidi" w:cstheme="majorBidi"/>
          <w:color w:val="000000" w:themeColor="text1"/>
          <w:shd w:val="clear" w:color="auto" w:fill="FFFFFF"/>
          <w:lang w:eastAsia="en-GB"/>
        </w:rPr>
        <w:t xml:space="preserve">Robinson, CJ. (2000) [1983] </w:t>
      </w:r>
      <w:r w:rsidRPr="00286011">
        <w:rPr>
          <w:rFonts w:asciiTheme="majorBidi" w:eastAsia="Times New Roman" w:hAnsiTheme="majorBidi" w:cstheme="majorBidi"/>
          <w:i/>
          <w:iCs/>
          <w:color w:val="000000" w:themeColor="text1"/>
          <w:shd w:val="clear" w:color="auto" w:fill="FFFFFF"/>
          <w:lang w:eastAsia="en-GB"/>
        </w:rPr>
        <w:t>Black Marxism: The making of the black radical tradition</w:t>
      </w:r>
      <w:r w:rsidRPr="00286011">
        <w:rPr>
          <w:rFonts w:asciiTheme="majorBidi" w:eastAsia="Times New Roman" w:hAnsiTheme="majorBidi" w:cstheme="majorBidi"/>
          <w:color w:val="000000" w:themeColor="text1"/>
          <w:shd w:val="clear" w:color="auto" w:fill="FFFFFF"/>
          <w:lang w:eastAsia="en-GB"/>
        </w:rPr>
        <w:t xml:space="preserve">, University of North Carolina Press. </w:t>
      </w:r>
    </w:p>
    <w:p w14:paraId="522EA664" w14:textId="431FB0E2" w:rsidR="003948C4" w:rsidRPr="00286011" w:rsidRDefault="003948C4" w:rsidP="003948C4">
      <w:pPr>
        <w:spacing w:after="60"/>
        <w:jc w:val="both"/>
        <w:rPr>
          <w:rFonts w:asciiTheme="majorBidi" w:eastAsia="Times New Roman" w:hAnsiTheme="majorBidi" w:cstheme="majorBidi"/>
          <w:color w:val="000000" w:themeColor="text1"/>
          <w:shd w:val="clear" w:color="auto" w:fill="FFFFFF"/>
          <w:lang w:eastAsia="en-GB"/>
        </w:rPr>
      </w:pPr>
      <w:r w:rsidRPr="00286011">
        <w:rPr>
          <w:rFonts w:asciiTheme="majorBidi" w:eastAsia="Times New Roman" w:hAnsiTheme="majorBidi" w:cstheme="majorBidi"/>
          <w:color w:val="000000" w:themeColor="text1"/>
          <w:shd w:val="clear" w:color="auto" w:fill="FFFFFF"/>
          <w:lang w:eastAsia="en-GB"/>
        </w:rPr>
        <w:t xml:space="preserve">Robinson, S. (2013) </w:t>
      </w:r>
      <w:r w:rsidRPr="00286011">
        <w:rPr>
          <w:rFonts w:asciiTheme="majorBidi" w:eastAsia="Times New Roman" w:hAnsiTheme="majorBidi" w:cstheme="majorBidi"/>
          <w:i/>
          <w:iCs/>
          <w:color w:val="000000" w:themeColor="text1"/>
          <w:shd w:val="clear" w:color="auto" w:fill="FFFFFF"/>
          <w:lang w:eastAsia="en-GB"/>
        </w:rPr>
        <w:t>Citizen Strangers: Palestinians and the birth of Israel’s liberal settler state</w:t>
      </w:r>
      <w:r w:rsidRPr="00286011">
        <w:rPr>
          <w:rFonts w:asciiTheme="majorBidi" w:eastAsia="Times New Roman" w:hAnsiTheme="majorBidi" w:cstheme="majorBidi"/>
          <w:color w:val="000000" w:themeColor="text1"/>
          <w:shd w:val="clear" w:color="auto" w:fill="FFFFFF"/>
          <w:lang w:eastAsia="en-GB"/>
        </w:rPr>
        <w:t xml:space="preserve">, Stanford, California: Stanford University Press.  </w:t>
      </w:r>
    </w:p>
    <w:p w14:paraId="30406776" w14:textId="79D389AB" w:rsidR="00F0590C" w:rsidRPr="00286011" w:rsidRDefault="00F0590C" w:rsidP="003948C4">
      <w:pPr>
        <w:spacing w:after="60"/>
        <w:jc w:val="both"/>
        <w:rPr>
          <w:rStyle w:val="authors"/>
          <w:rFonts w:asciiTheme="majorBidi" w:hAnsiTheme="majorBidi" w:cstheme="majorBidi"/>
          <w:color w:val="000000" w:themeColor="text1"/>
        </w:rPr>
      </w:pPr>
      <w:r w:rsidRPr="00286011">
        <w:rPr>
          <w:rStyle w:val="authors"/>
          <w:rFonts w:asciiTheme="majorBidi" w:hAnsiTheme="majorBidi" w:cstheme="majorBidi"/>
          <w:color w:val="000000" w:themeColor="text1"/>
        </w:rPr>
        <w:t xml:space="preserve">Shalev, H (2015) ‘Netanyahu opened a front against BDS and strengthened the boycotters’, </w:t>
      </w:r>
      <w:r w:rsidRPr="00286011">
        <w:rPr>
          <w:rStyle w:val="authors"/>
          <w:rFonts w:asciiTheme="majorBidi" w:hAnsiTheme="majorBidi" w:cstheme="majorBidi"/>
          <w:i/>
          <w:iCs/>
          <w:color w:val="000000" w:themeColor="text1"/>
        </w:rPr>
        <w:t>Haaretz</w:t>
      </w:r>
      <w:r w:rsidRPr="00286011">
        <w:rPr>
          <w:rStyle w:val="authors"/>
          <w:rFonts w:asciiTheme="majorBidi" w:hAnsiTheme="majorBidi" w:cstheme="majorBidi"/>
          <w:color w:val="000000" w:themeColor="text1"/>
        </w:rPr>
        <w:t xml:space="preserve"> </w:t>
      </w:r>
      <w:hyperlink r:id="rId26" w:history="1">
        <w:r w:rsidRPr="00286011">
          <w:rPr>
            <w:rStyle w:val="Hyperlink"/>
            <w:rFonts w:asciiTheme="majorBidi" w:hAnsiTheme="majorBidi" w:cstheme="majorBidi"/>
          </w:rPr>
          <w:t>https://www.haaretz.co.il/news/politics/2015-06-02/ty-article/.premium/0000017f-ec52-d0f7-a9ff-eed720bd0000</w:t>
        </w:r>
      </w:hyperlink>
      <w:r w:rsidRPr="00286011">
        <w:rPr>
          <w:rStyle w:val="authors"/>
          <w:rFonts w:asciiTheme="majorBidi" w:hAnsiTheme="majorBidi" w:cstheme="majorBidi"/>
          <w:color w:val="000000" w:themeColor="text1"/>
        </w:rPr>
        <w:t xml:space="preserve"> </w:t>
      </w:r>
    </w:p>
    <w:p w14:paraId="62B23ACB" w14:textId="41FA0937" w:rsidR="003948C4" w:rsidRPr="00286011" w:rsidRDefault="003948C4" w:rsidP="003948C4">
      <w:pPr>
        <w:spacing w:after="60"/>
        <w:jc w:val="both"/>
        <w:rPr>
          <w:rStyle w:val="authors"/>
          <w:rFonts w:asciiTheme="majorBidi" w:hAnsiTheme="majorBidi" w:cstheme="majorBidi"/>
          <w:color w:val="000000" w:themeColor="text1"/>
        </w:rPr>
      </w:pPr>
      <w:proofErr w:type="spellStart"/>
      <w:r w:rsidRPr="00286011">
        <w:rPr>
          <w:rStyle w:val="authors"/>
          <w:rFonts w:asciiTheme="majorBidi" w:hAnsiTheme="majorBidi" w:cstheme="majorBidi"/>
          <w:color w:val="000000" w:themeColor="text1"/>
        </w:rPr>
        <w:t>Shezaf</w:t>
      </w:r>
      <w:proofErr w:type="spellEnd"/>
      <w:r w:rsidRPr="00286011">
        <w:rPr>
          <w:rStyle w:val="authors"/>
          <w:rFonts w:asciiTheme="majorBidi" w:hAnsiTheme="majorBidi" w:cstheme="majorBidi"/>
          <w:color w:val="000000" w:themeColor="text1"/>
        </w:rPr>
        <w:t xml:space="preserve">, H. (2022) ‘IDF forbade the entrance to Hebron of hundreds of participants of a tour of human rights organisations’, </w:t>
      </w:r>
      <w:r w:rsidRPr="00286011">
        <w:rPr>
          <w:rStyle w:val="authors"/>
          <w:rFonts w:asciiTheme="majorBidi" w:hAnsiTheme="majorBidi" w:cstheme="majorBidi"/>
          <w:i/>
          <w:iCs/>
          <w:color w:val="000000" w:themeColor="text1"/>
        </w:rPr>
        <w:t>Haaretz,</w:t>
      </w:r>
      <w:r w:rsidRPr="00286011">
        <w:rPr>
          <w:rStyle w:val="authors"/>
          <w:rFonts w:asciiTheme="majorBidi" w:hAnsiTheme="majorBidi" w:cstheme="majorBidi"/>
          <w:color w:val="000000" w:themeColor="text1"/>
        </w:rPr>
        <w:t xml:space="preserve">  </w:t>
      </w:r>
      <w:hyperlink r:id="rId27" w:history="1">
        <w:r w:rsidRPr="00286011">
          <w:rPr>
            <w:rStyle w:val="Hyperlink"/>
            <w:rFonts w:asciiTheme="majorBidi" w:hAnsiTheme="majorBidi" w:cstheme="majorBidi"/>
            <w:color w:val="000000" w:themeColor="text1"/>
          </w:rPr>
          <w:t>https://www.haaretz.co.il/news/politics/2022-12-02/ty-article/.premium/00000184-d1cb-dc50-adc4-fdeb33740000</w:t>
        </w:r>
      </w:hyperlink>
      <w:r w:rsidRPr="00286011">
        <w:rPr>
          <w:rStyle w:val="authors"/>
          <w:rFonts w:asciiTheme="majorBidi" w:hAnsiTheme="majorBidi" w:cstheme="majorBidi"/>
          <w:color w:val="000000" w:themeColor="text1"/>
        </w:rPr>
        <w:t xml:space="preserve"> [Hebrew]</w:t>
      </w:r>
    </w:p>
    <w:p w14:paraId="6A86703C"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Style w:val="authors"/>
          <w:rFonts w:asciiTheme="majorBidi" w:hAnsiTheme="majorBidi" w:cstheme="majorBidi"/>
          <w:color w:val="000000" w:themeColor="text1"/>
        </w:rPr>
        <w:t>Rouhana</w:t>
      </w:r>
      <w:proofErr w:type="spellEnd"/>
      <w:r w:rsidRPr="00286011">
        <w:rPr>
          <w:rStyle w:val="authors"/>
          <w:rFonts w:asciiTheme="majorBidi" w:hAnsiTheme="majorBidi" w:cstheme="majorBidi"/>
          <w:color w:val="000000" w:themeColor="text1"/>
        </w:rPr>
        <w:t>, N. and A. Sabbagh-Khoury</w:t>
      </w:r>
      <w:r w:rsidRPr="00286011">
        <w:rPr>
          <w:rStyle w:val="apple-converted-space"/>
          <w:rFonts w:asciiTheme="majorBidi" w:hAnsiTheme="majorBidi" w:cstheme="majorBidi"/>
          <w:color w:val="000000" w:themeColor="text1"/>
          <w:shd w:val="clear" w:color="auto" w:fill="FFFFFF"/>
        </w:rPr>
        <w:t> </w:t>
      </w:r>
      <w:r w:rsidRPr="00286011">
        <w:rPr>
          <w:rStyle w:val="Date3"/>
          <w:rFonts w:asciiTheme="majorBidi" w:hAnsiTheme="majorBidi" w:cstheme="majorBidi"/>
          <w:color w:val="000000" w:themeColor="text1"/>
        </w:rPr>
        <w:t>(2015)</w:t>
      </w:r>
      <w:r w:rsidRPr="00286011">
        <w:rPr>
          <w:rStyle w:val="apple-converted-space"/>
          <w:rFonts w:asciiTheme="majorBidi" w:hAnsiTheme="majorBidi" w:cstheme="majorBidi"/>
          <w:color w:val="000000" w:themeColor="text1"/>
          <w:shd w:val="clear" w:color="auto" w:fill="FFFFFF"/>
        </w:rPr>
        <w:t> ‘</w:t>
      </w:r>
      <w:r w:rsidRPr="00286011">
        <w:rPr>
          <w:rStyle w:val="arttitle"/>
          <w:rFonts w:asciiTheme="majorBidi" w:hAnsiTheme="majorBidi" w:cstheme="majorBidi"/>
          <w:color w:val="000000" w:themeColor="text1"/>
        </w:rPr>
        <w:t>Settler-colonial citizenship: conceptualizing the relationship between Israel and its Palestinian citizens’,</w:t>
      </w:r>
      <w:r w:rsidRPr="00286011">
        <w:rPr>
          <w:rStyle w:val="apple-converted-space"/>
          <w:rFonts w:asciiTheme="majorBidi" w:hAnsiTheme="majorBidi" w:cstheme="majorBidi"/>
          <w:color w:val="000000" w:themeColor="text1"/>
          <w:shd w:val="clear" w:color="auto" w:fill="FFFFFF"/>
        </w:rPr>
        <w:t> </w:t>
      </w:r>
      <w:r w:rsidRPr="00286011">
        <w:rPr>
          <w:rStyle w:val="serialtitle"/>
          <w:rFonts w:asciiTheme="majorBidi" w:hAnsiTheme="majorBidi" w:cstheme="majorBidi"/>
          <w:i/>
          <w:iCs/>
          <w:color w:val="000000" w:themeColor="text1"/>
        </w:rPr>
        <w:t>Settler Colonial Studies</w:t>
      </w:r>
      <w:r w:rsidRPr="00286011">
        <w:rPr>
          <w:rStyle w:val="serialtitle"/>
          <w:rFonts w:asciiTheme="majorBidi" w:hAnsiTheme="majorBidi" w:cstheme="majorBidi"/>
          <w:color w:val="000000" w:themeColor="text1"/>
        </w:rPr>
        <w:t>,</w:t>
      </w:r>
      <w:r w:rsidRPr="00286011">
        <w:rPr>
          <w:rStyle w:val="apple-converted-space"/>
          <w:rFonts w:asciiTheme="majorBidi" w:hAnsiTheme="majorBidi" w:cstheme="majorBidi"/>
          <w:color w:val="000000" w:themeColor="text1"/>
          <w:shd w:val="clear" w:color="auto" w:fill="FFFFFF"/>
        </w:rPr>
        <w:t xml:space="preserve"> vol </w:t>
      </w:r>
      <w:r w:rsidRPr="00286011">
        <w:rPr>
          <w:rStyle w:val="volumeissue"/>
          <w:rFonts w:asciiTheme="majorBidi" w:hAnsiTheme="majorBidi" w:cstheme="majorBidi"/>
          <w:color w:val="000000" w:themeColor="text1"/>
        </w:rPr>
        <w:t>5, no 3,</w:t>
      </w:r>
      <w:r w:rsidRPr="00286011">
        <w:rPr>
          <w:rStyle w:val="apple-converted-space"/>
          <w:rFonts w:asciiTheme="majorBidi" w:hAnsiTheme="majorBidi" w:cstheme="majorBidi"/>
          <w:color w:val="000000" w:themeColor="text1"/>
          <w:shd w:val="clear" w:color="auto" w:fill="FFFFFF"/>
        </w:rPr>
        <w:t xml:space="preserve"> pp </w:t>
      </w:r>
      <w:r w:rsidRPr="00286011">
        <w:rPr>
          <w:rStyle w:val="pagerange"/>
          <w:rFonts w:asciiTheme="majorBidi" w:hAnsiTheme="majorBidi" w:cstheme="majorBidi"/>
          <w:color w:val="000000" w:themeColor="text1"/>
        </w:rPr>
        <w:t>205-225.</w:t>
      </w:r>
    </w:p>
    <w:p w14:paraId="428C9C9E"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Shai S., </w:t>
      </w:r>
      <w:proofErr w:type="spellStart"/>
      <w:r w:rsidRPr="00286011">
        <w:rPr>
          <w:rFonts w:asciiTheme="majorBidi" w:hAnsiTheme="majorBidi" w:cstheme="majorBidi"/>
          <w:color w:val="000000" w:themeColor="text1"/>
        </w:rPr>
        <w:t>Mintz</w:t>
      </w:r>
      <w:proofErr w:type="spellEnd"/>
      <w:r w:rsidRPr="00286011">
        <w:rPr>
          <w:rFonts w:asciiTheme="majorBidi" w:hAnsiTheme="majorBidi" w:cstheme="majorBidi"/>
          <w:color w:val="000000" w:themeColor="text1"/>
        </w:rPr>
        <w:t xml:space="preserve"> A. (2016) ‘The BDS movement as a strategic threat on Israel’, Herzliya Conference, Institute for Policy and Strategy, Interdisciplinary Centre, </w:t>
      </w:r>
      <w:hyperlink r:id="rId28" w:history="1">
        <w:r w:rsidRPr="00286011">
          <w:rPr>
            <w:rStyle w:val="Hyperlink"/>
            <w:rFonts w:asciiTheme="majorBidi" w:hAnsiTheme="majorBidi" w:cstheme="majorBidi"/>
            <w:color w:val="000000" w:themeColor="text1"/>
          </w:rPr>
          <w:t>https://www.runi.ac.il/media/cp3lq3t5/bds-shaulshay2016.pdf</w:t>
        </w:r>
      </w:hyperlink>
      <w:r w:rsidRPr="00286011">
        <w:rPr>
          <w:rFonts w:asciiTheme="majorBidi" w:hAnsiTheme="majorBidi" w:cstheme="majorBidi"/>
          <w:color w:val="000000" w:themeColor="text1"/>
        </w:rPr>
        <w:t xml:space="preserve"> [Hebrew]</w:t>
      </w:r>
    </w:p>
    <w:p w14:paraId="276125AD"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Shetah</w:t>
      </w:r>
      <w:proofErr w:type="spellEnd"/>
      <w:r w:rsidRPr="00286011">
        <w:rPr>
          <w:rFonts w:asciiTheme="majorBidi" w:hAnsiTheme="majorBidi" w:cstheme="majorBidi"/>
          <w:color w:val="000000" w:themeColor="text1"/>
        </w:rPr>
        <w:t xml:space="preserve"> </w:t>
      </w:r>
      <w:proofErr w:type="spellStart"/>
      <w:r w:rsidRPr="00286011">
        <w:rPr>
          <w:rFonts w:asciiTheme="majorBidi" w:hAnsiTheme="majorBidi" w:cstheme="majorBidi"/>
          <w:color w:val="000000" w:themeColor="text1"/>
        </w:rPr>
        <w:t>Hefker</w:t>
      </w:r>
      <w:proofErr w:type="spellEnd"/>
      <w:r w:rsidRPr="00286011">
        <w:rPr>
          <w:rFonts w:asciiTheme="majorBidi" w:hAnsiTheme="majorBidi" w:cstheme="majorBidi"/>
          <w:color w:val="000000" w:themeColor="text1"/>
        </w:rPr>
        <w:t xml:space="preserve">, (2018) ‘The Aces of the BDS Movement’, Kan 11, </w:t>
      </w:r>
      <w:hyperlink r:id="rId29" w:history="1">
        <w:r w:rsidRPr="00286011">
          <w:rPr>
            <w:rStyle w:val="Hyperlink"/>
            <w:rFonts w:asciiTheme="majorBidi" w:hAnsiTheme="majorBidi" w:cstheme="majorBidi"/>
            <w:color w:val="000000" w:themeColor="text1"/>
          </w:rPr>
          <w:t>https://www.kan.org.il/program/?catid=1138&amp;subcatid=205</w:t>
        </w:r>
      </w:hyperlink>
      <w:r w:rsidRPr="00286011">
        <w:rPr>
          <w:rFonts w:asciiTheme="majorBidi" w:hAnsiTheme="majorBidi" w:cstheme="majorBidi"/>
          <w:color w:val="000000" w:themeColor="text1"/>
        </w:rPr>
        <w:t xml:space="preserve"> [Hebrew] </w:t>
      </w:r>
    </w:p>
    <w:p w14:paraId="54EF343D"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Smooha</w:t>
      </w:r>
      <w:proofErr w:type="spellEnd"/>
      <w:r w:rsidRPr="00286011">
        <w:rPr>
          <w:rFonts w:asciiTheme="majorBidi" w:hAnsiTheme="majorBidi" w:cstheme="majorBidi"/>
          <w:color w:val="000000" w:themeColor="text1"/>
        </w:rPr>
        <w:t xml:space="preserve">, S. (1997) ‘Ethnic democracy: Israel as an archetype. </w:t>
      </w:r>
      <w:r w:rsidRPr="00286011">
        <w:rPr>
          <w:rFonts w:asciiTheme="majorBidi" w:hAnsiTheme="majorBidi" w:cstheme="majorBidi"/>
          <w:i/>
          <w:color w:val="000000" w:themeColor="text1"/>
        </w:rPr>
        <w:t>Israel Studies</w:t>
      </w:r>
      <w:r w:rsidRPr="00286011">
        <w:rPr>
          <w:rFonts w:asciiTheme="majorBidi" w:hAnsiTheme="majorBidi" w:cstheme="majorBidi"/>
          <w:color w:val="000000" w:themeColor="text1"/>
        </w:rPr>
        <w:t xml:space="preserve"> vol 2, pp 198-241.</w:t>
      </w:r>
    </w:p>
    <w:p w14:paraId="77B3F28E"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State of Israel, Ministry of Foreign Affairs, </w:t>
      </w:r>
      <w:r w:rsidRPr="00286011">
        <w:rPr>
          <w:rFonts w:asciiTheme="majorBidi" w:hAnsiTheme="majorBidi" w:cstheme="majorBidi"/>
          <w:i/>
          <w:iCs/>
          <w:color w:val="000000" w:themeColor="text1"/>
        </w:rPr>
        <w:t>4IL</w:t>
      </w:r>
      <w:r w:rsidRPr="00286011">
        <w:rPr>
          <w:rFonts w:asciiTheme="majorBidi" w:hAnsiTheme="majorBidi" w:cstheme="majorBidi"/>
          <w:color w:val="000000" w:themeColor="text1"/>
        </w:rPr>
        <w:t xml:space="preserve"> </w:t>
      </w:r>
      <w:hyperlink r:id="rId30" w:history="1">
        <w:r w:rsidRPr="00286011">
          <w:rPr>
            <w:rStyle w:val="Hyperlink"/>
            <w:rFonts w:asciiTheme="majorBidi" w:hAnsiTheme="majorBidi" w:cstheme="majorBidi"/>
            <w:color w:val="000000" w:themeColor="text1"/>
          </w:rPr>
          <w:t>https://4il.mfa.gov.il</w:t>
        </w:r>
      </w:hyperlink>
      <w:r w:rsidRPr="00286011">
        <w:rPr>
          <w:rFonts w:asciiTheme="majorBidi" w:hAnsiTheme="majorBidi" w:cstheme="majorBidi"/>
          <w:color w:val="000000" w:themeColor="text1"/>
        </w:rPr>
        <w:t xml:space="preserve"> [Hebrew] </w:t>
      </w:r>
    </w:p>
    <w:p w14:paraId="4D6D2F17" w14:textId="77777777" w:rsidR="003948C4" w:rsidRPr="00286011" w:rsidRDefault="003948C4" w:rsidP="003948C4">
      <w:pPr>
        <w:spacing w:after="60"/>
        <w:jc w:val="both"/>
        <w:rPr>
          <w:rFonts w:asciiTheme="majorBidi" w:eastAsia="Times New Roman" w:hAnsiTheme="majorBidi" w:cstheme="majorBidi"/>
          <w:color w:val="000000" w:themeColor="text1"/>
          <w:shd w:val="clear" w:color="auto" w:fill="FFFFFF"/>
          <w:lang w:eastAsia="en-GB"/>
        </w:rPr>
      </w:pPr>
      <w:proofErr w:type="spellStart"/>
      <w:r w:rsidRPr="00286011">
        <w:rPr>
          <w:rFonts w:asciiTheme="majorBidi" w:eastAsia="Times New Roman" w:hAnsiTheme="majorBidi" w:cstheme="majorBidi"/>
          <w:color w:val="000000" w:themeColor="text1"/>
          <w:shd w:val="clear" w:color="auto" w:fill="FFFFFF"/>
          <w:lang w:eastAsia="en-GB"/>
        </w:rPr>
        <w:t>Stoler</w:t>
      </w:r>
      <w:proofErr w:type="spellEnd"/>
      <w:r w:rsidRPr="00286011">
        <w:rPr>
          <w:rFonts w:asciiTheme="majorBidi" w:eastAsia="Times New Roman" w:hAnsiTheme="majorBidi" w:cstheme="majorBidi"/>
          <w:color w:val="000000" w:themeColor="text1"/>
          <w:shd w:val="clear" w:color="auto" w:fill="FFFFFF"/>
          <w:lang w:eastAsia="en-GB"/>
        </w:rPr>
        <w:t xml:space="preserve">, AL. (2022) </w:t>
      </w:r>
      <w:r w:rsidRPr="00286011">
        <w:rPr>
          <w:rFonts w:asciiTheme="majorBidi" w:eastAsia="Times New Roman" w:hAnsiTheme="majorBidi" w:cstheme="majorBidi"/>
          <w:i/>
          <w:iCs/>
          <w:color w:val="000000" w:themeColor="text1"/>
          <w:shd w:val="clear" w:color="auto" w:fill="FFFFFF"/>
          <w:lang w:eastAsia="en-GB"/>
        </w:rPr>
        <w:t>Interior frontiers: essays on the entrails of inequality</w:t>
      </w:r>
      <w:r w:rsidRPr="00286011">
        <w:rPr>
          <w:rFonts w:asciiTheme="majorBidi" w:eastAsia="Times New Roman" w:hAnsiTheme="majorBidi" w:cstheme="majorBidi"/>
          <w:color w:val="000000" w:themeColor="text1"/>
          <w:shd w:val="clear" w:color="auto" w:fill="FFFFFF"/>
          <w:lang w:eastAsia="en-GB"/>
        </w:rPr>
        <w:t xml:space="preserve">, New York: Oxford University Press. </w:t>
      </w:r>
    </w:p>
    <w:p w14:paraId="70B468C8" w14:textId="77777777" w:rsidR="003948C4" w:rsidRPr="00286011" w:rsidRDefault="003948C4" w:rsidP="003948C4">
      <w:pPr>
        <w:pStyle w:val="NormalWeb"/>
        <w:shd w:val="clear" w:color="auto" w:fill="FFFFFF"/>
        <w:spacing w:before="0" w:beforeAutospacing="0" w:after="60" w:afterAutospacing="0"/>
        <w:jc w:val="both"/>
        <w:rPr>
          <w:rStyle w:val="Hyperlink"/>
          <w:rFonts w:asciiTheme="majorBidi" w:hAnsiTheme="majorBidi" w:cstheme="majorBidi"/>
          <w:color w:val="000000" w:themeColor="text1"/>
        </w:rPr>
      </w:pPr>
      <w:proofErr w:type="spellStart"/>
      <w:r w:rsidRPr="00286011">
        <w:rPr>
          <w:rFonts w:asciiTheme="majorBidi" w:hAnsiTheme="majorBidi" w:cstheme="majorBidi"/>
          <w:color w:val="000000" w:themeColor="text1"/>
        </w:rPr>
        <w:t>Tatour</w:t>
      </w:r>
      <w:proofErr w:type="spellEnd"/>
      <w:r w:rsidRPr="00286011">
        <w:rPr>
          <w:rFonts w:asciiTheme="majorBidi" w:hAnsiTheme="majorBidi" w:cstheme="majorBidi"/>
          <w:color w:val="000000" w:themeColor="text1"/>
        </w:rPr>
        <w:t>, L. (2019) ‘Citizenship as Domination: Settled Colonialism and the Making of Palestinian Citizenship in Israel’, </w:t>
      </w:r>
      <w:r w:rsidRPr="00286011">
        <w:rPr>
          <w:rFonts w:asciiTheme="majorBidi" w:hAnsiTheme="majorBidi" w:cstheme="majorBidi"/>
          <w:i/>
          <w:iCs/>
          <w:color w:val="000000" w:themeColor="text1"/>
        </w:rPr>
        <w:t>Arab Studies Journal</w:t>
      </w:r>
      <w:r w:rsidRPr="00286011">
        <w:rPr>
          <w:rFonts w:asciiTheme="majorBidi" w:hAnsiTheme="majorBidi" w:cstheme="majorBidi"/>
          <w:color w:val="000000" w:themeColor="text1"/>
        </w:rPr>
        <w:t>, vol XXVII, no 2, </w:t>
      </w:r>
      <w:hyperlink r:id="rId31" w:history="1">
        <w:r w:rsidRPr="00286011">
          <w:rPr>
            <w:rStyle w:val="Hyperlink"/>
            <w:rFonts w:asciiTheme="majorBidi" w:hAnsiTheme="majorBidi" w:cstheme="majorBidi"/>
            <w:color w:val="000000" w:themeColor="text1"/>
          </w:rPr>
          <w:t>https://www.arabstudiesjournal.org/272-fall-2019.html</w:t>
        </w:r>
      </w:hyperlink>
    </w:p>
    <w:p w14:paraId="68760145"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Thrall, N. (2018) ‘BDS: how a controversial non-violent movement has transformed the Israeli-Palestinian debate’ </w:t>
      </w:r>
      <w:r w:rsidRPr="00286011">
        <w:rPr>
          <w:rFonts w:asciiTheme="majorBidi" w:hAnsiTheme="majorBidi" w:cstheme="majorBidi"/>
          <w:i/>
          <w:iCs/>
          <w:color w:val="000000" w:themeColor="text1"/>
        </w:rPr>
        <w:t>The Guardian</w:t>
      </w:r>
      <w:r w:rsidRPr="00286011">
        <w:rPr>
          <w:rFonts w:asciiTheme="majorBidi" w:hAnsiTheme="majorBidi" w:cstheme="majorBidi"/>
          <w:color w:val="000000" w:themeColor="text1"/>
        </w:rPr>
        <w:t xml:space="preserve"> </w:t>
      </w:r>
      <w:hyperlink r:id="rId32" w:history="1">
        <w:r w:rsidRPr="00286011">
          <w:rPr>
            <w:rStyle w:val="Hyperlink"/>
            <w:rFonts w:asciiTheme="majorBidi" w:hAnsiTheme="majorBidi" w:cstheme="majorBidi"/>
            <w:color w:val="000000" w:themeColor="text1"/>
          </w:rPr>
          <w:t>https://www.theguardian.com/news/2018/aug/14/bds-boycott-divestment-sanctions-movement-transformed-israeli-palestinian-debate</w:t>
        </w:r>
      </w:hyperlink>
    </w:p>
    <w:p w14:paraId="29EA10EB" w14:textId="0C04C64C" w:rsidR="009B289F" w:rsidRPr="00286011" w:rsidRDefault="009B289F" w:rsidP="003948C4">
      <w:pPr>
        <w:spacing w:after="60"/>
        <w:jc w:val="both"/>
        <w:rPr>
          <w:rFonts w:asciiTheme="majorBidi" w:hAnsiTheme="majorBidi" w:cstheme="majorBidi"/>
          <w:color w:val="000000" w:themeColor="text1"/>
        </w:rPr>
      </w:pPr>
      <w:r w:rsidRPr="00286011">
        <w:rPr>
          <w:rFonts w:asciiTheme="majorBidi" w:hAnsiTheme="majorBidi" w:cstheme="majorBidi"/>
          <w:i/>
          <w:iCs/>
          <w:color w:val="000000" w:themeColor="text1"/>
        </w:rPr>
        <w:t>Threshold</w:t>
      </w:r>
      <w:r w:rsidRPr="00286011">
        <w:rPr>
          <w:rFonts w:asciiTheme="majorBidi" w:hAnsiTheme="majorBidi" w:cstheme="majorBidi"/>
          <w:color w:val="000000" w:themeColor="text1"/>
        </w:rPr>
        <w:t xml:space="preserve">, Cambridge Dictionary Online </w:t>
      </w:r>
      <w:hyperlink r:id="rId33" w:history="1">
        <w:r w:rsidRPr="00286011">
          <w:rPr>
            <w:rStyle w:val="Hyperlink"/>
            <w:rFonts w:asciiTheme="majorBidi" w:hAnsiTheme="majorBidi" w:cstheme="majorBidi"/>
          </w:rPr>
          <w:t>https://dictionary.cambridge.org/dictionary/english/threshold</w:t>
        </w:r>
      </w:hyperlink>
      <w:r w:rsidRPr="00286011">
        <w:rPr>
          <w:rFonts w:asciiTheme="majorBidi" w:hAnsiTheme="majorBidi" w:cstheme="majorBidi"/>
          <w:color w:val="000000" w:themeColor="text1"/>
        </w:rPr>
        <w:t xml:space="preserve"> </w:t>
      </w:r>
    </w:p>
    <w:p w14:paraId="2E38198B" w14:textId="4E493B20" w:rsidR="009B289F" w:rsidRPr="00286011" w:rsidRDefault="009B289F" w:rsidP="003948C4">
      <w:pPr>
        <w:spacing w:after="60"/>
        <w:jc w:val="both"/>
        <w:rPr>
          <w:rFonts w:asciiTheme="majorBidi" w:hAnsiTheme="majorBidi" w:cstheme="majorBidi"/>
          <w:color w:val="000000" w:themeColor="text1"/>
        </w:rPr>
      </w:pPr>
      <w:r w:rsidRPr="00286011">
        <w:rPr>
          <w:rFonts w:asciiTheme="majorBidi" w:hAnsiTheme="majorBidi" w:cstheme="majorBidi"/>
          <w:i/>
          <w:iCs/>
          <w:color w:val="000000" w:themeColor="text1"/>
        </w:rPr>
        <w:t>Threshold</w:t>
      </w:r>
      <w:r w:rsidRPr="00286011">
        <w:rPr>
          <w:rFonts w:asciiTheme="majorBidi" w:hAnsiTheme="majorBidi" w:cstheme="majorBidi"/>
          <w:color w:val="000000" w:themeColor="text1"/>
        </w:rPr>
        <w:t xml:space="preserve">, Oxford Learner Dictionaries Online </w:t>
      </w:r>
      <w:hyperlink r:id="rId34" w:history="1">
        <w:r w:rsidRPr="00286011">
          <w:rPr>
            <w:rStyle w:val="Hyperlink"/>
            <w:rFonts w:asciiTheme="majorBidi" w:hAnsiTheme="majorBidi" w:cstheme="majorBidi"/>
          </w:rPr>
          <w:t>https://www.oxfordlearnersdictionaries.com/definition/english/threshold</w:t>
        </w:r>
      </w:hyperlink>
      <w:r w:rsidRPr="00286011">
        <w:rPr>
          <w:rFonts w:asciiTheme="majorBidi" w:hAnsiTheme="majorBidi" w:cstheme="majorBidi"/>
          <w:color w:val="000000" w:themeColor="text1"/>
        </w:rPr>
        <w:t xml:space="preserve"> </w:t>
      </w:r>
    </w:p>
    <w:p w14:paraId="121BA789" w14:textId="1B15AF12"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Tibon</w:t>
      </w:r>
      <w:proofErr w:type="spellEnd"/>
      <w:r w:rsidRPr="00286011">
        <w:rPr>
          <w:rFonts w:asciiTheme="majorBidi" w:hAnsiTheme="majorBidi" w:cstheme="majorBidi"/>
          <w:color w:val="000000" w:themeColor="text1"/>
        </w:rPr>
        <w:t xml:space="preserve">, A (2016) ‘Money is not a problem: Why the State of Israel is losing in Hasbara and the struggle against the boycott?’ </w:t>
      </w:r>
      <w:r w:rsidRPr="00286011">
        <w:rPr>
          <w:rFonts w:asciiTheme="majorBidi" w:hAnsiTheme="majorBidi" w:cstheme="majorBidi"/>
          <w:i/>
          <w:iCs/>
          <w:color w:val="000000" w:themeColor="text1"/>
        </w:rPr>
        <w:t>Walla News</w:t>
      </w:r>
      <w:r w:rsidRPr="00286011">
        <w:rPr>
          <w:rFonts w:asciiTheme="majorBidi" w:hAnsiTheme="majorBidi" w:cstheme="majorBidi"/>
          <w:color w:val="000000" w:themeColor="text1"/>
        </w:rPr>
        <w:t xml:space="preserve">, </w:t>
      </w:r>
      <w:hyperlink r:id="rId35" w:history="1">
        <w:r w:rsidRPr="00286011">
          <w:rPr>
            <w:rStyle w:val="Hyperlink"/>
            <w:rFonts w:asciiTheme="majorBidi" w:hAnsiTheme="majorBidi" w:cstheme="majorBidi"/>
            <w:color w:val="000000" w:themeColor="text1"/>
          </w:rPr>
          <w:t>https://news.walla.co.il/item/2964088</w:t>
        </w:r>
      </w:hyperlink>
      <w:r w:rsidRPr="00286011">
        <w:rPr>
          <w:rFonts w:asciiTheme="majorBidi" w:hAnsiTheme="majorBidi" w:cstheme="majorBidi"/>
          <w:color w:val="000000" w:themeColor="text1"/>
        </w:rPr>
        <w:t xml:space="preserve"> [Hebrew]</w:t>
      </w:r>
    </w:p>
    <w:p w14:paraId="49F6E2B9"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Tsimuki</w:t>
      </w:r>
      <w:proofErr w:type="spellEnd"/>
      <w:r w:rsidRPr="00286011">
        <w:rPr>
          <w:rFonts w:asciiTheme="majorBidi" w:hAnsiTheme="majorBidi" w:cstheme="majorBidi"/>
          <w:color w:val="000000" w:themeColor="text1"/>
        </w:rPr>
        <w:t xml:space="preserve">, T (2023) ‘Levin presented the ‘first stage’ of the revolution’, </w:t>
      </w:r>
      <w:proofErr w:type="spellStart"/>
      <w:r w:rsidRPr="00286011">
        <w:rPr>
          <w:rFonts w:asciiTheme="majorBidi" w:hAnsiTheme="majorBidi" w:cstheme="majorBidi"/>
          <w:i/>
          <w:iCs/>
          <w:color w:val="000000" w:themeColor="text1"/>
        </w:rPr>
        <w:t>Ynet</w:t>
      </w:r>
      <w:proofErr w:type="spellEnd"/>
      <w:r w:rsidRPr="00286011">
        <w:rPr>
          <w:rFonts w:asciiTheme="majorBidi" w:hAnsiTheme="majorBidi" w:cstheme="majorBidi"/>
          <w:color w:val="000000" w:themeColor="text1"/>
        </w:rPr>
        <w:t xml:space="preserve"> </w:t>
      </w:r>
      <w:hyperlink r:id="rId36" w:anchor="autoplay" w:history="1">
        <w:r w:rsidRPr="00286011">
          <w:rPr>
            <w:rStyle w:val="Hyperlink"/>
            <w:rFonts w:asciiTheme="majorBidi" w:hAnsiTheme="majorBidi" w:cstheme="majorBidi"/>
            <w:color w:val="000000" w:themeColor="text1"/>
          </w:rPr>
          <w:t>https://www.ynet.co.il/news/article/sjczdeq5i#autoplay</w:t>
        </w:r>
      </w:hyperlink>
      <w:r w:rsidRPr="00286011">
        <w:rPr>
          <w:rFonts w:asciiTheme="majorBidi" w:hAnsiTheme="majorBidi" w:cstheme="majorBidi"/>
          <w:color w:val="000000" w:themeColor="text1"/>
        </w:rPr>
        <w:t xml:space="preserve"> [Hebrew]  </w:t>
      </w:r>
    </w:p>
    <w:p w14:paraId="1F64B6A4" w14:textId="77777777" w:rsidR="003948C4" w:rsidRPr="00286011" w:rsidRDefault="003948C4" w:rsidP="003948C4">
      <w:pPr>
        <w:spacing w:after="60"/>
        <w:jc w:val="both"/>
        <w:rPr>
          <w:rFonts w:asciiTheme="majorBidi" w:eastAsia="Times New Roman" w:hAnsiTheme="majorBidi" w:cstheme="majorBidi"/>
          <w:color w:val="000000" w:themeColor="text1"/>
          <w:shd w:val="clear" w:color="auto" w:fill="FFFFFF"/>
          <w:lang w:eastAsia="en-GB"/>
        </w:rPr>
      </w:pPr>
      <w:proofErr w:type="spellStart"/>
      <w:r w:rsidRPr="00286011">
        <w:rPr>
          <w:rFonts w:asciiTheme="majorBidi" w:eastAsia="Times New Roman" w:hAnsiTheme="majorBidi" w:cstheme="majorBidi"/>
          <w:color w:val="000000" w:themeColor="text1"/>
          <w:shd w:val="clear" w:color="auto" w:fill="FFFFFF"/>
          <w:lang w:eastAsia="en-GB"/>
        </w:rPr>
        <w:t>Vegh</w:t>
      </w:r>
      <w:proofErr w:type="spellEnd"/>
      <w:r w:rsidRPr="00286011">
        <w:rPr>
          <w:rFonts w:asciiTheme="majorBidi" w:eastAsia="Times New Roman" w:hAnsiTheme="majorBidi" w:cstheme="majorBidi"/>
          <w:color w:val="000000" w:themeColor="text1"/>
          <w:shd w:val="clear" w:color="auto" w:fill="FFFFFF"/>
          <w:lang w:eastAsia="en-GB"/>
        </w:rPr>
        <w:t xml:space="preserve"> Weis, V. (ed) (2022) </w:t>
      </w:r>
      <w:r w:rsidRPr="00286011">
        <w:rPr>
          <w:rFonts w:asciiTheme="majorBidi" w:eastAsia="Times New Roman" w:hAnsiTheme="majorBidi" w:cstheme="majorBidi"/>
          <w:i/>
          <w:iCs/>
          <w:color w:val="000000" w:themeColor="text1"/>
          <w:shd w:val="clear" w:color="auto" w:fill="FFFFFF"/>
          <w:lang w:eastAsia="en-GB"/>
        </w:rPr>
        <w:t xml:space="preserve">Criminalization of activism: historical, present, and future perspectives, </w:t>
      </w:r>
      <w:r w:rsidRPr="00286011">
        <w:rPr>
          <w:rFonts w:asciiTheme="majorBidi" w:eastAsia="Times New Roman" w:hAnsiTheme="majorBidi" w:cstheme="majorBidi"/>
          <w:color w:val="000000" w:themeColor="text1"/>
          <w:shd w:val="clear" w:color="auto" w:fill="FFFFFF"/>
          <w:lang w:eastAsia="en-GB"/>
        </w:rPr>
        <w:t xml:space="preserve">New York: Routledge. </w:t>
      </w:r>
    </w:p>
    <w:p w14:paraId="75BF6679"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Vighi</w:t>
      </w:r>
      <w:proofErr w:type="spellEnd"/>
      <w:r w:rsidRPr="00286011">
        <w:rPr>
          <w:rFonts w:asciiTheme="majorBidi" w:hAnsiTheme="majorBidi" w:cstheme="majorBidi"/>
          <w:color w:val="000000" w:themeColor="text1"/>
        </w:rPr>
        <w:t xml:space="preserve">, F., </w:t>
      </w:r>
      <w:proofErr w:type="spellStart"/>
      <w:r w:rsidRPr="00286011">
        <w:rPr>
          <w:rFonts w:asciiTheme="majorBidi" w:hAnsiTheme="majorBidi" w:cstheme="majorBidi"/>
          <w:color w:val="000000" w:themeColor="text1"/>
        </w:rPr>
        <w:t>Nuselovici</w:t>
      </w:r>
      <w:proofErr w:type="spellEnd"/>
      <w:r w:rsidRPr="00286011">
        <w:rPr>
          <w:rFonts w:asciiTheme="majorBidi" w:hAnsiTheme="majorBidi" w:cstheme="majorBidi"/>
          <w:color w:val="000000" w:themeColor="text1"/>
        </w:rPr>
        <w:t xml:space="preserve"> A. and M Ponzi (eds) (2014) ‘Introduction’, in </w:t>
      </w:r>
      <w:r w:rsidRPr="00286011">
        <w:rPr>
          <w:rFonts w:asciiTheme="majorBidi" w:hAnsiTheme="majorBidi" w:cstheme="majorBidi"/>
          <w:i/>
          <w:iCs/>
          <w:color w:val="000000" w:themeColor="text1"/>
        </w:rPr>
        <w:t>Between urban topographies and political spaces: threshold experiences</w:t>
      </w:r>
      <w:r w:rsidRPr="00286011">
        <w:rPr>
          <w:rFonts w:asciiTheme="majorBidi" w:hAnsiTheme="majorBidi" w:cstheme="majorBidi"/>
          <w:color w:val="000000" w:themeColor="text1"/>
        </w:rPr>
        <w:t xml:space="preserve">, Plymouth: Lexington Books, pp vii-ix. </w:t>
      </w:r>
    </w:p>
    <w:p w14:paraId="4ACB394D"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Waldenfels</w:t>
      </w:r>
      <w:proofErr w:type="spellEnd"/>
      <w:r w:rsidRPr="00286011">
        <w:rPr>
          <w:rFonts w:asciiTheme="majorBidi" w:hAnsiTheme="majorBidi" w:cstheme="majorBidi"/>
          <w:color w:val="000000" w:themeColor="text1"/>
        </w:rPr>
        <w:t xml:space="preserve">, B. (2014) ‘Threshold Experiences” in F </w:t>
      </w:r>
      <w:proofErr w:type="spellStart"/>
      <w:r w:rsidRPr="00286011">
        <w:rPr>
          <w:rFonts w:asciiTheme="majorBidi" w:hAnsiTheme="majorBidi" w:cstheme="majorBidi"/>
          <w:color w:val="000000" w:themeColor="text1"/>
        </w:rPr>
        <w:t>Vighi</w:t>
      </w:r>
      <w:proofErr w:type="spellEnd"/>
      <w:r w:rsidRPr="00286011">
        <w:rPr>
          <w:rFonts w:asciiTheme="majorBidi" w:hAnsiTheme="majorBidi" w:cstheme="majorBidi"/>
          <w:color w:val="000000" w:themeColor="text1"/>
        </w:rPr>
        <w:t xml:space="preserve">, A </w:t>
      </w:r>
      <w:proofErr w:type="spellStart"/>
      <w:r w:rsidRPr="00286011">
        <w:rPr>
          <w:rFonts w:asciiTheme="majorBidi" w:hAnsiTheme="majorBidi" w:cstheme="majorBidi"/>
          <w:color w:val="000000" w:themeColor="text1"/>
        </w:rPr>
        <w:t>Nuselovici</w:t>
      </w:r>
      <w:proofErr w:type="spellEnd"/>
      <w:r w:rsidRPr="00286011">
        <w:rPr>
          <w:rFonts w:asciiTheme="majorBidi" w:hAnsiTheme="majorBidi" w:cstheme="majorBidi"/>
          <w:color w:val="000000" w:themeColor="text1"/>
        </w:rPr>
        <w:t xml:space="preserve"> and M Ponzi (eds) </w:t>
      </w:r>
      <w:r w:rsidRPr="00286011">
        <w:rPr>
          <w:rFonts w:asciiTheme="majorBidi" w:hAnsiTheme="majorBidi" w:cstheme="majorBidi"/>
          <w:i/>
          <w:iCs/>
          <w:color w:val="000000" w:themeColor="text1"/>
        </w:rPr>
        <w:t>Between urban topographies and political spaces: threshold experiences,</w:t>
      </w:r>
      <w:r w:rsidRPr="00286011">
        <w:rPr>
          <w:rFonts w:asciiTheme="majorBidi" w:hAnsiTheme="majorBidi" w:cstheme="majorBidi"/>
          <w:color w:val="000000" w:themeColor="text1"/>
        </w:rPr>
        <w:t xml:space="preserve"> Plymouth: Lexington Books, pp 3-18. </w:t>
      </w:r>
    </w:p>
    <w:p w14:paraId="716216DC" w14:textId="77777777" w:rsidR="003948C4" w:rsidRPr="00286011" w:rsidRDefault="003948C4" w:rsidP="003948C4">
      <w:pPr>
        <w:spacing w:after="60"/>
        <w:jc w:val="both"/>
        <w:rPr>
          <w:rFonts w:asciiTheme="majorBidi" w:eastAsia="Times New Roman" w:hAnsiTheme="majorBidi" w:cstheme="majorBidi"/>
          <w:color w:val="000000" w:themeColor="text1"/>
          <w:shd w:val="clear" w:color="auto" w:fill="FFFFFF"/>
          <w:lang w:eastAsia="en-GB"/>
        </w:rPr>
      </w:pPr>
      <w:r w:rsidRPr="00286011">
        <w:rPr>
          <w:rFonts w:asciiTheme="majorBidi" w:eastAsia="Times New Roman" w:hAnsiTheme="majorBidi" w:cstheme="majorBidi"/>
          <w:color w:val="000000" w:themeColor="text1"/>
          <w:shd w:val="clear" w:color="auto" w:fill="FFFFFF"/>
          <w:lang w:eastAsia="en-GB"/>
        </w:rPr>
        <w:t xml:space="preserve">Watts, R. (2019) </w:t>
      </w:r>
      <w:r w:rsidRPr="00286011">
        <w:rPr>
          <w:rFonts w:asciiTheme="majorBidi" w:eastAsia="Times New Roman" w:hAnsiTheme="majorBidi" w:cstheme="majorBidi"/>
          <w:i/>
          <w:iCs/>
          <w:color w:val="000000" w:themeColor="text1"/>
          <w:shd w:val="clear" w:color="auto" w:fill="FFFFFF"/>
          <w:lang w:eastAsia="en-GB"/>
        </w:rPr>
        <w:t>Criminalizing dissent: the liberal state and the problem of legitimacy</w:t>
      </w:r>
      <w:r w:rsidRPr="00286011">
        <w:rPr>
          <w:rFonts w:asciiTheme="majorBidi" w:eastAsia="Times New Roman" w:hAnsiTheme="majorBidi" w:cstheme="majorBidi"/>
          <w:color w:val="000000" w:themeColor="text1"/>
          <w:shd w:val="clear" w:color="auto" w:fill="FFFFFF"/>
          <w:lang w:eastAsia="en-GB"/>
        </w:rPr>
        <w:t xml:space="preserve">, London: Routledge. </w:t>
      </w:r>
    </w:p>
    <w:p w14:paraId="5B13F898"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Weiss, R. (2017) ‘Going online’, </w:t>
      </w:r>
      <w:proofErr w:type="spellStart"/>
      <w:r w:rsidRPr="00286011">
        <w:rPr>
          <w:rFonts w:asciiTheme="majorBidi" w:hAnsiTheme="majorBidi" w:cstheme="majorBidi"/>
          <w:i/>
          <w:iCs/>
          <w:color w:val="000000" w:themeColor="text1"/>
        </w:rPr>
        <w:t>Ynet</w:t>
      </w:r>
      <w:proofErr w:type="spellEnd"/>
      <w:r w:rsidRPr="00286011">
        <w:rPr>
          <w:rFonts w:asciiTheme="majorBidi" w:hAnsiTheme="majorBidi" w:cstheme="majorBidi"/>
          <w:color w:val="000000" w:themeColor="text1"/>
        </w:rPr>
        <w:t xml:space="preserve"> </w:t>
      </w:r>
      <w:hyperlink r:id="rId37" w:anchor="autoplay" w:history="1">
        <w:r w:rsidRPr="00286011">
          <w:rPr>
            <w:rStyle w:val="Hyperlink"/>
            <w:rFonts w:asciiTheme="majorBidi" w:hAnsiTheme="majorBidi" w:cstheme="majorBidi"/>
            <w:color w:val="000000" w:themeColor="text1"/>
          </w:rPr>
          <w:t>https://www.ynet.co.il/articles/0,7340,L-4976263,00.html#autoplay</w:t>
        </w:r>
      </w:hyperlink>
      <w:r w:rsidRPr="00286011">
        <w:rPr>
          <w:rFonts w:asciiTheme="majorBidi" w:hAnsiTheme="majorBidi" w:cstheme="majorBidi"/>
          <w:color w:val="000000" w:themeColor="text1"/>
        </w:rPr>
        <w:t xml:space="preserve"> [Hebrew]</w:t>
      </w:r>
    </w:p>
    <w:p w14:paraId="2834D708" w14:textId="77777777" w:rsidR="003948C4" w:rsidRPr="00286011" w:rsidRDefault="003948C4" w:rsidP="003948C4">
      <w:pPr>
        <w:spacing w:after="60"/>
        <w:jc w:val="both"/>
        <w:rPr>
          <w:rFonts w:asciiTheme="majorBidi" w:eastAsia="Times New Roman" w:hAnsiTheme="majorBidi" w:cstheme="majorBidi"/>
          <w:color w:val="000000" w:themeColor="text1"/>
          <w:spacing w:val="-5"/>
          <w:lang w:eastAsia="en-GB"/>
        </w:rPr>
      </w:pPr>
      <w:r w:rsidRPr="00286011">
        <w:rPr>
          <w:rFonts w:asciiTheme="majorBidi" w:eastAsia="Times New Roman" w:hAnsiTheme="majorBidi" w:cstheme="majorBidi"/>
          <w:color w:val="000000" w:themeColor="text1"/>
          <w:spacing w:val="-5"/>
          <w:lang w:eastAsia="en-GB"/>
        </w:rPr>
        <w:t>Weizman, E. (2017) ‘Decolonising Israeli society? Resistance to Zionism as an educative practice’, </w:t>
      </w:r>
      <w:r w:rsidRPr="00286011">
        <w:rPr>
          <w:rFonts w:asciiTheme="majorBidi" w:eastAsia="Times New Roman" w:hAnsiTheme="majorBidi" w:cstheme="majorBidi"/>
          <w:i/>
          <w:iCs/>
          <w:color w:val="000000" w:themeColor="text1"/>
          <w:spacing w:val="-5"/>
          <w:lang w:eastAsia="en-GB"/>
        </w:rPr>
        <w:t>Ethnicities</w:t>
      </w:r>
      <w:r w:rsidRPr="00286011">
        <w:rPr>
          <w:rFonts w:asciiTheme="majorBidi" w:eastAsia="Times New Roman" w:hAnsiTheme="majorBidi" w:cstheme="majorBidi"/>
          <w:color w:val="000000" w:themeColor="text1"/>
          <w:spacing w:val="-5"/>
          <w:lang w:eastAsia="en-GB"/>
        </w:rPr>
        <w:t xml:space="preserve">, vol 17, no 4, pp 574–597. </w:t>
      </w:r>
    </w:p>
    <w:p w14:paraId="0E2A1265"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Weizman, E. (2022) ‘The anticolonial settler: reflections on citizenship, violence and decolonisation’, </w:t>
      </w:r>
      <w:r w:rsidRPr="00286011">
        <w:rPr>
          <w:rFonts w:asciiTheme="majorBidi" w:hAnsiTheme="majorBidi" w:cstheme="majorBidi"/>
          <w:i/>
          <w:iCs/>
          <w:color w:val="000000" w:themeColor="text1"/>
        </w:rPr>
        <w:t>Citizenship Studies</w:t>
      </w:r>
      <w:r w:rsidRPr="00286011">
        <w:rPr>
          <w:rFonts w:asciiTheme="majorBidi" w:hAnsiTheme="majorBidi" w:cstheme="majorBidi"/>
          <w:color w:val="000000" w:themeColor="text1"/>
        </w:rPr>
        <w:t xml:space="preserve"> [online first]. </w:t>
      </w:r>
    </w:p>
    <w:p w14:paraId="7F1060EA" w14:textId="77777777" w:rsidR="003948C4" w:rsidRPr="00286011" w:rsidRDefault="003948C4" w:rsidP="003948C4">
      <w:pPr>
        <w:spacing w:after="60"/>
        <w:jc w:val="both"/>
        <w:rPr>
          <w:rFonts w:asciiTheme="majorBidi" w:eastAsia="Times New Roman" w:hAnsiTheme="majorBidi" w:cstheme="majorBidi"/>
          <w:color w:val="000000" w:themeColor="text1"/>
          <w:shd w:val="clear" w:color="auto" w:fill="FFFFFF"/>
          <w:lang w:eastAsia="en-GB"/>
        </w:rPr>
      </w:pPr>
      <w:r w:rsidRPr="00286011">
        <w:rPr>
          <w:rFonts w:asciiTheme="majorBidi" w:eastAsia="Times New Roman" w:hAnsiTheme="majorBidi" w:cstheme="majorBidi"/>
          <w:color w:val="000000" w:themeColor="text1"/>
          <w:shd w:val="clear" w:color="auto" w:fill="FFFFFF"/>
          <w:lang w:eastAsia="en-GB"/>
        </w:rPr>
        <w:t xml:space="preserve">Wilson Gilmore, R. (2007) </w:t>
      </w:r>
      <w:r w:rsidRPr="00286011">
        <w:rPr>
          <w:rFonts w:asciiTheme="majorBidi" w:eastAsia="Times New Roman" w:hAnsiTheme="majorBidi" w:cstheme="majorBidi"/>
          <w:i/>
          <w:iCs/>
          <w:color w:val="000000" w:themeColor="text1"/>
          <w:shd w:val="clear" w:color="auto" w:fill="FFFFFF"/>
          <w:lang w:eastAsia="en-GB"/>
        </w:rPr>
        <w:t>The Golden Gulag: Prisons, Surplus, Crisis and Opposition in Globalizing California</w:t>
      </w:r>
      <w:r w:rsidRPr="00286011">
        <w:rPr>
          <w:rFonts w:asciiTheme="majorBidi" w:eastAsia="Times New Roman" w:hAnsiTheme="majorBidi" w:cstheme="majorBidi"/>
          <w:color w:val="000000" w:themeColor="text1"/>
          <w:shd w:val="clear" w:color="auto" w:fill="FFFFFF"/>
          <w:lang w:eastAsia="en-GB"/>
        </w:rPr>
        <w:t xml:space="preserve">, Berkeley, CA: University of California Press. </w:t>
      </w:r>
    </w:p>
    <w:p w14:paraId="3262E200" w14:textId="77777777" w:rsidR="003948C4" w:rsidRPr="00286011" w:rsidRDefault="003948C4" w:rsidP="003948C4">
      <w:pPr>
        <w:spacing w:after="60"/>
        <w:jc w:val="both"/>
        <w:rPr>
          <w:rStyle w:val="Hyperlink"/>
          <w:rFonts w:asciiTheme="majorBidi" w:hAnsiTheme="majorBidi" w:cstheme="majorBidi"/>
          <w:color w:val="000000" w:themeColor="text1"/>
        </w:rPr>
      </w:pPr>
      <w:r w:rsidRPr="00286011">
        <w:rPr>
          <w:rFonts w:asciiTheme="majorBidi" w:hAnsiTheme="majorBidi" w:cstheme="majorBidi"/>
          <w:color w:val="000000" w:themeColor="text1"/>
        </w:rPr>
        <w:t xml:space="preserve">White, B. (2018) ‘Has the BDS Campaign really achieved so little?’, </w:t>
      </w:r>
      <w:r w:rsidRPr="00286011">
        <w:rPr>
          <w:rFonts w:asciiTheme="majorBidi" w:hAnsiTheme="majorBidi" w:cstheme="majorBidi"/>
          <w:i/>
          <w:iCs/>
          <w:color w:val="000000" w:themeColor="text1"/>
        </w:rPr>
        <w:t>Middle East Eye</w:t>
      </w:r>
      <w:r w:rsidRPr="00286011">
        <w:rPr>
          <w:rFonts w:asciiTheme="majorBidi" w:hAnsiTheme="majorBidi" w:cstheme="majorBidi"/>
          <w:color w:val="000000" w:themeColor="text1"/>
        </w:rPr>
        <w:t xml:space="preserve"> </w:t>
      </w:r>
      <w:hyperlink r:id="rId38" w:history="1">
        <w:r w:rsidRPr="00286011">
          <w:rPr>
            <w:rStyle w:val="Hyperlink"/>
            <w:rFonts w:asciiTheme="majorBidi" w:hAnsiTheme="majorBidi" w:cstheme="majorBidi"/>
            <w:color w:val="000000" w:themeColor="text1"/>
          </w:rPr>
          <w:t>https://www.middleeasteye.net/opinion/has-bds-campaign-really-achieved-so-little</w:t>
        </w:r>
      </w:hyperlink>
    </w:p>
    <w:p w14:paraId="1684F08C"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Zreik</w:t>
      </w:r>
      <w:proofErr w:type="spellEnd"/>
      <w:r w:rsidRPr="00286011">
        <w:rPr>
          <w:rFonts w:asciiTheme="majorBidi" w:hAnsiTheme="majorBidi" w:cstheme="majorBidi"/>
          <w:color w:val="000000" w:themeColor="text1"/>
        </w:rPr>
        <w:t xml:space="preserve">, R. (2003) ‘The Palestinian question: Themes of justice and power, part II: The Palestinians in Israel’, </w:t>
      </w:r>
      <w:r w:rsidRPr="00286011">
        <w:rPr>
          <w:rFonts w:asciiTheme="majorBidi" w:hAnsiTheme="majorBidi" w:cstheme="majorBidi"/>
          <w:i/>
          <w:color w:val="000000" w:themeColor="text1"/>
        </w:rPr>
        <w:t>Journal of Palestine Studies,</w:t>
      </w:r>
      <w:r w:rsidRPr="00286011">
        <w:rPr>
          <w:rFonts w:asciiTheme="majorBidi" w:hAnsiTheme="majorBidi" w:cstheme="majorBidi"/>
          <w:color w:val="000000" w:themeColor="text1"/>
        </w:rPr>
        <w:t xml:space="preserve"> vol 33, no 1, pp 42-54.</w:t>
      </w:r>
    </w:p>
    <w:p w14:paraId="050CD679" w14:textId="77777777" w:rsidR="003948C4" w:rsidRPr="00286011" w:rsidRDefault="003948C4" w:rsidP="003948C4">
      <w:pPr>
        <w:spacing w:after="60"/>
        <w:jc w:val="both"/>
        <w:rPr>
          <w:rFonts w:asciiTheme="majorBidi" w:eastAsia="Times New Roman" w:hAnsiTheme="majorBidi" w:cstheme="majorBidi"/>
          <w:color w:val="000000" w:themeColor="text1"/>
          <w:shd w:val="clear" w:color="auto" w:fill="FFFFFF"/>
          <w:lang w:eastAsia="en-GB"/>
        </w:rPr>
      </w:pPr>
      <w:proofErr w:type="spellStart"/>
      <w:r w:rsidRPr="00286011">
        <w:rPr>
          <w:rFonts w:asciiTheme="majorBidi" w:eastAsia="Times New Roman" w:hAnsiTheme="majorBidi" w:cstheme="majorBidi"/>
          <w:color w:val="000000" w:themeColor="text1"/>
          <w:shd w:val="clear" w:color="auto" w:fill="FFFFFF"/>
          <w:lang w:eastAsia="en-GB"/>
        </w:rPr>
        <w:t>Yakir</w:t>
      </w:r>
      <w:proofErr w:type="spellEnd"/>
      <w:r w:rsidRPr="00286011">
        <w:rPr>
          <w:rFonts w:asciiTheme="majorBidi" w:eastAsia="Times New Roman" w:hAnsiTheme="majorBidi" w:cstheme="majorBidi"/>
          <w:color w:val="000000" w:themeColor="text1"/>
          <w:shd w:val="clear" w:color="auto" w:fill="FFFFFF"/>
          <w:lang w:eastAsia="en-GB"/>
        </w:rPr>
        <w:t>, D. and Gild-</w:t>
      </w:r>
      <w:proofErr w:type="spellStart"/>
      <w:r w:rsidRPr="00286011">
        <w:rPr>
          <w:rFonts w:asciiTheme="majorBidi" w:eastAsia="Times New Roman" w:hAnsiTheme="majorBidi" w:cstheme="majorBidi"/>
          <w:color w:val="000000" w:themeColor="text1"/>
          <w:shd w:val="clear" w:color="auto" w:fill="FFFFFF"/>
          <w:lang w:eastAsia="en-GB"/>
        </w:rPr>
        <w:t>Hayo</w:t>
      </w:r>
      <w:proofErr w:type="spellEnd"/>
      <w:r w:rsidRPr="00286011">
        <w:rPr>
          <w:rFonts w:asciiTheme="majorBidi" w:eastAsia="Times New Roman" w:hAnsiTheme="majorBidi" w:cstheme="majorBidi"/>
          <w:color w:val="000000" w:themeColor="text1"/>
          <w:shd w:val="clear" w:color="auto" w:fill="FFFFFF"/>
          <w:lang w:eastAsia="en-GB"/>
        </w:rPr>
        <w:t>, D. (2022) ‘Regarding: draft sub-ordinances of the</w:t>
      </w:r>
      <w:r w:rsidRPr="00286011">
        <w:rPr>
          <w:rFonts w:asciiTheme="majorBidi" w:hAnsiTheme="majorBidi" w:cstheme="majorBidi"/>
          <w:color w:val="000000" w:themeColor="text1"/>
        </w:rPr>
        <w:t xml:space="preserve"> Law for Prevention of Damage to the State of Israel through Boycott, 2022’, Association for Civil Rights in Israel. </w:t>
      </w:r>
    </w:p>
    <w:p w14:paraId="588C887E"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Yiftachel</w:t>
      </w:r>
      <w:proofErr w:type="spellEnd"/>
      <w:r w:rsidRPr="00286011">
        <w:rPr>
          <w:rFonts w:asciiTheme="majorBidi" w:hAnsiTheme="majorBidi" w:cstheme="majorBidi"/>
          <w:color w:val="000000" w:themeColor="text1"/>
        </w:rPr>
        <w:t xml:space="preserve">, O. (2006) </w:t>
      </w:r>
      <w:proofErr w:type="spellStart"/>
      <w:r w:rsidRPr="00286011">
        <w:rPr>
          <w:rFonts w:asciiTheme="majorBidi" w:hAnsiTheme="majorBidi" w:cstheme="majorBidi"/>
          <w:i/>
          <w:color w:val="000000" w:themeColor="text1"/>
        </w:rPr>
        <w:t>Ethnocracy</w:t>
      </w:r>
      <w:proofErr w:type="spellEnd"/>
      <w:r w:rsidRPr="00286011">
        <w:rPr>
          <w:rFonts w:asciiTheme="majorBidi" w:hAnsiTheme="majorBidi" w:cstheme="majorBidi"/>
          <w:i/>
          <w:color w:val="000000" w:themeColor="text1"/>
        </w:rPr>
        <w:t>: Land and identity politics in Israel/Palestine</w:t>
      </w:r>
      <w:r w:rsidRPr="00286011">
        <w:rPr>
          <w:rFonts w:asciiTheme="majorBidi" w:hAnsiTheme="majorBidi" w:cstheme="majorBidi"/>
          <w:color w:val="000000" w:themeColor="text1"/>
        </w:rPr>
        <w:t>, Philadelphia: University of Pennsylvania Press.</w:t>
      </w:r>
    </w:p>
    <w:p w14:paraId="225D2DE1" w14:textId="77777777" w:rsidR="003948C4" w:rsidRPr="00286011" w:rsidRDefault="003948C4" w:rsidP="003948C4">
      <w:pPr>
        <w:spacing w:after="60"/>
        <w:jc w:val="both"/>
        <w:rPr>
          <w:rFonts w:asciiTheme="majorBidi" w:hAnsiTheme="majorBidi" w:cstheme="majorBidi"/>
          <w:color w:val="000000" w:themeColor="text1"/>
        </w:rPr>
      </w:pPr>
      <w:proofErr w:type="spellStart"/>
      <w:r w:rsidRPr="00286011">
        <w:rPr>
          <w:rFonts w:asciiTheme="majorBidi" w:hAnsiTheme="majorBidi" w:cstheme="majorBidi"/>
          <w:color w:val="000000" w:themeColor="text1"/>
        </w:rPr>
        <w:t>Ynet</w:t>
      </w:r>
      <w:proofErr w:type="spellEnd"/>
      <w:r w:rsidRPr="00286011">
        <w:rPr>
          <w:rFonts w:asciiTheme="majorBidi" w:hAnsiTheme="majorBidi" w:cstheme="majorBidi"/>
          <w:color w:val="000000" w:themeColor="text1"/>
        </w:rPr>
        <w:t xml:space="preserve">, </w:t>
      </w:r>
      <w:r w:rsidRPr="00286011">
        <w:rPr>
          <w:rFonts w:asciiTheme="majorBidi" w:hAnsiTheme="majorBidi" w:cstheme="majorBidi"/>
          <w:i/>
          <w:iCs/>
          <w:color w:val="000000" w:themeColor="text1"/>
        </w:rPr>
        <w:t>Screen Savers: Fighting the BDS movement online</w:t>
      </w:r>
      <w:r w:rsidRPr="00286011">
        <w:rPr>
          <w:rFonts w:asciiTheme="majorBidi" w:hAnsiTheme="majorBidi" w:cstheme="majorBidi"/>
          <w:color w:val="000000" w:themeColor="text1"/>
        </w:rPr>
        <w:t xml:space="preserve"> </w:t>
      </w:r>
      <w:hyperlink r:id="rId39" w:history="1">
        <w:r w:rsidRPr="00286011">
          <w:rPr>
            <w:rStyle w:val="Hyperlink"/>
            <w:rFonts w:asciiTheme="majorBidi" w:hAnsiTheme="majorBidi" w:cstheme="majorBidi"/>
            <w:color w:val="000000" w:themeColor="text1"/>
          </w:rPr>
          <w:t>https://www.ynet.co.il/home/0,7340,L-13399,00.html</w:t>
        </w:r>
      </w:hyperlink>
      <w:r w:rsidRPr="00286011">
        <w:rPr>
          <w:rFonts w:asciiTheme="majorBidi" w:hAnsiTheme="majorBidi" w:cstheme="majorBidi"/>
          <w:color w:val="000000" w:themeColor="text1"/>
        </w:rPr>
        <w:t xml:space="preserve"> [Hebrew]</w:t>
      </w:r>
    </w:p>
    <w:p w14:paraId="6BB5DDFD" w14:textId="77777777" w:rsidR="003948C4" w:rsidRPr="00286011" w:rsidRDefault="003948C4" w:rsidP="003948C4">
      <w:pPr>
        <w:spacing w:after="60"/>
        <w:jc w:val="both"/>
        <w:rPr>
          <w:rFonts w:asciiTheme="majorBidi" w:hAnsiTheme="majorBidi" w:cstheme="majorBidi"/>
          <w:color w:val="000000" w:themeColor="text1"/>
        </w:rPr>
      </w:pPr>
    </w:p>
    <w:p w14:paraId="3B12172A" w14:textId="77777777" w:rsidR="003948C4" w:rsidRPr="00286011" w:rsidRDefault="003948C4" w:rsidP="003948C4">
      <w:pPr>
        <w:spacing w:after="60"/>
        <w:jc w:val="both"/>
        <w:rPr>
          <w:rFonts w:asciiTheme="majorBidi" w:hAnsiTheme="majorBidi" w:cstheme="majorBidi"/>
          <w:color w:val="000000" w:themeColor="text1"/>
          <w:u w:val="single"/>
        </w:rPr>
      </w:pPr>
      <w:r w:rsidRPr="00286011">
        <w:rPr>
          <w:rFonts w:asciiTheme="majorBidi" w:hAnsiTheme="majorBidi" w:cstheme="majorBidi"/>
          <w:color w:val="000000" w:themeColor="text1"/>
          <w:u w:val="single"/>
        </w:rPr>
        <w:t xml:space="preserve">Legislation </w:t>
      </w:r>
    </w:p>
    <w:p w14:paraId="400F8199"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Basic Law: Israel as the Nation State of the Jewish People 2018</w:t>
      </w:r>
    </w:p>
    <w:p w14:paraId="2DEB8E2B"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Basic Law: The Knesset 1958</w:t>
      </w:r>
    </w:p>
    <w:p w14:paraId="40B9DB51"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Citizenship and Entry into Israel Law 1952</w:t>
      </w:r>
    </w:p>
    <w:p w14:paraId="351F8825"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Counter Terrorism Law 2016</w:t>
      </w:r>
    </w:p>
    <w:p w14:paraId="15B6C57E" w14:textId="77777777" w:rsidR="003948C4" w:rsidRPr="00286011" w:rsidRDefault="003948C4" w:rsidP="003948C4">
      <w:pPr>
        <w:pStyle w:val="FootnoteText"/>
        <w:spacing w:after="60"/>
        <w:rPr>
          <w:rFonts w:asciiTheme="majorBidi" w:hAnsiTheme="majorBidi" w:cstheme="majorBidi"/>
          <w:color w:val="000000" w:themeColor="text1"/>
          <w:sz w:val="24"/>
        </w:rPr>
      </w:pPr>
      <w:r w:rsidRPr="00286011">
        <w:rPr>
          <w:rFonts w:asciiTheme="majorBidi" w:hAnsiTheme="majorBidi" w:cstheme="majorBidi"/>
          <w:color w:val="000000" w:themeColor="text1"/>
          <w:sz w:val="24"/>
        </w:rPr>
        <w:t xml:space="preserve">Development Authority Law </w:t>
      </w:r>
      <w:r w:rsidRPr="00286011">
        <w:rPr>
          <w:rFonts w:asciiTheme="majorBidi" w:hAnsiTheme="majorBidi" w:cstheme="majorBidi"/>
          <w:color w:val="000000" w:themeColor="text1"/>
          <w:sz w:val="24"/>
          <w:lang w:val="en-GB"/>
        </w:rPr>
        <w:t>[</w:t>
      </w:r>
      <w:r w:rsidRPr="00286011">
        <w:rPr>
          <w:rFonts w:asciiTheme="majorBidi" w:hAnsiTheme="majorBidi" w:cstheme="majorBidi"/>
          <w:color w:val="000000" w:themeColor="text1"/>
          <w:sz w:val="24"/>
        </w:rPr>
        <w:t>Transfer of property</w:t>
      </w:r>
      <w:r w:rsidRPr="00286011">
        <w:rPr>
          <w:rFonts w:asciiTheme="majorBidi" w:hAnsiTheme="majorBidi" w:cstheme="majorBidi"/>
          <w:color w:val="000000" w:themeColor="text1"/>
          <w:sz w:val="24"/>
          <w:lang w:val="en-GB"/>
        </w:rPr>
        <w:t xml:space="preserve">] </w:t>
      </w:r>
      <w:r w:rsidRPr="00286011">
        <w:rPr>
          <w:rFonts w:asciiTheme="majorBidi" w:hAnsiTheme="majorBidi" w:cstheme="majorBidi"/>
          <w:color w:val="000000" w:themeColor="text1"/>
          <w:sz w:val="24"/>
        </w:rPr>
        <w:t>1950</w:t>
      </w:r>
    </w:p>
    <w:p w14:paraId="1FC32248" w14:textId="77777777" w:rsidR="003948C4" w:rsidRPr="00286011" w:rsidRDefault="003948C4" w:rsidP="003948C4">
      <w:pPr>
        <w:pStyle w:val="FootnoteText"/>
        <w:spacing w:after="60"/>
        <w:rPr>
          <w:rFonts w:asciiTheme="majorBidi" w:hAnsiTheme="majorBidi" w:cstheme="majorBidi"/>
          <w:color w:val="000000" w:themeColor="text1"/>
          <w:sz w:val="24"/>
        </w:rPr>
      </w:pPr>
      <w:r w:rsidRPr="00286011">
        <w:rPr>
          <w:rFonts w:asciiTheme="majorBidi" w:hAnsiTheme="majorBidi" w:cstheme="majorBidi"/>
          <w:color w:val="000000" w:themeColor="text1"/>
          <w:sz w:val="24"/>
        </w:rPr>
        <w:t>Israel Land Administration Law</w:t>
      </w:r>
      <w:r w:rsidRPr="00286011">
        <w:rPr>
          <w:rFonts w:asciiTheme="majorBidi" w:hAnsiTheme="majorBidi" w:cstheme="majorBidi"/>
          <w:color w:val="000000" w:themeColor="text1"/>
          <w:sz w:val="24"/>
          <w:lang w:val="en-GB"/>
        </w:rPr>
        <w:t xml:space="preserve"> </w:t>
      </w:r>
      <w:r w:rsidRPr="00286011">
        <w:rPr>
          <w:rFonts w:asciiTheme="majorBidi" w:hAnsiTheme="majorBidi" w:cstheme="majorBidi"/>
          <w:color w:val="000000" w:themeColor="text1"/>
          <w:sz w:val="24"/>
        </w:rPr>
        <w:t>1960</w:t>
      </w:r>
    </w:p>
    <w:p w14:paraId="1C06DDC7" w14:textId="77777777" w:rsidR="003948C4" w:rsidRPr="00286011" w:rsidRDefault="003948C4" w:rsidP="003948C4">
      <w:pPr>
        <w:pStyle w:val="FootnoteText"/>
        <w:spacing w:after="60"/>
        <w:rPr>
          <w:rFonts w:asciiTheme="majorBidi" w:hAnsiTheme="majorBidi" w:cstheme="majorBidi"/>
          <w:color w:val="000000" w:themeColor="text1"/>
          <w:sz w:val="24"/>
        </w:rPr>
      </w:pPr>
      <w:r w:rsidRPr="00286011">
        <w:rPr>
          <w:rFonts w:asciiTheme="majorBidi" w:hAnsiTheme="majorBidi" w:cstheme="majorBidi"/>
          <w:color w:val="000000" w:themeColor="text1"/>
          <w:sz w:val="24"/>
        </w:rPr>
        <w:t>Jewish National Fund Law 1953</w:t>
      </w:r>
    </w:p>
    <w:p w14:paraId="4E76E8EB"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Law of Return 1950</w:t>
      </w:r>
    </w:p>
    <w:p w14:paraId="42D2601B" w14:textId="77777777" w:rsidR="003948C4" w:rsidRPr="00286011" w:rsidRDefault="003948C4" w:rsidP="003948C4">
      <w:pPr>
        <w:spacing w:after="60"/>
        <w:jc w:val="both"/>
        <w:rPr>
          <w:rFonts w:asciiTheme="majorBidi" w:hAnsiTheme="majorBidi" w:cstheme="majorBidi"/>
          <w:color w:val="000000" w:themeColor="text1"/>
        </w:rPr>
      </w:pPr>
    </w:p>
    <w:p w14:paraId="1BBDB265" w14:textId="77777777" w:rsidR="003948C4" w:rsidRPr="00286011" w:rsidRDefault="003948C4" w:rsidP="003948C4">
      <w:pPr>
        <w:spacing w:after="60"/>
        <w:jc w:val="both"/>
        <w:rPr>
          <w:rFonts w:asciiTheme="majorBidi" w:hAnsiTheme="majorBidi" w:cstheme="majorBidi"/>
          <w:color w:val="000000" w:themeColor="text1"/>
          <w:u w:val="single"/>
        </w:rPr>
      </w:pPr>
      <w:r w:rsidRPr="00286011">
        <w:rPr>
          <w:rFonts w:asciiTheme="majorBidi" w:hAnsiTheme="majorBidi" w:cstheme="majorBidi"/>
          <w:color w:val="000000" w:themeColor="text1"/>
          <w:u w:val="single"/>
        </w:rPr>
        <w:t>Interviews</w:t>
      </w:r>
    </w:p>
    <w:p w14:paraId="57718436"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Udi [Ehud] </w:t>
      </w:r>
      <w:proofErr w:type="spellStart"/>
      <w:r w:rsidRPr="00286011">
        <w:rPr>
          <w:rFonts w:asciiTheme="majorBidi" w:hAnsiTheme="majorBidi" w:cstheme="majorBidi"/>
          <w:color w:val="000000" w:themeColor="text1"/>
        </w:rPr>
        <w:t>Adiv</w:t>
      </w:r>
      <w:proofErr w:type="spellEnd"/>
      <w:r w:rsidRPr="00286011">
        <w:rPr>
          <w:rFonts w:asciiTheme="majorBidi" w:hAnsiTheme="majorBidi" w:cstheme="majorBidi"/>
          <w:color w:val="000000" w:themeColor="text1"/>
        </w:rPr>
        <w:t xml:space="preserve"> April 2022, Haifa</w:t>
      </w:r>
    </w:p>
    <w:p w14:paraId="38E9FC4F"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Rami </w:t>
      </w:r>
      <w:proofErr w:type="spellStart"/>
      <w:r w:rsidRPr="00286011">
        <w:rPr>
          <w:rFonts w:asciiTheme="majorBidi" w:hAnsiTheme="majorBidi" w:cstheme="majorBidi"/>
          <w:color w:val="000000" w:themeColor="text1"/>
        </w:rPr>
        <w:t>Livne</w:t>
      </w:r>
      <w:proofErr w:type="spellEnd"/>
      <w:r w:rsidRPr="00286011">
        <w:rPr>
          <w:rFonts w:asciiTheme="majorBidi" w:hAnsiTheme="majorBidi" w:cstheme="majorBidi"/>
          <w:color w:val="000000" w:themeColor="text1"/>
        </w:rPr>
        <w:t xml:space="preserve"> April 2022, Gan Shmuel</w:t>
      </w:r>
    </w:p>
    <w:p w14:paraId="038143BC" w14:textId="77777777" w:rsidR="003948C4" w:rsidRPr="00286011" w:rsidRDefault="003948C4" w:rsidP="003948C4">
      <w:pPr>
        <w:spacing w:after="60"/>
        <w:jc w:val="both"/>
        <w:rPr>
          <w:rFonts w:asciiTheme="majorBidi" w:hAnsiTheme="majorBidi" w:cstheme="majorBidi"/>
          <w:color w:val="000000" w:themeColor="text1"/>
        </w:rPr>
      </w:pPr>
      <w:r w:rsidRPr="00286011">
        <w:rPr>
          <w:rFonts w:asciiTheme="majorBidi" w:hAnsiTheme="majorBidi" w:cstheme="majorBidi"/>
          <w:color w:val="000000" w:themeColor="text1"/>
        </w:rPr>
        <w:t xml:space="preserve">Lea </w:t>
      </w:r>
      <w:proofErr w:type="spellStart"/>
      <w:r w:rsidRPr="00286011">
        <w:rPr>
          <w:rFonts w:asciiTheme="majorBidi" w:hAnsiTheme="majorBidi" w:cstheme="majorBidi"/>
          <w:color w:val="000000" w:themeColor="text1"/>
        </w:rPr>
        <w:t>Tsemel</w:t>
      </w:r>
      <w:proofErr w:type="spellEnd"/>
      <w:r w:rsidRPr="00286011">
        <w:rPr>
          <w:rFonts w:asciiTheme="majorBidi" w:hAnsiTheme="majorBidi" w:cstheme="majorBidi"/>
          <w:color w:val="000000" w:themeColor="text1"/>
        </w:rPr>
        <w:t xml:space="preserve">, April 2022, Jerusalem </w:t>
      </w:r>
    </w:p>
    <w:p w14:paraId="3CE77464" w14:textId="77777777" w:rsidR="003948C4" w:rsidRPr="00286011" w:rsidRDefault="003948C4" w:rsidP="00CD2524">
      <w:pPr>
        <w:jc w:val="both"/>
        <w:rPr>
          <w:rFonts w:asciiTheme="majorBidi" w:hAnsiTheme="majorBidi" w:cstheme="majorBidi"/>
          <w:b/>
          <w:bCs/>
        </w:rPr>
      </w:pPr>
    </w:p>
    <w:p w14:paraId="5A583740" w14:textId="4979033E" w:rsidR="00395766" w:rsidRDefault="00395766" w:rsidP="00395766">
      <w:pPr>
        <w:jc w:val="both"/>
        <w:rPr>
          <w:rFonts w:asciiTheme="majorBidi" w:hAnsiTheme="majorBidi" w:cstheme="majorBidi"/>
        </w:rPr>
      </w:pPr>
    </w:p>
    <w:p w14:paraId="427E3A2A" w14:textId="23179C93" w:rsidR="003971FF" w:rsidRDefault="003971FF" w:rsidP="00395766">
      <w:pPr>
        <w:jc w:val="both"/>
        <w:rPr>
          <w:rFonts w:asciiTheme="majorBidi" w:hAnsiTheme="majorBidi" w:cstheme="majorBidi"/>
          <w:b/>
          <w:bCs/>
        </w:rPr>
      </w:pPr>
      <w:r w:rsidRPr="003971FF">
        <w:rPr>
          <w:rFonts w:asciiTheme="majorBidi" w:hAnsiTheme="majorBidi" w:cstheme="majorBidi"/>
          <w:b/>
          <w:bCs/>
        </w:rPr>
        <w:t>Funding details</w:t>
      </w:r>
    </w:p>
    <w:p w14:paraId="5BDE67A0" w14:textId="53DED648" w:rsidR="003971FF" w:rsidRDefault="003971FF" w:rsidP="00395766">
      <w:pPr>
        <w:jc w:val="both"/>
        <w:rPr>
          <w:rFonts w:asciiTheme="majorBidi" w:hAnsiTheme="majorBidi" w:cstheme="majorBidi"/>
        </w:rPr>
      </w:pPr>
      <w:r>
        <w:rPr>
          <w:rFonts w:asciiTheme="majorBidi" w:hAnsiTheme="majorBidi" w:cstheme="majorBidi"/>
        </w:rPr>
        <w:t xml:space="preserve">This work was supported by the Independent Social Research Foundation (ISRF) under grant ECF6. </w:t>
      </w:r>
    </w:p>
    <w:p w14:paraId="26CF5C14" w14:textId="7C0C2F86" w:rsidR="00A6491E" w:rsidRDefault="00A6491E" w:rsidP="00395766">
      <w:pPr>
        <w:jc w:val="both"/>
        <w:rPr>
          <w:rFonts w:asciiTheme="majorBidi" w:hAnsiTheme="majorBidi" w:cstheme="majorBidi"/>
        </w:rPr>
      </w:pPr>
    </w:p>
    <w:p w14:paraId="0DB0E2C1" w14:textId="7C6603B2" w:rsidR="00A6491E" w:rsidRPr="00A6491E" w:rsidRDefault="00A6491E" w:rsidP="00395766">
      <w:pPr>
        <w:jc w:val="both"/>
        <w:rPr>
          <w:rFonts w:asciiTheme="majorBidi" w:hAnsiTheme="majorBidi" w:cstheme="majorBidi"/>
          <w:b/>
          <w:bCs/>
        </w:rPr>
      </w:pPr>
      <w:r w:rsidRPr="00A6491E">
        <w:rPr>
          <w:rFonts w:asciiTheme="majorBidi" w:hAnsiTheme="majorBidi" w:cstheme="majorBidi"/>
          <w:b/>
          <w:bCs/>
        </w:rPr>
        <w:t xml:space="preserve">Conflict of Interest </w:t>
      </w:r>
    </w:p>
    <w:p w14:paraId="7A8813B9" w14:textId="5D425F34" w:rsidR="00A6491E" w:rsidRDefault="00A6491E" w:rsidP="00395766">
      <w:pPr>
        <w:jc w:val="both"/>
        <w:rPr>
          <w:rFonts w:asciiTheme="majorBidi" w:hAnsiTheme="majorBidi" w:cstheme="majorBidi"/>
        </w:rPr>
      </w:pPr>
      <w:r>
        <w:rPr>
          <w:rFonts w:asciiTheme="majorBidi" w:hAnsiTheme="majorBidi" w:cstheme="majorBidi"/>
        </w:rPr>
        <w:t xml:space="preserve">The Author declares that there is no conflict of interest. </w:t>
      </w:r>
    </w:p>
    <w:p w14:paraId="564B2DA6" w14:textId="19B381AC" w:rsidR="00A6491E" w:rsidRDefault="00A6491E" w:rsidP="00395766">
      <w:pPr>
        <w:jc w:val="both"/>
        <w:rPr>
          <w:rFonts w:asciiTheme="majorBidi" w:hAnsiTheme="majorBidi" w:cstheme="majorBidi"/>
        </w:rPr>
      </w:pPr>
    </w:p>
    <w:p w14:paraId="16827310" w14:textId="5388A83E" w:rsidR="00A6491E" w:rsidRDefault="00A6491E" w:rsidP="00395766">
      <w:pPr>
        <w:jc w:val="both"/>
        <w:rPr>
          <w:rFonts w:asciiTheme="majorBidi" w:hAnsiTheme="majorBidi" w:cstheme="majorBidi"/>
          <w:b/>
          <w:bCs/>
        </w:rPr>
      </w:pPr>
      <w:r>
        <w:rPr>
          <w:rFonts w:asciiTheme="majorBidi" w:hAnsiTheme="majorBidi" w:cstheme="majorBidi"/>
          <w:b/>
          <w:bCs/>
        </w:rPr>
        <w:t>Acknowledgments</w:t>
      </w:r>
    </w:p>
    <w:p w14:paraId="7A81BA66" w14:textId="747485EF" w:rsidR="00A6491E" w:rsidRPr="00A6491E" w:rsidRDefault="00A6491E" w:rsidP="00A6491E">
      <w:pPr>
        <w:jc w:val="both"/>
        <w:rPr>
          <w:rFonts w:asciiTheme="majorBidi" w:hAnsiTheme="majorBidi" w:cstheme="majorBidi"/>
          <w:b/>
          <w:bCs/>
        </w:rPr>
      </w:pPr>
      <w:r>
        <w:rPr>
          <w:rFonts w:asciiTheme="majorBidi" w:hAnsiTheme="majorBidi" w:cstheme="majorBidi"/>
        </w:rPr>
        <w:t xml:space="preserve">I would like to thank my sister </w:t>
      </w:r>
      <w:proofErr w:type="spellStart"/>
      <w:r>
        <w:rPr>
          <w:rFonts w:asciiTheme="majorBidi" w:hAnsiTheme="majorBidi" w:cstheme="majorBidi"/>
        </w:rPr>
        <w:t>Einat</w:t>
      </w:r>
      <w:proofErr w:type="spellEnd"/>
      <w:r>
        <w:rPr>
          <w:rFonts w:asciiTheme="majorBidi" w:hAnsiTheme="majorBidi" w:cstheme="majorBidi"/>
        </w:rPr>
        <w:t xml:space="preserve"> Weizman for helping me connect with so many activists, and for inspiring me with her uncompromising political commitment and creative resistance from within. I would </w:t>
      </w:r>
      <w:r w:rsidR="003D5261">
        <w:rPr>
          <w:rFonts w:asciiTheme="majorBidi" w:hAnsiTheme="majorBidi" w:cstheme="majorBidi"/>
        </w:rPr>
        <w:t xml:space="preserve">also </w:t>
      </w:r>
      <w:r>
        <w:rPr>
          <w:rFonts w:asciiTheme="majorBidi" w:hAnsiTheme="majorBidi" w:cstheme="majorBidi"/>
        </w:rPr>
        <w:t xml:space="preserve">like to thank Sharri </w:t>
      </w:r>
      <w:proofErr w:type="spellStart"/>
      <w:r>
        <w:rPr>
          <w:rFonts w:asciiTheme="majorBidi" w:hAnsiTheme="majorBidi" w:cstheme="majorBidi"/>
        </w:rPr>
        <w:t>Plonski</w:t>
      </w:r>
      <w:proofErr w:type="spellEnd"/>
      <w:r>
        <w:rPr>
          <w:rFonts w:asciiTheme="majorBidi" w:hAnsiTheme="majorBidi" w:cstheme="majorBidi"/>
        </w:rPr>
        <w:t xml:space="preserve"> for her invaluable advice</w:t>
      </w:r>
      <w:r w:rsidR="003D5261">
        <w:rPr>
          <w:rFonts w:asciiTheme="majorBidi" w:hAnsiTheme="majorBidi" w:cstheme="majorBidi"/>
        </w:rPr>
        <w:t xml:space="preserve">, and </w:t>
      </w:r>
      <w:r w:rsidR="005870B8">
        <w:rPr>
          <w:rFonts w:asciiTheme="majorBidi" w:hAnsiTheme="majorBidi" w:cstheme="majorBidi"/>
        </w:rPr>
        <w:t>to</w:t>
      </w:r>
      <w:r w:rsidR="003D5261">
        <w:rPr>
          <w:rFonts w:asciiTheme="majorBidi" w:hAnsiTheme="majorBidi" w:cstheme="majorBidi"/>
        </w:rPr>
        <w:t xml:space="preserve"> the editors of the special issue for allowing me the space to contribute to this project. </w:t>
      </w:r>
    </w:p>
    <w:sectPr w:rsidR="00A6491E" w:rsidRPr="00A6491E" w:rsidSect="0064468A">
      <w:footerReference w:type="even" r:id="rId40"/>
      <w:footerReference w:type="default" r:id="rId4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A4D2F" w14:textId="77777777" w:rsidR="002D6DB8" w:rsidRDefault="002D6DB8" w:rsidP="009B2B24">
      <w:r>
        <w:separator/>
      </w:r>
    </w:p>
  </w:endnote>
  <w:endnote w:type="continuationSeparator" w:id="0">
    <w:p w14:paraId="76F40D73" w14:textId="77777777" w:rsidR="002D6DB8" w:rsidRDefault="002D6DB8" w:rsidP="009B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0904435"/>
      <w:docPartObj>
        <w:docPartGallery w:val="Page Numbers (Bottom of Page)"/>
        <w:docPartUnique/>
      </w:docPartObj>
    </w:sdtPr>
    <w:sdtEndPr>
      <w:rPr>
        <w:rStyle w:val="PageNumber"/>
      </w:rPr>
    </w:sdtEndPr>
    <w:sdtContent>
      <w:p w14:paraId="2297A85E" w14:textId="77777777" w:rsidR="006E5CEA" w:rsidRDefault="006E5CEA" w:rsidP="00F44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2DF1D" w14:textId="77777777" w:rsidR="006E5CEA" w:rsidRDefault="006E5CEA" w:rsidP="009A5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6251253"/>
      <w:docPartObj>
        <w:docPartGallery w:val="Page Numbers (Bottom of Page)"/>
        <w:docPartUnique/>
      </w:docPartObj>
    </w:sdtPr>
    <w:sdtEndPr>
      <w:rPr>
        <w:rStyle w:val="PageNumber"/>
      </w:rPr>
    </w:sdtEndPr>
    <w:sdtContent>
      <w:p w14:paraId="1CD0B7D2" w14:textId="77777777" w:rsidR="006E5CEA" w:rsidRDefault="006E5CEA" w:rsidP="00F44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28B83A" w14:textId="77777777" w:rsidR="006E5CEA" w:rsidRDefault="006E5CEA" w:rsidP="009A5C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DBEB1" w14:textId="77777777" w:rsidR="002D6DB8" w:rsidRDefault="002D6DB8" w:rsidP="009B2B24">
      <w:r>
        <w:separator/>
      </w:r>
    </w:p>
  </w:footnote>
  <w:footnote w:type="continuationSeparator" w:id="0">
    <w:p w14:paraId="403F9EC3" w14:textId="77777777" w:rsidR="002D6DB8" w:rsidRDefault="002D6DB8" w:rsidP="009B2B24">
      <w:r>
        <w:continuationSeparator/>
      </w:r>
    </w:p>
  </w:footnote>
  <w:footnote w:id="1">
    <w:p w14:paraId="7647EAC5" w14:textId="77777777" w:rsidR="006E5CEA" w:rsidRPr="00C33524" w:rsidRDefault="006E5CEA" w:rsidP="000A06D4">
      <w:pPr>
        <w:pStyle w:val="FootnoteText"/>
      </w:pPr>
      <w:r w:rsidRPr="00887CBD">
        <w:rPr>
          <w:rStyle w:val="FootnoteReference"/>
          <w:szCs w:val="20"/>
        </w:rPr>
        <w:footnoteRef/>
      </w:r>
      <w:r w:rsidRPr="00887CBD">
        <w:t xml:space="preserve"> </w:t>
      </w:r>
      <w:r w:rsidRPr="00C33524">
        <w:rPr>
          <w:shd w:val="clear" w:color="auto" w:fill="FFFFFF"/>
        </w:rPr>
        <w:t>The Citizenship and Entry into Israel Law-1952. This law was amended several times to deny “unification of families” of Palestinians on both sides of the Green Line.</w:t>
      </w:r>
    </w:p>
  </w:footnote>
  <w:footnote w:id="2">
    <w:p w14:paraId="400678B5" w14:textId="77777777" w:rsidR="006E5CEA" w:rsidRDefault="006E5CEA" w:rsidP="000A06D4">
      <w:pPr>
        <w:pStyle w:val="FootnoteText"/>
      </w:pPr>
      <w:r w:rsidRPr="00C33524">
        <w:rPr>
          <w:rStyle w:val="FootnoteReference"/>
        </w:rPr>
        <w:footnoteRef/>
      </w:r>
      <w:r w:rsidRPr="00C33524">
        <w:t xml:space="preserve"> The network of laws regarding land management and ownership can be a topic for a separate study. These include the management of state lands by the Jewish National Fund, transfer of Palestinian ‘absentee’ property to the development agencies and through that to the use of Jewish citizens, to name just two. See: Israel Land Administration Law-1960; Development Authority Law (Transfer of property)-1950; Jewish National Fund Law -1953 and</w:t>
      </w:r>
      <w:r w:rsidRPr="00386245">
        <w:t xml:space="preserve"> its amendments.</w:t>
      </w:r>
    </w:p>
  </w:footnote>
  <w:footnote w:id="3">
    <w:p w14:paraId="53519C62" w14:textId="77777777" w:rsidR="006E5CEA" w:rsidRPr="00526FF1" w:rsidRDefault="006E5CEA" w:rsidP="000A06D4">
      <w:pPr>
        <w:pStyle w:val="FootnoteText"/>
        <w:rPr>
          <w:lang w:val="en-US"/>
        </w:rPr>
      </w:pPr>
      <w:r w:rsidRPr="0052790A">
        <w:rPr>
          <w:rStyle w:val="FootnoteReference"/>
          <w:szCs w:val="20"/>
        </w:rPr>
        <w:footnoteRef/>
      </w:r>
      <w:r w:rsidRPr="0052790A">
        <w:t xml:space="preserve"> </w:t>
      </w:r>
      <w:r>
        <w:rPr>
          <w:lang w:val="en-US"/>
        </w:rPr>
        <w:t xml:space="preserve">This particular piece of legislation, the Knesset Law, article 7a, determines that no party can participate in the elections if in its agenda contradicts the principle of Israel as a Jewish and democratic state. </w:t>
      </w:r>
    </w:p>
  </w:footnote>
  <w:footnote w:id="4">
    <w:p w14:paraId="47B23638" w14:textId="77777777" w:rsidR="006E5CEA" w:rsidRPr="008B4694" w:rsidRDefault="006E5CEA" w:rsidP="008B4694">
      <w:pPr>
        <w:pStyle w:val="FootnoteText"/>
        <w:rPr>
          <w:lang w:val="en-GB" w:bidi="he-IL"/>
        </w:rPr>
      </w:pPr>
      <w:r>
        <w:rPr>
          <w:rStyle w:val="FootnoteReference"/>
        </w:rPr>
        <w:footnoteRef/>
      </w:r>
      <w:r>
        <w:t xml:space="preserve"> </w:t>
      </w:r>
      <w:r>
        <w:rPr>
          <w:lang w:val="en-GB"/>
        </w:rPr>
        <w:t xml:space="preserve">This term was coined with the establishment of the governmental Ministry of Strategic Affairs in 2015. See: </w:t>
      </w:r>
      <w:hyperlink r:id="rId1" w:history="1">
        <w:r w:rsidRPr="00CE7E51">
          <w:rPr>
            <w:rStyle w:val="Hyperlink"/>
            <w:lang w:val="en-GB"/>
          </w:rPr>
          <w:t>https://www.gov.il/he/departments/Units/ministry_of_strategic_affairs_and_public_diplomacy</w:t>
        </w:r>
      </w:hyperlink>
      <w:r>
        <w:rPr>
          <w:lang w:val="en-GB"/>
        </w:rPr>
        <w:t xml:space="preserve"> </w:t>
      </w:r>
    </w:p>
  </w:footnote>
  <w:footnote w:id="5">
    <w:p w14:paraId="6AD08199" w14:textId="21D0896B" w:rsidR="006E5CEA" w:rsidRPr="009C540E" w:rsidRDefault="006E5CEA" w:rsidP="005B12D1">
      <w:pPr>
        <w:pStyle w:val="FootnoteText"/>
        <w:rPr>
          <w:lang w:val="en-GB" w:bidi="he-IL"/>
        </w:rPr>
      </w:pPr>
      <w:r>
        <w:rPr>
          <w:rStyle w:val="FootnoteReference"/>
        </w:rPr>
        <w:footnoteRef/>
      </w:r>
      <w:r>
        <w:t xml:space="preserve"> </w:t>
      </w:r>
      <w:r>
        <w:rPr>
          <w:lang w:val="en-GB"/>
        </w:rPr>
        <w:t xml:space="preserve">Traitor here is not reflecting the exact meaning of the Hebrew word ‘Ocher’ that is used in the campaign, which originated in the bible, where it refers to those that were working against the </w:t>
      </w:r>
      <w:r>
        <w:rPr>
          <w:lang w:val="en-GB" w:bidi="he-IL"/>
        </w:rPr>
        <w:t xml:space="preserve">Israelites and led to the death of many amongst them. The phrase is used politically to exclude a position or a person out of the acceptable and legitimate Israeli discourse. </w:t>
      </w:r>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C61B0"/>
    <w:multiLevelType w:val="hybridMultilevel"/>
    <w:tmpl w:val="9DE4B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D3BF1"/>
    <w:multiLevelType w:val="multilevel"/>
    <w:tmpl w:val="9B2C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B23FF"/>
    <w:multiLevelType w:val="hybridMultilevel"/>
    <w:tmpl w:val="283A92D2"/>
    <w:lvl w:ilvl="0" w:tplc="BA6AE4E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C02F8"/>
    <w:multiLevelType w:val="hybridMultilevel"/>
    <w:tmpl w:val="7292A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2D1D3E"/>
    <w:multiLevelType w:val="hybridMultilevel"/>
    <w:tmpl w:val="D402C8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D86CF3"/>
    <w:multiLevelType w:val="hybridMultilevel"/>
    <w:tmpl w:val="15A4B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454"/>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AA"/>
    <w:rsid w:val="00002590"/>
    <w:rsid w:val="00012DFD"/>
    <w:rsid w:val="00014594"/>
    <w:rsid w:val="00015FC9"/>
    <w:rsid w:val="000231E1"/>
    <w:rsid w:val="000237D2"/>
    <w:rsid w:val="00027F94"/>
    <w:rsid w:val="00031819"/>
    <w:rsid w:val="00032279"/>
    <w:rsid w:val="00032C57"/>
    <w:rsid w:val="000336B4"/>
    <w:rsid w:val="000347D2"/>
    <w:rsid w:val="000376E1"/>
    <w:rsid w:val="00037AE1"/>
    <w:rsid w:val="00041177"/>
    <w:rsid w:val="00044107"/>
    <w:rsid w:val="00044353"/>
    <w:rsid w:val="00052B38"/>
    <w:rsid w:val="000547CE"/>
    <w:rsid w:val="000637D9"/>
    <w:rsid w:val="00065469"/>
    <w:rsid w:val="0007020D"/>
    <w:rsid w:val="000707F1"/>
    <w:rsid w:val="000708F1"/>
    <w:rsid w:val="0007370D"/>
    <w:rsid w:val="00076C6A"/>
    <w:rsid w:val="0008776F"/>
    <w:rsid w:val="00087E1E"/>
    <w:rsid w:val="0009571B"/>
    <w:rsid w:val="000974E3"/>
    <w:rsid w:val="000A06D4"/>
    <w:rsid w:val="000A1D1C"/>
    <w:rsid w:val="000A2C2C"/>
    <w:rsid w:val="000A4027"/>
    <w:rsid w:val="000A452B"/>
    <w:rsid w:val="000A7113"/>
    <w:rsid w:val="000B1022"/>
    <w:rsid w:val="000B2137"/>
    <w:rsid w:val="000B4BB0"/>
    <w:rsid w:val="000B4F93"/>
    <w:rsid w:val="000B5E84"/>
    <w:rsid w:val="000C22F9"/>
    <w:rsid w:val="000C244C"/>
    <w:rsid w:val="000E0515"/>
    <w:rsid w:val="000E121E"/>
    <w:rsid w:val="000E16DD"/>
    <w:rsid w:val="000E1A4B"/>
    <w:rsid w:val="000F287F"/>
    <w:rsid w:val="000F4A95"/>
    <w:rsid w:val="000F6017"/>
    <w:rsid w:val="0010033F"/>
    <w:rsid w:val="00100F26"/>
    <w:rsid w:val="00101210"/>
    <w:rsid w:val="001028B9"/>
    <w:rsid w:val="00102DB3"/>
    <w:rsid w:val="001031D6"/>
    <w:rsid w:val="00105F49"/>
    <w:rsid w:val="0010784C"/>
    <w:rsid w:val="00113358"/>
    <w:rsid w:val="0011376D"/>
    <w:rsid w:val="0011394F"/>
    <w:rsid w:val="00113A26"/>
    <w:rsid w:val="00114FF6"/>
    <w:rsid w:val="00116F32"/>
    <w:rsid w:val="001224F9"/>
    <w:rsid w:val="001319B9"/>
    <w:rsid w:val="00134691"/>
    <w:rsid w:val="0013488E"/>
    <w:rsid w:val="00136CFF"/>
    <w:rsid w:val="00136D41"/>
    <w:rsid w:val="00141940"/>
    <w:rsid w:val="001452DE"/>
    <w:rsid w:val="00147474"/>
    <w:rsid w:val="0015156E"/>
    <w:rsid w:val="001601D9"/>
    <w:rsid w:val="00160713"/>
    <w:rsid w:val="0016506F"/>
    <w:rsid w:val="00166570"/>
    <w:rsid w:val="00171367"/>
    <w:rsid w:val="00172ED2"/>
    <w:rsid w:val="00175A6E"/>
    <w:rsid w:val="00176B2B"/>
    <w:rsid w:val="00177838"/>
    <w:rsid w:val="00183BF7"/>
    <w:rsid w:val="00183C29"/>
    <w:rsid w:val="0018426D"/>
    <w:rsid w:val="0018659F"/>
    <w:rsid w:val="00186D95"/>
    <w:rsid w:val="00186E8F"/>
    <w:rsid w:val="00191942"/>
    <w:rsid w:val="00196A86"/>
    <w:rsid w:val="00196DD7"/>
    <w:rsid w:val="00197206"/>
    <w:rsid w:val="001A6155"/>
    <w:rsid w:val="001A6496"/>
    <w:rsid w:val="001A7D2D"/>
    <w:rsid w:val="001B2FB3"/>
    <w:rsid w:val="001B418E"/>
    <w:rsid w:val="001B6A34"/>
    <w:rsid w:val="001C0438"/>
    <w:rsid w:val="001C0578"/>
    <w:rsid w:val="001C3513"/>
    <w:rsid w:val="001C6E93"/>
    <w:rsid w:val="001C76BF"/>
    <w:rsid w:val="001D1C21"/>
    <w:rsid w:val="001D366F"/>
    <w:rsid w:val="001D400D"/>
    <w:rsid w:val="001D4179"/>
    <w:rsid w:val="001D4621"/>
    <w:rsid w:val="001D4989"/>
    <w:rsid w:val="001D688A"/>
    <w:rsid w:val="001D731C"/>
    <w:rsid w:val="001D7721"/>
    <w:rsid w:val="001D7C93"/>
    <w:rsid w:val="001E00DA"/>
    <w:rsid w:val="001F04A8"/>
    <w:rsid w:val="001F1247"/>
    <w:rsid w:val="001F3610"/>
    <w:rsid w:val="001F39BA"/>
    <w:rsid w:val="001F609C"/>
    <w:rsid w:val="001F6EE6"/>
    <w:rsid w:val="00200731"/>
    <w:rsid w:val="00201877"/>
    <w:rsid w:val="00201DC5"/>
    <w:rsid w:val="002041E0"/>
    <w:rsid w:val="00204B7E"/>
    <w:rsid w:val="00205D79"/>
    <w:rsid w:val="00206619"/>
    <w:rsid w:val="002104EC"/>
    <w:rsid w:val="00212A80"/>
    <w:rsid w:val="00220439"/>
    <w:rsid w:val="002227BF"/>
    <w:rsid w:val="0022369A"/>
    <w:rsid w:val="00223E84"/>
    <w:rsid w:val="00227526"/>
    <w:rsid w:val="002335E8"/>
    <w:rsid w:val="00233D85"/>
    <w:rsid w:val="00240EB5"/>
    <w:rsid w:val="00243B63"/>
    <w:rsid w:val="00254A2C"/>
    <w:rsid w:val="002573B8"/>
    <w:rsid w:val="00260073"/>
    <w:rsid w:val="002614DE"/>
    <w:rsid w:val="00262A35"/>
    <w:rsid w:val="0026724A"/>
    <w:rsid w:val="00270AED"/>
    <w:rsid w:val="002721EA"/>
    <w:rsid w:val="00274128"/>
    <w:rsid w:val="00274D28"/>
    <w:rsid w:val="0027513F"/>
    <w:rsid w:val="002762AD"/>
    <w:rsid w:val="002765DA"/>
    <w:rsid w:val="00281ED9"/>
    <w:rsid w:val="00285E3A"/>
    <w:rsid w:val="00286011"/>
    <w:rsid w:val="0029253F"/>
    <w:rsid w:val="00297AB6"/>
    <w:rsid w:val="002A2E01"/>
    <w:rsid w:val="002A3A47"/>
    <w:rsid w:val="002A4A5E"/>
    <w:rsid w:val="002B46F0"/>
    <w:rsid w:val="002D2D9D"/>
    <w:rsid w:val="002D3AE2"/>
    <w:rsid w:val="002D4549"/>
    <w:rsid w:val="002D47E4"/>
    <w:rsid w:val="002D6647"/>
    <w:rsid w:val="002D6936"/>
    <w:rsid w:val="002D6CBE"/>
    <w:rsid w:val="002D6DB8"/>
    <w:rsid w:val="002E479C"/>
    <w:rsid w:val="002E56F1"/>
    <w:rsid w:val="002E5F2C"/>
    <w:rsid w:val="002F01DA"/>
    <w:rsid w:val="002F1469"/>
    <w:rsid w:val="002F210C"/>
    <w:rsid w:val="002F459A"/>
    <w:rsid w:val="002F517C"/>
    <w:rsid w:val="002F5495"/>
    <w:rsid w:val="00300F67"/>
    <w:rsid w:val="00310024"/>
    <w:rsid w:val="00312279"/>
    <w:rsid w:val="0031477B"/>
    <w:rsid w:val="0031618A"/>
    <w:rsid w:val="0032491D"/>
    <w:rsid w:val="00335B3C"/>
    <w:rsid w:val="00345A64"/>
    <w:rsid w:val="003465E3"/>
    <w:rsid w:val="00352B40"/>
    <w:rsid w:val="0035554D"/>
    <w:rsid w:val="003631CE"/>
    <w:rsid w:val="00365338"/>
    <w:rsid w:val="0036564D"/>
    <w:rsid w:val="003672B1"/>
    <w:rsid w:val="003673A2"/>
    <w:rsid w:val="00371BEE"/>
    <w:rsid w:val="00371E57"/>
    <w:rsid w:val="003736D7"/>
    <w:rsid w:val="0037482B"/>
    <w:rsid w:val="00375C1A"/>
    <w:rsid w:val="00375D53"/>
    <w:rsid w:val="003766E9"/>
    <w:rsid w:val="0038171C"/>
    <w:rsid w:val="00392B9F"/>
    <w:rsid w:val="00392E1B"/>
    <w:rsid w:val="003948C4"/>
    <w:rsid w:val="00395766"/>
    <w:rsid w:val="003971FF"/>
    <w:rsid w:val="00397B37"/>
    <w:rsid w:val="003A3D12"/>
    <w:rsid w:val="003A4909"/>
    <w:rsid w:val="003A6840"/>
    <w:rsid w:val="003B3716"/>
    <w:rsid w:val="003B3E26"/>
    <w:rsid w:val="003B5B26"/>
    <w:rsid w:val="003B5E48"/>
    <w:rsid w:val="003B6A80"/>
    <w:rsid w:val="003B6FC6"/>
    <w:rsid w:val="003C4579"/>
    <w:rsid w:val="003C68A9"/>
    <w:rsid w:val="003D216F"/>
    <w:rsid w:val="003D28CD"/>
    <w:rsid w:val="003D4EA1"/>
    <w:rsid w:val="003D5261"/>
    <w:rsid w:val="003D6CC5"/>
    <w:rsid w:val="003D7BD0"/>
    <w:rsid w:val="003E2B3F"/>
    <w:rsid w:val="003E3963"/>
    <w:rsid w:val="003E5953"/>
    <w:rsid w:val="003E6F21"/>
    <w:rsid w:val="003F0CA5"/>
    <w:rsid w:val="003F4302"/>
    <w:rsid w:val="003F49B9"/>
    <w:rsid w:val="003F510D"/>
    <w:rsid w:val="003F61B9"/>
    <w:rsid w:val="003F7368"/>
    <w:rsid w:val="00403233"/>
    <w:rsid w:val="0040533E"/>
    <w:rsid w:val="004127AF"/>
    <w:rsid w:val="00420D56"/>
    <w:rsid w:val="004220FA"/>
    <w:rsid w:val="00424BB2"/>
    <w:rsid w:val="00430932"/>
    <w:rsid w:val="00430A0F"/>
    <w:rsid w:val="00432852"/>
    <w:rsid w:val="0043368F"/>
    <w:rsid w:val="00436971"/>
    <w:rsid w:val="004416C3"/>
    <w:rsid w:val="00442544"/>
    <w:rsid w:val="00446305"/>
    <w:rsid w:val="00453536"/>
    <w:rsid w:val="004560A3"/>
    <w:rsid w:val="0045683E"/>
    <w:rsid w:val="00461A0F"/>
    <w:rsid w:val="00462149"/>
    <w:rsid w:val="00465321"/>
    <w:rsid w:val="004671D0"/>
    <w:rsid w:val="004738F2"/>
    <w:rsid w:val="00484058"/>
    <w:rsid w:val="00486889"/>
    <w:rsid w:val="00490124"/>
    <w:rsid w:val="00491E63"/>
    <w:rsid w:val="00492BB0"/>
    <w:rsid w:val="00493009"/>
    <w:rsid w:val="00494B0C"/>
    <w:rsid w:val="00495317"/>
    <w:rsid w:val="00495FE3"/>
    <w:rsid w:val="004A0A39"/>
    <w:rsid w:val="004A429B"/>
    <w:rsid w:val="004B0C2F"/>
    <w:rsid w:val="004B3B99"/>
    <w:rsid w:val="004B5690"/>
    <w:rsid w:val="004B5867"/>
    <w:rsid w:val="004C00B2"/>
    <w:rsid w:val="004C20DE"/>
    <w:rsid w:val="004D0219"/>
    <w:rsid w:val="004D150B"/>
    <w:rsid w:val="004D394D"/>
    <w:rsid w:val="004D3A1E"/>
    <w:rsid w:val="004D3F9C"/>
    <w:rsid w:val="004E39BB"/>
    <w:rsid w:val="004E52FA"/>
    <w:rsid w:val="004E76F2"/>
    <w:rsid w:val="004F18CD"/>
    <w:rsid w:val="005019AD"/>
    <w:rsid w:val="00501B9F"/>
    <w:rsid w:val="00501D90"/>
    <w:rsid w:val="00502317"/>
    <w:rsid w:val="005023E8"/>
    <w:rsid w:val="005029F9"/>
    <w:rsid w:val="005056E9"/>
    <w:rsid w:val="0051043F"/>
    <w:rsid w:val="005147EE"/>
    <w:rsid w:val="00525E99"/>
    <w:rsid w:val="005267A0"/>
    <w:rsid w:val="00526FF1"/>
    <w:rsid w:val="0053111E"/>
    <w:rsid w:val="00531E62"/>
    <w:rsid w:val="00534105"/>
    <w:rsid w:val="00540F42"/>
    <w:rsid w:val="00544AC3"/>
    <w:rsid w:val="00545DFD"/>
    <w:rsid w:val="005501F4"/>
    <w:rsid w:val="00552B0D"/>
    <w:rsid w:val="0055380E"/>
    <w:rsid w:val="00554CC1"/>
    <w:rsid w:val="00555A00"/>
    <w:rsid w:val="0055739A"/>
    <w:rsid w:val="005643D1"/>
    <w:rsid w:val="00564781"/>
    <w:rsid w:val="00566264"/>
    <w:rsid w:val="00566951"/>
    <w:rsid w:val="0057184E"/>
    <w:rsid w:val="005733DF"/>
    <w:rsid w:val="00580632"/>
    <w:rsid w:val="005870B8"/>
    <w:rsid w:val="005875BC"/>
    <w:rsid w:val="00587A2D"/>
    <w:rsid w:val="00594BC9"/>
    <w:rsid w:val="00595585"/>
    <w:rsid w:val="0059657C"/>
    <w:rsid w:val="005A0DDF"/>
    <w:rsid w:val="005A3E7B"/>
    <w:rsid w:val="005A6929"/>
    <w:rsid w:val="005A7146"/>
    <w:rsid w:val="005A7286"/>
    <w:rsid w:val="005B0E69"/>
    <w:rsid w:val="005B12D1"/>
    <w:rsid w:val="005B3B4F"/>
    <w:rsid w:val="005C0B3C"/>
    <w:rsid w:val="005C5739"/>
    <w:rsid w:val="005D1B1F"/>
    <w:rsid w:val="005D725F"/>
    <w:rsid w:val="005E1443"/>
    <w:rsid w:val="005E1F94"/>
    <w:rsid w:val="005E5569"/>
    <w:rsid w:val="005E58AC"/>
    <w:rsid w:val="005E5903"/>
    <w:rsid w:val="005F4272"/>
    <w:rsid w:val="005F43EF"/>
    <w:rsid w:val="005F5219"/>
    <w:rsid w:val="005F58E9"/>
    <w:rsid w:val="005F6FF0"/>
    <w:rsid w:val="0060276B"/>
    <w:rsid w:val="00603369"/>
    <w:rsid w:val="00604765"/>
    <w:rsid w:val="00605089"/>
    <w:rsid w:val="00605742"/>
    <w:rsid w:val="00606F62"/>
    <w:rsid w:val="006107B8"/>
    <w:rsid w:val="006129EC"/>
    <w:rsid w:val="00614014"/>
    <w:rsid w:val="0061759B"/>
    <w:rsid w:val="006234ED"/>
    <w:rsid w:val="00630AC8"/>
    <w:rsid w:val="0063636F"/>
    <w:rsid w:val="00640F25"/>
    <w:rsid w:val="0064468A"/>
    <w:rsid w:val="00644E06"/>
    <w:rsid w:val="00645F57"/>
    <w:rsid w:val="00651632"/>
    <w:rsid w:val="006562C0"/>
    <w:rsid w:val="00664ADA"/>
    <w:rsid w:val="00667ED0"/>
    <w:rsid w:val="00670BE9"/>
    <w:rsid w:val="00670F0A"/>
    <w:rsid w:val="0067201D"/>
    <w:rsid w:val="00673EA9"/>
    <w:rsid w:val="006753C2"/>
    <w:rsid w:val="00675C28"/>
    <w:rsid w:val="0067700C"/>
    <w:rsid w:val="0068259C"/>
    <w:rsid w:val="0068290E"/>
    <w:rsid w:val="00685ACA"/>
    <w:rsid w:val="0069030D"/>
    <w:rsid w:val="006916AF"/>
    <w:rsid w:val="006932C3"/>
    <w:rsid w:val="006A3E98"/>
    <w:rsid w:val="006A3F96"/>
    <w:rsid w:val="006A437C"/>
    <w:rsid w:val="006A464A"/>
    <w:rsid w:val="006B394E"/>
    <w:rsid w:val="006B47A1"/>
    <w:rsid w:val="006B4A28"/>
    <w:rsid w:val="006B54EE"/>
    <w:rsid w:val="006B5890"/>
    <w:rsid w:val="006B6A77"/>
    <w:rsid w:val="006C4F76"/>
    <w:rsid w:val="006C5C44"/>
    <w:rsid w:val="006C7816"/>
    <w:rsid w:val="006D1D30"/>
    <w:rsid w:val="006D2971"/>
    <w:rsid w:val="006D62E7"/>
    <w:rsid w:val="006D6A00"/>
    <w:rsid w:val="006E009F"/>
    <w:rsid w:val="006E2E86"/>
    <w:rsid w:val="006E5CEA"/>
    <w:rsid w:val="006E5FC1"/>
    <w:rsid w:val="006E6160"/>
    <w:rsid w:val="006F3D44"/>
    <w:rsid w:val="006F5BD6"/>
    <w:rsid w:val="006F66EC"/>
    <w:rsid w:val="006F749A"/>
    <w:rsid w:val="007045BE"/>
    <w:rsid w:val="00704F89"/>
    <w:rsid w:val="00706217"/>
    <w:rsid w:val="0071100D"/>
    <w:rsid w:val="007127A0"/>
    <w:rsid w:val="007166FE"/>
    <w:rsid w:val="00717675"/>
    <w:rsid w:val="00720758"/>
    <w:rsid w:val="00721D79"/>
    <w:rsid w:val="0072424E"/>
    <w:rsid w:val="00730801"/>
    <w:rsid w:val="00741283"/>
    <w:rsid w:val="00753065"/>
    <w:rsid w:val="00754E2C"/>
    <w:rsid w:val="00757211"/>
    <w:rsid w:val="007602CC"/>
    <w:rsid w:val="0076078B"/>
    <w:rsid w:val="0076448C"/>
    <w:rsid w:val="0076531E"/>
    <w:rsid w:val="00765F28"/>
    <w:rsid w:val="00766941"/>
    <w:rsid w:val="00771E48"/>
    <w:rsid w:val="00772599"/>
    <w:rsid w:val="00776F93"/>
    <w:rsid w:val="00777C05"/>
    <w:rsid w:val="00781FDF"/>
    <w:rsid w:val="00783035"/>
    <w:rsid w:val="00783041"/>
    <w:rsid w:val="00783F10"/>
    <w:rsid w:val="007843DF"/>
    <w:rsid w:val="00786BF4"/>
    <w:rsid w:val="00787D14"/>
    <w:rsid w:val="0079032B"/>
    <w:rsid w:val="007917B9"/>
    <w:rsid w:val="007932AE"/>
    <w:rsid w:val="00796E48"/>
    <w:rsid w:val="007A0B7F"/>
    <w:rsid w:val="007A0D13"/>
    <w:rsid w:val="007A18D3"/>
    <w:rsid w:val="007A249C"/>
    <w:rsid w:val="007A48B3"/>
    <w:rsid w:val="007B2ADC"/>
    <w:rsid w:val="007B2C4B"/>
    <w:rsid w:val="007C0333"/>
    <w:rsid w:val="007C22C4"/>
    <w:rsid w:val="007C2D96"/>
    <w:rsid w:val="007C6363"/>
    <w:rsid w:val="007D34A1"/>
    <w:rsid w:val="007D7809"/>
    <w:rsid w:val="007E666F"/>
    <w:rsid w:val="007E7419"/>
    <w:rsid w:val="007F0D2D"/>
    <w:rsid w:val="007F2907"/>
    <w:rsid w:val="0080257F"/>
    <w:rsid w:val="008026D5"/>
    <w:rsid w:val="00804017"/>
    <w:rsid w:val="00811976"/>
    <w:rsid w:val="00812BCD"/>
    <w:rsid w:val="00821045"/>
    <w:rsid w:val="00821AE0"/>
    <w:rsid w:val="00822529"/>
    <w:rsid w:val="008241BB"/>
    <w:rsid w:val="00824303"/>
    <w:rsid w:val="00827254"/>
    <w:rsid w:val="00831636"/>
    <w:rsid w:val="008357FE"/>
    <w:rsid w:val="00837CB7"/>
    <w:rsid w:val="00841367"/>
    <w:rsid w:val="00842094"/>
    <w:rsid w:val="00851E7F"/>
    <w:rsid w:val="0085673F"/>
    <w:rsid w:val="0086094D"/>
    <w:rsid w:val="0086225A"/>
    <w:rsid w:val="008624C2"/>
    <w:rsid w:val="00862DED"/>
    <w:rsid w:val="00864CE4"/>
    <w:rsid w:val="008658BE"/>
    <w:rsid w:val="008770B5"/>
    <w:rsid w:val="00877F05"/>
    <w:rsid w:val="00883833"/>
    <w:rsid w:val="00884801"/>
    <w:rsid w:val="00891F6B"/>
    <w:rsid w:val="0089341F"/>
    <w:rsid w:val="008956F7"/>
    <w:rsid w:val="00896C29"/>
    <w:rsid w:val="008971F8"/>
    <w:rsid w:val="008A058D"/>
    <w:rsid w:val="008A3617"/>
    <w:rsid w:val="008A3CE9"/>
    <w:rsid w:val="008B1456"/>
    <w:rsid w:val="008B4694"/>
    <w:rsid w:val="008B55AF"/>
    <w:rsid w:val="008B747D"/>
    <w:rsid w:val="008B75B3"/>
    <w:rsid w:val="008B783B"/>
    <w:rsid w:val="008C22A6"/>
    <w:rsid w:val="008C59F4"/>
    <w:rsid w:val="008C6198"/>
    <w:rsid w:val="008C73F5"/>
    <w:rsid w:val="008D0B1E"/>
    <w:rsid w:val="008D4246"/>
    <w:rsid w:val="008D6FD4"/>
    <w:rsid w:val="008D70CC"/>
    <w:rsid w:val="008E1944"/>
    <w:rsid w:val="008E21F6"/>
    <w:rsid w:val="008E30AB"/>
    <w:rsid w:val="008E4E37"/>
    <w:rsid w:val="008E5D0A"/>
    <w:rsid w:val="008F0A5A"/>
    <w:rsid w:val="008F1903"/>
    <w:rsid w:val="008F445A"/>
    <w:rsid w:val="008F63AA"/>
    <w:rsid w:val="00901C95"/>
    <w:rsid w:val="00904A74"/>
    <w:rsid w:val="009072EC"/>
    <w:rsid w:val="00907DCE"/>
    <w:rsid w:val="00912155"/>
    <w:rsid w:val="00912457"/>
    <w:rsid w:val="009139FF"/>
    <w:rsid w:val="009144E6"/>
    <w:rsid w:val="00914A7D"/>
    <w:rsid w:val="009242BB"/>
    <w:rsid w:val="0092788F"/>
    <w:rsid w:val="00931CE7"/>
    <w:rsid w:val="00931D38"/>
    <w:rsid w:val="00932AE1"/>
    <w:rsid w:val="00937BD4"/>
    <w:rsid w:val="00941554"/>
    <w:rsid w:val="00945B8B"/>
    <w:rsid w:val="00947E01"/>
    <w:rsid w:val="0095057F"/>
    <w:rsid w:val="00951FC5"/>
    <w:rsid w:val="0095265E"/>
    <w:rsid w:val="009758B6"/>
    <w:rsid w:val="00980F42"/>
    <w:rsid w:val="00983687"/>
    <w:rsid w:val="0098548A"/>
    <w:rsid w:val="009861F2"/>
    <w:rsid w:val="00986845"/>
    <w:rsid w:val="00991F4F"/>
    <w:rsid w:val="00994030"/>
    <w:rsid w:val="009958E0"/>
    <w:rsid w:val="00995DAA"/>
    <w:rsid w:val="009A0FA2"/>
    <w:rsid w:val="009A1EB4"/>
    <w:rsid w:val="009A5CCF"/>
    <w:rsid w:val="009A65C0"/>
    <w:rsid w:val="009A7896"/>
    <w:rsid w:val="009A7B60"/>
    <w:rsid w:val="009B264F"/>
    <w:rsid w:val="009B289F"/>
    <w:rsid w:val="009B2B24"/>
    <w:rsid w:val="009B2B9E"/>
    <w:rsid w:val="009B3794"/>
    <w:rsid w:val="009C0723"/>
    <w:rsid w:val="009C280F"/>
    <w:rsid w:val="009C3356"/>
    <w:rsid w:val="009C3FE3"/>
    <w:rsid w:val="009D04E9"/>
    <w:rsid w:val="009D21F8"/>
    <w:rsid w:val="009D2A84"/>
    <w:rsid w:val="009D32B0"/>
    <w:rsid w:val="009D7FAE"/>
    <w:rsid w:val="009D7FF1"/>
    <w:rsid w:val="009E5177"/>
    <w:rsid w:val="009E66BA"/>
    <w:rsid w:val="009F26B6"/>
    <w:rsid w:val="009F2728"/>
    <w:rsid w:val="009F5FE0"/>
    <w:rsid w:val="009F7B35"/>
    <w:rsid w:val="00A010E2"/>
    <w:rsid w:val="00A02F71"/>
    <w:rsid w:val="00A049B8"/>
    <w:rsid w:val="00A05D15"/>
    <w:rsid w:val="00A1008E"/>
    <w:rsid w:val="00A118D5"/>
    <w:rsid w:val="00A12E93"/>
    <w:rsid w:val="00A14B0A"/>
    <w:rsid w:val="00A16EC3"/>
    <w:rsid w:val="00A20510"/>
    <w:rsid w:val="00A21350"/>
    <w:rsid w:val="00A2338F"/>
    <w:rsid w:val="00A23BE5"/>
    <w:rsid w:val="00A255B6"/>
    <w:rsid w:val="00A27B87"/>
    <w:rsid w:val="00A321EA"/>
    <w:rsid w:val="00A349FC"/>
    <w:rsid w:val="00A35B0B"/>
    <w:rsid w:val="00A40F0D"/>
    <w:rsid w:val="00A4134E"/>
    <w:rsid w:val="00A45F6C"/>
    <w:rsid w:val="00A512D7"/>
    <w:rsid w:val="00A524E0"/>
    <w:rsid w:val="00A5312E"/>
    <w:rsid w:val="00A56CDE"/>
    <w:rsid w:val="00A60478"/>
    <w:rsid w:val="00A61BA5"/>
    <w:rsid w:val="00A62332"/>
    <w:rsid w:val="00A643D8"/>
    <w:rsid w:val="00A6491E"/>
    <w:rsid w:val="00A67FDB"/>
    <w:rsid w:val="00A70C6E"/>
    <w:rsid w:val="00A72A58"/>
    <w:rsid w:val="00A744DF"/>
    <w:rsid w:val="00A80218"/>
    <w:rsid w:val="00A8029E"/>
    <w:rsid w:val="00A812A0"/>
    <w:rsid w:val="00A81894"/>
    <w:rsid w:val="00A81A0E"/>
    <w:rsid w:val="00A82C39"/>
    <w:rsid w:val="00A83A77"/>
    <w:rsid w:val="00A84BE9"/>
    <w:rsid w:val="00A86302"/>
    <w:rsid w:val="00A90055"/>
    <w:rsid w:val="00A91109"/>
    <w:rsid w:val="00A91BE0"/>
    <w:rsid w:val="00A95597"/>
    <w:rsid w:val="00A96A7F"/>
    <w:rsid w:val="00AA33E8"/>
    <w:rsid w:val="00AA4CBA"/>
    <w:rsid w:val="00AB0736"/>
    <w:rsid w:val="00AB23B3"/>
    <w:rsid w:val="00AB5639"/>
    <w:rsid w:val="00AC21C5"/>
    <w:rsid w:val="00AC4F39"/>
    <w:rsid w:val="00AC6459"/>
    <w:rsid w:val="00AC6EB8"/>
    <w:rsid w:val="00AD0697"/>
    <w:rsid w:val="00AD1BF6"/>
    <w:rsid w:val="00AD52E9"/>
    <w:rsid w:val="00AD6060"/>
    <w:rsid w:val="00AD66AF"/>
    <w:rsid w:val="00AF4863"/>
    <w:rsid w:val="00AF558E"/>
    <w:rsid w:val="00AF6B20"/>
    <w:rsid w:val="00B009E6"/>
    <w:rsid w:val="00B010FB"/>
    <w:rsid w:val="00B03115"/>
    <w:rsid w:val="00B043F1"/>
    <w:rsid w:val="00B07497"/>
    <w:rsid w:val="00B105BD"/>
    <w:rsid w:val="00B113CA"/>
    <w:rsid w:val="00B116F8"/>
    <w:rsid w:val="00B1240F"/>
    <w:rsid w:val="00B148D5"/>
    <w:rsid w:val="00B159A2"/>
    <w:rsid w:val="00B2356D"/>
    <w:rsid w:val="00B27428"/>
    <w:rsid w:val="00B3100E"/>
    <w:rsid w:val="00B345F1"/>
    <w:rsid w:val="00B367FF"/>
    <w:rsid w:val="00B37BD0"/>
    <w:rsid w:val="00B40BCF"/>
    <w:rsid w:val="00B428EB"/>
    <w:rsid w:val="00B47531"/>
    <w:rsid w:val="00B52C35"/>
    <w:rsid w:val="00B532A0"/>
    <w:rsid w:val="00B64D48"/>
    <w:rsid w:val="00B70280"/>
    <w:rsid w:val="00B72E53"/>
    <w:rsid w:val="00B73E2C"/>
    <w:rsid w:val="00B73F3E"/>
    <w:rsid w:val="00B766EB"/>
    <w:rsid w:val="00B800A4"/>
    <w:rsid w:val="00B84D16"/>
    <w:rsid w:val="00B87FFB"/>
    <w:rsid w:val="00B943DD"/>
    <w:rsid w:val="00B95E38"/>
    <w:rsid w:val="00B960E8"/>
    <w:rsid w:val="00BA0A0E"/>
    <w:rsid w:val="00BA2547"/>
    <w:rsid w:val="00BA4744"/>
    <w:rsid w:val="00BA5A50"/>
    <w:rsid w:val="00BB1E42"/>
    <w:rsid w:val="00BC0E94"/>
    <w:rsid w:val="00BC1087"/>
    <w:rsid w:val="00BC2517"/>
    <w:rsid w:val="00BC3108"/>
    <w:rsid w:val="00BC6710"/>
    <w:rsid w:val="00BC6B16"/>
    <w:rsid w:val="00BD0111"/>
    <w:rsid w:val="00BD6241"/>
    <w:rsid w:val="00BE00BA"/>
    <w:rsid w:val="00BE0FC4"/>
    <w:rsid w:val="00BE1AD2"/>
    <w:rsid w:val="00BE2AAB"/>
    <w:rsid w:val="00BE4281"/>
    <w:rsid w:val="00BE48CB"/>
    <w:rsid w:val="00BE4C1B"/>
    <w:rsid w:val="00BF365A"/>
    <w:rsid w:val="00BF58AD"/>
    <w:rsid w:val="00BF6A72"/>
    <w:rsid w:val="00BF7DFC"/>
    <w:rsid w:val="00C00133"/>
    <w:rsid w:val="00C02078"/>
    <w:rsid w:val="00C04109"/>
    <w:rsid w:val="00C05707"/>
    <w:rsid w:val="00C0595B"/>
    <w:rsid w:val="00C0753B"/>
    <w:rsid w:val="00C07761"/>
    <w:rsid w:val="00C07B91"/>
    <w:rsid w:val="00C10E51"/>
    <w:rsid w:val="00C1114D"/>
    <w:rsid w:val="00C11905"/>
    <w:rsid w:val="00C123EF"/>
    <w:rsid w:val="00C13CC1"/>
    <w:rsid w:val="00C1731F"/>
    <w:rsid w:val="00C17ED0"/>
    <w:rsid w:val="00C238CC"/>
    <w:rsid w:val="00C30DD3"/>
    <w:rsid w:val="00C41674"/>
    <w:rsid w:val="00C43173"/>
    <w:rsid w:val="00C4478B"/>
    <w:rsid w:val="00C44B4C"/>
    <w:rsid w:val="00C4537A"/>
    <w:rsid w:val="00C4576D"/>
    <w:rsid w:val="00C45E9C"/>
    <w:rsid w:val="00C46239"/>
    <w:rsid w:val="00C462D8"/>
    <w:rsid w:val="00C46D65"/>
    <w:rsid w:val="00C50947"/>
    <w:rsid w:val="00C51992"/>
    <w:rsid w:val="00C56EEE"/>
    <w:rsid w:val="00C57072"/>
    <w:rsid w:val="00C57EC8"/>
    <w:rsid w:val="00C62311"/>
    <w:rsid w:val="00C63999"/>
    <w:rsid w:val="00C64DA5"/>
    <w:rsid w:val="00C70115"/>
    <w:rsid w:val="00C75390"/>
    <w:rsid w:val="00C75640"/>
    <w:rsid w:val="00C7638B"/>
    <w:rsid w:val="00C80739"/>
    <w:rsid w:val="00C83245"/>
    <w:rsid w:val="00C84738"/>
    <w:rsid w:val="00C84848"/>
    <w:rsid w:val="00C92CDB"/>
    <w:rsid w:val="00C94414"/>
    <w:rsid w:val="00C95A99"/>
    <w:rsid w:val="00C95B18"/>
    <w:rsid w:val="00C96316"/>
    <w:rsid w:val="00C96DB8"/>
    <w:rsid w:val="00CA0FEC"/>
    <w:rsid w:val="00CA13CF"/>
    <w:rsid w:val="00CA3D09"/>
    <w:rsid w:val="00CA4BB4"/>
    <w:rsid w:val="00CB399D"/>
    <w:rsid w:val="00CB4395"/>
    <w:rsid w:val="00CB67CE"/>
    <w:rsid w:val="00CB6AAA"/>
    <w:rsid w:val="00CB7EDC"/>
    <w:rsid w:val="00CC343D"/>
    <w:rsid w:val="00CC3BE5"/>
    <w:rsid w:val="00CD2524"/>
    <w:rsid w:val="00CD2554"/>
    <w:rsid w:val="00CD412A"/>
    <w:rsid w:val="00CD4FAF"/>
    <w:rsid w:val="00CD728C"/>
    <w:rsid w:val="00CE1429"/>
    <w:rsid w:val="00CE1794"/>
    <w:rsid w:val="00CE180C"/>
    <w:rsid w:val="00CE7466"/>
    <w:rsid w:val="00CF5EC0"/>
    <w:rsid w:val="00CF63AB"/>
    <w:rsid w:val="00CF791E"/>
    <w:rsid w:val="00CF7B7C"/>
    <w:rsid w:val="00D027CA"/>
    <w:rsid w:val="00D0560B"/>
    <w:rsid w:val="00D06877"/>
    <w:rsid w:val="00D15C3E"/>
    <w:rsid w:val="00D21BA8"/>
    <w:rsid w:val="00D22D0E"/>
    <w:rsid w:val="00D243AE"/>
    <w:rsid w:val="00D30181"/>
    <w:rsid w:val="00D324BA"/>
    <w:rsid w:val="00D33A40"/>
    <w:rsid w:val="00D33EF5"/>
    <w:rsid w:val="00D40008"/>
    <w:rsid w:val="00D4148D"/>
    <w:rsid w:val="00D4271D"/>
    <w:rsid w:val="00D43005"/>
    <w:rsid w:val="00D437C0"/>
    <w:rsid w:val="00D43826"/>
    <w:rsid w:val="00D44734"/>
    <w:rsid w:val="00D46C4B"/>
    <w:rsid w:val="00D50109"/>
    <w:rsid w:val="00D53430"/>
    <w:rsid w:val="00D56645"/>
    <w:rsid w:val="00D568E6"/>
    <w:rsid w:val="00D56D0A"/>
    <w:rsid w:val="00D57013"/>
    <w:rsid w:val="00D60748"/>
    <w:rsid w:val="00D62B04"/>
    <w:rsid w:val="00D65295"/>
    <w:rsid w:val="00D721E0"/>
    <w:rsid w:val="00D72739"/>
    <w:rsid w:val="00D749E9"/>
    <w:rsid w:val="00D75322"/>
    <w:rsid w:val="00D775D6"/>
    <w:rsid w:val="00D836E0"/>
    <w:rsid w:val="00D859B7"/>
    <w:rsid w:val="00D85BFA"/>
    <w:rsid w:val="00D85C2C"/>
    <w:rsid w:val="00D86C2B"/>
    <w:rsid w:val="00D9056E"/>
    <w:rsid w:val="00D9059A"/>
    <w:rsid w:val="00D90F30"/>
    <w:rsid w:val="00D90FEC"/>
    <w:rsid w:val="00D930CA"/>
    <w:rsid w:val="00D96968"/>
    <w:rsid w:val="00D96BE6"/>
    <w:rsid w:val="00DA1DDA"/>
    <w:rsid w:val="00DA2ADC"/>
    <w:rsid w:val="00DB2070"/>
    <w:rsid w:val="00DB42FE"/>
    <w:rsid w:val="00DB6AFA"/>
    <w:rsid w:val="00DC02B0"/>
    <w:rsid w:val="00DC6D98"/>
    <w:rsid w:val="00DC7A4B"/>
    <w:rsid w:val="00DC7F51"/>
    <w:rsid w:val="00DD002F"/>
    <w:rsid w:val="00DD0E54"/>
    <w:rsid w:val="00DD2888"/>
    <w:rsid w:val="00DD42A7"/>
    <w:rsid w:val="00DD4D9F"/>
    <w:rsid w:val="00DD5AAE"/>
    <w:rsid w:val="00DD776F"/>
    <w:rsid w:val="00DD781A"/>
    <w:rsid w:val="00DE5C6A"/>
    <w:rsid w:val="00DE60E1"/>
    <w:rsid w:val="00DF21A5"/>
    <w:rsid w:val="00E04FEB"/>
    <w:rsid w:val="00E1327B"/>
    <w:rsid w:val="00E20D00"/>
    <w:rsid w:val="00E245E1"/>
    <w:rsid w:val="00E2610B"/>
    <w:rsid w:val="00E30526"/>
    <w:rsid w:val="00E30A8C"/>
    <w:rsid w:val="00E33754"/>
    <w:rsid w:val="00E3380C"/>
    <w:rsid w:val="00E34F5E"/>
    <w:rsid w:val="00E36192"/>
    <w:rsid w:val="00E36B59"/>
    <w:rsid w:val="00E37B24"/>
    <w:rsid w:val="00E452DB"/>
    <w:rsid w:val="00E50D08"/>
    <w:rsid w:val="00E5288D"/>
    <w:rsid w:val="00E549CB"/>
    <w:rsid w:val="00E6060C"/>
    <w:rsid w:val="00E632B7"/>
    <w:rsid w:val="00E64E2C"/>
    <w:rsid w:val="00E66111"/>
    <w:rsid w:val="00E664BD"/>
    <w:rsid w:val="00E70623"/>
    <w:rsid w:val="00E70A62"/>
    <w:rsid w:val="00E73310"/>
    <w:rsid w:val="00E735AC"/>
    <w:rsid w:val="00E76E8B"/>
    <w:rsid w:val="00E82B39"/>
    <w:rsid w:val="00E83D01"/>
    <w:rsid w:val="00E84772"/>
    <w:rsid w:val="00E8637B"/>
    <w:rsid w:val="00EA0142"/>
    <w:rsid w:val="00EA1C6E"/>
    <w:rsid w:val="00EA1F22"/>
    <w:rsid w:val="00EA25B1"/>
    <w:rsid w:val="00EB0858"/>
    <w:rsid w:val="00EB0860"/>
    <w:rsid w:val="00EB110B"/>
    <w:rsid w:val="00EB1B9A"/>
    <w:rsid w:val="00EB6B28"/>
    <w:rsid w:val="00EB708B"/>
    <w:rsid w:val="00EC1F93"/>
    <w:rsid w:val="00EC6BF1"/>
    <w:rsid w:val="00EC7BE2"/>
    <w:rsid w:val="00ED2DB4"/>
    <w:rsid w:val="00ED4ABE"/>
    <w:rsid w:val="00EE3912"/>
    <w:rsid w:val="00EE39D9"/>
    <w:rsid w:val="00EE6A2F"/>
    <w:rsid w:val="00EE6A3F"/>
    <w:rsid w:val="00EE6A44"/>
    <w:rsid w:val="00EE6F48"/>
    <w:rsid w:val="00EF2213"/>
    <w:rsid w:val="00EF5425"/>
    <w:rsid w:val="00EF5488"/>
    <w:rsid w:val="00EF54CD"/>
    <w:rsid w:val="00F03A9E"/>
    <w:rsid w:val="00F048F1"/>
    <w:rsid w:val="00F0590C"/>
    <w:rsid w:val="00F05DBC"/>
    <w:rsid w:val="00F141C3"/>
    <w:rsid w:val="00F17529"/>
    <w:rsid w:val="00F23C26"/>
    <w:rsid w:val="00F334B7"/>
    <w:rsid w:val="00F34DFD"/>
    <w:rsid w:val="00F4006F"/>
    <w:rsid w:val="00F41BD4"/>
    <w:rsid w:val="00F42657"/>
    <w:rsid w:val="00F43DF1"/>
    <w:rsid w:val="00F43EE7"/>
    <w:rsid w:val="00F44A5E"/>
    <w:rsid w:val="00F571CB"/>
    <w:rsid w:val="00F6067A"/>
    <w:rsid w:val="00F66365"/>
    <w:rsid w:val="00F73C15"/>
    <w:rsid w:val="00F74BDF"/>
    <w:rsid w:val="00F764B8"/>
    <w:rsid w:val="00F7714D"/>
    <w:rsid w:val="00F77372"/>
    <w:rsid w:val="00F77C1E"/>
    <w:rsid w:val="00F812A1"/>
    <w:rsid w:val="00F81A6C"/>
    <w:rsid w:val="00F82F13"/>
    <w:rsid w:val="00F8429D"/>
    <w:rsid w:val="00F87E78"/>
    <w:rsid w:val="00F915F8"/>
    <w:rsid w:val="00F92252"/>
    <w:rsid w:val="00F948F2"/>
    <w:rsid w:val="00F948F6"/>
    <w:rsid w:val="00F96492"/>
    <w:rsid w:val="00FA11B8"/>
    <w:rsid w:val="00FA25BD"/>
    <w:rsid w:val="00FA26F5"/>
    <w:rsid w:val="00FA4E3F"/>
    <w:rsid w:val="00FA5929"/>
    <w:rsid w:val="00FA70F9"/>
    <w:rsid w:val="00FB4071"/>
    <w:rsid w:val="00FB615C"/>
    <w:rsid w:val="00FB6258"/>
    <w:rsid w:val="00FB7C6A"/>
    <w:rsid w:val="00FC1949"/>
    <w:rsid w:val="00FC7467"/>
    <w:rsid w:val="00FD587E"/>
    <w:rsid w:val="00FE0A51"/>
    <w:rsid w:val="00FE1080"/>
    <w:rsid w:val="00FE19A7"/>
    <w:rsid w:val="00FE33B1"/>
    <w:rsid w:val="00FE3E15"/>
    <w:rsid w:val="00FE4450"/>
    <w:rsid w:val="00FF1453"/>
    <w:rsid w:val="00FF3593"/>
    <w:rsid w:val="00FF3793"/>
    <w:rsid w:val="00FF649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70C6"/>
  <w15:docId w15:val="{48E12D31-3F1D-4D4C-9281-8873244D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347D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ABE"/>
    <w:pPr>
      <w:ind w:left="720"/>
      <w:contextualSpacing/>
    </w:pPr>
  </w:style>
  <w:style w:type="character" w:styleId="Hyperlink">
    <w:name w:val="Hyperlink"/>
    <w:basedOn w:val="DefaultParagraphFont"/>
    <w:uiPriority w:val="99"/>
    <w:unhideWhenUsed/>
    <w:rsid w:val="009B2B24"/>
    <w:rPr>
      <w:color w:val="0563C1" w:themeColor="hyperlink"/>
      <w:u w:val="single"/>
    </w:rPr>
  </w:style>
  <w:style w:type="character" w:styleId="FootnoteReference">
    <w:name w:val="footnote reference"/>
    <w:uiPriority w:val="99"/>
    <w:unhideWhenUsed/>
    <w:qFormat/>
    <w:rsid w:val="009B2B24"/>
    <w:rPr>
      <w:rFonts w:ascii="Times New Roman" w:hAnsi="Times New Roman"/>
      <w:sz w:val="20"/>
      <w:vertAlign w:val="superscript"/>
      <w:lang w:val="en-GB"/>
    </w:rPr>
  </w:style>
  <w:style w:type="paragraph" w:styleId="FootnoteText">
    <w:name w:val="footnote text"/>
    <w:basedOn w:val="Normal"/>
    <w:link w:val="FootnoteTextChar"/>
    <w:uiPriority w:val="99"/>
    <w:unhideWhenUsed/>
    <w:rsid w:val="009B2B24"/>
    <w:pPr>
      <w:jc w:val="both"/>
    </w:pPr>
    <w:rPr>
      <w:rFonts w:ascii="Times New Roman" w:eastAsia="MS Mincho" w:hAnsi="Times New Roman" w:cs="Times New Roman"/>
      <w:sz w:val="20"/>
      <w:lang w:val="x-none" w:eastAsia="x-none" w:bidi="ar-SA"/>
    </w:rPr>
  </w:style>
  <w:style w:type="character" w:customStyle="1" w:styleId="FootnoteTextChar">
    <w:name w:val="Footnote Text Char"/>
    <w:basedOn w:val="DefaultParagraphFont"/>
    <w:link w:val="FootnoteText"/>
    <w:uiPriority w:val="99"/>
    <w:rsid w:val="009B2B24"/>
    <w:rPr>
      <w:rFonts w:ascii="Times New Roman" w:eastAsia="MS Mincho" w:hAnsi="Times New Roman" w:cs="Times New Roman"/>
      <w:sz w:val="20"/>
      <w:lang w:val="x-none" w:eastAsia="x-none" w:bidi="ar-SA"/>
    </w:rPr>
  </w:style>
  <w:style w:type="character" w:customStyle="1" w:styleId="apple-style-span">
    <w:name w:val="apple-style-span"/>
    <w:basedOn w:val="DefaultParagraphFont"/>
    <w:rsid w:val="009B2B24"/>
  </w:style>
  <w:style w:type="character" w:customStyle="1" w:styleId="apple-converted-space">
    <w:name w:val="apple-converted-space"/>
    <w:basedOn w:val="DefaultParagraphFont"/>
    <w:rsid w:val="009B2B24"/>
  </w:style>
  <w:style w:type="paragraph" w:styleId="BalloonText">
    <w:name w:val="Balloon Text"/>
    <w:basedOn w:val="Normal"/>
    <w:link w:val="BalloonTextChar"/>
    <w:uiPriority w:val="99"/>
    <w:semiHidden/>
    <w:unhideWhenUsed/>
    <w:rsid w:val="004220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0FA"/>
    <w:rPr>
      <w:rFonts w:ascii="Times New Roman" w:hAnsi="Times New Roman" w:cs="Times New Roman"/>
      <w:sz w:val="18"/>
      <w:szCs w:val="18"/>
    </w:rPr>
  </w:style>
  <w:style w:type="character" w:styleId="UnresolvedMention">
    <w:name w:val="Unresolved Mention"/>
    <w:basedOn w:val="DefaultParagraphFont"/>
    <w:uiPriority w:val="99"/>
    <w:rsid w:val="00AD6060"/>
    <w:rPr>
      <w:color w:val="605E5C"/>
      <w:shd w:val="clear" w:color="auto" w:fill="E1DFDD"/>
    </w:rPr>
  </w:style>
  <w:style w:type="paragraph" w:styleId="Footer">
    <w:name w:val="footer"/>
    <w:basedOn w:val="Normal"/>
    <w:link w:val="FooterChar"/>
    <w:uiPriority w:val="99"/>
    <w:unhideWhenUsed/>
    <w:rsid w:val="009A5CCF"/>
    <w:pPr>
      <w:tabs>
        <w:tab w:val="center" w:pos="4513"/>
        <w:tab w:val="right" w:pos="9026"/>
      </w:tabs>
    </w:pPr>
  </w:style>
  <w:style w:type="character" w:customStyle="1" w:styleId="FooterChar">
    <w:name w:val="Footer Char"/>
    <w:basedOn w:val="DefaultParagraphFont"/>
    <w:link w:val="Footer"/>
    <w:uiPriority w:val="99"/>
    <w:rsid w:val="009A5CCF"/>
  </w:style>
  <w:style w:type="character" w:styleId="PageNumber">
    <w:name w:val="page number"/>
    <w:basedOn w:val="DefaultParagraphFont"/>
    <w:uiPriority w:val="99"/>
    <w:semiHidden/>
    <w:unhideWhenUsed/>
    <w:rsid w:val="009A5CCF"/>
  </w:style>
  <w:style w:type="character" w:customStyle="1" w:styleId="Heading1Char">
    <w:name w:val="Heading 1 Char"/>
    <w:basedOn w:val="DefaultParagraphFont"/>
    <w:link w:val="Heading1"/>
    <w:uiPriority w:val="9"/>
    <w:rsid w:val="000347D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1D731C"/>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76078B"/>
    <w:rPr>
      <w:i/>
      <w:iCs/>
    </w:rPr>
  </w:style>
  <w:style w:type="paragraph" w:customStyle="1" w:styleId="p1">
    <w:name w:val="p1"/>
    <w:basedOn w:val="Normal"/>
    <w:rsid w:val="0076078B"/>
    <w:rPr>
      <w:rFonts w:ascii="Times" w:hAnsi="Times" w:cs="Times New Roman"/>
      <w:sz w:val="15"/>
      <w:szCs w:val="15"/>
      <w:lang w:eastAsia="en-GB" w:bidi="ar-SA"/>
    </w:rPr>
  </w:style>
  <w:style w:type="character" w:customStyle="1" w:styleId="subtitle-colon">
    <w:name w:val="subtitle-colon"/>
    <w:basedOn w:val="DefaultParagraphFont"/>
    <w:rsid w:val="00945B8B"/>
  </w:style>
  <w:style w:type="character" w:customStyle="1" w:styleId="Subtitle1">
    <w:name w:val="Subtitle1"/>
    <w:basedOn w:val="DefaultParagraphFont"/>
    <w:rsid w:val="00945B8B"/>
  </w:style>
  <w:style w:type="character" w:styleId="Strong">
    <w:name w:val="Strong"/>
    <w:basedOn w:val="DefaultParagraphFont"/>
    <w:uiPriority w:val="22"/>
    <w:qFormat/>
    <w:rsid w:val="009A65C0"/>
    <w:rPr>
      <w:b/>
      <w:bCs/>
    </w:rPr>
  </w:style>
  <w:style w:type="character" w:styleId="FollowedHyperlink">
    <w:name w:val="FollowedHyperlink"/>
    <w:basedOn w:val="DefaultParagraphFont"/>
    <w:uiPriority w:val="99"/>
    <w:semiHidden/>
    <w:unhideWhenUsed/>
    <w:rsid w:val="00014594"/>
    <w:rPr>
      <w:color w:val="954F72" w:themeColor="followedHyperlink"/>
      <w:u w:val="single"/>
    </w:rPr>
  </w:style>
  <w:style w:type="character" w:styleId="CommentReference">
    <w:name w:val="annotation reference"/>
    <w:basedOn w:val="DefaultParagraphFont"/>
    <w:uiPriority w:val="99"/>
    <w:semiHidden/>
    <w:unhideWhenUsed/>
    <w:rsid w:val="00F96492"/>
    <w:rPr>
      <w:sz w:val="16"/>
      <w:szCs w:val="16"/>
    </w:rPr>
  </w:style>
  <w:style w:type="paragraph" w:styleId="CommentText">
    <w:name w:val="annotation text"/>
    <w:basedOn w:val="Normal"/>
    <w:link w:val="CommentTextChar"/>
    <w:uiPriority w:val="99"/>
    <w:unhideWhenUsed/>
    <w:rsid w:val="00F96492"/>
    <w:rPr>
      <w:sz w:val="20"/>
      <w:szCs w:val="20"/>
    </w:rPr>
  </w:style>
  <w:style w:type="character" w:customStyle="1" w:styleId="CommentTextChar">
    <w:name w:val="Comment Text Char"/>
    <w:basedOn w:val="DefaultParagraphFont"/>
    <w:link w:val="CommentText"/>
    <w:uiPriority w:val="99"/>
    <w:rsid w:val="00F96492"/>
    <w:rPr>
      <w:sz w:val="20"/>
      <w:szCs w:val="20"/>
    </w:rPr>
  </w:style>
  <w:style w:type="paragraph" w:styleId="CommentSubject">
    <w:name w:val="annotation subject"/>
    <w:basedOn w:val="CommentText"/>
    <w:next w:val="CommentText"/>
    <w:link w:val="CommentSubjectChar"/>
    <w:uiPriority w:val="99"/>
    <w:semiHidden/>
    <w:unhideWhenUsed/>
    <w:rsid w:val="00F96492"/>
    <w:rPr>
      <w:b/>
      <w:bCs/>
    </w:rPr>
  </w:style>
  <w:style w:type="character" w:customStyle="1" w:styleId="CommentSubjectChar">
    <w:name w:val="Comment Subject Char"/>
    <w:basedOn w:val="CommentTextChar"/>
    <w:link w:val="CommentSubject"/>
    <w:uiPriority w:val="99"/>
    <w:semiHidden/>
    <w:rsid w:val="00F96492"/>
    <w:rPr>
      <w:b/>
      <w:bCs/>
      <w:sz w:val="20"/>
      <w:szCs w:val="20"/>
    </w:rPr>
  </w:style>
  <w:style w:type="paragraph" w:styleId="Header">
    <w:name w:val="header"/>
    <w:basedOn w:val="Normal"/>
    <w:link w:val="HeaderChar"/>
    <w:uiPriority w:val="99"/>
    <w:unhideWhenUsed/>
    <w:rsid w:val="00171367"/>
    <w:pPr>
      <w:tabs>
        <w:tab w:val="center" w:pos="4513"/>
        <w:tab w:val="right" w:pos="9026"/>
      </w:tabs>
    </w:pPr>
  </w:style>
  <w:style w:type="character" w:customStyle="1" w:styleId="HeaderChar">
    <w:name w:val="Header Char"/>
    <w:basedOn w:val="DefaultParagraphFont"/>
    <w:link w:val="Header"/>
    <w:uiPriority w:val="99"/>
    <w:rsid w:val="00171367"/>
  </w:style>
  <w:style w:type="paragraph" w:styleId="Revision">
    <w:name w:val="Revision"/>
    <w:hidden/>
    <w:uiPriority w:val="99"/>
    <w:semiHidden/>
    <w:rsid w:val="00A82C39"/>
  </w:style>
  <w:style w:type="character" w:customStyle="1" w:styleId="authors">
    <w:name w:val="authors"/>
    <w:basedOn w:val="DefaultParagraphFont"/>
    <w:rsid w:val="003948C4"/>
  </w:style>
  <w:style w:type="character" w:customStyle="1" w:styleId="arttitle">
    <w:name w:val="art_title"/>
    <w:basedOn w:val="DefaultParagraphFont"/>
    <w:rsid w:val="003948C4"/>
  </w:style>
  <w:style w:type="character" w:customStyle="1" w:styleId="serialtitle">
    <w:name w:val="serial_title"/>
    <w:basedOn w:val="DefaultParagraphFont"/>
    <w:rsid w:val="003948C4"/>
  </w:style>
  <w:style w:type="character" w:customStyle="1" w:styleId="volumeissue">
    <w:name w:val="volume_issue"/>
    <w:basedOn w:val="DefaultParagraphFont"/>
    <w:rsid w:val="003948C4"/>
  </w:style>
  <w:style w:type="character" w:customStyle="1" w:styleId="pagerange">
    <w:name w:val="page_range"/>
    <w:basedOn w:val="DefaultParagraphFont"/>
    <w:rsid w:val="003948C4"/>
  </w:style>
  <w:style w:type="character" w:customStyle="1" w:styleId="Date2">
    <w:name w:val="Date2"/>
    <w:basedOn w:val="DefaultParagraphFont"/>
    <w:rsid w:val="003948C4"/>
  </w:style>
  <w:style w:type="character" w:customStyle="1" w:styleId="Date3">
    <w:name w:val="Date3"/>
    <w:basedOn w:val="DefaultParagraphFont"/>
    <w:rsid w:val="0039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11398">
      <w:bodyDiv w:val="1"/>
      <w:marLeft w:val="0"/>
      <w:marRight w:val="0"/>
      <w:marTop w:val="0"/>
      <w:marBottom w:val="0"/>
      <w:divBdr>
        <w:top w:val="none" w:sz="0" w:space="0" w:color="auto"/>
        <w:left w:val="none" w:sz="0" w:space="0" w:color="auto"/>
        <w:bottom w:val="none" w:sz="0" w:space="0" w:color="auto"/>
        <w:right w:val="none" w:sz="0" w:space="0" w:color="auto"/>
      </w:divBdr>
    </w:div>
    <w:div w:id="165442442">
      <w:bodyDiv w:val="1"/>
      <w:marLeft w:val="0"/>
      <w:marRight w:val="0"/>
      <w:marTop w:val="0"/>
      <w:marBottom w:val="0"/>
      <w:divBdr>
        <w:top w:val="none" w:sz="0" w:space="0" w:color="auto"/>
        <w:left w:val="none" w:sz="0" w:space="0" w:color="auto"/>
        <w:bottom w:val="none" w:sz="0" w:space="0" w:color="auto"/>
        <w:right w:val="none" w:sz="0" w:space="0" w:color="auto"/>
      </w:divBdr>
      <w:divsChild>
        <w:div w:id="1047030058">
          <w:marLeft w:val="0"/>
          <w:marRight w:val="0"/>
          <w:marTop w:val="0"/>
          <w:marBottom w:val="0"/>
          <w:divBdr>
            <w:top w:val="none" w:sz="0" w:space="0" w:color="auto"/>
            <w:left w:val="none" w:sz="0" w:space="0" w:color="auto"/>
            <w:bottom w:val="none" w:sz="0" w:space="0" w:color="auto"/>
            <w:right w:val="none" w:sz="0" w:space="0" w:color="auto"/>
          </w:divBdr>
          <w:divsChild>
            <w:div w:id="1281956417">
              <w:marLeft w:val="0"/>
              <w:marRight w:val="0"/>
              <w:marTop w:val="0"/>
              <w:marBottom w:val="0"/>
              <w:divBdr>
                <w:top w:val="none" w:sz="0" w:space="0" w:color="auto"/>
                <w:left w:val="none" w:sz="0" w:space="0" w:color="auto"/>
                <w:bottom w:val="none" w:sz="0" w:space="0" w:color="auto"/>
                <w:right w:val="none" w:sz="0" w:space="0" w:color="auto"/>
              </w:divBdr>
              <w:divsChild>
                <w:div w:id="1819765055">
                  <w:marLeft w:val="0"/>
                  <w:marRight w:val="0"/>
                  <w:marTop w:val="0"/>
                  <w:marBottom w:val="0"/>
                  <w:divBdr>
                    <w:top w:val="none" w:sz="0" w:space="0" w:color="auto"/>
                    <w:left w:val="none" w:sz="0" w:space="0" w:color="auto"/>
                    <w:bottom w:val="none" w:sz="0" w:space="0" w:color="auto"/>
                    <w:right w:val="none" w:sz="0" w:space="0" w:color="auto"/>
                  </w:divBdr>
                  <w:divsChild>
                    <w:div w:id="1369523277">
                      <w:marLeft w:val="0"/>
                      <w:marRight w:val="0"/>
                      <w:marTop w:val="0"/>
                      <w:marBottom w:val="0"/>
                      <w:divBdr>
                        <w:top w:val="none" w:sz="0" w:space="0" w:color="auto"/>
                        <w:left w:val="none" w:sz="0" w:space="0" w:color="auto"/>
                        <w:bottom w:val="none" w:sz="0" w:space="0" w:color="auto"/>
                        <w:right w:val="none" w:sz="0" w:space="0" w:color="auto"/>
                      </w:divBdr>
                      <w:divsChild>
                        <w:div w:id="16625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39654">
      <w:bodyDiv w:val="1"/>
      <w:marLeft w:val="0"/>
      <w:marRight w:val="0"/>
      <w:marTop w:val="0"/>
      <w:marBottom w:val="0"/>
      <w:divBdr>
        <w:top w:val="none" w:sz="0" w:space="0" w:color="auto"/>
        <w:left w:val="none" w:sz="0" w:space="0" w:color="auto"/>
        <w:bottom w:val="none" w:sz="0" w:space="0" w:color="auto"/>
        <w:right w:val="none" w:sz="0" w:space="0" w:color="auto"/>
      </w:divBdr>
    </w:div>
    <w:div w:id="1361010244">
      <w:bodyDiv w:val="1"/>
      <w:marLeft w:val="0"/>
      <w:marRight w:val="0"/>
      <w:marTop w:val="0"/>
      <w:marBottom w:val="0"/>
      <w:divBdr>
        <w:top w:val="none" w:sz="0" w:space="0" w:color="auto"/>
        <w:left w:val="none" w:sz="0" w:space="0" w:color="auto"/>
        <w:bottom w:val="none" w:sz="0" w:space="0" w:color="auto"/>
        <w:right w:val="none" w:sz="0" w:space="0" w:color="auto"/>
      </w:divBdr>
    </w:div>
    <w:div w:id="1729649768">
      <w:bodyDiv w:val="1"/>
      <w:marLeft w:val="0"/>
      <w:marRight w:val="0"/>
      <w:marTop w:val="0"/>
      <w:marBottom w:val="0"/>
      <w:divBdr>
        <w:top w:val="none" w:sz="0" w:space="0" w:color="auto"/>
        <w:left w:val="none" w:sz="0" w:space="0" w:color="auto"/>
        <w:bottom w:val="none" w:sz="0" w:space="0" w:color="auto"/>
        <w:right w:val="none" w:sz="0" w:space="0" w:color="auto"/>
      </w:divBdr>
    </w:div>
    <w:div w:id="1774202564">
      <w:bodyDiv w:val="1"/>
      <w:marLeft w:val="0"/>
      <w:marRight w:val="0"/>
      <w:marTop w:val="0"/>
      <w:marBottom w:val="0"/>
      <w:divBdr>
        <w:top w:val="none" w:sz="0" w:space="0" w:color="auto"/>
        <w:left w:val="none" w:sz="0" w:space="0" w:color="auto"/>
        <w:bottom w:val="none" w:sz="0" w:space="0" w:color="auto"/>
        <w:right w:val="none" w:sz="0" w:space="0" w:color="auto"/>
      </w:divBdr>
    </w:div>
    <w:div w:id="1816216254">
      <w:bodyDiv w:val="1"/>
      <w:marLeft w:val="0"/>
      <w:marRight w:val="0"/>
      <w:marTop w:val="0"/>
      <w:marBottom w:val="0"/>
      <w:divBdr>
        <w:top w:val="none" w:sz="0" w:space="0" w:color="auto"/>
        <w:left w:val="none" w:sz="0" w:space="0" w:color="auto"/>
        <w:bottom w:val="none" w:sz="0" w:space="0" w:color="auto"/>
        <w:right w:val="none" w:sz="0" w:space="0" w:color="auto"/>
      </w:divBdr>
    </w:div>
    <w:div w:id="1829050996">
      <w:bodyDiv w:val="1"/>
      <w:marLeft w:val="0"/>
      <w:marRight w:val="0"/>
      <w:marTop w:val="0"/>
      <w:marBottom w:val="0"/>
      <w:divBdr>
        <w:top w:val="none" w:sz="0" w:space="0" w:color="auto"/>
        <w:left w:val="none" w:sz="0" w:space="0" w:color="auto"/>
        <w:bottom w:val="none" w:sz="0" w:space="0" w:color="auto"/>
        <w:right w:val="none" w:sz="0" w:space="0" w:color="auto"/>
      </w:divBdr>
    </w:div>
    <w:div w:id="186609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ti.org.il/26242/" TargetMode="External"/><Relationship Id="rId18" Type="http://schemas.openxmlformats.org/officeDocument/2006/relationships/hyperlink" Target="https://www.israelhayom.co.il/news/geopolitics/article/13538133" TargetMode="External"/><Relationship Id="rId26" Type="http://schemas.openxmlformats.org/officeDocument/2006/relationships/hyperlink" Target="https://www.haaretz.co.il/news/politics/2015-06-02/ty-article/.premium/0000017f-ec52-d0f7-a9ff-eed720bd0000" TargetMode="External"/><Relationship Id="rId39" Type="http://schemas.openxmlformats.org/officeDocument/2006/relationships/hyperlink" Target="https://www.ynet.co.il/home/0,7340,L-13399,00.html" TargetMode="External"/><Relationship Id="rId21" Type="http://schemas.openxmlformats.org/officeDocument/2006/relationships/hyperlink" Target="https://www.hanochlevin.com/en/productions/1903" TargetMode="External"/><Relationship Id="rId34" Type="http://schemas.openxmlformats.org/officeDocument/2006/relationships/hyperlink" Target="https://www.oxfordlearnersdictionaries.com/definition/english/threshold"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mti.org.il/&#1488;&#1493;&#1491;&#1493;&#1514;/" TargetMode="External"/><Relationship Id="rId20" Type="http://schemas.openxmlformats.org/officeDocument/2006/relationships/hyperlink" Target="https://www.haaretz.co.il/news/politics/2018-10-04/ty-article/.premium/0000017f-e5db-dea7-adff-f5fbb06d0000" TargetMode="External"/><Relationship Id="rId29" Type="http://schemas.openxmlformats.org/officeDocument/2006/relationships/hyperlink" Target="https://www.kan.org.il/program/?catid=1138&amp;subcatid=20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smovement.net/what-is-bds" TargetMode="External"/><Relationship Id="rId24" Type="http://schemas.openxmlformats.org/officeDocument/2006/relationships/hyperlink" Target="https://www.gov.il/BlobFolder/generalpage/adm-dep-stock/he/Gates_Keeper_Summary.pdf" TargetMode="External"/><Relationship Id="rId32" Type="http://schemas.openxmlformats.org/officeDocument/2006/relationships/hyperlink" Target="https://www.theguardian.com/news/2018/aug/14/bds-boycott-divestment-sanctions-movement-transformed-israeli-palestinian-debate" TargetMode="External"/><Relationship Id="rId37" Type="http://schemas.openxmlformats.org/officeDocument/2006/relationships/hyperlink" Target="https://www.ynet.co.il/articles/0,7340,L-4976263,00.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ytimes.com/2019/07/27/world/middleeast/bds-israel-boycott-antisemitic.html" TargetMode="External"/><Relationship Id="rId23" Type="http://schemas.openxmlformats.org/officeDocument/2006/relationships/hyperlink" Target="https://www.idi.org.il/blogs/security-clearance/shabak-democracy/24394" TargetMode="External"/><Relationship Id="rId28" Type="http://schemas.openxmlformats.org/officeDocument/2006/relationships/hyperlink" Target="https://www.runi.ac.il/media/cp3lq3t5/bds-shaulshay2016.pdf" TargetMode="External"/><Relationship Id="rId36" Type="http://schemas.openxmlformats.org/officeDocument/2006/relationships/hyperlink" Target="https://www.ynet.co.il/news/article/sjczdeq5i" TargetMode="External"/><Relationship Id="rId10" Type="http://schemas.openxmlformats.org/officeDocument/2006/relationships/hyperlink" Target="https://www.ynet.co.il/news/article/bk9jtnrus" TargetMode="External"/><Relationship Id="rId19" Type="http://schemas.openxmlformats.org/officeDocument/2006/relationships/hyperlink" Target="https://main.knesset.gov.il/Activity/committees/Education/Pages/CommitteeProtocols.aspx?ItemID=2003264" TargetMode="External"/><Relationship Id="rId31" Type="http://schemas.openxmlformats.org/officeDocument/2006/relationships/hyperlink" Target="https://www.arabstudiesjournal.org/272-fall-2019.html" TargetMode="External"/><Relationship Id="rId4" Type="http://schemas.openxmlformats.org/officeDocument/2006/relationships/settings" Target="settings.xml"/><Relationship Id="rId9" Type="http://schemas.openxmlformats.org/officeDocument/2006/relationships/hyperlink" Target="https://law.acri.org.il/he/28085" TargetMode="External"/><Relationship Id="rId14" Type="http://schemas.openxmlformats.org/officeDocument/2006/relationships/hyperlink" Target="https://www.ynet.co.il/news/election2022/article/h1p49q2ej" TargetMode="External"/><Relationship Id="rId22" Type="http://schemas.openxmlformats.org/officeDocument/2006/relationships/hyperlink" Target="https://time.com/5914975/what-to-know-about-bds/" TargetMode="External"/><Relationship Id="rId27" Type="http://schemas.openxmlformats.org/officeDocument/2006/relationships/hyperlink" Target="https://www.haaretz.co.il/news/politics/2022-12-02/ty-article/.premium/00000184-d1cb-dc50-adc4-fdeb33740000" TargetMode="External"/><Relationship Id="rId30" Type="http://schemas.openxmlformats.org/officeDocument/2006/relationships/hyperlink" Target="https://4il.mfa.gov.il" TargetMode="External"/><Relationship Id="rId35" Type="http://schemas.openxmlformats.org/officeDocument/2006/relationships/hyperlink" Target="https://news.walla.co.il/item/2964088" TargetMode="External"/><Relationship Id="rId43" Type="http://schemas.openxmlformats.org/officeDocument/2006/relationships/theme" Target="theme/theme1.xml"/><Relationship Id="rId8" Type="http://schemas.openxmlformats.org/officeDocument/2006/relationships/hyperlink" Target="https://radicalactivists.imti.org.il" TargetMode="External"/><Relationship Id="rId3" Type="http://schemas.openxmlformats.org/officeDocument/2006/relationships/styles" Target="styles.xml"/><Relationship Id="rId12" Type="http://schemas.openxmlformats.org/officeDocument/2006/relationships/hyperlink" Target="https://www.haaretz.co.il/opinions/2022-04-20/ty-article-opinion/.premium/00000180-6562-d895-abf9-ffe2e8580000" TargetMode="External"/><Relationship Id="rId17" Type="http://schemas.openxmlformats.org/officeDocument/2006/relationships/hyperlink" Target="https://radicalactivists.imti.org.il" TargetMode="External"/><Relationship Id="rId25" Type="http://schemas.openxmlformats.org/officeDocument/2006/relationships/hyperlink" Target="https://www.gov.il/he/departments/policies/bds_activits_criteria_for_entering_israel" TargetMode="External"/><Relationship Id="rId33" Type="http://schemas.openxmlformats.org/officeDocument/2006/relationships/hyperlink" Target="https://dictionary.cambridge.org/dictionary/english/threshold" TargetMode="External"/><Relationship Id="rId38" Type="http://schemas.openxmlformats.org/officeDocument/2006/relationships/hyperlink" Target="https://www.middleeasteye.net/opinion/has-bds-campaign-really-achieved-so-littl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il/he/departments/Units/ministry_of_strategic_affairs_and_public_diplom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4E16F-B3D5-3A42-875E-405FF43E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9608</Words>
  <Characters>56404</Characters>
  <Application>Microsoft Office Word</Application>
  <DocSecurity>0</DocSecurity>
  <Lines>805</Lines>
  <Paragraphs>193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Chamayou, G. (2021) “Postface: Qu’est-ce qu’un seuil ?” in Weizman, E La vérité </vt:lpstr>
      <vt:lpstr>Choudry, A. (ed) (2019) Activists and the surveillance state: learning from repr</vt:lpstr>
    </vt:vector>
  </TitlesOfParts>
  <Company/>
  <LinksUpToDate>false</LinksUpToDate>
  <CharactersWithSpaces>65819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Weizman, Elian</dc:creator>
  <cp:keywords/>
  <dc:description/>
  <cp:lastModifiedBy>Weizman, Elian</cp:lastModifiedBy>
  <cp:revision>2</cp:revision>
  <dcterms:created xsi:type="dcterms:W3CDTF">2023-05-05T10:33:00Z</dcterms:created>
  <dcterms:modified xsi:type="dcterms:W3CDTF">2023-05-05T10:33:00Z</dcterms:modified>
</cp:coreProperties>
</file>