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69E22" w14:textId="2311B55F" w:rsidR="009E5839" w:rsidRPr="00B729B8" w:rsidRDefault="009E5839" w:rsidP="0004163C">
      <w:pPr>
        <w:spacing w:line="360" w:lineRule="auto"/>
        <w:rPr>
          <w:rFonts w:ascii="Times New Roman" w:hAnsi="Times New Roman" w:cs="Times New Roman"/>
          <w:bCs/>
          <w:i/>
          <w:iCs/>
          <w:sz w:val="24"/>
          <w:szCs w:val="24"/>
          <w:lang w:val="en-US"/>
        </w:rPr>
      </w:pPr>
      <w:r w:rsidRPr="00B729B8">
        <w:rPr>
          <w:rFonts w:ascii="Times New Roman" w:hAnsi="Times New Roman" w:cs="Times New Roman"/>
          <w:b/>
          <w:sz w:val="24"/>
          <w:szCs w:val="24"/>
          <w:lang w:val="en-US"/>
        </w:rPr>
        <w:t xml:space="preserve">Short title: </w:t>
      </w:r>
      <w:r w:rsidRPr="00B729B8">
        <w:rPr>
          <w:rFonts w:ascii="Times New Roman" w:hAnsi="Times New Roman" w:cs="Times New Roman"/>
          <w:bCs/>
          <w:i/>
          <w:iCs/>
          <w:sz w:val="24"/>
          <w:szCs w:val="24"/>
          <w:lang w:val="en-US"/>
        </w:rPr>
        <w:t>Combustible and e</w:t>
      </w:r>
      <w:r w:rsidR="00735AEC" w:rsidRPr="00B729B8">
        <w:rPr>
          <w:rFonts w:ascii="Times New Roman" w:hAnsi="Times New Roman" w:cs="Times New Roman"/>
          <w:bCs/>
          <w:i/>
          <w:iCs/>
          <w:sz w:val="24"/>
          <w:szCs w:val="24"/>
          <w:lang w:val="en-US"/>
        </w:rPr>
        <w:t>-</w:t>
      </w:r>
      <w:r w:rsidRPr="00B729B8">
        <w:rPr>
          <w:rFonts w:ascii="Times New Roman" w:hAnsi="Times New Roman" w:cs="Times New Roman"/>
          <w:bCs/>
          <w:i/>
          <w:iCs/>
          <w:sz w:val="24"/>
          <w:szCs w:val="24"/>
          <w:lang w:val="en-US"/>
        </w:rPr>
        <w:t xml:space="preserve">cigarette use over time in </w:t>
      </w:r>
      <w:r w:rsidR="00735AEC" w:rsidRPr="00B729B8">
        <w:rPr>
          <w:rFonts w:ascii="Times New Roman" w:hAnsi="Times New Roman" w:cs="Times New Roman"/>
          <w:bCs/>
          <w:i/>
          <w:iCs/>
          <w:sz w:val="24"/>
          <w:szCs w:val="24"/>
          <w:lang w:val="en-US"/>
        </w:rPr>
        <w:t xml:space="preserve">binge drinking </w:t>
      </w:r>
      <w:r w:rsidRPr="00B729B8">
        <w:rPr>
          <w:rFonts w:ascii="Times New Roman" w:hAnsi="Times New Roman" w:cs="Times New Roman"/>
          <w:bCs/>
          <w:i/>
          <w:iCs/>
          <w:sz w:val="24"/>
          <w:szCs w:val="24"/>
          <w:lang w:val="en-US"/>
        </w:rPr>
        <w:t>young adults</w:t>
      </w:r>
    </w:p>
    <w:p w14:paraId="3C0D6561" w14:textId="77777777" w:rsidR="009E5839" w:rsidRPr="00B729B8" w:rsidRDefault="009E5839" w:rsidP="0004163C">
      <w:pPr>
        <w:spacing w:line="360" w:lineRule="auto"/>
        <w:rPr>
          <w:rFonts w:ascii="Times New Roman" w:hAnsi="Times New Roman" w:cs="Times New Roman"/>
          <w:sz w:val="24"/>
          <w:szCs w:val="24"/>
          <w:lang w:val="en-US"/>
        </w:rPr>
      </w:pPr>
    </w:p>
    <w:p w14:paraId="68F70AB6" w14:textId="3775F87F" w:rsidR="009E5839" w:rsidRPr="00B729B8" w:rsidRDefault="009E5839" w:rsidP="0004163C">
      <w:pPr>
        <w:spacing w:line="360" w:lineRule="auto"/>
        <w:ind w:right="-285"/>
        <w:jc w:val="center"/>
        <w:rPr>
          <w:rFonts w:ascii="Times New Roman" w:hAnsi="Times New Roman" w:cs="Times New Roman"/>
          <w:b/>
          <w:bCs/>
          <w:sz w:val="24"/>
          <w:szCs w:val="24"/>
          <w:lang w:val="en-CA"/>
        </w:rPr>
      </w:pPr>
      <w:r w:rsidRPr="00B729B8">
        <w:rPr>
          <w:rFonts w:ascii="Times New Roman" w:hAnsi="Times New Roman" w:cs="Times New Roman"/>
          <w:b/>
          <w:bCs/>
          <w:sz w:val="24"/>
          <w:szCs w:val="24"/>
          <w:lang w:val="en-CA"/>
        </w:rPr>
        <w:t xml:space="preserve">Is e-cigarette use associated with persistence or </w:t>
      </w:r>
      <w:bookmarkStart w:id="0" w:name="_GoBack"/>
      <w:r w:rsidR="00331FC0" w:rsidRPr="00B729B8">
        <w:rPr>
          <w:rFonts w:ascii="Times New Roman" w:hAnsi="Times New Roman" w:cs="Times New Roman"/>
          <w:b/>
          <w:bCs/>
          <w:sz w:val="24"/>
          <w:szCs w:val="24"/>
          <w:lang w:val="en-CA"/>
        </w:rPr>
        <w:t>discontinuation</w:t>
      </w:r>
      <w:bookmarkEnd w:id="0"/>
      <w:r w:rsidRPr="00B729B8">
        <w:rPr>
          <w:rFonts w:ascii="Times New Roman" w:hAnsi="Times New Roman" w:cs="Times New Roman"/>
          <w:b/>
          <w:bCs/>
          <w:sz w:val="24"/>
          <w:szCs w:val="24"/>
          <w:lang w:val="en-CA"/>
        </w:rPr>
        <w:t xml:space="preserve"> of combustible cigarettes? </w:t>
      </w:r>
    </w:p>
    <w:p w14:paraId="6862C51A" w14:textId="77777777" w:rsidR="009E5839" w:rsidRPr="00B729B8" w:rsidRDefault="009E5839" w:rsidP="0004163C">
      <w:pPr>
        <w:spacing w:line="360" w:lineRule="auto"/>
        <w:jc w:val="center"/>
        <w:rPr>
          <w:rFonts w:ascii="Times New Roman" w:hAnsi="Times New Roman" w:cs="Times New Roman"/>
          <w:b/>
          <w:bCs/>
          <w:sz w:val="24"/>
          <w:szCs w:val="24"/>
          <w:lang w:val="en-US"/>
        </w:rPr>
      </w:pPr>
      <w:r w:rsidRPr="00B729B8">
        <w:rPr>
          <w:rFonts w:ascii="Times New Roman" w:hAnsi="Times New Roman" w:cs="Times New Roman"/>
          <w:b/>
          <w:bCs/>
          <w:sz w:val="24"/>
          <w:szCs w:val="24"/>
          <w:lang w:val="en-US"/>
        </w:rPr>
        <w:t>A 24-month longitudinal investigation in young adult binge drinkers</w:t>
      </w:r>
    </w:p>
    <w:p w14:paraId="3030603F" w14:textId="77777777" w:rsidR="009E5839" w:rsidRPr="00B729B8" w:rsidRDefault="009E5839" w:rsidP="0004163C">
      <w:pPr>
        <w:spacing w:line="360" w:lineRule="auto"/>
        <w:ind w:right="-427"/>
        <w:jc w:val="center"/>
        <w:rPr>
          <w:rFonts w:ascii="Times New Roman" w:hAnsi="Times New Roman" w:cs="Times New Roman"/>
          <w:color w:val="000000" w:themeColor="text1"/>
          <w:sz w:val="24"/>
          <w:szCs w:val="24"/>
          <w:vertAlign w:val="superscript"/>
          <w:lang w:val="en-US"/>
        </w:rPr>
      </w:pPr>
      <w:r w:rsidRPr="00B729B8">
        <w:rPr>
          <w:rFonts w:ascii="Times New Roman" w:hAnsi="Times New Roman" w:cs="Times New Roman"/>
          <w:color w:val="000000" w:themeColor="text1"/>
          <w:sz w:val="24"/>
          <w:szCs w:val="24"/>
          <w:lang w:val="en-US"/>
        </w:rPr>
        <w:t>Victor Martinez-Loredo</w:t>
      </w:r>
      <w:r w:rsidRPr="00B729B8">
        <w:rPr>
          <w:rFonts w:ascii="Times New Roman" w:hAnsi="Times New Roman" w:cs="Times New Roman"/>
          <w:color w:val="000000" w:themeColor="text1"/>
          <w:sz w:val="24"/>
          <w:szCs w:val="24"/>
          <w:vertAlign w:val="superscript"/>
          <w:lang w:val="en-US"/>
        </w:rPr>
        <w:t>1</w:t>
      </w:r>
      <w:r w:rsidRPr="00B729B8">
        <w:rPr>
          <w:rFonts w:ascii="Times New Roman" w:hAnsi="Times New Roman" w:cs="Times New Roman"/>
          <w:color w:val="000000" w:themeColor="text1"/>
          <w:sz w:val="24"/>
          <w:szCs w:val="24"/>
          <w:lang w:val="en-US"/>
        </w:rPr>
        <w:t>, PhD; Alba González-Roz</w:t>
      </w:r>
      <w:r w:rsidRPr="00B729B8">
        <w:rPr>
          <w:rFonts w:ascii="Times New Roman" w:hAnsi="Times New Roman" w:cs="Times New Roman"/>
          <w:color w:val="000000" w:themeColor="text1"/>
          <w:sz w:val="24"/>
          <w:szCs w:val="24"/>
          <w:vertAlign w:val="superscript"/>
          <w:lang w:val="en-US"/>
        </w:rPr>
        <w:t>2</w:t>
      </w:r>
      <w:r w:rsidRPr="00B729B8">
        <w:rPr>
          <w:rFonts w:ascii="Times New Roman" w:hAnsi="Times New Roman" w:cs="Times New Roman"/>
          <w:color w:val="000000" w:themeColor="text1"/>
          <w:sz w:val="24"/>
          <w:szCs w:val="24"/>
          <w:lang w:val="en-US"/>
        </w:rPr>
        <w:t>, PhD; Lynne Dawkins</w:t>
      </w:r>
      <w:r w:rsidRPr="00B729B8">
        <w:rPr>
          <w:rFonts w:ascii="Times New Roman" w:hAnsi="Times New Roman" w:cs="Times New Roman"/>
          <w:color w:val="000000" w:themeColor="text1"/>
          <w:sz w:val="24"/>
          <w:szCs w:val="24"/>
          <w:vertAlign w:val="superscript"/>
          <w:lang w:val="en-US"/>
        </w:rPr>
        <w:t>3</w:t>
      </w:r>
      <w:r w:rsidRPr="00B729B8">
        <w:rPr>
          <w:rFonts w:ascii="Times New Roman" w:hAnsi="Times New Roman" w:cs="Times New Roman"/>
          <w:color w:val="000000" w:themeColor="text1"/>
          <w:sz w:val="24"/>
          <w:szCs w:val="24"/>
          <w:lang w:val="en-US"/>
        </w:rPr>
        <w:t>, PhD; Desmond Singh</w:t>
      </w:r>
      <w:r w:rsidRPr="00B729B8">
        <w:rPr>
          <w:rFonts w:ascii="Times New Roman" w:hAnsi="Times New Roman" w:cs="Times New Roman"/>
          <w:color w:val="000000" w:themeColor="text1"/>
          <w:sz w:val="24"/>
          <w:szCs w:val="24"/>
          <w:vertAlign w:val="superscript"/>
          <w:lang w:val="en-US"/>
        </w:rPr>
        <w:t>4</w:t>
      </w:r>
      <w:r w:rsidRPr="00B729B8">
        <w:rPr>
          <w:rFonts w:ascii="Times New Roman" w:hAnsi="Times New Roman" w:cs="Times New Roman"/>
          <w:color w:val="000000" w:themeColor="text1"/>
          <w:sz w:val="24"/>
          <w:szCs w:val="24"/>
          <w:lang w:val="en-US"/>
        </w:rPr>
        <w:t>, BSc; James G. Murphy</w:t>
      </w:r>
      <w:r w:rsidRPr="00B729B8">
        <w:rPr>
          <w:rFonts w:ascii="Times New Roman" w:hAnsi="Times New Roman" w:cs="Times New Roman"/>
          <w:color w:val="000000" w:themeColor="text1"/>
          <w:sz w:val="24"/>
          <w:szCs w:val="24"/>
          <w:vertAlign w:val="superscript"/>
          <w:lang w:val="en-US"/>
        </w:rPr>
        <w:t>5</w:t>
      </w:r>
      <w:r w:rsidRPr="00B729B8">
        <w:rPr>
          <w:rFonts w:ascii="Times New Roman" w:hAnsi="Times New Roman" w:cs="Times New Roman"/>
          <w:color w:val="000000" w:themeColor="text1"/>
          <w:sz w:val="24"/>
          <w:szCs w:val="24"/>
          <w:lang w:val="en-US"/>
        </w:rPr>
        <w:t>, PhD; &amp; James MacKillop</w:t>
      </w:r>
      <w:r w:rsidRPr="00B729B8">
        <w:rPr>
          <w:rFonts w:ascii="Times New Roman" w:hAnsi="Times New Roman" w:cs="Times New Roman"/>
          <w:color w:val="000000" w:themeColor="text1"/>
          <w:sz w:val="24"/>
          <w:szCs w:val="24"/>
          <w:vertAlign w:val="superscript"/>
          <w:lang w:val="en-US"/>
        </w:rPr>
        <w:t>4</w:t>
      </w:r>
      <w:r w:rsidRPr="00B729B8">
        <w:rPr>
          <w:rFonts w:ascii="Times New Roman" w:hAnsi="Times New Roman" w:cs="Times New Roman"/>
          <w:color w:val="000000" w:themeColor="text1"/>
          <w:sz w:val="24"/>
          <w:szCs w:val="24"/>
          <w:lang w:val="en-US"/>
        </w:rPr>
        <w:t>, PhD</w:t>
      </w:r>
    </w:p>
    <w:p w14:paraId="4AE916A5" w14:textId="77777777" w:rsidR="009E5839" w:rsidRPr="00B729B8" w:rsidRDefault="009E5839" w:rsidP="0004163C">
      <w:pPr>
        <w:spacing w:line="360" w:lineRule="auto"/>
        <w:jc w:val="center"/>
        <w:rPr>
          <w:rFonts w:ascii="Times New Roman" w:hAnsi="Times New Roman" w:cs="Times New Roman"/>
          <w:color w:val="000000" w:themeColor="text1"/>
          <w:sz w:val="24"/>
          <w:szCs w:val="24"/>
          <w:vertAlign w:val="superscript"/>
          <w:lang w:val="en-US"/>
        </w:rPr>
      </w:pPr>
    </w:p>
    <w:p w14:paraId="6B1695E6" w14:textId="77777777" w:rsidR="009E5839" w:rsidRPr="00B729B8" w:rsidRDefault="009E5839" w:rsidP="0004163C">
      <w:pPr>
        <w:spacing w:after="0" w:line="360" w:lineRule="auto"/>
        <w:ind w:right="-427"/>
        <w:jc w:val="center"/>
        <w:rPr>
          <w:rFonts w:ascii="Times New Roman" w:hAnsi="Times New Roman" w:cs="Times New Roman"/>
          <w:color w:val="000000" w:themeColor="text1"/>
          <w:sz w:val="24"/>
          <w:szCs w:val="24"/>
          <w:lang w:val="en-US"/>
        </w:rPr>
      </w:pPr>
      <w:r w:rsidRPr="00B729B8">
        <w:rPr>
          <w:rFonts w:ascii="Times New Roman" w:hAnsi="Times New Roman" w:cs="Times New Roman"/>
          <w:color w:val="000000" w:themeColor="text1"/>
          <w:sz w:val="24"/>
          <w:szCs w:val="24"/>
          <w:vertAlign w:val="superscript"/>
          <w:lang w:val="en-US"/>
        </w:rPr>
        <w:t>1</w:t>
      </w:r>
      <w:r w:rsidRPr="00B729B8">
        <w:rPr>
          <w:rFonts w:ascii="Times New Roman" w:hAnsi="Times New Roman" w:cs="Times New Roman"/>
          <w:color w:val="000000" w:themeColor="text1"/>
          <w:sz w:val="24"/>
          <w:szCs w:val="24"/>
          <w:lang w:val="en-US"/>
        </w:rPr>
        <w:t xml:space="preserve"> Department of Psychology and Sociology, University of Zaragoza, Teruel, Aragón, Spain</w:t>
      </w:r>
    </w:p>
    <w:p w14:paraId="5C819037" w14:textId="77777777" w:rsidR="009E5839" w:rsidRPr="00B729B8" w:rsidRDefault="009E5839" w:rsidP="0004163C">
      <w:pPr>
        <w:spacing w:after="0" w:line="360" w:lineRule="auto"/>
        <w:jc w:val="center"/>
        <w:rPr>
          <w:rFonts w:ascii="Times New Roman" w:hAnsi="Times New Roman" w:cs="Times New Roman"/>
          <w:color w:val="000000" w:themeColor="text1"/>
          <w:sz w:val="28"/>
          <w:szCs w:val="24"/>
          <w:vertAlign w:val="superscript"/>
          <w:lang w:val="en-US"/>
        </w:rPr>
      </w:pPr>
      <w:r w:rsidRPr="00B729B8">
        <w:rPr>
          <w:rFonts w:ascii="Times New Roman" w:hAnsi="Times New Roman" w:cs="Times New Roman"/>
          <w:color w:val="000000" w:themeColor="text1"/>
          <w:sz w:val="24"/>
          <w:szCs w:val="24"/>
          <w:vertAlign w:val="superscript"/>
          <w:lang w:val="en-US"/>
        </w:rPr>
        <w:t>2</w:t>
      </w:r>
      <w:r w:rsidRPr="00B729B8">
        <w:rPr>
          <w:bCs/>
          <w:color w:val="000000" w:themeColor="text1"/>
          <w:szCs w:val="24"/>
          <w:lang w:val="en-US"/>
        </w:rPr>
        <w:t xml:space="preserve"> </w:t>
      </w:r>
      <w:r w:rsidRPr="00B729B8">
        <w:rPr>
          <w:rFonts w:ascii="Times New Roman" w:hAnsi="Times New Roman" w:cs="Times New Roman"/>
          <w:bCs/>
          <w:color w:val="000000" w:themeColor="text1"/>
          <w:sz w:val="24"/>
          <w:szCs w:val="24"/>
          <w:lang w:val="en-US"/>
        </w:rPr>
        <w:t>Department of Psychology/University Institute of Health Sciences Research, IUNICS, University of the Balearic Islands, Spain</w:t>
      </w:r>
    </w:p>
    <w:p w14:paraId="71866AF7" w14:textId="77777777" w:rsidR="009E5839" w:rsidRPr="00B729B8" w:rsidRDefault="009E5839" w:rsidP="0004163C">
      <w:pPr>
        <w:spacing w:after="0" w:line="360" w:lineRule="auto"/>
        <w:jc w:val="center"/>
        <w:rPr>
          <w:rFonts w:ascii="Times New Roman" w:hAnsi="Times New Roman" w:cs="Times New Roman"/>
          <w:color w:val="000000" w:themeColor="text1"/>
          <w:sz w:val="24"/>
          <w:szCs w:val="24"/>
          <w:lang w:val="en-US"/>
        </w:rPr>
      </w:pPr>
      <w:r w:rsidRPr="00B729B8">
        <w:rPr>
          <w:rFonts w:ascii="Times New Roman" w:hAnsi="Times New Roman" w:cs="Times New Roman"/>
          <w:color w:val="000000" w:themeColor="text1"/>
          <w:sz w:val="24"/>
          <w:szCs w:val="24"/>
          <w:vertAlign w:val="superscript"/>
          <w:lang w:val="en-US"/>
        </w:rPr>
        <w:t xml:space="preserve">3 </w:t>
      </w:r>
      <w:r w:rsidRPr="00B729B8">
        <w:rPr>
          <w:rFonts w:ascii="Times New Roman" w:hAnsi="Times New Roman" w:cs="Times New Roman"/>
          <w:bCs/>
          <w:color w:val="000000" w:themeColor="text1"/>
          <w:sz w:val="24"/>
          <w:szCs w:val="24"/>
          <w:lang w:val="en-US"/>
        </w:rPr>
        <w:t xml:space="preserve">Department </w:t>
      </w:r>
      <w:r w:rsidRPr="00B729B8">
        <w:rPr>
          <w:rFonts w:ascii="Times New Roman" w:hAnsi="Times New Roman" w:cs="Times New Roman"/>
          <w:color w:val="000000" w:themeColor="text1"/>
          <w:sz w:val="24"/>
          <w:szCs w:val="24"/>
          <w:lang w:val="en-US"/>
        </w:rPr>
        <w:t>of Psychology, London South Bank University, London, United Kingdom</w:t>
      </w:r>
    </w:p>
    <w:p w14:paraId="4CC26F87" w14:textId="77777777" w:rsidR="009E5839" w:rsidRPr="00B729B8" w:rsidRDefault="009E5839" w:rsidP="0004163C">
      <w:pPr>
        <w:spacing w:after="0" w:line="360" w:lineRule="auto"/>
        <w:jc w:val="center"/>
        <w:rPr>
          <w:rFonts w:ascii="Times New Roman" w:hAnsi="Times New Roman" w:cs="Times New Roman"/>
          <w:color w:val="000000" w:themeColor="text1"/>
          <w:sz w:val="24"/>
          <w:szCs w:val="24"/>
          <w:lang w:val="en-US"/>
        </w:rPr>
      </w:pPr>
      <w:r w:rsidRPr="00B729B8">
        <w:rPr>
          <w:rFonts w:ascii="Times New Roman" w:hAnsi="Times New Roman" w:cs="Times New Roman"/>
          <w:color w:val="000000" w:themeColor="text1"/>
          <w:sz w:val="24"/>
          <w:szCs w:val="24"/>
          <w:vertAlign w:val="superscript"/>
          <w:lang w:val="en-US"/>
        </w:rPr>
        <w:t>4</w:t>
      </w:r>
      <w:r w:rsidRPr="00B729B8">
        <w:rPr>
          <w:rFonts w:ascii="Times New Roman" w:hAnsi="Times New Roman" w:cs="Times New Roman"/>
          <w:color w:val="000000" w:themeColor="text1"/>
          <w:sz w:val="24"/>
          <w:szCs w:val="24"/>
          <w:lang w:val="en-US"/>
        </w:rPr>
        <w:t xml:space="preserve"> Peter Boris Centre for Addictions Research, St. Joseph's Healthcare Hamilton/McMaster University, Hamilton, Ontario, Canada</w:t>
      </w:r>
    </w:p>
    <w:p w14:paraId="5A3D7A2A" w14:textId="77777777" w:rsidR="009E5839" w:rsidRPr="00B729B8" w:rsidRDefault="009E5839" w:rsidP="0004163C">
      <w:pPr>
        <w:spacing w:after="0" w:line="360" w:lineRule="auto"/>
        <w:jc w:val="center"/>
        <w:rPr>
          <w:rFonts w:ascii="Times New Roman" w:hAnsi="Times New Roman" w:cs="Times New Roman"/>
          <w:color w:val="000000" w:themeColor="text1"/>
          <w:sz w:val="24"/>
          <w:szCs w:val="24"/>
          <w:lang w:val="en-US"/>
        </w:rPr>
      </w:pPr>
      <w:r w:rsidRPr="00B729B8">
        <w:rPr>
          <w:rFonts w:ascii="Times New Roman" w:hAnsi="Times New Roman" w:cs="Times New Roman"/>
          <w:color w:val="000000" w:themeColor="text1"/>
          <w:sz w:val="24"/>
          <w:szCs w:val="24"/>
          <w:vertAlign w:val="superscript"/>
          <w:lang w:val="en-US"/>
        </w:rPr>
        <w:t>5</w:t>
      </w:r>
      <w:r w:rsidRPr="00B729B8">
        <w:rPr>
          <w:rFonts w:ascii="Times New Roman" w:hAnsi="Times New Roman" w:cs="Times New Roman"/>
          <w:color w:val="000000" w:themeColor="text1"/>
          <w:sz w:val="24"/>
          <w:szCs w:val="24"/>
          <w:lang w:val="en-US"/>
        </w:rPr>
        <w:t xml:space="preserve"> </w:t>
      </w:r>
      <w:r w:rsidRPr="00B729B8">
        <w:rPr>
          <w:rFonts w:ascii="Times New Roman" w:hAnsi="Times New Roman" w:cs="Times New Roman"/>
          <w:bCs/>
          <w:color w:val="000000" w:themeColor="text1"/>
          <w:sz w:val="24"/>
          <w:szCs w:val="24"/>
          <w:lang w:val="en-US"/>
        </w:rPr>
        <w:t xml:space="preserve">Department </w:t>
      </w:r>
      <w:r w:rsidRPr="00B729B8">
        <w:rPr>
          <w:rFonts w:ascii="Times New Roman" w:hAnsi="Times New Roman" w:cs="Times New Roman"/>
          <w:color w:val="000000" w:themeColor="text1"/>
          <w:sz w:val="24"/>
          <w:szCs w:val="24"/>
          <w:lang w:val="en-US"/>
        </w:rPr>
        <w:t>of Psychology, University of Memphis, Tennessee, United States</w:t>
      </w:r>
    </w:p>
    <w:p w14:paraId="03847B39" w14:textId="77777777" w:rsidR="009E5839" w:rsidRPr="00B729B8" w:rsidRDefault="009E5839" w:rsidP="0004163C">
      <w:pPr>
        <w:spacing w:line="360" w:lineRule="auto"/>
        <w:rPr>
          <w:rFonts w:ascii="Times New Roman" w:hAnsi="Times New Roman" w:cs="Times New Roman"/>
          <w:bCs/>
          <w:sz w:val="24"/>
          <w:szCs w:val="24"/>
          <w:lang w:val="en-US"/>
        </w:rPr>
      </w:pPr>
    </w:p>
    <w:p w14:paraId="0C77E4A5" w14:textId="17F1569D" w:rsidR="009E5839" w:rsidRPr="00B729B8" w:rsidRDefault="009E5839" w:rsidP="0004163C">
      <w:pPr>
        <w:spacing w:line="360" w:lineRule="auto"/>
        <w:rPr>
          <w:rFonts w:ascii="Times New Roman" w:hAnsi="Times New Roman" w:cs="Times New Roman"/>
          <w:sz w:val="24"/>
          <w:szCs w:val="24"/>
        </w:rPr>
      </w:pPr>
      <w:r w:rsidRPr="00B729B8">
        <w:rPr>
          <w:rFonts w:ascii="Times New Roman" w:hAnsi="Times New Roman" w:cs="Times New Roman"/>
          <w:b/>
          <w:sz w:val="24"/>
          <w:szCs w:val="24"/>
        </w:rPr>
        <w:t xml:space="preserve">Word count: </w:t>
      </w:r>
      <w:r w:rsidR="00590B26" w:rsidRPr="00B729B8">
        <w:rPr>
          <w:rFonts w:ascii="Times New Roman" w:hAnsi="Times New Roman" w:cs="Times New Roman"/>
          <w:sz w:val="24"/>
          <w:szCs w:val="24"/>
        </w:rPr>
        <w:t>3,</w:t>
      </w:r>
      <w:r w:rsidR="003214DC" w:rsidRPr="00B729B8">
        <w:rPr>
          <w:rFonts w:ascii="Times New Roman" w:hAnsi="Times New Roman" w:cs="Times New Roman"/>
          <w:sz w:val="24"/>
          <w:szCs w:val="24"/>
        </w:rPr>
        <w:t>9</w:t>
      </w:r>
      <w:r w:rsidR="00372C1C" w:rsidRPr="00B729B8">
        <w:rPr>
          <w:rFonts w:ascii="Times New Roman" w:hAnsi="Times New Roman" w:cs="Times New Roman"/>
          <w:sz w:val="24"/>
          <w:szCs w:val="24"/>
        </w:rPr>
        <w:t>6</w:t>
      </w:r>
      <w:r w:rsidR="00C25FD3" w:rsidRPr="00B729B8">
        <w:rPr>
          <w:rFonts w:ascii="Times New Roman" w:hAnsi="Times New Roman" w:cs="Times New Roman"/>
          <w:sz w:val="24"/>
          <w:szCs w:val="24"/>
        </w:rPr>
        <w:t>8</w:t>
      </w:r>
      <w:r w:rsidR="005C5400" w:rsidRPr="00B729B8">
        <w:rPr>
          <w:rFonts w:ascii="Times New Roman" w:hAnsi="Times New Roman" w:cs="Times New Roman"/>
          <w:sz w:val="24"/>
          <w:szCs w:val="24"/>
        </w:rPr>
        <w:tab/>
      </w:r>
    </w:p>
    <w:p w14:paraId="6E8B447D" w14:textId="77777777" w:rsidR="009E5839" w:rsidRPr="00B729B8" w:rsidRDefault="009E5839" w:rsidP="0004163C">
      <w:pPr>
        <w:spacing w:line="360" w:lineRule="auto"/>
        <w:rPr>
          <w:rFonts w:ascii="Times New Roman" w:hAnsi="Times New Roman" w:cs="Times New Roman"/>
          <w:color w:val="000000" w:themeColor="text1"/>
          <w:sz w:val="24"/>
          <w:szCs w:val="24"/>
        </w:rPr>
      </w:pPr>
      <w:r w:rsidRPr="00B729B8">
        <w:rPr>
          <w:rFonts w:ascii="Times New Roman" w:hAnsi="Times New Roman" w:cs="Times New Roman"/>
          <w:color w:val="000000" w:themeColor="text1"/>
          <w:sz w:val="24"/>
          <w:szCs w:val="24"/>
        </w:rPr>
        <w:t>Martínez-Loredo Víctor (Orcid ID: 0000-0002-0403-5273)</w:t>
      </w:r>
    </w:p>
    <w:p w14:paraId="6FCF523D" w14:textId="77777777" w:rsidR="009E5839" w:rsidRPr="00B729B8" w:rsidRDefault="009E5839" w:rsidP="0004163C">
      <w:pPr>
        <w:spacing w:line="360" w:lineRule="auto"/>
        <w:rPr>
          <w:rFonts w:ascii="Times New Roman" w:hAnsi="Times New Roman" w:cs="Times New Roman"/>
          <w:color w:val="000000" w:themeColor="text1"/>
          <w:sz w:val="24"/>
          <w:szCs w:val="24"/>
        </w:rPr>
      </w:pPr>
      <w:r w:rsidRPr="00B729B8">
        <w:rPr>
          <w:rFonts w:ascii="Times New Roman" w:hAnsi="Times New Roman" w:cs="Times New Roman"/>
          <w:color w:val="000000" w:themeColor="text1"/>
          <w:sz w:val="24"/>
          <w:szCs w:val="24"/>
        </w:rPr>
        <w:t>González-Roz Alba (Orcid ID: 0000-0003-4256-4835)</w:t>
      </w:r>
    </w:p>
    <w:p w14:paraId="7F92DE79" w14:textId="77777777" w:rsidR="009E5839" w:rsidRPr="00B729B8" w:rsidRDefault="009E5839" w:rsidP="0004163C">
      <w:pPr>
        <w:spacing w:line="360" w:lineRule="auto"/>
        <w:rPr>
          <w:rFonts w:ascii="Times New Roman" w:hAnsi="Times New Roman" w:cs="Times New Roman"/>
          <w:color w:val="000000" w:themeColor="text1"/>
          <w:sz w:val="24"/>
          <w:szCs w:val="24"/>
          <w:lang w:val="en-US"/>
        </w:rPr>
      </w:pPr>
      <w:r w:rsidRPr="00B729B8">
        <w:rPr>
          <w:rFonts w:ascii="Times New Roman" w:hAnsi="Times New Roman" w:cs="Times New Roman"/>
          <w:color w:val="000000" w:themeColor="text1"/>
          <w:sz w:val="24"/>
          <w:szCs w:val="24"/>
          <w:lang w:val="en-US"/>
        </w:rPr>
        <w:t>Dawkins Lynne (Orcid ID: 0000-0003-1236-009X)</w:t>
      </w:r>
    </w:p>
    <w:p w14:paraId="406DD2F3" w14:textId="77777777" w:rsidR="009E5839" w:rsidRPr="00B729B8" w:rsidRDefault="009E5839" w:rsidP="0004163C">
      <w:pPr>
        <w:spacing w:line="360" w:lineRule="auto"/>
        <w:rPr>
          <w:rFonts w:ascii="Times New Roman" w:hAnsi="Times New Roman" w:cs="Times New Roman"/>
          <w:color w:val="000000" w:themeColor="text1"/>
          <w:sz w:val="24"/>
          <w:szCs w:val="24"/>
          <w:lang w:val="en-US"/>
        </w:rPr>
      </w:pPr>
      <w:r w:rsidRPr="00B729B8">
        <w:rPr>
          <w:rFonts w:ascii="Times New Roman" w:hAnsi="Times New Roman" w:cs="Times New Roman"/>
          <w:color w:val="000000" w:themeColor="text1"/>
          <w:sz w:val="24"/>
          <w:szCs w:val="24"/>
          <w:lang w:val="en-US"/>
        </w:rPr>
        <w:t>Murphy</w:t>
      </w:r>
      <w:r w:rsidRPr="00B729B8">
        <w:rPr>
          <w:rFonts w:ascii="Times New Roman" w:hAnsi="Times New Roman" w:cs="Times New Roman"/>
          <w:color w:val="000000" w:themeColor="text1"/>
          <w:sz w:val="24"/>
          <w:szCs w:val="24"/>
          <w:vertAlign w:val="superscript"/>
          <w:lang w:val="en-US"/>
        </w:rPr>
        <w:t xml:space="preserve"> </w:t>
      </w:r>
      <w:r w:rsidRPr="00B729B8">
        <w:rPr>
          <w:rFonts w:ascii="Times New Roman" w:hAnsi="Times New Roman" w:cs="Times New Roman"/>
          <w:color w:val="000000" w:themeColor="text1"/>
          <w:sz w:val="24"/>
          <w:szCs w:val="24"/>
          <w:lang w:val="en-US"/>
        </w:rPr>
        <w:t>James G. (Orcid ID: 0000-0003-0195-3949)</w:t>
      </w:r>
    </w:p>
    <w:p w14:paraId="50428C05" w14:textId="77777777" w:rsidR="009E5839" w:rsidRPr="00B729B8" w:rsidRDefault="009E5839" w:rsidP="0004163C">
      <w:pPr>
        <w:spacing w:line="360" w:lineRule="auto"/>
        <w:rPr>
          <w:rFonts w:ascii="Times New Roman" w:hAnsi="Times New Roman" w:cs="Times New Roman"/>
          <w:color w:val="000000" w:themeColor="text1"/>
          <w:sz w:val="24"/>
          <w:szCs w:val="24"/>
          <w:lang w:val="en-US"/>
        </w:rPr>
      </w:pPr>
      <w:r w:rsidRPr="00B729B8">
        <w:rPr>
          <w:rFonts w:ascii="Times New Roman" w:hAnsi="Times New Roman" w:cs="Times New Roman"/>
          <w:color w:val="000000" w:themeColor="text1"/>
          <w:sz w:val="24"/>
          <w:szCs w:val="24"/>
          <w:lang w:val="en-US"/>
        </w:rPr>
        <w:t>MacKillop James (Orcid ID: 0000-0002-8695-1071)</w:t>
      </w:r>
    </w:p>
    <w:p w14:paraId="24026A32" w14:textId="77777777" w:rsidR="009E5839" w:rsidRPr="00B729B8" w:rsidRDefault="009E5839" w:rsidP="0004163C">
      <w:pPr>
        <w:spacing w:after="0" w:line="240" w:lineRule="auto"/>
        <w:rPr>
          <w:rFonts w:ascii="Times New Roman" w:hAnsi="Times New Roman"/>
          <w:b/>
          <w:sz w:val="24"/>
          <w:szCs w:val="24"/>
          <w:lang w:val="en-CA"/>
        </w:rPr>
      </w:pPr>
      <w:r w:rsidRPr="00B729B8">
        <w:rPr>
          <w:rFonts w:ascii="Times New Roman" w:hAnsi="Times New Roman"/>
          <w:b/>
          <w:sz w:val="24"/>
          <w:szCs w:val="24"/>
          <w:lang w:val="en-CA"/>
        </w:rPr>
        <w:t>Corresponding author:</w:t>
      </w:r>
    </w:p>
    <w:p w14:paraId="0BB0B37E" w14:textId="77777777" w:rsidR="009E5839" w:rsidRPr="00B729B8" w:rsidRDefault="009E5839" w:rsidP="0004163C">
      <w:pPr>
        <w:spacing w:after="0" w:line="240" w:lineRule="auto"/>
        <w:jc w:val="both"/>
        <w:rPr>
          <w:rFonts w:ascii="Times New Roman" w:hAnsi="Times New Roman"/>
          <w:color w:val="000000" w:themeColor="text1"/>
          <w:sz w:val="24"/>
          <w:szCs w:val="24"/>
          <w:lang w:val="en-CA"/>
        </w:rPr>
      </w:pPr>
      <w:r w:rsidRPr="00B729B8">
        <w:rPr>
          <w:rFonts w:ascii="Times New Roman" w:hAnsi="Times New Roman"/>
          <w:color w:val="000000" w:themeColor="text1"/>
          <w:sz w:val="24"/>
          <w:szCs w:val="24"/>
          <w:lang w:val="en-CA"/>
        </w:rPr>
        <w:t>Víctor Martínez Loredo, PhD</w:t>
      </w:r>
    </w:p>
    <w:p w14:paraId="14E2AC83" w14:textId="77777777" w:rsidR="009E5839" w:rsidRPr="00B729B8" w:rsidRDefault="009E5839" w:rsidP="0004163C">
      <w:pPr>
        <w:spacing w:after="0" w:line="240" w:lineRule="auto"/>
        <w:jc w:val="both"/>
        <w:rPr>
          <w:rFonts w:ascii="Times New Roman" w:hAnsi="Times New Roman"/>
          <w:color w:val="000000" w:themeColor="text1"/>
          <w:sz w:val="24"/>
          <w:szCs w:val="24"/>
          <w:lang w:val="en-US"/>
        </w:rPr>
      </w:pPr>
      <w:r w:rsidRPr="00B729B8">
        <w:rPr>
          <w:rFonts w:ascii="Times New Roman" w:hAnsi="Times New Roman"/>
          <w:color w:val="000000" w:themeColor="text1"/>
          <w:sz w:val="24"/>
          <w:szCs w:val="24"/>
          <w:lang w:val="en-US"/>
        </w:rPr>
        <w:t>Department of Psychology and Sociology, University of Zaragoza</w:t>
      </w:r>
    </w:p>
    <w:p w14:paraId="5700D8DB" w14:textId="77777777" w:rsidR="009E5839" w:rsidRPr="00B729B8" w:rsidRDefault="009E5839" w:rsidP="0004163C">
      <w:pPr>
        <w:spacing w:after="0" w:line="240" w:lineRule="auto"/>
        <w:jc w:val="both"/>
        <w:rPr>
          <w:rFonts w:ascii="Times New Roman" w:hAnsi="Times New Roman"/>
          <w:color w:val="000000" w:themeColor="text1"/>
          <w:sz w:val="24"/>
          <w:szCs w:val="24"/>
        </w:rPr>
      </w:pPr>
      <w:r w:rsidRPr="00B729B8">
        <w:rPr>
          <w:rFonts w:ascii="Times New Roman" w:hAnsi="Times New Roman"/>
          <w:color w:val="000000" w:themeColor="text1"/>
          <w:sz w:val="24"/>
          <w:szCs w:val="24"/>
        </w:rPr>
        <w:t>C/ Ciudad escolar s/n, 44003 Teruel, Aragón, Spain</w:t>
      </w:r>
    </w:p>
    <w:p w14:paraId="568C3D66" w14:textId="77777777" w:rsidR="009E5839" w:rsidRPr="00B729B8" w:rsidRDefault="009E5839" w:rsidP="0004163C">
      <w:pPr>
        <w:spacing w:after="0" w:line="240" w:lineRule="auto"/>
        <w:jc w:val="both"/>
        <w:rPr>
          <w:rFonts w:ascii="Times New Roman" w:hAnsi="Times New Roman"/>
          <w:color w:val="000000" w:themeColor="text1"/>
          <w:sz w:val="24"/>
          <w:szCs w:val="24"/>
          <w:lang w:val="fr-FR"/>
        </w:rPr>
      </w:pPr>
      <w:r w:rsidRPr="00B729B8">
        <w:rPr>
          <w:rFonts w:ascii="Times New Roman" w:hAnsi="Times New Roman"/>
          <w:color w:val="000000" w:themeColor="text1"/>
          <w:sz w:val="24"/>
          <w:szCs w:val="24"/>
          <w:lang w:val="fr-FR"/>
        </w:rPr>
        <w:t>Phone: (+34) 978-61-81-54</w:t>
      </w:r>
    </w:p>
    <w:p w14:paraId="5D1C44D9" w14:textId="77777777" w:rsidR="009E5839" w:rsidRPr="00B729B8" w:rsidRDefault="009E5839" w:rsidP="0004163C">
      <w:pPr>
        <w:spacing w:after="0" w:line="240" w:lineRule="auto"/>
        <w:jc w:val="both"/>
        <w:rPr>
          <w:rFonts w:ascii="Times New Roman" w:hAnsi="Times New Roman"/>
          <w:color w:val="000000" w:themeColor="text1"/>
          <w:sz w:val="24"/>
          <w:szCs w:val="24"/>
          <w:u w:val="single"/>
          <w:lang w:val="fr-FR"/>
        </w:rPr>
      </w:pPr>
      <w:r w:rsidRPr="00B729B8">
        <w:rPr>
          <w:rFonts w:ascii="Times New Roman" w:hAnsi="Times New Roman"/>
          <w:color w:val="000000" w:themeColor="text1"/>
          <w:sz w:val="24"/>
          <w:szCs w:val="24"/>
          <w:lang w:val="fr-FR"/>
        </w:rPr>
        <w:t>e-mail: Loredo@unizar.es</w:t>
      </w:r>
    </w:p>
    <w:p w14:paraId="208A2E06" w14:textId="77777777" w:rsidR="009E5839" w:rsidRPr="00B729B8" w:rsidRDefault="009E5839" w:rsidP="0004163C">
      <w:pPr>
        <w:rPr>
          <w:rFonts w:ascii="Times New Roman" w:hAnsi="Times New Roman" w:cs="Times New Roman"/>
          <w:b/>
          <w:bCs/>
          <w:sz w:val="24"/>
          <w:szCs w:val="24"/>
          <w:lang w:val="fr-FR"/>
        </w:rPr>
      </w:pPr>
      <w:r w:rsidRPr="00B729B8">
        <w:rPr>
          <w:rFonts w:ascii="Times New Roman" w:hAnsi="Times New Roman" w:cs="Times New Roman"/>
          <w:b/>
          <w:bCs/>
          <w:sz w:val="24"/>
          <w:szCs w:val="24"/>
          <w:lang w:val="fr-FR"/>
        </w:rPr>
        <w:br w:type="page"/>
      </w:r>
    </w:p>
    <w:p w14:paraId="701452F3" w14:textId="77777777" w:rsidR="009E5839" w:rsidRPr="00B729B8" w:rsidRDefault="009E5839" w:rsidP="0004163C">
      <w:pPr>
        <w:spacing w:line="480" w:lineRule="auto"/>
        <w:jc w:val="center"/>
        <w:rPr>
          <w:rFonts w:ascii="Times New Roman" w:hAnsi="Times New Roman" w:cs="Times New Roman"/>
          <w:b/>
          <w:bCs/>
          <w:sz w:val="24"/>
          <w:szCs w:val="24"/>
          <w:lang w:val="en-US"/>
        </w:rPr>
      </w:pPr>
      <w:r w:rsidRPr="00B729B8">
        <w:rPr>
          <w:rFonts w:ascii="Times New Roman" w:hAnsi="Times New Roman" w:cs="Times New Roman"/>
          <w:b/>
          <w:bCs/>
          <w:sz w:val="24"/>
          <w:szCs w:val="24"/>
          <w:lang w:val="en-US"/>
        </w:rPr>
        <w:lastRenderedPageBreak/>
        <w:t>ABSTRACT</w:t>
      </w:r>
    </w:p>
    <w:p w14:paraId="56BF2C03" w14:textId="293A6D27" w:rsidR="009E5839" w:rsidRPr="00B729B8" w:rsidRDefault="009E5839" w:rsidP="0004163C">
      <w:pPr>
        <w:spacing w:line="276" w:lineRule="auto"/>
        <w:jc w:val="both"/>
        <w:rPr>
          <w:rFonts w:ascii="Times New Roman" w:hAnsi="Times New Roman" w:cs="Times New Roman"/>
          <w:bCs/>
          <w:sz w:val="24"/>
          <w:szCs w:val="24"/>
          <w:lang w:val="en-US"/>
        </w:rPr>
      </w:pPr>
      <w:r w:rsidRPr="00B729B8">
        <w:rPr>
          <w:rFonts w:ascii="Times New Roman" w:hAnsi="Times New Roman" w:cs="Times New Roman"/>
          <w:b/>
          <w:bCs/>
          <w:sz w:val="24"/>
          <w:szCs w:val="24"/>
          <w:lang w:val="en-US"/>
        </w:rPr>
        <w:t xml:space="preserve">Introduction: </w:t>
      </w:r>
      <w:r w:rsidRPr="00B729B8">
        <w:rPr>
          <w:rFonts w:ascii="Times New Roman" w:hAnsi="Times New Roman" w:cs="Times New Roman"/>
          <w:bCs/>
          <w:sz w:val="24"/>
          <w:szCs w:val="24"/>
          <w:lang w:val="en-US"/>
        </w:rPr>
        <w:t xml:space="preserve">It remains unclear whether electronic cigarette (e-cigarette) use promotes persistent combustible tobacco use or smoking </w:t>
      </w:r>
      <w:r w:rsidR="00331FC0" w:rsidRPr="00B729B8">
        <w:rPr>
          <w:rFonts w:ascii="Times New Roman" w:hAnsi="Times New Roman" w:cs="Times New Roman"/>
          <w:bCs/>
          <w:sz w:val="24"/>
          <w:szCs w:val="24"/>
          <w:lang w:val="en-US"/>
        </w:rPr>
        <w:t>discontinuation</w:t>
      </w:r>
      <w:r w:rsidRPr="00B729B8">
        <w:rPr>
          <w:rFonts w:ascii="Times New Roman" w:hAnsi="Times New Roman" w:cs="Times New Roman"/>
          <w:bCs/>
          <w:sz w:val="24"/>
          <w:szCs w:val="24"/>
          <w:lang w:val="en-US"/>
        </w:rPr>
        <w:t xml:space="preserve"> over time. Alcohol use is associated with greater risk of adverse health effects of tobacco, and higher likelihood of e-cigarette use, making drinkers a high priority subpopulation. This study examined longitudinal patterns of combustible tobacco and e-cigarette use over 24-months in young adult binge drinkers. </w:t>
      </w:r>
    </w:p>
    <w:p w14:paraId="7F08531E" w14:textId="77777777" w:rsidR="009E5839" w:rsidRPr="00B729B8" w:rsidRDefault="009E5839" w:rsidP="0004163C">
      <w:pPr>
        <w:spacing w:line="276" w:lineRule="auto"/>
        <w:jc w:val="both"/>
        <w:rPr>
          <w:rFonts w:ascii="Times New Roman" w:hAnsi="Times New Roman" w:cs="Times New Roman"/>
          <w:bCs/>
          <w:sz w:val="24"/>
          <w:szCs w:val="24"/>
          <w:lang w:val="en-US"/>
        </w:rPr>
      </w:pPr>
      <w:r w:rsidRPr="00B729B8">
        <w:rPr>
          <w:rFonts w:ascii="Times New Roman" w:hAnsi="Times New Roman" w:cs="Times New Roman"/>
          <w:b/>
          <w:bCs/>
          <w:sz w:val="24"/>
          <w:szCs w:val="24"/>
          <w:lang w:val="en-US"/>
        </w:rPr>
        <w:t xml:space="preserve">Method: </w:t>
      </w:r>
      <w:r w:rsidRPr="00B729B8">
        <w:rPr>
          <w:rFonts w:ascii="Times New Roman" w:hAnsi="Times New Roman" w:cs="Times New Roman"/>
          <w:bCs/>
          <w:sz w:val="24"/>
          <w:szCs w:val="24"/>
          <w:lang w:val="en-US"/>
        </w:rPr>
        <w:t xml:space="preserve">A pooled dataset of 1,002 (58.5% female; </w:t>
      </w:r>
      <w:r w:rsidRPr="00B729B8">
        <w:rPr>
          <w:rFonts w:ascii="Times New Roman" w:hAnsi="Times New Roman" w:cs="Times New Roman"/>
          <w:bCs/>
          <w:i/>
          <w:sz w:val="24"/>
          <w:szCs w:val="24"/>
          <w:lang w:val="en-US"/>
        </w:rPr>
        <w:t>M</w:t>
      </w:r>
      <w:r w:rsidRPr="00B729B8">
        <w:rPr>
          <w:rFonts w:ascii="Times New Roman" w:hAnsi="Times New Roman" w:cs="Times New Roman"/>
          <w:bCs/>
          <w:sz w:val="24"/>
          <w:szCs w:val="24"/>
          <w:lang w:val="en-US"/>
        </w:rPr>
        <w:t xml:space="preserve"> age = 22.14) binge drinkers from the United States (60%) and Canada (40%) was used. The primary outcomes were past month combustible tobacco and e-cigarette use. Nicotine dependence was measured using the Fagerström Test of Cigarette Dependence. Alcohol severity was measured using the Young Adult Alcohol Consequences Questionnaire. Latent transition analysis (LTA) was used to identify patterns of cigarette smoking and e-cigarette</w:t>
      </w:r>
      <w:r w:rsidRPr="00B729B8" w:rsidDel="00726BDC">
        <w:rPr>
          <w:rFonts w:ascii="Times New Roman" w:hAnsi="Times New Roman" w:cs="Times New Roman"/>
          <w:bCs/>
          <w:sz w:val="24"/>
          <w:szCs w:val="24"/>
          <w:lang w:val="en-US"/>
        </w:rPr>
        <w:t xml:space="preserve"> </w:t>
      </w:r>
      <w:r w:rsidRPr="00B729B8">
        <w:rPr>
          <w:rFonts w:ascii="Times New Roman" w:hAnsi="Times New Roman" w:cs="Times New Roman"/>
          <w:bCs/>
          <w:sz w:val="24"/>
          <w:szCs w:val="24"/>
          <w:lang w:val="en-US"/>
        </w:rPr>
        <w:t>use over 24 months.</w:t>
      </w:r>
    </w:p>
    <w:p w14:paraId="7D69928B" w14:textId="7B806D02" w:rsidR="009E5839" w:rsidRPr="00B729B8" w:rsidRDefault="009E5839" w:rsidP="0004163C">
      <w:pPr>
        <w:spacing w:line="276" w:lineRule="auto"/>
        <w:jc w:val="both"/>
        <w:rPr>
          <w:rFonts w:ascii="Times New Roman" w:hAnsi="Times New Roman" w:cs="Times New Roman"/>
          <w:sz w:val="24"/>
          <w:szCs w:val="24"/>
          <w:lang w:val="en-US"/>
        </w:rPr>
      </w:pPr>
      <w:r w:rsidRPr="00B729B8">
        <w:rPr>
          <w:rFonts w:ascii="Times New Roman" w:hAnsi="Times New Roman" w:cs="Times New Roman"/>
          <w:b/>
          <w:bCs/>
          <w:sz w:val="24"/>
          <w:szCs w:val="24"/>
          <w:lang w:val="en-US"/>
        </w:rPr>
        <w:t>Results:</w:t>
      </w:r>
      <w:r w:rsidRPr="00B729B8">
        <w:rPr>
          <w:rFonts w:ascii="Times New Roman" w:hAnsi="Times New Roman" w:cs="Times New Roman"/>
          <w:bCs/>
          <w:sz w:val="24"/>
          <w:szCs w:val="24"/>
          <w:lang w:val="en-US"/>
        </w:rPr>
        <w:t xml:space="preserve"> The LTA yielded a four-class solution: 1) e-cigarettes-only users (prevalence over time: 7.75-10.10%), 2) dual-product users (2.61-9.89%), 3) combustible-only smokers (8.12-20.70%) and 4) non-users (61.66-80.06%). </w:t>
      </w:r>
      <w:r w:rsidRPr="00B729B8">
        <w:rPr>
          <w:rFonts w:ascii="Times New Roman" w:hAnsi="Times New Roman" w:cs="Times New Roman"/>
          <w:sz w:val="24"/>
          <w:szCs w:val="24"/>
          <w:lang w:val="en-US"/>
        </w:rPr>
        <w:t xml:space="preserve">Dual-product users predominantly transitioned to complete abstinence or exclusively e-cigarette use. In combustible-only smokers, the most common transition was to abstinence, followed by persistence of combustible-only status. At 24-months, </w:t>
      </w:r>
      <w:r w:rsidR="00BE027D" w:rsidRPr="00B729B8">
        <w:rPr>
          <w:rFonts w:ascii="Times New Roman" w:hAnsi="Times New Roman" w:cs="Times New Roman"/>
          <w:sz w:val="24"/>
          <w:szCs w:val="24"/>
          <w:lang w:val="en-US"/>
        </w:rPr>
        <w:t xml:space="preserve">63% of </w:t>
      </w:r>
      <w:r w:rsidRPr="00B729B8">
        <w:rPr>
          <w:rFonts w:ascii="Times New Roman" w:hAnsi="Times New Roman" w:cs="Times New Roman"/>
          <w:sz w:val="24"/>
          <w:szCs w:val="24"/>
          <w:lang w:val="en-US"/>
        </w:rPr>
        <w:t>e-cigarettes-only users transitioned to abstinence, with 37% continuing e-cigarettes-only use and 0% transitioning to dual or combustible cigarette use.</w:t>
      </w:r>
    </w:p>
    <w:p w14:paraId="5627C705" w14:textId="46800EBB" w:rsidR="009E5839" w:rsidRPr="00B729B8" w:rsidRDefault="009E5839" w:rsidP="0004163C">
      <w:pPr>
        <w:spacing w:line="276" w:lineRule="auto"/>
        <w:jc w:val="both"/>
        <w:rPr>
          <w:rFonts w:ascii="Times New Roman" w:hAnsi="Times New Roman" w:cs="Times New Roman"/>
          <w:bCs/>
          <w:sz w:val="24"/>
          <w:szCs w:val="24"/>
          <w:lang w:val="en-US"/>
        </w:rPr>
      </w:pPr>
      <w:r w:rsidRPr="00B729B8">
        <w:rPr>
          <w:rFonts w:ascii="Times New Roman" w:hAnsi="Times New Roman" w:cs="Times New Roman"/>
          <w:b/>
          <w:bCs/>
          <w:sz w:val="24"/>
          <w:szCs w:val="24"/>
          <w:lang w:val="en-US"/>
        </w:rPr>
        <w:t>Conclusions:</w:t>
      </w:r>
      <w:r w:rsidRPr="00B729B8">
        <w:rPr>
          <w:rFonts w:ascii="Times New Roman" w:hAnsi="Times New Roman" w:cs="Times New Roman"/>
          <w:bCs/>
          <w:sz w:val="24"/>
          <w:szCs w:val="24"/>
          <w:lang w:val="en-US"/>
        </w:rPr>
        <w:t xml:space="preserve"> D</w:t>
      </w:r>
      <w:r w:rsidRPr="00B729B8">
        <w:rPr>
          <w:rFonts w:ascii="Times New Roman" w:hAnsi="Times New Roman" w:cs="Times New Roman"/>
          <w:sz w:val="24"/>
          <w:szCs w:val="24"/>
          <w:lang w:val="en-US"/>
        </w:rPr>
        <w:t xml:space="preserve">ual-product use in young adult binge drinkers was associated with </w:t>
      </w:r>
      <w:r w:rsidR="00331FC0" w:rsidRPr="00B729B8">
        <w:rPr>
          <w:rFonts w:ascii="Times New Roman" w:hAnsi="Times New Roman" w:cs="Times New Roman"/>
          <w:bCs/>
          <w:sz w:val="24"/>
          <w:szCs w:val="24"/>
          <w:lang w:val="en-US"/>
        </w:rPr>
        <w:t>discontinuation</w:t>
      </w:r>
      <w:r w:rsidRPr="00B729B8">
        <w:rPr>
          <w:rFonts w:ascii="Times New Roman" w:hAnsi="Times New Roman" w:cs="Times New Roman"/>
          <w:sz w:val="24"/>
          <w:szCs w:val="24"/>
          <w:lang w:val="en-US"/>
        </w:rPr>
        <w:t xml:space="preserve"> of combustible tobacco over time, and e-cigarette-only use was not associated with subsequent combustible tobacco use.</w:t>
      </w:r>
    </w:p>
    <w:p w14:paraId="4F0AF3A4" w14:textId="6627A494" w:rsidR="009E5839" w:rsidRPr="00B729B8" w:rsidRDefault="009E5839" w:rsidP="0004163C">
      <w:pPr>
        <w:spacing w:line="276" w:lineRule="auto"/>
        <w:jc w:val="both"/>
        <w:rPr>
          <w:rFonts w:ascii="Times New Roman" w:hAnsi="Times New Roman" w:cs="Times New Roman"/>
          <w:b/>
          <w:bCs/>
          <w:sz w:val="24"/>
          <w:szCs w:val="24"/>
          <w:lang w:val="en-US"/>
        </w:rPr>
      </w:pPr>
      <w:r w:rsidRPr="00B729B8">
        <w:rPr>
          <w:rFonts w:ascii="Times New Roman" w:hAnsi="Times New Roman" w:cs="Times New Roman"/>
          <w:b/>
          <w:bCs/>
          <w:sz w:val="24"/>
          <w:szCs w:val="24"/>
          <w:lang w:val="en-US"/>
        </w:rPr>
        <w:t xml:space="preserve">Implications: </w:t>
      </w:r>
      <w:r w:rsidR="005D448F" w:rsidRPr="00B729B8">
        <w:rPr>
          <w:rFonts w:ascii="Times New Roman" w:hAnsi="Times New Roman" w:cs="Times New Roman"/>
          <w:bCs/>
          <w:sz w:val="24"/>
          <w:szCs w:val="24"/>
          <w:lang w:val="en-US"/>
        </w:rPr>
        <w:t>These findings suggest that c</w:t>
      </w:r>
      <w:r w:rsidR="0046303B" w:rsidRPr="00B729B8">
        <w:rPr>
          <w:rFonts w:ascii="Times New Roman" w:hAnsi="Times New Roman" w:cs="Times New Roman"/>
          <w:bCs/>
          <w:sz w:val="24"/>
          <w:szCs w:val="24"/>
          <w:lang w:val="en-US"/>
        </w:rPr>
        <w:t>oncurrent or exclusive</w:t>
      </w:r>
      <w:r w:rsidRPr="00B729B8">
        <w:rPr>
          <w:rFonts w:ascii="Times New Roman" w:hAnsi="Times New Roman" w:cs="Times New Roman"/>
          <w:bCs/>
          <w:sz w:val="24"/>
          <w:szCs w:val="24"/>
          <w:lang w:val="en-US"/>
        </w:rPr>
        <w:t xml:space="preserve"> e-cigarette use </w:t>
      </w:r>
      <w:r w:rsidR="005D448F" w:rsidRPr="00B729B8">
        <w:rPr>
          <w:rFonts w:ascii="Times New Roman" w:hAnsi="Times New Roman" w:cs="Times New Roman"/>
          <w:bCs/>
          <w:sz w:val="24"/>
          <w:szCs w:val="24"/>
          <w:lang w:val="en-US"/>
        </w:rPr>
        <w:t xml:space="preserve">is not </w:t>
      </w:r>
      <w:r w:rsidR="00B44780" w:rsidRPr="00B729B8">
        <w:rPr>
          <w:rFonts w:ascii="Times New Roman" w:hAnsi="Times New Roman" w:cs="Times New Roman"/>
          <w:bCs/>
          <w:sz w:val="24"/>
          <w:szCs w:val="24"/>
          <w:lang w:val="en-US"/>
        </w:rPr>
        <w:t xml:space="preserve">a risk factor for persistence or </w:t>
      </w:r>
      <w:r w:rsidRPr="00B729B8">
        <w:rPr>
          <w:rFonts w:ascii="Times New Roman" w:hAnsi="Times New Roman" w:cs="Times New Roman"/>
          <w:bCs/>
          <w:sz w:val="24"/>
          <w:szCs w:val="24"/>
          <w:lang w:val="en-US"/>
        </w:rPr>
        <w:t xml:space="preserve">development of combustible tobacco use </w:t>
      </w:r>
      <w:r w:rsidR="00411CF6" w:rsidRPr="00B729B8">
        <w:rPr>
          <w:rFonts w:ascii="Times New Roman" w:hAnsi="Times New Roman" w:cs="Times New Roman"/>
          <w:bCs/>
          <w:sz w:val="24"/>
          <w:szCs w:val="24"/>
          <w:lang w:val="en-US"/>
        </w:rPr>
        <w:t xml:space="preserve">in this subpopulation, with </w:t>
      </w:r>
      <w:r w:rsidRPr="00B729B8">
        <w:rPr>
          <w:rFonts w:ascii="Times New Roman" w:hAnsi="Times New Roman" w:cs="Times New Roman"/>
          <w:bCs/>
          <w:sz w:val="24"/>
          <w:szCs w:val="24"/>
          <w:lang w:val="en-US"/>
        </w:rPr>
        <w:t xml:space="preserve">dual-product use </w:t>
      </w:r>
      <w:r w:rsidR="00411CF6" w:rsidRPr="00B729B8">
        <w:rPr>
          <w:rFonts w:ascii="Times New Roman" w:hAnsi="Times New Roman" w:cs="Times New Roman"/>
          <w:bCs/>
          <w:sz w:val="24"/>
          <w:szCs w:val="24"/>
          <w:lang w:val="en-US"/>
        </w:rPr>
        <w:t xml:space="preserve">reflecting </w:t>
      </w:r>
      <w:r w:rsidRPr="00B729B8">
        <w:rPr>
          <w:rFonts w:ascii="Times New Roman" w:hAnsi="Times New Roman" w:cs="Times New Roman"/>
          <w:bCs/>
          <w:sz w:val="24"/>
          <w:szCs w:val="24"/>
          <w:lang w:val="en-US"/>
        </w:rPr>
        <w:t xml:space="preserve">a transitional </w:t>
      </w:r>
      <w:r w:rsidRPr="00B729B8">
        <w:rPr>
          <w:rFonts w:ascii="Times New Roman" w:hAnsi="Times New Roman" w:cs="Times New Roman"/>
          <w:sz w:val="24"/>
          <w:szCs w:val="24"/>
          <w:lang w:val="en-US"/>
        </w:rPr>
        <w:t xml:space="preserve">pattern away from combustible use, toward </w:t>
      </w:r>
      <w:r w:rsidR="00747875" w:rsidRPr="00B729B8">
        <w:rPr>
          <w:rFonts w:ascii="Times New Roman" w:hAnsi="Times New Roman" w:cs="Times New Roman"/>
          <w:bCs/>
          <w:sz w:val="24"/>
          <w:szCs w:val="24"/>
          <w:lang w:val="en-US"/>
        </w:rPr>
        <w:t>discontinuation</w:t>
      </w:r>
      <w:r w:rsidRPr="00B729B8">
        <w:rPr>
          <w:rFonts w:ascii="Times New Roman" w:hAnsi="Times New Roman" w:cs="Times New Roman"/>
          <w:bCs/>
          <w:sz w:val="24"/>
          <w:szCs w:val="24"/>
          <w:lang w:val="en-US"/>
        </w:rPr>
        <w:t xml:space="preserve">. </w:t>
      </w:r>
    </w:p>
    <w:p w14:paraId="7231B8D6" w14:textId="21A486C4" w:rsidR="009E5839" w:rsidRPr="00B729B8" w:rsidRDefault="009E5839" w:rsidP="0004163C">
      <w:pPr>
        <w:spacing w:line="276" w:lineRule="auto"/>
        <w:rPr>
          <w:rFonts w:ascii="Times New Roman" w:hAnsi="Times New Roman" w:cs="Times New Roman"/>
          <w:bCs/>
          <w:sz w:val="24"/>
          <w:szCs w:val="24"/>
          <w:lang w:val="en-US"/>
        </w:rPr>
      </w:pPr>
      <w:r w:rsidRPr="00B729B8">
        <w:rPr>
          <w:rFonts w:ascii="Times New Roman" w:hAnsi="Times New Roman" w:cs="Times New Roman"/>
          <w:b/>
          <w:bCs/>
          <w:sz w:val="24"/>
          <w:szCs w:val="24"/>
          <w:lang w:val="en-US"/>
        </w:rPr>
        <w:t>Keywords:</w:t>
      </w:r>
      <w:r w:rsidRPr="00B729B8">
        <w:rPr>
          <w:rFonts w:ascii="Times New Roman" w:hAnsi="Times New Roman" w:cs="Times New Roman"/>
          <w:bCs/>
          <w:sz w:val="24"/>
          <w:szCs w:val="24"/>
          <w:lang w:val="en-US"/>
        </w:rPr>
        <w:t xml:space="preserve"> cigarette smoking, e-cigarette, vaping, dual use, young adults, smoking </w:t>
      </w:r>
      <w:r w:rsidR="001F7349" w:rsidRPr="00B729B8">
        <w:rPr>
          <w:rFonts w:ascii="Times New Roman" w:hAnsi="Times New Roman" w:cs="Times New Roman"/>
          <w:bCs/>
          <w:sz w:val="24"/>
          <w:szCs w:val="24"/>
          <w:lang w:val="en-US"/>
        </w:rPr>
        <w:t xml:space="preserve">discontinuation </w:t>
      </w:r>
      <w:r w:rsidRPr="00B729B8">
        <w:rPr>
          <w:rFonts w:ascii="Times New Roman" w:hAnsi="Times New Roman" w:cs="Times New Roman"/>
          <w:bCs/>
          <w:sz w:val="24"/>
          <w:szCs w:val="24"/>
          <w:lang w:val="en-US"/>
        </w:rPr>
        <w:br w:type="page"/>
      </w:r>
    </w:p>
    <w:p w14:paraId="788CD6E9" w14:textId="77777777" w:rsidR="009E5839" w:rsidRPr="00B729B8" w:rsidRDefault="009E5839" w:rsidP="0004163C">
      <w:pPr>
        <w:spacing w:line="480" w:lineRule="auto"/>
        <w:jc w:val="center"/>
        <w:rPr>
          <w:rFonts w:ascii="Times New Roman" w:hAnsi="Times New Roman" w:cs="Times New Roman"/>
          <w:b/>
          <w:bCs/>
          <w:sz w:val="24"/>
          <w:szCs w:val="24"/>
          <w:lang w:val="en-US"/>
        </w:rPr>
      </w:pPr>
      <w:r w:rsidRPr="00B729B8">
        <w:rPr>
          <w:rFonts w:ascii="Times New Roman" w:hAnsi="Times New Roman" w:cs="Times New Roman"/>
          <w:b/>
          <w:bCs/>
          <w:sz w:val="24"/>
          <w:szCs w:val="24"/>
          <w:lang w:val="en-US"/>
        </w:rPr>
        <w:t>INTRODUCTION</w:t>
      </w:r>
    </w:p>
    <w:p w14:paraId="4E1D9B82" w14:textId="35DFF899" w:rsidR="009E5839" w:rsidRPr="00B729B8" w:rsidRDefault="009E5839" w:rsidP="0004163C">
      <w:pPr>
        <w:spacing w:line="480" w:lineRule="auto"/>
        <w:ind w:firstLine="708"/>
        <w:rPr>
          <w:rFonts w:ascii="Times New Roman" w:hAnsi="Times New Roman" w:cs="Times New Roman"/>
          <w:bCs/>
          <w:sz w:val="24"/>
          <w:szCs w:val="24"/>
          <w:lang w:val="en-US"/>
        </w:rPr>
      </w:pPr>
      <w:r w:rsidRPr="00B729B8">
        <w:rPr>
          <w:rFonts w:ascii="Times New Roman" w:hAnsi="Times New Roman" w:cs="Times New Roman"/>
          <w:bCs/>
          <w:sz w:val="24"/>
          <w:szCs w:val="24"/>
          <w:lang w:val="en-US"/>
        </w:rPr>
        <w:t>The growing use of electronic cigarettes (e-cigarettes) may represent both a challenge and a benefit to public health</w:t>
      </w:r>
      <w:r w:rsidR="00AC1192" w:rsidRPr="00B729B8">
        <w:rPr>
          <w:rFonts w:ascii="Times New Roman" w:hAnsi="Times New Roman" w:cs="Times New Roman"/>
          <w:bCs/>
          <w:sz w:val="24"/>
          <w:szCs w:val="24"/>
          <w:lang w:val="en-US"/>
        </w:rPr>
        <w:t xml:space="preserve"> </w:t>
      </w:r>
      <w:r w:rsidR="000861E5" w:rsidRPr="00B729B8">
        <w:rPr>
          <w:rFonts w:ascii="Times New Roman" w:hAnsi="Times New Roman" w:cs="Times New Roman"/>
          <w:bCs/>
          <w:noProof/>
          <w:sz w:val="24"/>
          <w:szCs w:val="24"/>
          <w:vertAlign w:val="superscript"/>
          <w:lang w:val="en-US"/>
        </w:rPr>
        <w:t>1,2,3</w:t>
      </w:r>
      <w:hyperlink w:anchor="_ENREF_6" w:tooltip="Clendennen, 2019 #23" w:history="1"/>
      <w:r w:rsidRPr="00B729B8">
        <w:rPr>
          <w:rFonts w:ascii="Times New Roman" w:hAnsi="Times New Roman" w:cs="Times New Roman"/>
          <w:bCs/>
          <w:sz w:val="24"/>
          <w:szCs w:val="24"/>
          <w:lang w:val="en-US"/>
        </w:rPr>
        <w:t xml:space="preserve">. On one hand, increased availability and targeted advertising have increased e-cigarettes use in youth in the US and Canada </w:t>
      </w:r>
      <w:r w:rsidR="000861E5" w:rsidRPr="00B729B8">
        <w:rPr>
          <w:rFonts w:ascii="Times New Roman" w:hAnsi="Times New Roman" w:cs="Times New Roman"/>
          <w:bCs/>
          <w:noProof/>
          <w:sz w:val="24"/>
          <w:szCs w:val="24"/>
          <w:vertAlign w:val="superscript"/>
          <w:lang w:val="en-US"/>
        </w:rPr>
        <w:t>4,5</w:t>
      </w:r>
      <w:r w:rsidRPr="00B729B8">
        <w:rPr>
          <w:rFonts w:ascii="Times New Roman" w:hAnsi="Times New Roman" w:cs="Times New Roman"/>
          <w:bCs/>
          <w:sz w:val="24"/>
          <w:szCs w:val="24"/>
          <w:lang w:val="en-US"/>
        </w:rPr>
        <w:t xml:space="preserve">. This is important as nicotine dependence in e-cigarette users is associated with younger age at onset </w:t>
      </w:r>
      <w:r w:rsidR="000861E5" w:rsidRPr="00B729B8">
        <w:rPr>
          <w:rFonts w:ascii="Times New Roman" w:hAnsi="Times New Roman" w:cs="Times New Roman"/>
          <w:bCs/>
          <w:noProof/>
          <w:sz w:val="24"/>
          <w:szCs w:val="24"/>
          <w:vertAlign w:val="superscript"/>
          <w:lang w:val="en-US"/>
        </w:rPr>
        <w:t>6</w:t>
      </w:r>
      <w:r w:rsidRPr="00B729B8">
        <w:rPr>
          <w:rFonts w:ascii="Times New Roman" w:hAnsi="Times New Roman" w:cs="Times New Roman"/>
          <w:bCs/>
          <w:sz w:val="24"/>
          <w:szCs w:val="24"/>
          <w:lang w:val="en-US"/>
        </w:rPr>
        <w:t xml:space="preserve"> and e-cigarette use has been associated with unique dependence symptoms in young adults </w:t>
      </w:r>
      <w:r w:rsidR="000861E5" w:rsidRPr="00B729B8">
        <w:rPr>
          <w:rFonts w:ascii="Times New Roman" w:hAnsi="Times New Roman" w:cs="Times New Roman"/>
          <w:bCs/>
          <w:noProof/>
          <w:sz w:val="24"/>
          <w:szCs w:val="24"/>
          <w:vertAlign w:val="superscript"/>
          <w:lang w:val="en-US"/>
        </w:rPr>
        <w:t>7</w:t>
      </w:r>
      <w:r w:rsidRPr="00B729B8">
        <w:rPr>
          <w:rFonts w:ascii="Times New Roman" w:hAnsi="Times New Roman" w:cs="Times New Roman"/>
          <w:bCs/>
          <w:sz w:val="24"/>
          <w:szCs w:val="24"/>
          <w:lang w:val="en-US"/>
        </w:rPr>
        <w:fldChar w:fldCharType="begin"/>
      </w:r>
      <w:r w:rsidRPr="00B729B8">
        <w:rPr>
          <w:rFonts w:ascii="Times New Roman" w:hAnsi="Times New Roman" w:cs="Times New Roman"/>
          <w:bCs/>
          <w:sz w:val="24"/>
          <w:szCs w:val="24"/>
          <w:lang w:val="en-US"/>
        </w:rPr>
        <w:instrText xml:space="preserve"> QUOTE "{Simpson, 2021 #75}" </w:instrText>
      </w:r>
      <w:r w:rsidRPr="00B729B8">
        <w:rPr>
          <w:rFonts w:ascii="Times New Roman" w:hAnsi="Times New Roman" w:cs="Times New Roman"/>
          <w:bCs/>
          <w:sz w:val="24"/>
          <w:szCs w:val="24"/>
          <w:lang w:val="en-US"/>
        </w:rPr>
        <w:fldChar w:fldCharType="end"/>
      </w:r>
      <w:r w:rsidRPr="00B729B8">
        <w:rPr>
          <w:rFonts w:ascii="Times New Roman" w:hAnsi="Times New Roman" w:cs="Times New Roman"/>
          <w:bCs/>
          <w:sz w:val="24"/>
          <w:szCs w:val="24"/>
          <w:lang w:val="en-US"/>
        </w:rPr>
        <w:t>. On the other hand, a</w:t>
      </w:r>
      <w:r w:rsidR="00735BDA" w:rsidRPr="00B729B8">
        <w:rPr>
          <w:rFonts w:ascii="Times New Roman" w:hAnsi="Times New Roman" w:cs="Times New Roman"/>
          <w:bCs/>
          <w:sz w:val="24"/>
          <w:szCs w:val="24"/>
          <w:lang w:val="en-US"/>
        </w:rPr>
        <w:t xml:space="preserve">pproximately </w:t>
      </w:r>
      <w:r w:rsidRPr="00B729B8">
        <w:rPr>
          <w:rFonts w:ascii="Times New Roman" w:hAnsi="Times New Roman" w:cs="Times New Roman"/>
          <w:bCs/>
          <w:sz w:val="24"/>
          <w:szCs w:val="24"/>
          <w:lang w:val="en-US"/>
        </w:rPr>
        <w:t>4</w:t>
      </w:r>
      <w:r w:rsidR="00735BDA" w:rsidRPr="00B729B8">
        <w:rPr>
          <w:rFonts w:ascii="Times New Roman" w:hAnsi="Times New Roman" w:cs="Times New Roman"/>
          <w:bCs/>
          <w:sz w:val="24"/>
          <w:szCs w:val="24"/>
          <w:lang w:val="en-US"/>
        </w:rPr>
        <w:t>0</w:t>
      </w:r>
      <w:r w:rsidRPr="00B729B8">
        <w:rPr>
          <w:rFonts w:ascii="Times New Roman" w:hAnsi="Times New Roman" w:cs="Times New Roman"/>
          <w:bCs/>
          <w:sz w:val="24"/>
          <w:szCs w:val="24"/>
          <w:lang w:val="en-US"/>
        </w:rPr>
        <w:t>% of adult e-cigarette users in the US are also combustible cigarette smokers</w:t>
      </w:r>
      <w:r w:rsidR="000861E5" w:rsidRPr="00B729B8">
        <w:rPr>
          <w:rFonts w:ascii="Times New Roman" w:hAnsi="Times New Roman" w:cs="Times New Roman"/>
          <w:bCs/>
          <w:noProof/>
          <w:sz w:val="24"/>
          <w:szCs w:val="24"/>
          <w:vertAlign w:val="superscript"/>
          <w:lang w:val="en-US"/>
        </w:rPr>
        <w:t>8</w:t>
      </w:r>
      <w:r w:rsidR="00C25FD3" w:rsidRPr="00B729B8">
        <w:rPr>
          <w:rFonts w:ascii="Times New Roman" w:hAnsi="Times New Roman" w:cs="Times New Roman"/>
          <w:bCs/>
          <w:noProof/>
          <w:sz w:val="24"/>
          <w:szCs w:val="24"/>
          <w:lang w:val="en-US"/>
        </w:rPr>
        <w:t>,</w:t>
      </w:r>
      <w:r w:rsidRPr="00B729B8">
        <w:rPr>
          <w:rFonts w:ascii="Times New Roman" w:hAnsi="Times New Roman" w:cs="Times New Roman"/>
          <w:bCs/>
          <w:sz w:val="24"/>
          <w:szCs w:val="24"/>
          <w:lang w:val="en-US"/>
        </w:rPr>
        <w:t xml:space="preserve"> w</w:t>
      </w:r>
      <w:r w:rsidR="00735BDA" w:rsidRPr="00B729B8">
        <w:rPr>
          <w:rFonts w:ascii="Times New Roman" w:hAnsi="Times New Roman" w:cs="Times New Roman"/>
          <w:bCs/>
          <w:sz w:val="24"/>
          <w:szCs w:val="24"/>
          <w:lang w:val="en-US"/>
        </w:rPr>
        <w:t xml:space="preserve">ith the </w:t>
      </w:r>
      <w:r w:rsidRPr="00B729B8">
        <w:rPr>
          <w:rFonts w:ascii="Times New Roman" w:hAnsi="Times New Roman" w:cs="Times New Roman"/>
          <w:bCs/>
          <w:sz w:val="24"/>
          <w:szCs w:val="24"/>
          <w:lang w:val="en-US"/>
        </w:rPr>
        <w:t xml:space="preserve">primary motivation </w:t>
      </w:r>
      <w:r w:rsidR="00735BDA" w:rsidRPr="00B729B8">
        <w:rPr>
          <w:rFonts w:ascii="Times New Roman" w:hAnsi="Times New Roman" w:cs="Times New Roman"/>
          <w:bCs/>
          <w:sz w:val="24"/>
          <w:szCs w:val="24"/>
          <w:lang w:val="en-US"/>
        </w:rPr>
        <w:t xml:space="preserve">being </w:t>
      </w:r>
      <w:r w:rsidRPr="00B729B8">
        <w:rPr>
          <w:rFonts w:ascii="Times New Roman" w:hAnsi="Times New Roman" w:cs="Times New Roman"/>
          <w:bCs/>
          <w:sz w:val="24"/>
          <w:szCs w:val="24"/>
          <w:lang w:val="en-US"/>
        </w:rPr>
        <w:t xml:space="preserve">to quit smoking </w:t>
      </w:r>
      <w:r w:rsidR="000861E5" w:rsidRPr="00B729B8">
        <w:rPr>
          <w:rFonts w:ascii="Times New Roman" w:hAnsi="Times New Roman" w:cs="Times New Roman"/>
          <w:bCs/>
          <w:noProof/>
          <w:sz w:val="24"/>
          <w:szCs w:val="24"/>
          <w:vertAlign w:val="superscript"/>
          <w:lang w:val="en-US"/>
        </w:rPr>
        <w:t>9</w:t>
      </w:r>
      <w:r w:rsidRPr="00B729B8">
        <w:rPr>
          <w:rFonts w:ascii="Times New Roman" w:hAnsi="Times New Roman" w:cs="Times New Roman"/>
          <w:bCs/>
          <w:sz w:val="24"/>
          <w:szCs w:val="24"/>
          <w:lang w:val="en-US"/>
        </w:rPr>
        <w:t xml:space="preserve">. The effectiveness of e-cigarettes for </w:t>
      </w:r>
      <w:r w:rsidR="00735BDA" w:rsidRPr="00B729B8">
        <w:rPr>
          <w:rFonts w:ascii="Times New Roman" w:hAnsi="Times New Roman" w:cs="Times New Roman"/>
          <w:bCs/>
          <w:sz w:val="24"/>
          <w:szCs w:val="24"/>
          <w:lang w:val="en-US"/>
        </w:rPr>
        <w:t xml:space="preserve">aiding </w:t>
      </w:r>
      <w:r w:rsidRPr="00B729B8">
        <w:rPr>
          <w:rFonts w:ascii="Times New Roman" w:hAnsi="Times New Roman" w:cs="Times New Roman"/>
          <w:bCs/>
          <w:sz w:val="24"/>
          <w:szCs w:val="24"/>
          <w:lang w:val="en-US"/>
        </w:rPr>
        <w:t xml:space="preserve">quitting remains an ongoing debate </w:t>
      </w:r>
      <w:r w:rsidRPr="00B729B8">
        <w:rPr>
          <w:rFonts w:ascii="Times New Roman" w:hAnsi="Times New Roman" w:cs="Times New Roman"/>
          <w:bCs/>
          <w:noProof/>
          <w:sz w:val="24"/>
          <w:szCs w:val="24"/>
          <w:vertAlign w:val="superscript"/>
          <w:lang w:val="en-US"/>
        </w:rPr>
        <w:t>1</w:t>
      </w:r>
      <w:r w:rsidR="000861E5" w:rsidRPr="00B729B8">
        <w:rPr>
          <w:rFonts w:ascii="Times New Roman" w:hAnsi="Times New Roman" w:cs="Times New Roman"/>
          <w:bCs/>
          <w:noProof/>
          <w:sz w:val="24"/>
          <w:szCs w:val="24"/>
          <w:vertAlign w:val="superscript"/>
          <w:lang w:val="en-US"/>
        </w:rPr>
        <w:t>0,11</w:t>
      </w:r>
      <w:r w:rsidRPr="00B729B8">
        <w:rPr>
          <w:rFonts w:ascii="Times New Roman" w:hAnsi="Times New Roman" w:cs="Times New Roman"/>
          <w:bCs/>
          <w:sz w:val="24"/>
          <w:szCs w:val="24"/>
          <w:lang w:val="en-US"/>
        </w:rPr>
        <w:t xml:space="preserve">, and </w:t>
      </w:r>
      <w:r w:rsidR="00735BDA" w:rsidRPr="00B729B8">
        <w:rPr>
          <w:rFonts w:ascii="Times New Roman" w:hAnsi="Times New Roman" w:cs="Times New Roman"/>
          <w:bCs/>
          <w:sz w:val="24"/>
          <w:szCs w:val="24"/>
          <w:lang w:val="en-US"/>
        </w:rPr>
        <w:t xml:space="preserve">the risks of </w:t>
      </w:r>
      <w:r w:rsidRPr="00B729B8">
        <w:rPr>
          <w:rFonts w:ascii="Times New Roman" w:hAnsi="Times New Roman" w:cs="Times New Roman"/>
          <w:bCs/>
          <w:sz w:val="24"/>
          <w:szCs w:val="24"/>
          <w:lang w:val="en-US"/>
        </w:rPr>
        <w:t xml:space="preserve">dual use </w:t>
      </w:r>
      <w:r w:rsidR="00735BDA" w:rsidRPr="00B729B8">
        <w:rPr>
          <w:rFonts w:ascii="Times New Roman" w:hAnsi="Times New Roman" w:cs="Times New Roman"/>
          <w:bCs/>
          <w:sz w:val="24"/>
          <w:szCs w:val="24"/>
          <w:lang w:val="en-US"/>
        </w:rPr>
        <w:t>are not well understood</w:t>
      </w:r>
      <w:r w:rsidRPr="00B729B8">
        <w:rPr>
          <w:rFonts w:ascii="Times New Roman" w:hAnsi="Times New Roman" w:cs="Times New Roman"/>
          <w:bCs/>
          <w:sz w:val="24"/>
          <w:szCs w:val="24"/>
          <w:lang w:val="en-US"/>
        </w:rPr>
        <w:t xml:space="preserve">. </w:t>
      </w:r>
    </w:p>
    <w:p w14:paraId="60E3B599" w14:textId="27DE5C5E" w:rsidR="009E5839" w:rsidRPr="00B729B8" w:rsidRDefault="009E5839" w:rsidP="0004163C">
      <w:pPr>
        <w:spacing w:line="480" w:lineRule="auto"/>
        <w:ind w:firstLine="708"/>
        <w:rPr>
          <w:rFonts w:ascii="Times New Roman" w:hAnsi="Times New Roman" w:cs="Times New Roman"/>
          <w:bCs/>
          <w:sz w:val="24"/>
          <w:szCs w:val="24"/>
          <w:lang w:val="en-US"/>
        </w:rPr>
      </w:pPr>
      <w:r w:rsidRPr="00B729B8">
        <w:rPr>
          <w:rFonts w:ascii="Times New Roman" w:hAnsi="Times New Roman" w:cs="Times New Roman"/>
          <w:bCs/>
          <w:sz w:val="24"/>
          <w:szCs w:val="24"/>
          <w:lang w:val="en-US"/>
        </w:rPr>
        <w:t xml:space="preserve">In dual-users, some studies also reported higher overall levels of dependence compared to combustible cigarette-only </w:t>
      </w:r>
      <w:r w:rsidRPr="00B729B8">
        <w:rPr>
          <w:rFonts w:ascii="Times New Roman" w:hAnsi="Times New Roman" w:cs="Times New Roman"/>
          <w:bCs/>
          <w:noProof/>
          <w:sz w:val="24"/>
          <w:szCs w:val="24"/>
          <w:vertAlign w:val="superscript"/>
          <w:lang w:val="en-US"/>
        </w:rPr>
        <w:t>1</w:t>
      </w:r>
      <w:r w:rsidR="00FC525E" w:rsidRPr="00B729B8">
        <w:rPr>
          <w:rFonts w:ascii="Times New Roman" w:hAnsi="Times New Roman" w:cs="Times New Roman"/>
          <w:bCs/>
          <w:noProof/>
          <w:sz w:val="24"/>
          <w:szCs w:val="24"/>
          <w:vertAlign w:val="superscript"/>
          <w:lang w:val="en-US"/>
        </w:rPr>
        <w:t>2,13</w:t>
      </w:r>
      <w:r w:rsidRPr="00B729B8">
        <w:rPr>
          <w:rFonts w:ascii="Times New Roman" w:hAnsi="Times New Roman" w:cs="Times New Roman"/>
          <w:bCs/>
          <w:sz w:val="24"/>
          <w:szCs w:val="24"/>
          <w:lang w:val="en-US"/>
        </w:rPr>
        <w:t xml:space="preserve"> and respiratory symptoms </w:t>
      </w:r>
      <w:r w:rsidRPr="00B729B8">
        <w:rPr>
          <w:rFonts w:ascii="Times New Roman" w:hAnsi="Times New Roman" w:cs="Times New Roman"/>
          <w:bCs/>
          <w:noProof/>
          <w:sz w:val="24"/>
          <w:szCs w:val="24"/>
          <w:vertAlign w:val="superscript"/>
          <w:lang w:val="en-US"/>
        </w:rPr>
        <w:t>1</w:t>
      </w:r>
      <w:r w:rsidR="00FC525E" w:rsidRPr="00B729B8">
        <w:rPr>
          <w:rFonts w:ascii="Times New Roman" w:hAnsi="Times New Roman" w:cs="Times New Roman"/>
          <w:bCs/>
          <w:noProof/>
          <w:sz w:val="24"/>
          <w:szCs w:val="24"/>
          <w:vertAlign w:val="superscript"/>
          <w:lang w:val="en-US"/>
        </w:rPr>
        <w:t>4</w:t>
      </w:r>
      <w:r w:rsidRPr="00B729B8">
        <w:rPr>
          <w:rFonts w:ascii="Times New Roman" w:hAnsi="Times New Roman" w:cs="Times New Roman"/>
          <w:bCs/>
          <w:sz w:val="24"/>
          <w:szCs w:val="24"/>
          <w:lang w:val="en-US"/>
        </w:rPr>
        <w:t xml:space="preserve">, as well as evidence of delayed intentions to quit </w:t>
      </w:r>
      <w:r w:rsidRPr="00B729B8">
        <w:rPr>
          <w:rFonts w:ascii="Times New Roman" w:hAnsi="Times New Roman" w:cs="Times New Roman"/>
          <w:bCs/>
          <w:noProof/>
          <w:sz w:val="24"/>
          <w:szCs w:val="24"/>
          <w:vertAlign w:val="superscript"/>
          <w:lang w:val="en-US"/>
        </w:rPr>
        <w:t>1</w:t>
      </w:r>
      <w:r w:rsidR="00FC525E" w:rsidRPr="00B729B8">
        <w:rPr>
          <w:rFonts w:ascii="Times New Roman" w:hAnsi="Times New Roman" w:cs="Times New Roman"/>
          <w:bCs/>
          <w:noProof/>
          <w:sz w:val="24"/>
          <w:szCs w:val="24"/>
          <w:vertAlign w:val="superscript"/>
          <w:lang w:val="en-US"/>
        </w:rPr>
        <w:t>5</w:t>
      </w:r>
      <w:r w:rsidRPr="00B729B8">
        <w:rPr>
          <w:rFonts w:ascii="Times New Roman" w:hAnsi="Times New Roman" w:cs="Times New Roman"/>
          <w:bCs/>
          <w:sz w:val="24"/>
          <w:szCs w:val="24"/>
          <w:lang w:val="en-US"/>
        </w:rPr>
        <w:t xml:space="preserve">, shifts to exclusive combustible cigarette smoking </w:t>
      </w:r>
      <w:r w:rsidRPr="00B729B8">
        <w:rPr>
          <w:rFonts w:ascii="Times New Roman" w:hAnsi="Times New Roman" w:cs="Times New Roman"/>
          <w:bCs/>
          <w:noProof/>
          <w:sz w:val="24"/>
          <w:szCs w:val="24"/>
          <w:vertAlign w:val="superscript"/>
          <w:lang w:val="en-US"/>
        </w:rPr>
        <w:t>1</w:t>
      </w:r>
      <w:r w:rsidR="00FC525E" w:rsidRPr="00B729B8">
        <w:rPr>
          <w:rFonts w:ascii="Times New Roman" w:hAnsi="Times New Roman" w:cs="Times New Roman"/>
          <w:bCs/>
          <w:noProof/>
          <w:sz w:val="24"/>
          <w:szCs w:val="24"/>
          <w:vertAlign w:val="superscript"/>
          <w:lang w:val="en-US"/>
        </w:rPr>
        <w:t>6</w:t>
      </w:r>
      <w:r w:rsidRPr="00B729B8">
        <w:rPr>
          <w:rFonts w:ascii="Times New Roman" w:hAnsi="Times New Roman" w:cs="Times New Roman"/>
          <w:bCs/>
          <w:noProof/>
          <w:sz w:val="24"/>
          <w:szCs w:val="24"/>
          <w:vertAlign w:val="superscript"/>
          <w:lang w:val="en-US"/>
        </w:rPr>
        <w:t>,</w:t>
      </w:r>
      <w:r w:rsidR="00FC525E" w:rsidRPr="00B729B8">
        <w:rPr>
          <w:rFonts w:ascii="Times New Roman" w:hAnsi="Times New Roman" w:cs="Times New Roman"/>
          <w:bCs/>
          <w:noProof/>
          <w:sz w:val="24"/>
          <w:szCs w:val="24"/>
          <w:vertAlign w:val="superscript"/>
          <w:lang w:val="en-US"/>
        </w:rPr>
        <w:t>17</w:t>
      </w:r>
      <w:r w:rsidRPr="00B729B8">
        <w:rPr>
          <w:rFonts w:ascii="Times New Roman" w:hAnsi="Times New Roman" w:cs="Times New Roman"/>
          <w:bCs/>
          <w:sz w:val="24"/>
          <w:szCs w:val="24"/>
          <w:lang w:val="en-US"/>
        </w:rPr>
        <w:t xml:space="preserve"> and decreases in the likelihood of </w:t>
      </w:r>
      <w:r w:rsidR="00E803FB" w:rsidRPr="00B729B8">
        <w:rPr>
          <w:rFonts w:ascii="Times New Roman" w:hAnsi="Times New Roman" w:cs="Times New Roman"/>
          <w:bCs/>
          <w:sz w:val="24"/>
          <w:szCs w:val="24"/>
          <w:lang w:val="en-US"/>
        </w:rPr>
        <w:t>discontinuation</w:t>
      </w:r>
      <w:r w:rsidRPr="00B729B8">
        <w:rPr>
          <w:rFonts w:ascii="Times New Roman" w:hAnsi="Times New Roman" w:cs="Times New Roman"/>
          <w:bCs/>
          <w:sz w:val="24"/>
          <w:szCs w:val="24"/>
          <w:lang w:val="en-US"/>
        </w:rPr>
        <w:t xml:space="preserve"> </w:t>
      </w:r>
      <w:r w:rsidR="00FC525E" w:rsidRPr="00B729B8">
        <w:rPr>
          <w:rFonts w:ascii="Times New Roman" w:hAnsi="Times New Roman" w:cs="Times New Roman"/>
          <w:bCs/>
          <w:noProof/>
          <w:sz w:val="24"/>
          <w:szCs w:val="24"/>
          <w:vertAlign w:val="superscript"/>
          <w:lang w:val="en-US"/>
        </w:rPr>
        <w:t>18</w:t>
      </w:r>
      <w:r w:rsidRPr="00B729B8">
        <w:rPr>
          <w:rFonts w:ascii="Times New Roman" w:hAnsi="Times New Roman" w:cs="Times New Roman"/>
          <w:bCs/>
          <w:sz w:val="24"/>
          <w:szCs w:val="24"/>
          <w:lang w:val="en-US"/>
        </w:rPr>
        <w:t xml:space="preserve">. In addition, up to 80% adult smokers randomly assigned to behavioral support + e-cigarettes (compared to behavioral support + nicotine replacement therapy, NRT) reported still using e-cigarettes after 52 weeks compared to 9% who were still using NRT </w:t>
      </w:r>
      <w:r w:rsidR="00FC525E" w:rsidRPr="00B729B8">
        <w:rPr>
          <w:rFonts w:ascii="Times New Roman" w:hAnsi="Times New Roman" w:cs="Times New Roman"/>
          <w:bCs/>
          <w:noProof/>
          <w:sz w:val="24"/>
          <w:szCs w:val="24"/>
          <w:vertAlign w:val="superscript"/>
          <w:lang w:val="en-US"/>
        </w:rPr>
        <w:t>19</w:t>
      </w:r>
      <w:r w:rsidRPr="00B729B8">
        <w:rPr>
          <w:rFonts w:ascii="Times New Roman" w:hAnsi="Times New Roman" w:cs="Times New Roman"/>
          <w:bCs/>
          <w:sz w:val="24"/>
          <w:szCs w:val="24"/>
          <w:lang w:val="en-US"/>
        </w:rPr>
        <w:t xml:space="preserve"> and, in adolescents, 31.4% of dual users reported being exclusive e-cigarettes uses after 12 months,</w:t>
      </w:r>
      <w:r w:rsidR="00FC525E" w:rsidRPr="00B729B8">
        <w:rPr>
          <w:rFonts w:ascii="Times New Roman" w:hAnsi="Times New Roman" w:cs="Times New Roman"/>
          <w:bCs/>
          <w:noProof/>
          <w:sz w:val="24"/>
          <w:szCs w:val="24"/>
          <w:vertAlign w:val="superscript"/>
          <w:lang w:val="en-US"/>
        </w:rPr>
        <w:t>20</w:t>
      </w:r>
      <w:r w:rsidRPr="00B729B8">
        <w:rPr>
          <w:rFonts w:ascii="Times New Roman" w:hAnsi="Times New Roman" w:cs="Times New Roman"/>
          <w:bCs/>
          <w:sz w:val="24"/>
          <w:szCs w:val="24"/>
          <w:lang w:val="en-US"/>
        </w:rPr>
        <w:t xml:space="preserve"> suggesting a sustained behavioral pattern.</w:t>
      </w:r>
    </w:p>
    <w:p w14:paraId="1ABA9397" w14:textId="5BE5E895" w:rsidR="009E5839" w:rsidRPr="00B729B8" w:rsidRDefault="009E5839" w:rsidP="0004163C">
      <w:pPr>
        <w:spacing w:line="480" w:lineRule="auto"/>
        <w:ind w:firstLine="708"/>
        <w:rPr>
          <w:rFonts w:ascii="Times New Roman" w:hAnsi="Times New Roman" w:cs="Times New Roman"/>
          <w:bCs/>
          <w:sz w:val="24"/>
          <w:szCs w:val="24"/>
          <w:lang w:val="en-US"/>
        </w:rPr>
      </w:pPr>
      <w:r w:rsidRPr="00B729B8">
        <w:rPr>
          <w:rFonts w:ascii="Times New Roman" w:hAnsi="Times New Roman" w:cs="Times New Roman"/>
          <w:bCs/>
          <w:sz w:val="24"/>
          <w:szCs w:val="24"/>
          <w:lang w:val="en-US"/>
        </w:rPr>
        <w:t xml:space="preserve">Young adulthood is a high-priority population because smoking and e-cigarettes use are typically initiated between adolescence and this developmental period, </w:t>
      </w:r>
      <w:r w:rsidR="00FC525E" w:rsidRPr="00B729B8">
        <w:rPr>
          <w:rFonts w:ascii="Times New Roman" w:hAnsi="Times New Roman" w:cs="Times New Roman"/>
          <w:bCs/>
          <w:noProof/>
          <w:sz w:val="24"/>
          <w:szCs w:val="24"/>
          <w:vertAlign w:val="superscript"/>
          <w:lang w:val="en-US"/>
        </w:rPr>
        <w:t>21,22</w:t>
      </w:r>
      <w:r w:rsidRPr="00B729B8">
        <w:rPr>
          <w:rFonts w:ascii="Times New Roman" w:hAnsi="Times New Roman" w:cs="Times New Roman"/>
          <w:bCs/>
          <w:sz w:val="24"/>
          <w:szCs w:val="24"/>
          <w:lang w:val="en-US"/>
        </w:rPr>
        <w:t xml:space="preserve"> and young adult behaviors can forecast longstanding smoking and e-cigarette behavior </w:t>
      </w:r>
      <w:r w:rsidR="00FC525E" w:rsidRPr="00B729B8">
        <w:rPr>
          <w:rFonts w:ascii="Times New Roman" w:hAnsi="Times New Roman" w:cs="Times New Roman"/>
          <w:bCs/>
          <w:noProof/>
          <w:sz w:val="24"/>
          <w:szCs w:val="24"/>
          <w:vertAlign w:val="superscript"/>
          <w:lang w:val="en-US"/>
        </w:rPr>
        <w:t>23,24</w:t>
      </w:r>
      <w:r w:rsidRPr="00B729B8">
        <w:rPr>
          <w:rFonts w:ascii="Times New Roman" w:hAnsi="Times New Roman" w:cs="Times New Roman"/>
          <w:bCs/>
          <w:sz w:val="24"/>
          <w:szCs w:val="24"/>
          <w:lang w:val="en-US"/>
        </w:rPr>
        <w:t xml:space="preserve">. Moreover, binge drinking is of particular relevance because it is highly prevalent in young adults </w:t>
      </w:r>
      <w:r w:rsidR="00FC525E" w:rsidRPr="00B729B8">
        <w:rPr>
          <w:rFonts w:ascii="Times New Roman" w:hAnsi="Times New Roman" w:cs="Times New Roman"/>
          <w:bCs/>
          <w:noProof/>
          <w:sz w:val="24"/>
          <w:szCs w:val="24"/>
          <w:vertAlign w:val="superscript"/>
          <w:lang w:val="en-US"/>
        </w:rPr>
        <w:t>25</w:t>
      </w:r>
      <w:r w:rsidRPr="00B729B8">
        <w:rPr>
          <w:rFonts w:ascii="Times New Roman" w:hAnsi="Times New Roman" w:cs="Times New Roman"/>
          <w:bCs/>
          <w:sz w:val="24"/>
          <w:szCs w:val="24"/>
          <w:lang w:val="en-US"/>
        </w:rPr>
        <w:t xml:space="preserve"> and is associated with both combustible cigarette smoking </w:t>
      </w:r>
      <w:r w:rsidRPr="00B729B8">
        <w:rPr>
          <w:rFonts w:ascii="Times New Roman" w:hAnsi="Times New Roman" w:cs="Times New Roman"/>
          <w:bCs/>
          <w:noProof/>
          <w:sz w:val="24"/>
          <w:szCs w:val="24"/>
          <w:vertAlign w:val="superscript"/>
          <w:lang w:val="en-US"/>
        </w:rPr>
        <w:t>2</w:t>
      </w:r>
      <w:r w:rsidR="00FC525E" w:rsidRPr="00B729B8">
        <w:rPr>
          <w:rFonts w:ascii="Times New Roman" w:hAnsi="Times New Roman" w:cs="Times New Roman"/>
          <w:bCs/>
          <w:noProof/>
          <w:sz w:val="24"/>
          <w:szCs w:val="24"/>
          <w:vertAlign w:val="superscript"/>
          <w:lang w:val="en-US"/>
        </w:rPr>
        <w:t>6,27</w:t>
      </w:r>
      <w:r w:rsidRPr="00B729B8">
        <w:rPr>
          <w:rFonts w:ascii="Times New Roman" w:hAnsi="Times New Roman" w:cs="Times New Roman"/>
          <w:bCs/>
          <w:sz w:val="24"/>
          <w:szCs w:val="24"/>
          <w:lang w:val="en-US"/>
        </w:rPr>
        <w:t xml:space="preserve"> and e-cigarette use </w:t>
      </w:r>
      <w:r w:rsidR="005050C0" w:rsidRPr="00B729B8">
        <w:rPr>
          <w:rFonts w:ascii="Times New Roman" w:hAnsi="Times New Roman" w:cs="Times New Roman"/>
          <w:bCs/>
          <w:noProof/>
          <w:sz w:val="24"/>
          <w:szCs w:val="24"/>
          <w:vertAlign w:val="superscript"/>
          <w:lang w:val="en-US"/>
        </w:rPr>
        <w:t>27,28</w:t>
      </w:r>
      <w:r w:rsidRPr="00B729B8">
        <w:rPr>
          <w:rFonts w:ascii="Times New Roman" w:hAnsi="Times New Roman" w:cs="Times New Roman"/>
          <w:bCs/>
          <w:sz w:val="24"/>
          <w:szCs w:val="24"/>
          <w:lang w:val="en-US"/>
        </w:rPr>
        <w:t xml:space="preserve">. Higher prevalence of binge drinking has also been reported in dual and exclusive e-cigarette users, compared to cigarette smokers and non-users </w:t>
      </w:r>
      <w:r w:rsidR="005050C0" w:rsidRPr="00B729B8">
        <w:rPr>
          <w:rFonts w:ascii="Times New Roman" w:hAnsi="Times New Roman" w:cs="Times New Roman"/>
          <w:bCs/>
          <w:noProof/>
          <w:sz w:val="24"/>
          <w:szCs w:val="24"/>
          <w:vertAlign w:val="superscript"/>
          <w:lang w:val="en-US"/>
        </w:rPr>
        <w:t>3</w:t>
      </w:r>
      <w:r w:rsidRPr="00B729B8">
        <w:rPr>
          <w:rFonts w:ascii="Times New Roman" w:hAnsi="Times New Roman" w:cs="Times New Roman"/>
          <w:bCs/>
          <w:sz w:val="24"/>
          <w:szCs w:val="24"/>
          <w:lang w:val="en-US"/>
        </w:rPr>
        <w:t xml:space="preserve">. Finally, because alcohol and tobacco are synergistic in terms of carcinogenicity and other harms </w:t>
      </w:r>
      <w:r w:rsidR="005050C0" w:rsidRPr="00B729B8">
        <w:rPr>
          <w:rFonts w:ascii="Times New Roman" w:hAnsi="Times New Roman" w:cs="Times New Roman"/>
          <w:bCs/>
          <w:noProof/>
          <w:sz w:val="24"/>
          <w:szCs w:val="24"/>
          <w:vertAlign w:val="superscript"/>
          <w:lang w:val="en-US"/>
        </w:rPr>
        <w:t>29</w:t>
      </w:r>
      <w:r w:rsidRPr="00B729B8">
        <w:rPr>
          <w:rFonts w:ascii="Times New Roman" w:hAnsi="Times New Roman" w:cs="Times New Roman"/>
          <w:bCs/>
          <w:sz w:val="24"/>
          <w:szCs w:val="24"/>
          <w:lang w:val="en-US"/>
        </w:rPr>
        <w:t xml:space="preserve">, </w:t>
      </w:r>
      <w:r w:rsidR="001F7349" w:rsidRPr="00B729B8">
        <w:rPr>
          <w:rFonts w:ascii="Times New Roman" w:hAnsi="Times New Roman" w:cs="Times New Roman"/>
          <w:bCs/>
          <w:sz w:val="24"/>
          <w:szCs w:val="24"/>
          <w:lang w:val="en-US"/>
        </w:rPr>
        <w:t>discontinuation</w:t>
      </w:r>
      <w:r w:rsidRPr="00B729B8">
        <w:rPr>
          <w:rFonts w:ascii="Times New Roman" w:hAnsi="Times New Roman" w:cs="Times New Roman"/>
          <w:bCs/>
          <w:sz w:val="24"/>
          <w:szCs w:val="24"/>
          <w:lang w:val="en-US"/>
        </w:rPr>
        <w:t>/progression trajectories among binge-drinking young adults may have interactive health significance across the lifespan. Thus, binge drinking young adults constitute a particularly important subgroup in understanding patterns of e-cigarettes and combustible tobacco use.</w:t>
      </w:r>
    </w:p>
    <w:p w14:paraId="02BCB5A4" w14:textId="0A9C8F61" w:rsidR="009E5839" w:rsidRPr="00B729B8" w:rsidRDefault="009E5839" w:rsidP="0004163C">
      <w:pPr>
        <w:spacing w:line="480" w:lineRule="auto"/>
        <w:ind w:firstLine="708"/>
        <w:rPr>
          <w:rFonts w:ascii="Times New Roman" w:hAnsi="Times New Roman" w:cs="Times New Roman"/>
          <w:bCs/>
          <w:sz w:val="24"/>
          <w:szCs w:val="24"/>
          <w:lang w:val="en-US"/>
        </w:rPr>
      </w:pPr>
      <w:r w:rsidRPr="00B729B8">
        <w:rPr>
          <w:rFonts w:ascii="Times New Roman" w:hAnsi="Times New Roman" w:cs="Times New Roman"/>
          <w:bCs/>
          <w:sz w:val="24"/>
          <w:szCs w:val="24"/>
          <w:lang w:val="en-US"/>
        </w:rPr>
        <w:t xml:space="preserve">Despite these issues, few studies have explored patterns of changes over time, in general or in high-risk subpopulations. Coleman et al </w:t>
      </w:r>
      <w:r w:rsidR="005050C0" w:rsidRPr="00B729B8">
        <w:rPr>
          <w:rFonts w:ascii="Times New Roman" w:hAnsi="Times New Roman" w:cs="Times New Roman"/>
          <w:bCs/>
          <w:noProof/>
          <w:sz w:val="24"/>
          <w:szCs w:val="24"/>
          <w:vertAlign w:val="superscript"/>
          <w:lang w:val="en-US"/>
        </w:rPr>
        <w:t>30</w:t>
      </w:r>
      <w:r w:rsidRPr="00B729B8">
        <w:rPr>
          <w:rFonts w:ascii="Times New Roman" w:hAnsi="Times New Roman" w:cs="Times New Roman"/>
          <w:bCs/>
          <w:sz w:val="24"/>
          <w:szCs w:val="24"/>
          <w:lang w:val="en-US"/>
        </w:rPr>
        <w:t xml:space="preserve"> analyzed transitions between combustible cigarette and e-cigarettes use in young adults and found that nearly half of exclusive e-cigarette users discontinued their use after one year, only 5% of dual users transitioned to exclusive e-cigarettes use, and 7% transitioned to complete abstinence. However, the authors did not consider conditional probabilities of transition and</w:t>
      </w:r>
      <w:r w:rsidRPr="00B729B8">
        <w:rPr>
          <w:lang w:val="en-US"/>
        </w:rPr>
        <w:t xml:space="preserve"> </w:t>
      </w:r>
      <w:r w:rsidRPr="00B729B8">
        <w:rPr>
          <w:rFonts w:ascii="Times New Roman" w:hAnsi="Times New Roman" w:cs="Times New Roman"/>
          <w:bCs/>
          <w:sz w:val="24"/>
          <w:szCs w:val="24"/>
          <w:lang w:val="en-US"/>
        </w:rPr>
        <w:t xml:space="preserve">the study assessed a single one-year period. To overcome this limitation, </w:t>
      </w:r>
      <w:r w:rsidRPr="00B729B8">
        <w:rPr>
          <w:rFonts w:ascii="Times New Roman" w:hAnsi="Times New Roman" w:cs="Times New Roman"/>
          <w:bCs/>
          <w:noProof/>
          <w:sz w:val="24"/>
          <w:szCs w:val="24"/>
          <w:lang w:val="en-US"/>
        </w:rPr>
        <w:t xml:space="preserve">Hair et al </w:t>
      </w:r>
      <w:r w:rsidRPr="00B729B8">
        <w:rPr>
          <w:rFonts w:ascii="Times New Roman" w:hAnsi="Times New Roman" w:cs="Times New Roman"/>
          <w:bCs/>
          <w:noProof/>
          <w:sz w:val="24"/>
          <w:szCs w:val="24"/>
          <w:vertAlign w:val="superscript"/>
          <w:lang w:val="en-US"/>
        </w:rPr>
        <w:t>2</w:t>
      </w:r>
      <w:r w:rsidR="005050C0" w:rsidRPr="00B729B8">
        <w:rPr>
          <w:rFonts w:ascii="Times New Roman" w:hAnsi="Times New Roman" w:cs="Times New Roman"/>
          <w:bCs/>
          <w:noProof/>
          <w:sz w:val="24"/>
          <w:szCs w:val="24"/>
          <w:vertAlign w:val="superscript"/>
          <w:lang w:val="en-US"/>
        </w:rPr>
        <w:t>4</w:t>
      </w:r>
      <w:r w:rsidRPr="00B729B8">
        <w:rPr>
          <w:rFonts w:ascii="Times New Roman" w:hAnsi="Times New Roman" w:cs="Times New Roman"/>
          <w:bCs/>
          <w:sz w:val="24"/>
          <w:szCs w:val="24"/>
          <w:lang w:val="en-US"/>
        </w:rPr>
        <w:t xml:space="preserve"> analyzed transitions from baseline to several assessments over increasing intervals. However, this study did not examine changes between those intervals and the study sample included mainly adolescents (i.e., 15-21 years old). Additionally, as authors combined cigarettes, cigars and hookah into a single category of “combustible use”, and e-cigarettes and e-hookah into “ENDS” (electronic nicotine delivery systems), it was not possible to isolate the most common form of dual use (i.e., combustible cigarettes+e-cigarettes). Finally, </w:t>
      </w:r>
      <w:r w:rsidRPr="00B729B8">
        <w:rPr>
          <w:rFonts w:ascii="Times New Roman" w:hAnsi="Times New Roman" w:cs="Times New Roman"/>
          <w:bCs/>
          <w:noProof/>
          <w:sz w:val="24"/>
          <w:szCs w:val="24"/>
          <w:lang w:val="en-US"/>
        </w:rPr>
        <w:t xml:space="preserve">Clendennen et al </w:t>
      </w:r>
      <w:r w:rsidRPr="00B729B8">
        <w:rPr>
          <w:rFonts w:ascii="Times New Roman" w:hAnsi="Times New Roman" w:cs="Times New Roman"/>
          <w:bCs/>
          <w:noProof/>
          <w:sz w:val="24"/>
          <w:szCs w:val="24"/>
          <w:vertAlign w:val="superscript"/>
          <w:lang w:val="en-US"/>
        </w:rPr>
        <w:t>3</w:t>
      </w:r>
      <w:r w:rsidR="005050C0" w:rsidRPr="00B729B8">
        <w:rPr>
          <w:rFonts w:ascii="Times New Roman" w:hAnsi="Times New Roman" w:cs="Times New Roman"/>
          <w:bCs/>
          <w:noProof/>
          <w:sz w:val="24"/>
          <w:szCs w:val="24"/>
          <w:vertAlign w:val="superscript"/>
          <w:lang w:val="en-US"/>
        </w:rPr>
        <w:t>1</w:t>
      </w:r>
      <w:r w:rsidRPr="00B729B8">
        <w:rPr>
          <w:rFonts w:ascii="Times New Roman" w:hAnsi="Times New Roman" w:cs="Times New Roman"/>
          <w:bCs/>
          <w:sz w:val="24"/>
          <w:szCs w:val="24"/>
          <w:lang w:val="en-US"/>
        </w:rPr>
        <w:t xml:space="preserve"> used a latent transition analysis (LTA) to explore patterns of use and transitions using separate indicators among individuals aged 18-29. The authors found four classes of users and a non-use group but no evidence of transition from dual (“poly-cigarette use”) to any other use during the 1.5-year period analyzed. Interestingly, those having experimented with e-cigarettes and hookah (“e-cigarette &amp; hookah experimenters”) only transitioned to either the “poly-cigarette use” or the “poly-experimental use” classes. Notwithstanding these interesting results, all but one class represented experimental use of different tobacco products, which limits their generalization to regular or current users.</w:t>
      </w:r>
      <w:r w:rsidRPr="00B729B8" w:rsidDel="0064490B">
        <w:rPr>
          <w:rFonts w:ascii="Times New Roman" w:hAnsi="Times New Roman" w:cs="Times New Roman"/>
          <w:bCs/>
          <w:sz w:val="24"/>
          <w:szCs w:val="24"/>
          <w:lang w:val="en-US"/>
        </w:rPr>
        <w:t xml:space="preserve"> </w:t>
      </w:r>
    </w:p>
    <w:p w14:paraId="1C910762" w14:textId="6D9B6334" w:rsidR="009E5839" w:rsidRPr="00B729B8" w:rsidRDefault="00332E68" w:rsidP="0004163C">
      <w:pPr>
        <w:spacing w:line="480" w:lineRule="auto"/>
        <w:ind w:firstLine="708"/>
        <w:rPr>
          <w:rFonts w:ascii="Times New Roman" w:hAnsi="Times New Roman" w:cs="Times New Roman"/>
          <w:b/>
          <w:bCs/>
          <w:sz w:val="24"/>
          <w:szCs w:val="24"/>
          <w:lang w:val="en-US"/>
        </w:rPr>
      </w:pPr>
      <w:r w:rsidRPr="00B729B8">
        <w:rPr>
          <w:rFonts w:ascii="Times New Roman" w:hAnsi="Times New Roman" w:cs="Times New Roman"/>
          <w:bCs/>
          <w:sz w:val="24"/>
          <w:szCs w:val="24"/>
          <w:lang w:val="en-US"/>
        </w:rPr>
        <w:t xml:space="preserve">To </w:t>
      </w:r>
      <w:r w:rsidR="009E5839" w:rsidRPr="00B729B8">
        <w:rPr>
          <w:rFonts w:ascii="Times New Roman" w:hAnsi="Times New Roman" w:cs="Times New Roman"/>
          <w:bCs/>
          <w:sz w:val="24"/>
          <w:szCs w:val="24"/>
          <w:lang w:val="en-US"/>
        </w:rPr>
        <w:t xml:space="preserve">address these questions about patterns of e-cig and combustible cigarette use over time, the current study </w:t>
      </w:r>
      <w:r w:rsidR="00735BDA" w:rsidRPr="00B729B8">
        <w:rPr>
          <w:rFonts w:ascii="Times New Roman" w:hAnsi="Times New Roman" w:cs="Times New Roman"/>
          <w:bCs/>
          <w:sz w:val="24"/>
          <w:szCs w:val="24"/>
          <w:lang w:val="en-US"/>
        </w:rPr>
        <w:t xml:space="preserve">examined longitudinal </w:t>
      </w:r>
      <w:r w:rsidR="009E5839" w:rsidRPr="00B729B8">
        <w:rPr>
          <w:rFonts w:ascii="Times New Roman" w:hAnsi="Times New Roman" w:cs="Times New Roman"/>
          <w:bCs/>
          <w:sz w:val="24"/>
          <w:szCs w:val="24"/>
          <w:lang w:val="en-US"/>
        </w:rPr>
        <w:t xml:space="preserve">patterns in two samples of binge drinking young adults from the US and Canada. </w:t>
      </w:r>
      <w:r w:rsidR="00A9723D" w:rsidRPr="00B729B8">
        <w:rPr>
          <w:rFonts w:ascii="Times New Roman" w:hAnsi="Times New Roman" w:cs="Times New Roman"/>
          <w:bCs/>
          <w:sz w:val="24"/>
          <w:szCs w:val="24"/>
          <w:lang w:val="en-US"/>
        </w:rPr>
        <w:t xml:space="preserve">Considering the association between binge drinking and e-cig use, the present sample represents a unique opportunity to explore natural transitions between patterns of e-cig and combustible cigarette use. </w:t>
      </w:r>
      <w:r w:rsidR="00433932" w:rsidRPr="00B729B8">
        <w:rPr>
          <w:rFonts w:ascii="Times New Roman" w:hAnsi="Times New Roman" w:cs="Times New Roman"/>
          <w:bCs/>
          <w:sz w:val="24"/>
          <w:szCs w:val="24"/>
          <w:lang w:val="en-US"/>
        </w:rPr>
        <w:t xml:space="preserve">Patterns present in this sample </w:t>
      </w:r>
      <w:r w:rsidR="00FD5E29" w:rsidRPr="00B729B8">
        <w:rPr>
          <w:rFonts w:ascii="Times New Roman" w:hAnsi="Times New Roman" w:cs="Times New Roman"/>
          <w:bCs/>
          <w:sz w:val="24"/>
          <w:szCs w:val="24"/>
          <w:lang w:val="en-US"/>
        </w:rPr>
        <w:t xml:space="preserve">are </w:t>
      </w:r>
      <w:r w:rsidR="0000261B" w:rsidRPr="00B729B8">
        <w:rPr>
          <w:rFonts w:ascii="Times New Roman" w:hAnsi="Times New Roman" w:cs="Times New Roman"/>
          <w:bCs/>
          <w:sz w:val="24"/>
          <w:szCs w:val="24"/>
          <w:lang w:val="en-US"/>
        </w:rPr>
        <w:t xml:space="preserve">both of public health relevance </w:t>
      </w:r>
      <w:r w:rsidR="00B34BFB" w:rsidRPr="00B729B8">
        <w:rPr>
          <w:rFonts w:ascii="Times New Roman" w:hAnsi="Times New Roman" w:cs="Times New Roman"/>
          <w:bCs/>
          <w:sz w:val="24"/>
          <w:szCs w:val="24"/>
          <w:lang w:val="en-US"/>
        </w:rPr>
        <w:t xml:space="preserve">for </w:t>
      </w:r>
      <w:r w:rsidR="003E1177" w:rsidRPr="00B729B8">
        <w:rPr>
          <w:rFonts w:ascii="Times New Roman" w:hAnsi="Times New Roman" w:cs="Times New Roman"/>
          <w:bCs/>
          <w:sz w:val="24"/>
          <w:szCs w:val="24"/>
          <w:lang w:val="en-US"/>
        </w:rPr>
        <w:t xml:space="preserve">this high-risk cohort </w:t>
      </w:r>
      <w:r w:rsidR="0000261B" w:rsidRPr="00B729B8">
        <w:rPr>
          <w:rFonts w:ascii="Times New Roman" w:hAnsi="Times New Roman" w:cs="Times New Roman"/>
          <w:bCs/>
          <w:sz w:val="24"/>
          <w:szCs w:val="24"/>
          <w:lang w:val="en-US"/>
        </w:rPr>
        <w:t xml:space="preserve">and </w:t>
      </w:r>
      <w:r w:rsidR="00433932" w:rsidRPr="00B729B8">
        <w:rPr>
          <w:rFonts w:ascii="Times New Roman" w:hAnsi="Times New Roman" w:cs="Times New Roman"/>
          <w:bCs/>
          <w:sz w:val="24"/>
          <w:szCs w:val="24"/>
          <w:lang w:val="en-US"/>
        </w:rPr>
        <w:t xml:space="preserve">may </w:t>
      </w:r>
      <w:r w:rsidR="00B34BFB" w:rsidRPr="00B729B8">
        <w:rPr>
          <w:rFonts w:ascii="Times New Roman" w:hAnsi="Times New Roman" w:cs="Times New Roman"/>
          <w:bCs/>
          <w:sz w:val="24"/>
          <w:szCs w:val="24"/>
          <w:lang w:val="en-US"/>
        </w:rPr>
        <w:t xml:space="preserve">potentially </w:t>
      </w:r>
      <w:r w:rsidR="00433932" w:rsidRPr="00B729B8">
        <w:rPr>
          <w:rFonts w:ascii="Times New Roman" w:hAnsi="Times New Roman" w:cs="Times New Roman"/>
          <w:bCs/>
          <w:sz w:val="24"/>
          <w:szCs w:val="24"/>
          <w:lang w:val="en-US"/>
        </w:rPr>
        <w:t xml:space="preserve">inform problematic </w:t>
      </w:r>
      <w:r w:rsidR="006D50AD" w:rsidRPr="00B729B8">
        <w:rPr>
          <w:rFonts w:ascii="Times New Roman" w:hAnsi="Times New Roman" w:cs="Times New Roman"/>
          <w:bCs/>
          <w:sz w:val="24"/>
          <w:szCs w:val="24"/>
          <w:lang w:val="en-US"/>
        </w:rPr>
        <w:t>trajectories in the broader population</w:t>
      </w:r>
      <w:r w:rsidR="00433932" w:rsidRPr="00B729B8">
        <w:rPr>
          <w:rFonts w:ascii="Times New Roman" w:hAnsi="Times New Roman" w:cs="Times New Roman"/>
          <w:bCs/>
          <w:sz w:val="24"/>
          <w:szCs w:val="24"/>
          <w:lang w:val="en-US"/>
        </w:rPr>
        <w:t>.</w:t>
      </w:r>
      <w:r w:rsidR="00F86643" w:rsidRPr="00B729B8">
        <w:rPr>
          <w:rFonts w:ascii="Times New Roman" w:hAnsi="Times New Roman" w:cs="Times New Roman"/>
          <w:bCs/>
          <w:sz w:val="24"/>
          <w:szCs w:val="24"/>
          <w:lang w:val="en-US"/>
        </w:rPr>
        <w:t xml:space="preserve"> </w:t>
      </w:r>
      <w:r w:rsidR="009E5839" w:rsidRPr="00B729B8">
        <w:rPr>
          <w:rFonts w:ascii="Times New Roman" w:hAnsi="Times New Roman" w:cs="Times New Roman"/>
          <w:bCs/>
          <w:sz w:val="24"/>
          <w:szCs w:val="24"/>
          <w:lang w:val="en-US"/>
        </w:rPr>
        <w:t xml:space="preserve">Specifically, this study sought to: 1) characterize distinct subpopulations based on their pattern of use across four assessments during a 24-month period; 2) examine the most probable transitions between patterns over time; and 3) examine differences between subpopulations in sociodemographic and </w:t>
      </w:r>
      <w:r w:rsidR="009E5839" w:rsidRPr="00B729B8">
        <w:rPr>
          <w:rFonts w:ascii="Times New Roman" w:hAnsi="Times New Roman" w:cs="Times New Roman"/>
          <w:sz w:val="24"/>
          <w:szCs w:val="24"/>
          <w:lang w:val="en-US"/>
        </w:rPr>
        <w:t>alcohol severity variables</w:t>
      </w:r>
      <w:r w:rsidR="009E5839" w:rsidRPr="00B729B8">
        <w:rPr>
          <w:rFonts w:ascii="Times New Roman" w:hAnsi="Times New Roman" w:cs="Times New Roman"/>
          <w:bCs/>
          <w:sz w:val="24"/>
          <w:szCs w:val="24"/>
          <w:lang w:val="en-US"/>
        </w:rPr>
        <w:t xml:space="preserve">. </w:t>
      </w:r>
      <w:r w:rsidR="00735BDA" w:rsidRPr="00B729B8">
        <w:rPr>
          <w:rFonts w:ascii="Times New Roman" w:hAnsi="Times New Roman" w:cs="Times New Roman"/>
          <w:bCs/>
          <w:sz w:val="24"/>
          <w:szCs w:val="24"/>
          <w:lang w:val="en-US"/>
        </w:rPr>
        <w:t>W</w:t>
      </w:r>
      <w:r w:rsidRPr="00B729B8">
        <w:rPr>
          <w:rFonts w:ascii="Times New Roman" w:hAnsi="Times New Roman" w:cs="Times New Roman"/>
          <w:bCs/>
          <w:sz w:val="24"/>
          <w:szCs w:val="24"/>
          <w:lang w:val="en-US"/>
        </w:rPr>
        <w:t xml:space="preserve">e </w:t>
      </w:r>
      <w:r w:rsidR="00735BDA" w:rsidRPr="00B729B8">
        <w:rPr>
          <w:rFonts w:ascii="Times New Roman" w:hAnsi="Times New Roman" w:cs="Times New Roman"/>
          <w:bCs/>
          <w:sz w:val="24"/>
          <w:szCs w:val="24"/>
          <w:lang w:val="en-US"/>
        </w:rPr>
        <w:t xml:space="preserve">predicted </w:t>
      </w:r>
      <w:r w:rsidR="009E5839" w:rsidRPr="00B729B8">
        <w:rPr>
          <w:rFonts w:ascii="Times New Roman" w:hAnsi="Times New Roman" w:cs="Times New Roman"/>
          <w:bCs/>
          <w:sz w:val="24"/>
          <w:szCs w:val="24"/>
          <w:lang w:val="en-US"/>
        </w:rPr>
        <w:t xml:space="preserve">that </w:t>
      </w:r>
      <w:r w:rsidR="00082CDD" w:rsidRPr="00B729B8">
        <w:rPr>
          <w:rFonts w:ascii="Times New Roman" w:hAnsi="Times New Roman" w:cs="Times New Roman"/>
          <w:bCs/>
          <w:sz w:val="24"/>
          <w:szCs w:val="24"/>
          <w:lang w:val="en-US"/>
        </w:rPr>
        <w:t>four</w:t>
      </w:r>
      <w:r w:rsidR="009E5839" w:rsidRPr="00B729B8">
        <w:rPr>
          <w:rFonts w:ascii="Times New Roman" w:hAnsi="Times New Roman" w:cs="Times New Roman"/>
          <w:bCs/>
          <w:sz w:val="24"/>
          <w:szCs w:val="24"/>
          <w:lang w:val="en-US"/>
        </w:rPr>
        <w:t xml:space="preserve"> classes would emerge (non-smokers, exclusive combustible cigarette smokers</w:t>
      </w:r>
      <w:r w:rsidR="00082CDD" w:rsidRPr="00B729B8">
        <w:rPr>
          <w:rFonts w:ascii="Times New Roman" w:hAnsi="Times New Roman" w:cs="Times New Roman"/>
          <w:bCs/>
          <w:sz w:val="24"/>
          <w:szCs w:val="24"/>
          <w:lang w:val="en-US"/>
        </w:rPr>
        <w:t>, exclusive e-cig users</w:t>
      </w:r>
      <w:r w:rsidR="009E5839" w:rsidRPr="00B729B8">
        <w:rPr>
          <w:rFonts w:ascii="Times New Roman" w:hAnsi="Times New Roman" w:cs="Times New Roman"/>
          <w:bCs/>
          <w:sz w:val="24"/>
          <w:szCs w:val="24"/>
          <w:lang w:val="en-US"/>
        </w:rPr>
        <w:t xml:space="preserve"> and dual users)</w:t>
      </w:r>
      <w:r w:rsidR="00082CDD" w:rsidRPr="00B729B8">
        <w:rPr>
          <w:rFonts w:ascii="Times New Roman" w:hAnsi="Times New Roman" w:cs="Times New Roman"/>
          <w:bCs/>
          <w:sz w:val="24"/>
          <w:szCs w:val="24"/>
          <w:lang w:val="en-US"/>
        </w:rPr>
        <w:t xml:space="preserve">. </w:t>
      </w:r>
      <w:r w:rsidR="00160945" w:rsidRPr="00B729B8">
        <w:rPr>
          <w:rFonts w:ascii="Times New Roman" w:hAnsi="Times New Roman" w:cs="Times New Roman"/>
          <w:bCs/>
          <w:sz w:val="24"/>
          <w:szCs w:val="24"/>
          <w:lang w:val="en-US"/>
        </w:rPr>
        <w:t xml:space="preserve">Although there are </w:t>
      </w:r>
      <w:r w:rsidR="00082CDD" w:rsidRPr="00B729B8">
        <w:rPr>
          <w:rFonts w:ascii="Times New Roman" w:hAnsi="Times New Roman" w:cs="Times New Roman"/>
          <w:bCs/>
          <w:sz w:val="24"/>
          <w:szCs w:val="24"/>
          <w:lang w:val="en-US"/>
        </w:rPr>
        <w:t>conflicting findings</w:t>
      </w:r>
      <w:r w:rsidR="00160945" w:rsidRPr="00B729B8">
        <w:rPr>
          <w:rFonts w:ascii="Times New Roman" w:hAnsi="Times New Roman" w:cs="Times New Roman"/>
          <w:bCs/>
          <w:sz w:val="24"/>
          <w:szCs w:val="24"/>
          <w:lang w:val="en-US"/>
        </w:rPr>
        <w:t xml:space="preserve"> in the literature</w:t>
      </w:r>
      <w:r w:rsidR="00082CDD" w:rsidRPr="00B729B8">
        <w:rPr>
          <w:rFonts w:ascii="Times New Roman" w:hAnsi="Times New Roman" w:cs="Times New Roman"/>
          <w:bCs/>
          <w:sz w:val="24"/>
          <w:szCs w:val="24"/>
          <w:lang w:val="en-US"/>
        </w:rPr>
        <w:t>, we hypothesize</w:t>
      </w:r>
      <w:r w:rsidR="00160945" w:rsidRPr="00B729B8">
        <w:rPr>
          <w:rFonts w:ascii="Times New Roman" w:hAnsi="Times New Roman" w:cs="Times New Roman"/>
          <w:bCs/>
          <w:sz w:val="24"/>
          <w:szCs w:val="24"/>
          <w:lang w:val="en-US"/>
        </w:rPr>
        <w:t>d</w:t>
      </w:r>
      <w:r w:rsidR="00082CDD" w:rsidRPr="00B729B8">
        <w:rPr>
          <w:rFonts w:ascii="Times New Roman" w:hAnsi="Times New Roman" w:cs="Times New Roman"/>
          <w:bCs/>
          <w:sz w:val="24"/>
          <w:szCs w:val="24"/>
          <w:lang w:val="en-US"/>
        </w:rPr>
        <w:t xml:space="preserve"> </w:t>
      </w:r>
      <w:r w:rsidR="00B34BFB" w:rsidRPr="00B729B8">
        <w:rPr>
          <w:rFonts w:ascii="Times New Roman" w:hAnsi="Times New Roman" w:cs="Times New Roman"/>
          <w:bCs/>
          <w:sz w:val="24"/>
          <w:szCs w:val="24"/>
          <w:lang w:val="en-US"/>
        </w:rPr>
        <w:t xml:space="preserve">that </w:t>
      </w:r>
      <w:r w:rsidR="00082CDD" w:rsidRPr="00B729B8">
        <w:rPr>
          <w:rFonts w:ascii="Times New Roman" w:hAnsi="Times New Roman" w:cs="Times New Roman"/>
          <w:bCs/>
          <w:sz w:val="24"/>
          <w:szCs w:val="24"/>
          <w:lang w:val="en-US"/>
        </w:rPr>
        <w:t xml:space="preserve">dual use </w:t>
      </w:r>
      <w:r w:rsidR="00160945" w:rsidRPr="00B729B8">
        <w:rPr>
          <w:rFonts w:ascii="Times New Roman" w:hAnsi="Times New Roman" w:cs="Times New Roman"/>
          <w:bCs/>
          <w:sz w:val="24"/>
          <w:szCs w:val="24"/>
          <w:lang w:val="en-US"/>
        </w:rPr>
        <w:t xml:space="preserve">would </w:t>
      </w:r>
      <w:r w:rsidR="00082CDD" w:rsidRPr="00B729B8">
        <w:rPr>
          <w:rFonts w:ascii="Times New Roman" w:hAnsi="Times New Roman" w:cs="Times New Roman"/>
          <w:bCs/>
          <w:sz w:val="24"/>
          <w:szCs w:val="24"/>
          <w:lang w:val="en-US"/>
        </w:rPr>
        <w:t>have a deleterious role</w:t>
      </w:r>
      <w:r w:rsidR="00B34BFB" w:rsidRPr="00B729B8">
        <w:rPr>
          <w:rFonts w:ascii="Times New Roman" w:hAnsi="Times New Roman" w:cs="Times New Roman"/>
          <w:bCs/>
          <w:sz w:val="24"/>
          <w:szCs w:val="24"/>
          <w:lang w:val="en-US"/>
        </w:rPr>
        <w:t xml:space="preserve"> on combustible tobacco use,</w:t>
      </w:r>
      <w:r w:rsidR="00082CDD" w:rsidRPr="00B729B8">
        <w:rPr>
          <w:rFonts w:ascii="Times New Roman" w:hAnsi="Times New Roman" w:cs="Times New Roman"/>
          <w:bCs/>
          <w:sz w:val="24"/>
          <w:szCs w:val="24"/>
          <w:lang w:val="en-US"/>
        </w:rPr>
        <w:t xml:space="preserve"> but exclusive e-cig use </w:t>
      </w:r>
      <w:r w:rsidR="00B34BFB" w:rsidRPr="00B729B8">
        <w:rPr>
          <w:rFonts w:ascii="Times New Roman" w:hAnsi="Times New Roman" w:cs="Times New Roman"/>
          <w:bCs/>
          <w:sz w:val="24"/>
          <w:szCs w:val="24"/>
          <w:lang w:val="en-US"/>
        </w:rPr>
        <w:t>would be associated with positive trajectories.</w:t>
      </w:r>
    </w:p>
    <w:p w14:paraId="02D4F3EE" w14:textId="77777777" w:rsidR="009E5839" w:rsidRPr="00B729B8" w:rsidRDefault="009E5839" w:rsidP="0004163C">
      <w:pPr>
        <w:jc w:val="center"/>
        <w:rPr>
          <w:rFonts w:ascii="Times New Roman" w:hAnsi="Times New Roman" w:cs="Times New Roman"/>
          <w:b/>
          <w:bCs/>
          <w:sz w:val="24"/>
          <w:szCs w:val="24"/>
          <w:lang w:val="en-US"/>
        </w:rPr>
      </w:pPr>
      <w:r w:rsidRPr="00B729B8">
        <w:rPr>
          <w:rFonts w:ascii="Times New Roman" w:hAnsi="Times New Roman" w:cs="Times New Roman"/>
          <w:b/>
          <w:bCs/>
          <w:sz w:val="24"/>
          <w:szCs w:val="24"/>
          <w:lang w:val="en-US"/>
        </w:rPr>
        <w:t>METHODS</w:t>
      </w:r>
    </w:p>
    <w:p w14:paraId="3E9E93DA" w14:textId="77777777" w:rsidR="009E5839" w:rsidRPr="00B729B8" w:rsidRDefault="009E5839" w:rsidP="0004163C">
      <w:pPr>
        <w:spacing w:line="480" w:lineRule="auto"/>
        <w:rPr>
          <w:rFonts w:ascii="Times New Roman" w:hAnsi="Times New Roman" w:cs="Times New Roman"/>
          <w:b/>
          <w:bCs/>
          <w:iCs/>
          <w:sz w:val="24"/>
          <w:szCs w:val="24"/>
          <w:lang w:val="en-US"/>
        </w:rPr>
      </w:pPr>
      <w:r w:rsidRPr="00B729B8">
        <w:rPr>
          <w:rFonts w:ascii="Times New Roman" w:hAnsi="Times New Roman" w:cs="Times New Roman"/>
          <w:b/>
          <w:bCs/>
          <w:iCs/>
          <w:sz w:val="24"/>
          <w:szCs w:val="24"/>
          <w:lang w:val="en-US"/>
        </w:rPr>
        <w:t>Participants and Procedure</w:t>
      </w:r>
    </w:p>
    <w:p w14:paraId="649AFA59" w14:textId="630F347E" w:rsidR="009E5839" w:rsidRPr="00B729B8" w:rsidRDefault="009E5839" w:rsidP="0004163C">
      <w:pPr>
        <w:spacing w:line="480" w:lineRule="auto"/>
        <w:rPr>
          <w:rFonts w:ascii="Times New Roman" w:hAnsi="Times New Roman"/>
          <w:sz w:val="24"/>
          <w:szCs w:val="24"/>
          <w:lang w:val="en-US"/>
        </w:rPr>
      </w:pPr>
      <w:r w:rsidRPr="00B729B8">
        <w:rPr>
          <w:rFonts w:ascii="Times New Roman" w:hAnsi="Times New Roman" w:cs="Times New Roman"/>
          <w:bCs/>
          <w:iCs/>
          <w:sz w:val="24"/>
          <w:szCs w:val="24"/>
          <w:lang w:val="en-US"/>
        </w:rPr>
        <w:tab/>
        <w:t xml:space="preserve">The study sample included participants in two independent studies comprising young adult binge drinkers from </w:t>
      </w:r>
      <w:r w:rsidRPr="00B729B8">
        <w:rPr>
          <w:rFonts w:ascii="Times New Roman" w:hAnsi="Times New Roman" w:cs="Times New Roman"/>
          <w:bCs/>
          <w:iCs/>
          <w:color w:val="000000" w:themeColor="text1"/>
          <w:sz w:val="24"/>
          <w:szCs w:val="24"/>
          <w:lang w:val="en-US"/>
        </w:rPr>
        <w:t>Memphis, Tennessee</w:t>
      </w:r>
      <w:r w:rsidRPr="00B729B8">
        <w:rPr>
          <w:rFonts w:ascii="Times New Roman" w:hAnsi="Times New Roman" w:cs="Times New Roman"/>
          <w:bCs/>
          <w:iCs/>
          <w:sz w:val="24"/>
          <w:szCs w:val="24"/>
          <w:lang w:val="en-US"/>
        </w:rPr>
        <w:t>, USA (</w:t>
      </w:r>
      <w:r w:rsidRPr="00B729B8">
        <w:rPr>
          <w:rFonts w:ascii="Times New Roman" w:hAnsi="Times New Roman" w:cs="Times New Roman"/>
          <w:bCs/>
          <w:i/>
          <w:iCs/>
          <w:sz w:val="24"/>
          <w:szCs w:val="24"/>
          <w:lang w:val="en-US"/>
        </w:rPr>
        <w:t>N</w:t>
      </w:r>
      <w:r w:rsidRPr="00B729B8">
        <w:rPr>
          <w:rFonts w:ascii="Times New Roman" w:hAnsi="Times New Roman" w:cs="Times New Roman"/>
          <w:bCs/>
          <w:iCs/>
          <w:sz w:val="24"/>
          <w:szCs w:val="24"/>
          <w:lang w:val="en-US"/>
        </w:rPr>
        <w:t xml:space="preserve"> = 602) and </w:t>
      </w:r>
      <w:r w:rsidRPr="00B729B8">
        <w:rPr>
          <w:rFonts w:ascii="Times New Roman" w:hAnsi="Times New Roman" w:cs="Times New Roman"/>
          <w:bCs/>
          <w:iCs/>
          <w:color w:val="000000" w:themeColor="text1"/>
          <w:sz w:val="24"/>
          <w:szCs w:val="24"/>
          <w:lang w:val="en-US"/>
        </w:rPr>
        <w:t>Hamilton, Ontario</w:t>
      </w:r>
      <w:r w:rsidRPr="00B729B8">
        <w:rPr>
          <w:rFonts w:ascii="Times New Roman" w:hAnsi="Times New Roman" w:cs="Times New Roman"/>
          <w:bCs/>
          <w:iCs/>
          <w:sz w:val="24"/>
          <w:szCs w:val="24"/>
          <w:lang w:val="en-US"/>
        </w:rPr>
        <w:t>, Canada (</w:t>
      </w:r>
      <w:r w:rsidRPr="00B729B8">
        <w:rPr>
          <w:rFonts w:ascii="Times New Roman" w:hAnsi="Times New Roman" w:cs="Times New Roman"/>
          <w:bCs/>
          <w:i/>
          <w:iCs/>
          <w:sz w:val="24"/>
          <w:szCs w:val="24"/>
          <w:lang w:val="en-US"/>
        </w:rPr>
        <w:t xml:space="preserve">N </w:t>
      </w:r>
      <w:r w:rsidRPr="00B729B8">
        <w:rPr>
          <w:rFonts w:ascii="Times New Roman" w:hAnsi="Times New Roman" w:cs="Times New Roman"/>
          <w:bCs/>
          <w:iCs/>
          <w:sz w:val="24"/>
          <w:szCs w:val="24"/>
          <w:lang w:val="en-US"/>
        </w:rPr>
        <w:t xml:space="preserve">= 400). The samples were recruited from the community by means of print, bus, and online advertising. Potential candidates had 1) to be aged 21-24.9 in the US sample (differences are due to differences in legal drinking ages, 19 vs 21) and 19.5 to 23 years old in the Canadian sample, and 2) to report binge drinking (i.e., &gt;3/4 </w:t>
      </w:r>
      <w:r w:rsidR="00AD1FB7" w:rsidRPr="00B729B8">
        <w:rPr>
          <w:rFonts w:ascii="Times New Roman" w:hAnsi="Times New Roman" w:cs="Times New Roman"/>
          <w:bCs/>
          <w:iCs/>
          <w:sz w:val="24"/>
          <w:szCs w:val="24"/>
          <w:lang w:val="en-US"/>
        </w:rPr>
        <w:t>standard drinks of 14</w:t>
      </w:r>
      <w:r w:rsidRPr="00B729B8">
        <w:rPr>
          <w:rFonts w:ascii="Times New Roman" w:hAnsi="Times New Roman" w:cs="Times New Roman"/>
          <w:bCs/>
          <w:iCs/>
          <w:sz w:val="24"/>
          <w:szCs w:val="24"/>
          <w:lang w:val="en-US"/>
        </w:rPr>
        <w:t xml:space="preserve">g of alcohol per episode for females/males, respectively) at least 2-3 times per month. Data from participants completing the baseline assessment and three in-person follow-ups (8-months, 16-months, and 24-months) were used (additional details are in supplemental materials). Data were collected between </w:t>
      </w:r>
      <w:r w:rsidRPr="00B729B8">
        <w:rPr>
          <w:rFonts w:ascii="Times New Roman" w:hAnsi="Times New Roman" w:cs="Times New Roman"/>
          <w:bCs/>
          <w:sz w:val="24"/>
          <w:szCs w:val="24"/>
          <w:lang w:val="en-US"/>
        </w:rPr>
        <w:t>December 2017 and July 2020</w:t>
      </w:r>
      <w:r w:rsidRPr="00B729B8">
        <w:rPr>
          <w:rFonts w:ascii="Times New Roman" w:hAnsi="Times New Roman" w:cs="Times New Roman"/>
          <w:bCs/>
          <w:iCs/>
          <w:sz w:val="24"/>
          <w:szCs w:val="24"/>
          <w:lang w:val="en-US"/>
        </w:rPr>
        <w:t xml:space="preserve">. Both samples were similar in terms of sociodemographic and substance use characteristics, although the US sample was slightly older (22.64 vs 21.39, </w:t>
      </w:r>
      <w:r w:rsidRPr="00B729B8">
        <w:rPr>
          <w:rFonts w:ascii="Times New Roman" w:hAnsi="Times New Roman" w:cs="Times New Roman"/>
          <w:bCs/>
          <w:i/>
          <w:iCs/>
          <w:sz w:val="24"/>
          <w:szCs w:val="24"/>
          <w:lang w:val="en-US"/>
        </w:rPr>
        <w:t>p</w:t>
      </w:r>
      <w:r w:rsidRPr="00B729B8">
        <w:rPr>
          <w:rFonts w:ascii="Times New Roman" w:hAnsi="Times New Roman" w:cs="Times New Roman"/>
          <w:bCs/>
          <w:iCs/>
          <w:sz w:val="24"/>
          <w:szCs w:val="24"/>
          <w:lang w:val="en-US"/>
        </w:rPr>
        <w:t xml:space="preserve"> </w:t>
      </w:r>
      <w:r w:rsidRPr="00B729B8">
        <w:rPr>
          <w:rFonts w:ascii="Times New Roman" w:hAnsi="Times New Roman" w:cs="Times New Roman"/>
          <w:sz w:val="24"/>
          <w:lang w:val="en-US"/>
        </w:rPr>
        <w:t xml:space="preserve">&lt; </w:t>
      </w:r>
      <w:r w:rsidR="00B91C73" w:rsidRPr="00B729B8">
        <w:rPr>
          <w:rFonts w:ascii="Times New Roman" w:hAnsi="Times New Roman" w:cs="Times New Roman"/>
          <w:sz w:val="24"/>
          <w:lang w:val="en-US"/>
        </w:rPr>
        <w:t>.001</w:t>
      </w:r>
      <w:r w:rsidRPr="00B729B8">
        <w:rPr>
          <w:rFonts w:ascii="Times New Roman" w:hAnsi="Times New Roman" w:cs="Times New Roman"/>
          <w:bCs/>
          <w:iCs/>
          <w:sz w:val="24"/>
          <w:szCs w:val="24"/>
          <w:lang w:val="en-US"/>
        </w:rPr>
        <w:t xml:space="preserve">) and had a greater percentage of Black/African participants (41.5% vs 2.3%, </w:t>
      </w:r>
      <w:r w:rsidRPr="00B729B8">
        <w:rPr>
          <w:rFonts w:ascii="Times New Roman" w:hAnsi="Times New Roman" w:cs="Times New Roman"/>
          <w:bCs/>
          <w:i/>
          <w:iCs/>
          <w:sz w:val="24"/>
          <w:szCs w:val="24"/>
          <w:lang w:val="en-US"/>
        </w:rPr>
        <w:t xml:space="preserve">p </w:t>
      </w:r>
      <w:r w:rsidRPr="00B729B8">
        <w:rPr>
          <w:rFonts w:ascii="Times New Roman" w:hAnsi="Times New Roman" w:cs="Times New Roman"/>
          <w:sz w:val="24"/>
          <w:lang w:val="en-US"/>
        </w:rPr>
        <w:t xml:space="preserve">&lt; </w:t>
      </w:r>
      <w:r w:rsidR="00B91C73" w:rsidRPr="00B729B8">
        <w:rPr>
          <w:rFonts w:ascii="Times New Roman" w:hAnsi="Times New Roman" w:cs="Times New Roman"/>
          <w:sz w:val="24"/>
          <w:lang w:val="en-US"/>
        </w:rPr>
        <w:t>.001</w:t>
      </w:r>
      <w:r w:rsidRPr="00B729B8">
        <w:rPr>
          <w:rFonts w:ascii="Times New Roman" w:hAnsi="Times New Roman" w:cs="Times New Roman"/>
          <w:bCs/>
          <w:iCs/>
          <w:sz w:val="24"/>
          <w:szCs w:val="24"/>
          <w:lang w:val="en-US"/>
        </w:rPr>
        <w:t xml:space="preserve">). The Canadian sample had a greater proportion of white (71.3% vs 47%) and Asian (16% vs 3.3%) participants (see S2 in supplemental material). </w:t>
      </w:r>
      <w:r w:rsidRPr="00B729B8">
        <w:rPr>
          <w:rFonts w:ascii="Times New Roman" w:hAnsi="Times New Roman"/>
          <w:sz w:val="24"/>
          <w:szCs w:val="24"/>
          <w:lang w:val="en-US"/>
        </w:rPr>
        <w:t xml:space="preserve">Ethics review boards at the </w:t>
      </w:r>
      <w:r w:rsidRPr="00B729B8">
        <w:rPr>
          <w:rFonts w:ascii="Times New Roman" w:hAnsi="Times New Roman"/>
          <w:color w:val="000000" w:themeColor="text1"/>
          <w:sz w:val="24"/>
          <w:szCs w:val="24"/>
          <w:lang w:val="en-US"/>
        </w:rPr>
        <w:t xml:space="preserve">University of Memphis and McMaster University </w:t>
      </w:r>
      <w:r w:rsidRPr="00B729B8">
        <w:rPr>
          <w:rFonts w:ascii="Times New Roman" w:hAnsi="Times New Roman"/>
          <w:sz w:val="24"/>
          <w:szCs w:val="24"/>
          <w:lang w:val="en-US"/>
        </w:rPr>
        <w:t>approved all procedures, and all participants underwent informed consent, signing a written informed consent form. The present study follows the STROBE reporting standard for observational study and raw data are available under demand.</w:t>
      </w:r>
    </w:p>
    <w:p w14:paraId="2883053F" w14:textId="6B374AF2" w:rsidR="009E5839" w:rsidRPr="00B729B8" w:rsidRDefault="009E5839" w:rsidP="0004163C">
      <w:pPr>
        <w:spacing w:line="480" w:lineRule="auto"/>
        <w:ind w:firstLine="708"/>
        <w:rPr>
          <w:rFonts w:ascii="Times New Roman" w:hAnsi="Times New Roman" w:cs="Times New Roman"/>
          <w:b/>
          <w:sz w:val="24"/>
          <w:lang w:val="en-US"/>
        </w:rPr>
      </w:pPr>
      <w:r w:rsidRPr="00B729B8">
        <w:rPr>
          <w:rFonts w:ascii="Times New Roman" w:hAnsi="Times New Roman" w:cs="Times New Roman"/>
          <w:bCs/>
          <w:iCs/>
          <w:sz w:val="24"/>
          <w:szCs w:val="24"/>
          <w:lang w:val="en-US"/>
        </w:rPr>
        <w:t xml:space="preserve">In the Canadian study, the eligibility criteria also permitted one binge drinking episode per month </w:t>
      </w:r>
      <w:r w:rsidR="00CB700E" w:rsidRPr="00B729B8">
        <w:rPr>
          <w:rFonts w:ascii="Times New Roman" w:hAnsi="Times New Roman" w:cs="Times New Roman"/>
          <w:bCs/>
          <w:iCs/>
          <w:sz w:val="24"/>
          <w:szCs w:val="24"/>
          <w:lang w:val="en-US"/>
        </w:rPr>
        <w:t>among those reporting</w:t>
      </w:r>
      <w:r w:rsidRPr="00B729B8">
        <w:rPr>
          <w:rFonts w:ascii="Times New Roman" w:hAnsi="Times New Roman" w:cs="Times New Roman"/>
          <w:bCs/>
          <w:iCs/>
          <w:sz w:val="24"/>
          <w:szCs w:val="24"/>
          <w:lang w:val="en-US"/>
        </w:rPr>
        <w:t xml:space="preserve"> at least monthly cannabis use (8% of participants). As the samples were made up of young adults, who are characterized by an increased likelihood of moving, a briefer online version of the assessments was available.</w:t>
      </w:r>
      <w:r w:rsidRPr="00B729B8" w:rsidDel="00E00F36">
        <w:rPr>
          <w:rFonts w:ascii="Times New Roman" w:hAnsi="Times New Roman" w:cs="Times New Roman"/>
          <w:bCs/>
          <w:iCs/>
          <w:sz w:val="24"/>
          <w:szCs w:val="24"/>
          <w:lang w:val="en-US"/>
        </w:rPr>
        <w:t xml:space="preserve"> </w:t>
      </w:r>
      <w:r w:rsidRPr="00B729B8">
        <w:rPr>
          <w:rFonts w:ascii="Times New Roman" w:hAnsi="Times New Roman" w:cs="Times New Roman"/>
          <w:bCs/>
          <w:iCs/>
          <w:sz w:val="24"/>
          <w:szCs w:val="24"/>
          <w:lang w:val="en-US"/>
        </w:rPr>
        <w:t>In the Canadian study, the briefer online version did not include e-cigarette assessments, so to ensure high quality data and reliable results, only participants with in-person data in two of the three follow-up assessments were included (</w:t>
      </w:r>
      <w:r w:rsidRPr="00B729B8">
        <w:rPr>
          <w:rFonts w:ascii="Times New Roman" w:hAnsi="Times New Roman" w:cs="Times New Roman"/>
          <w:bCs/>
          <w:i/>
          <w:sz w:val="24"/>
          <w:szCs w:val="24"/>
          <w:lang w:val="en-US"/>
        </w:rPr>
        <w:t>n</w:t>
      </w:r>
      <w:r w:rsidRPr="00B729B8">
        <w:rPr>
          <w:rFonts w:ascii="Times New Roman" w:hAnsi="Times New Roman" w:cs="Times New Roman"/>
          <w:bCs/>
          <w:iCs/>
          <w:sz w:val="24"/>
          <w:szCs w:val="24"/>
          <w:lang w:val="en-US"/>
        </w:rPr>
        <w:t xml:space="preserve"> = 400 of N = 730 in the overall study). This approach ensures the robustness of the analysis performed when dealing with missing data and allows retaining enough participants (see S1 for a further report of rates of in-person and online assessments in both samples).</w:t>
      </w:r>
    </w:p>
    <w:p w14:paraId="456CFE5B" w14:textId="5AF9F922" w:rsidR="009E5839" w:rsidRPr="00B729B8" w:rsidRDefault="009E5839" w:rsidP="0004163C">
      <w:pPr>
        <w:spacing w:line="480" w:lineRule="auto"/>
        <w:rPr>
          <w:rFonts w:ascii="Times New Roman" w:hAnsi="Times New Roman" w:cs="Times New Roman"/>
          <w:sz w:val="24"/>
          <w:szCs w:val="24"/>
          <w:lang w:val="en-US"/>
        </w:rPr>
      </w:pPr>
      <w:r w:rsidRPr="00B729B8">
        <w:rPr>
          <w:rFonts w:ascii="Times New Roman" w:hAnsi="Times New Roman" w:cs="Times New Roman"/>
          <w:sz w:val="24"/>
          <w:szCs w:val="24"/>
          <w:lang w:val="en-US"/>
        </w:rPr>
        <w:tab/>
        <w:t>Of the 1,002 participants included in the present study, 901 (89.92%) were retained at 8-months, 895 (89.32%) at 16-months and 730 (72.85%) at 24-months. Sample characteristics are in Table 1. Participants with missing data in any of the assessments were slightly older and those with missing data at 16-months presented slightly higher nicotine dependence at the study entry (</w:t>
      </w:r>
      <w:r w:rsidRPr="00B729B8">
        <w:rPr>
          <w:rFonts w:ascii="Times New Roman" w:hAnsi="Times New Roman" w:cs="Times New Roman"/>
          <w:i/>
          <w:iCs/>
          <w:sz w:val="24"/>
          <w:szCs w:val="24"/>
          <w:lang w:val="en-US"/>
        </w:rPr>
        <w:t>t</w:t>
      </w:r>
      <w:r w:rsidRPr="00B729B8">
        <w:rPr>
          <w:rFonts w:ascii="Times New Roman" w:hAnsi="Times New Roman" w:cs="Times New Roman"/>
          <w:sz w:val="24"/>
          <w:szCs w:val="24"/>
          <w:vertAlign w:val="subscript"/>
          <w:lang w:val="en-US"/>
        </w:rPr>
        <w:t>(455.57)</w:t>
      </w:r>
      <w:r w:rsidRPr="00B729B8">
        <w:rPr>
          <w:rFonts w:ascii="Times New Roman" w:hAnsi="Times New Roman" w:cs="Times New Roman"/>
          <w:sz w:val="24"/>
          <w:szCs w:val="24"/>
          <w:lang w:val="en-US"/>
        </w:rPr>
        <w:t xml:space="preserve"> = 2.063, </w:t>
      </w:r>
      <w:r w:rsidRPr="00B729B8">
        <w:rPr>
          <w:rFonts w:ascii="Times New Roman" w:hAnsi="Times New Roman" w:cs="Times New Roman"/>
          <w:i/>
          <w:iCs/>
          <w:sz w:val="24"/>
          <w:szCs w:val="24"/>
          <w:lang w:val="en-US"/>
        </w:rPr>
        <w:t>p</w:t>
      </w:r>
      <w:r w:rsidRPr="00B729B8">
        <w:rPr>
          <w:rFonts w:ascii="Times New Roman" w:hAnsi="Times New Roman" w:cs="Times New Roman"/>
          <w:sz w:val="24"/>
          <w:szCs w:val="24"/>
          <w:lang w:val="en-US"/>
        </w:rPr>
        <w:t xml:space="preserve"> = .040, </w:t>
      </w:r>
      <w:r w:rsidRPr="00B729B8">
        <w:rPr>
          <w:rFonts w:ascii="Times New Roman" w:hAnsi="Times New Roman" w:cs="Times New Roman"/>
          <w:i/>
          <w:iCs/>
          <w:sz w:val="24"/>
          <w:szCs w:val="24"/>
          <w:lang w:val="en-US"/>
        </w:rPr>
        <w:t>d</w:t>
      </w:r>
      <w:r w:rsidRPr="00B729B8">
        <w:rPr>
          <w:rFonts w:ascii="Times New Roman" w:hAnsi="Times New Roman" w:cs="Times New Roman"/>
          <w:sz w:val="24"/>
          <w:szCs w:val="24"/>
          <w:lang w:val="en-US"/>
        </w:rPr>
        <w:t xml:space="preserve"> = 0.15). Also, participants with missing data at 8- (χ</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 (1) = 4.14,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 .042; </w:t>
      </w:r>
      <w:r w:rsidRPr="00B729B8">
        <w:rPr>
          <w:rFonts w:ascii="Times New Roman" w:hAnsi="Times New Roman" w:cs="Times New Roman"/>
          <w:i/>
          <w:sz w:val="24"/>
          <w:szCs w:val="24"/>
          <w:lang w:val="en-US"/>
        </w:rPr>
        <w:t xml:space="preserve">ϕ </w:t>
      </w:r>
      <w:r w:rsidRPr="00B729B8">
        <w:rPr>
          <w:rFonts w:ascii="Times New Roman" w:hAnsi="Times New Roman" w:cs="Times New Roman"/>
          <w:iCs/>
          <w:sz w:val="24"/>
          <w:szCs w:val="24"/>
          <w:lang w:val="en-US"/>
        </w:rPr>
        <w:t>= .068</w:t>
      </w:r>
      <w:r w:rsidRPr="00B729B8">
        <w:rPr>
          <w:rFonts w:ascii="Times New Roman" w:hAnsi="Times New Roman" w:cs="Times New Roman"/>
          <w:sz w:val="24"/>
          <w:szCs w:val="24"/>
          <w:lang w:val="en-US"/>
        </w:rPr>
        <w:t>), 16- (χ</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 (1) = 6.25,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 .012; </w:t>
      </w:r>
      <w:r w:rsidRPr="00B729B8">
        <w:rPr>
          <w:rFonts w:ascii="Times New Roman" w:hAnsi="Times New Roman" w:cs="Times New Roman"/>
          <w:i/>
          <w:sz w:val="24"/>
          <w:szCs w:val="24"/>
          <w:lang w:val="en-US"/>
        </w:rPr>
        <w:t xml:space="preserve">ϕ </w:t>
      </w:r>
      <w:r w:rsidRPr="00B729B8">
        <w:rPr>
          <w:rFonts w:ascii="Times New Roman" w:hAnsi="Times New Roman" w:cs="Times New Roman"/>
          <w:iCs/>
          <w:sz w:val="24"/>
          <w:szCs w:val="24"/>
          <w:lang w:val="en-US"/>
        </w:rPr>
        <w:t>= .082</w:t>
      </w:r>
      <w:r w:rsidRPr="00B729B8">
        <w:rPr>
          <w:rFonts w:ascii="Times New Roman" w:hAnsi="Times New Roman" w:cs="Times New Roman"/>
          <w:sz w:val="24"/>
          <w:szCs w:val="24"/>
          <w:lang w:val="en-US"/>
        </w:rPr>
        <w:t>), and 24-months (χ</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 (1) = 4.65,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 .031; </w:t>
      </w:r>
      <w:r w:rsidRPr="00B729B8">
        <w:rPr>
          <w:rFonts w:ascii="Times New Roman" w:hAnsi="Times New Roman" w:cs="Times New Roman"/>
          <w:i/>
          <w:sz w:val="24"/>
          <w:szCs w:val="24"/>
          <w:lang w:val="en-US"/>
        </w:rPr>
        <w:t xml:space="preserve">ϕ </w:t>
      </w:r>
      <w:r w:rsidRPr="00B729B8">
        <w:rPr>
          <w:rFonts w:ascii="Times New Roman" w:hAnsi="Times New Roman" w:cs="Times New Roman"/>
          <w:iCs/>
          <w:sz w:val="24"/>
          <w:szCs w:val="24"/>
          <w:lang w:val="en-US"/>
        </w:rPr>
        <w:t>= .071</w:t>
      </w:r>
      <w:r w:rsidRPr="00B729B8">
        <w:rPr>
          <w:rFonts w:ascii="Times New Roman" w:hAnsi="Times New Roman" w:cs="Times New Roman"/>
          <w:sz w:val="24"/>
          <w:szCs w:val="24"/>
          <w:lang w:val="en-US"/>
        </w:rPr>
        <w:t>) were more likely to smoke cigarettes. Missing participants at 24-months were also more likely to report using e-</w:t>
      </w:r>
      <w:r w:rsidRPr="00B729B8">
        <w:rPr>
          <w:rFonts w:ascii="Times New Roman" w:hAnsi="Times New Roman" w:cs="Times New Roman"/>
          <w:bCs/>
          <w:sz w:val="24"/>
          <w:szCs w:val="24"/>
          <w:lang w:val="en-US"/>
        </w:rPr>
        <w:t>cigarettes</w:t>
      </w:r>
      <w:r w:rsidRPr="00B729B8">
        <w:rPr>
          <w:rFonts w:ascii="Times New Roman" w:hAnsi="Times New Roman" w:cs="Times New Roman"/>
          <w:sz w:val="24"/>
          <w:szCs w:val="24"/>
          <w:lang w:val="en-US"/>
        </w:rPr>
        <w:t xml:space="preserve"> at baseline (χ</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 (1) = 7.75,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 .005; </w:t>
      </w:r>
      <w:r w:rsidRPr="00B729B8">
        <w:rPr>
          <w:rFonts w:ascii="Times New Roman" w:hAnsi="Times New Roman" w:cs="Times New Roman"/>
          <w:i/>
          <w:sz w:val="24"/>
          <w:szCs w:val="24"/>
          <w:lang w:val="en-US"/>
        </w:rPr>
        <w:t xml:space="preserve">ϕ </w:t>
      </w:r>
      <w:r w:rsidRPr="00B729B8">
        <w:rPr>
          <w:rFonts w:ascii="Times New Roman" w:hAnsi="Times New Roman" w:cs="Times New Roman"/>
          <w:iCs/>
          <w:sz w:val="24"/>
          <w:szCs w:val="24"/>
          <w:lang w:val="en-US"/>
        </w:rPr>
        <w:t>= .091</w:t>
      </w:r>
      <w:r w:rsidRPr="00B729B8">
        <w:rPr>
          <w:rFonts w:ascii="Times New Roman" w:hAnsi="Times New Roman" w:cs="Times New Roman"/>
          <w:sz w:val="24"/>
          <w:szCs w:val="24"/>
          <w:lang w:val="en-US"/>
        </w:rPr>
        <w:t>). Participants with missing data at 16- (χ</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 (1) = 10.73,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 .001; </w:t>
      </w:r>
      <w:r w:rsidRPr="00B729B8">
        <w:rPr>
          <w:rFonts w:ascii="Times New Roman" w:hAnsi="Times New Roman" w:cs="Times New Roman"/>
          <w:i/>
          <w:sz w:val="24"/>
          <w:szCs w:val="24"/>
          <w:lang w:val="en-US"/>
        </w:rPr>
        <w:t xml:space="preserve">ϕ </w:t>
      </w:r>
      <w:r w:rsidRPr="00B729B8">
        <w:rPr>
          <w:rFonts w:ascii="Times New Roman" w:hAnsi="Times New Roman" w:cs="Times New Roman"/>
          <w:iCs/>
          <w:sz w:val="24"/>
          <w:szCs w:val="24"/>
          <w:lang w:val="en-US"/>
        </w:rPr>
        <w:t>= .107</w:t>
      </w:r>
      <w:r w:rsidRPr="00B729B8">
        <w:rPr>
          <w:rFonts w:ascii="Times New Roman" w:hAnsi="Times New Roman" w:cs="Times New Roman"/>
          <w:sz w:val="24"/>
          <w:szCs w:val="24"/>
          <w:lang w:val="en-US"/>
        </w:rPr>
        <w:t>) and 24-months (χ</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 (1) = 8.97,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 .003; </w:t>
      </w:r>
      <w:r w:rsidRPr="00B729B8">
        <w:rPr>
          <w:rFonts w:ascii="Times New Roman" w:hAnsi="Times New Roman" w:cs="Times New Roman"/>
          <w:i/>
          <w:sz w:val="24"/>
          <w:szCs w:val="24"/>
          <w:lang w:val="en-US"/>
        </w:rPr>
        <w:t xml:space="preserve">ϕ </w:t>
      </w:r>
      <w:r w:rsidRPr="00B729B8">
        <w:rPr>
          <w:rFonts w:ascii="Times New Roman" w:hAnsi="Times New Roman" w:cs="Times New Roman"/>
          <w:iCs/>
          <w:sz w:val="24"/>
          <w:szCs w:val="24"/>
          <w:lang w:val="en-US"/>
        </w:rPr>
        <w:t>= .097</w:t>
      </w:r>
      <w:r w:rsidRPr="00B729B8">
        <w:rPr>
          <w:rFonts w:ascii="Times New Roman" w:hAnsi="Times New Roman" w:cs="Times New Roman"/>
          <w:sz w:val="24"/>
          <w:szCs w:val="24"/>
          <w:lang w:val="en-US"/>
        </w:rPr>
        <w:t>) were more likely to be males. Participants with missing data at 24-months also were more likely to be white (χ</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 (1) = 26.29,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&lt; .001; </w:t>
      </w:r>
      <w:r w:rsidRPr="00B729B8">
        <w:rPr>
          <w:rFonts w:ascii="Times New Roman" w:hAnsi="Times New Roman" w:cs="Times New Roman"/>
          <w:i/>
          <w:sz w:val="24"/>
          <w:szCs w:val="24"/>
          <w:lang w:val="en-US"/>
        </w:rPr>
        <w:t xml:space="preserve">ϕ </w:t>
      </w:r>
      <w:r w:rsidRPr="00B729B8">
        <w:rPr>
          <w:rFonts w:ascii="Times New Roman" w:hAnsi="Times New Roman" w:cs="Times New Roman"/>
          <w:iCs/>
          <w:sz w:val="24"/>
          <w:szCs w:val="24"/>
          <w:lang w:val="en-US"/>
        </w:rPr>
        <w:t>= .164</w:t>
      </w:r>
      <w:r w:rsidRPr="00B729B8">
        <w:rPr>
          <w:rFonts w:ascii="Times New Roman" w:hAnsi="Times New Roman" w:cs="Times New Roman"/>
          <w:sz w:val="24"/>
          <w:szCs w:val="24"/>
          <w:lang w:val="en-US"/>
        </w:rPr>
        <w:t>). Lastly, participants who no longer lived locally were given an option of an Internet-based assessment at 8- (χ</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 (1) = 4.49,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 .034, </w:t>
      </w:r>
      <w:r w:rsidRPr="00B729B8">
        <w:rPr>
          <w:rFonts w:ascii="Times New Roman" w:hAnsi="Times New Roman" w:cs="Times New Roman"/>
          <w:i/>
          <w:sz w:val="24"/>
          <w:szCs w:val="24"/>
          <w:lang w:val="en-US"/>
        </w:rPr>
        <w:t>ϕ</w:t>
      </w:r>
      <w:r w:rsidRPr="00B729B8">
        <w:rPr>
          <w:rFonts w:ascii="Times New Roman" w:hAnsi="Times New Roman" w:cs="Times New Roman"/>
          <w:sz w:val="24"/>
          <w:szCs w:val="24"/>
          <w:lang w:val="en-US"/>
        </w:rPr>
        <w:t xml:space="preserve"> = .12) and 24-months (χ</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 (1) = 17.06,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&lt; .001, </w:t>
      </w:r>
      <w:r w:rsidRPr="00B729B8">
        <w:rPr>
          <w:rFonts w:ascii="Times New Roman" w:hAnsi="Times New Roman" w:cs="Times New Roman"/>
          <w:i/>
          <w:sz w:val="24"/>
          <w:szCs w:val="24"/>
          <w:lang w:val="en-US"/>
        </w:rPr>
        <w:t>ϕ</w:t>
      </w:r>
      <w:r w:rsidRPr="00B729B8">
        <w:rPr>
          <w:rFonts w:ascii="Times New Roman" w:hAnsi="Times New Roman" w:cs="Times New Roman"/>
          <w:sz w:val="24"/>
          <w:szCs w:val="24"/>
          <w:lang w:val="en-US"/>
        </w:rPr>
        <w:t xml:space="preserve"> = .217) were more likely to be females (see supplemental material for further information). Effect sizes suggest a limited impact on the sample composition.</w:t>
      </w:r>
    </w:p>
    <w:p w14:paraId="0166B2F1" w14:textId="77777777" w:rsidR="009E5839" w:rsidRPr="00B729B8" w:rsidRDefault="009E5839" w:rsidP="0004163C">
      <w:pPr>
        <w:spacing w:line="480" w:lineRule="auto"/>
        <w:rPr>
          <w:rFonts w:ascii="Times New Roman" w:hAnsi="Times New Roman" w:cs="Times New Roman"/>
          <w:b/>
          <w:bCs/>
          <w:iCs/>
          <w:sz w:val="24"/>
          <w:szCs w:val="24"/>
          <w:lang w:val="en-US"/>
        </w:rPr>
      </w:pPr>
      <w:r w:rsidRPr="00B729B8">
        <w:rPr>
          <w:rFonts w:ascii="Times New Roman" w:hAnsi="Times New Roman" w:cs="Times New Roman"/>
          <w:b/>
          <w:bCs/>
          <w:iCs/>
          <w:sz w:val="24"/>
          <w:szCs w:val="24"/>
          <w:lang w:val="en-US"/>
        </w:rPr>
        <w:t>Measures</w:t>
      </w:r>
    </w:p>
    <w:p w14:paraId="5BEB7EC6" w14:textId="0988A7CC" w:rsidR="009E5839" w:rsidRPr="00B729B8" w:rsidRDefault="009E5839" w:rsidP="0004163C">
      <w:pPr>
        <w:spacing w:line="480" w:lineRule="auto"/>
        <w:ind w:firstLine="708"/>
        <w:jc w:val="both"/>
        <w:rPr>
          <w:rFonts w:ascii="Times New Roman" w:hAnsi="Times New Roman" w:cs="Times New Roman"/>
          <w:bCs/>
          <w:iCs/>
          <w:sz w:val="24"/>
          <w:szCs w:val="24"/>
          <w:lang w:val="en-US"/>
        </w:rPr>
      </w:pPr>
      <w:r w:rsidRPr="00B729B8">
        <w:rPr>
          <w:rFonts w:ascii="Times New Roman" w:hAnsi="Times New Roman" w:cs="Times New Roman"/>
          <w:bCs/>
          <w:iCs/>
          <w:sz w:val="24"/>
          <w:szCs w:val="24"/>
          <w:lang w:val="en-US"/>
        </w:rPr>
        <w:t xml:space="preserve">Participants completed a battery of demographic and cigarette-related questions including frequency of combustible and e-cigarettes use (none, monthly, weekly, daily and multiple times daily). Those reporting smoking combustible cigarettes were asked to complete the Fagerström Test of Cigarette Dependence </w:t>
      </w:r>
      <w:r w:rsidRPr="00B729B8">
        <w:rPr>
          <w:rFonts w:ascii="Times New Roman" w:hAnsi="Times New Roman" w:cs="Times New Roman"/>
          <w:bCs/>
          <w:iCs/>
          <w:noProof/>
          <w:sz w:val="24"/>
          <w:szCs w:val="24"/>
          <w:vertAlign w:val="superscript"/>
          <w:lang w:val="en-US"/>
        </w:rPr>
        <w:t>3</w:t>
      </w:r>
      <w:r w:rsidR="005050C0" w:rsidRPr="00B729B8">
        <w:rPr>
          <w:rFonts w:ascii="Times New Roman" w:hAnsi="Times New Roman" w:cs="Times New Roman"/>
          <w:bCs/>
          <w:iCs/>
          <w:noProof/>
          <w:sz w:val="24"/>
          <w:szCs w:val="24"/>
          <w:vertAlign w:val="superscript"/>
          <w:lang w:val="en-US"/>
        </w:rPr>
        <w:t>2</w:t>
      </w:r>
      <w:r w:rsidRPr="00B729B8">
        <w:rPr>
          <w:rFonts w:ascii="Times New Roman" w:hAnsi="Times New Roman" w:cs="Times New Roman"/>
          <w:bCs/>
          <w:i/>
          <w:iCs/>
          <w:sz w:val="24"/>
          <w:szCs w:val="24"/>
          <w:lang w:val="en-US"/>
        </w:rPr>
        <w:t xml:space="preserve">. </w:t>
      </w:r>
      <w:r w:rsidRPr="00B729B8">
        <w:rPr>
          <w:rFonts w:ascii="Times New Roman" w:hAnsi="Times New Roman" w:cs="Times New Roman"/>
          <w:bCs/>
          <w:iCs/>
          <w:sz w:val="24"/>
          <w:szCs w:val="24"/>
          <w:lang w:val="en-US"/>
        </w:rPr>
        <w:t>Alcohol-related problems were assessed using the Young Adult Alcohol Consequences Questionnaire (</w:t>
      </w:r>
      <w:r w:rsidRPr="00B729B8">
        <w:rPr>
          <w:rFonts w:ascii="Times New Roman" w:hAnsi="Times New Roman" w:cs="Times New Roman"/>
          <w:bCs/>
          <w:iCs/>
          <w:noProof/>
          <w:sz w:val="24"/>
          <w:szCs w:val="24"/>
          <w:lang w:val="en-US"/>
        </w:rPr>
        <w:t xml:space="preserve">YAACQ) </w:t>
      </w:r>
      <w:r w:rsidR="005050C0" w:rsidRPr="00B729B8">
        <w:rPr>
          <w:rFonts w:ascii="Times New Roman" w:hAnsi="Times New Roman" w:cs="Times New Roman"/>
          <w:bCs/>
          <w:iCs/>
          <w:noProof/>
          <w:sz w:val="24"/>
          <w:szCs w:val="24"/>
          <w:vertAlign w:val="superscript"/>
          <w:lang w:val="en-US"/>
        </w:rPr>
        <w:t>33</w:t>
      </w:r>
      <w:r w:rsidRPr="00B729B8">
        <w:rPr>
          <w:rFonts w:ascii="Times New Roman" w:hAnsi="Times New Roman" w:cs="Times New Roman"/>
          <w:bCs/>
          <w:iCs/>
          <w:sz w:val="24"/>
          <w:szCs w:val="24"/>
          <w:lang w:val="en-US"/>
        </w:rPr>
        <w:t xml:space="preserve">. Participants’ total score (0-48) was dichotomized into low/moderate-high alcohol severity according to sex-related cut-offs (males ≥ 8; females ≥ 10) </w:t>
      </w:r>
      <w:r w:rsidR="005050C0" w:rsidRPr="00B729B8">
        <w:rPr>
          <w:rFonts w:ascii="Times New Roman" w:hAnsi="Times New Roman" w:cs="Times New Roman"/>
          <w:bCs/>
          <w:iCs/>
          <w:noProof/>
          <w:sz w:val="24"/>
          <w:szCs w:val="24"/>
          <w:vertAlign w:val="superscript"/>
          <w:lang w:val="en-US"/>
        </w:rPr>
        <w:t>34</w:t>
      </w:r>
      <w:r w:rsidRPr="00B729B8">
        <w:rPr>
          <w:rFonts w:ascii="Times New Roman" w:hAnsi="Times New Roman" w:cs="Times New Roman"/>
          <w:bCs/>
          <w:iCs/>
          <w:sz w:val="24"/>
          <w:szCs w:val="24"/>
          <w:lang w:val="en-US"/>
        </w:rPr>
        <w:t>.</w:t>
      </w:r>
    </w:p>
    <w:p w14:paraId="746B46BF" w14:textId="77777777" w:rsidR="009E5839" w:rsidRPr="00B729B8" w:rsidRDefault="009E5839" w:rsidP="0004163C">
      <w:pPr>
        <w:spacing w:line="480" w:lineRule="auto"/>
        <w:rPr>
          <w:rFonts w:ascii="Times New Roman" w:hAnsi="Times New Roman" w:cs="Times New Roman"/>
          <w:b/>
          <w:bCs/>
          <w:iCs/>
          <w:sz w:val="24"/>
          <w:szCs w:val="24"/>
          <w:lang w:val="en-US"/>
        </w:rPr>
      </w:pPr>
      <w:r w:rsidRPr="00B729B8">
        <w:rPr>
          <w:rFonts w:ascii="Times New Roman" w:hAnsi="Times New Roman" w:cs="Times New Roman"/>
          <w:b/>
          <w:bCs/>
          <w:iCs/>
          <w:sz w:val="24"/>
          <w:szCs w:val="24"/>
          <w:lang w:val="en-US"/>
        </w:rPr>
        <w:t>Statistical Analysis</w:t>
      </w:r>
    </w:p>
    <w:p w14:paraId="52860A5E" w14:textId="74ADEACA" w:rsidR="009E5839" w:rsidRPr="00B729B8" w:rsidRDefault="009E5839" w:rsidP="0004163C">
      <w:pPr>
        <w:spacing w:line="480" w:lineRule="auto"/>
        <w:rPr>
          <w:rFonts w:ascii="Times New Roman" w:hAnsi="Times New Roman" w:cs="Times New Roman"/>
          <w:sz w:val="24"/>
          <w:szCs w:val="24"/>
          <w:lang w:val="en-US"/>
        </w:rPr>
      </w:pPr>
      <w:r w:rsidRPr="00B729B8">
        <w:rPr>
          <w:rFonts w:ascii="Times New Roman" w:hAnsi="Times New Roman" w:cs="Times New Roman"/>
          <w:sz w:val="24"/>
          <w:szCs w:val="24"/>
          <w:lang w:val="en-US"/>
        </w:rPr>
        <w:tab/>
        <w:t xml:space="preserve">Sample characteristics were explored through descriptive analyses. Due to the relatively low frequency of cigarette smoking and e-cigarette use (see Table S3), past month use of combustible cigarettes and e-cigarettes was dichotomized (none=1, monthly or more frequently=2). This strategy was followed to </w:t>
      </w:r>
      <w:r w:rsidR="00881478" w:rsidRPr="00B729B8">
        <w:rPr>
          <w:rFonts w:ascii="Times New Roman" w:hAnsi="Times New Roman" w:cs="Times New Roman"/>
          <w:sz w:val="24"/>
          <w:szCs w:val="24"/>
          <w:lang w:val="en-US"/>
        </w:rPr>
        <w:t>avoid</w:t>
      </w:r>
      <w:r w:rsidRPr="00B729B8">
        <w:rPr>
          <w:rFonts w:ascii="Times New Roman" w:hAnsi="Times New Roman" w:cs="Times New Roman"/>
          <w:sz w:val="24"/>
          <w:szCs w:val="24"/>
          <w:lang w:val="en-US"/>
        </w:rPr>
        <w:t xml:space="preserve"> </w:t>
      </w:r>
      <w:r w:rsidR="00CB4312" w:rsidRPr="00B729B8">
        <w:rPr>
          <w:rFonts w:ascii="Times New Roman" w:hAnsi="Times New Roman" w:cs="Times New Roman"/>
          <w:sz w:val="24"/>
          <w:szCs w:val="24"/>
          <w:lang w:val="en-US"/>
        </w:rPr>
        <w:t>an elevated number of</w:t>
      </w:r>
      <w:r w:rsidRPr="00B729B8">
        <w:rPr>
          <w:rFonts w:ascii="Times New Roman" w:hAnsi="Times New Roman" w:cs="Times New Roman"/>
          <w:sz w:val="24"/>
          <w:szCs w:val="24"/>
          <w:lang w:val="en-US"/>
        </w:rPr>
        <w:t xml:space="preserve"> reduced cell sizes</w:t>
      </w:r>
      <w:r w:rsidR="00CB4312" w:rsidRPr="00B729B8">
        <w:rPr>
          <w:rFonts w:ascii="Times New Roman" w:hAnsi="Times New Roman" w:cs="Times New Roman"/>
          <w:sz w:val="24"/>
          <w:szCs w:val="24"/>
          <w:lang w:val="en-US"/>
        </w:rPr>
        <w:t>, which</w:t>
      </w:r>
      <w:r w:rsidRPr="00B729B8">
        <w:rPr>
          <w:rFonts w:ascii="Times New Roman" w:hAnsi="Times New Roman" w:cs="Times New Roman"/>
          <w:sz w:val="24"/>
          <w:szCs w:val="24"/>
          <w:lang w:val="en-US"/>
        </w:rPr>
        <w:t xml:space="preserve"> complicat</w:t>
      </w:r>
      <w:r w:rsidR="00881478" w:rsidRPr="00B729B8">
        <w:rPr>
          <w:rFonts w:ascii="Times New Roman" w:hAnsi="Times New Roman" w:cs="Times New Roman"/>
          <w:sz w:val="24"/>
          <w:szCs w:val="24"/>
          <w:lang w:val="en-US"/>
        </w:rPr>
        <w:t>e</w:t>
      </w:r>
      <w:r w:rsidRPr="00B729B8">
        <w:rPr>
          <w:rFonts w:ascii="Times New Roman" w:hAnsi="Times New Roman" w:cs="Times New Roman"/>
          <w:sz w:val="24"/>
          <w:szCs w:val="24"/>
          <w:lang w:val="en-US"/>
        </w:rPr>
        <w:t xml:space="preserve"> the interpretation of</w:t>
      </w:r>
      <w:r w:rsidR="00881478" w:rsidRPr="00B729B8">
        <w:rPr>
          <w:rFonts w:ascii="Times New Roman" w:hAnsi="Times New Roman" w:cs="Times New Roman"/>
          <w:sz w:val="24"/>
          <w:szCs w:val="24"/>
          <w:lang w:val="en-US"/>
        </w:rPr>
        <w:t xml:space="preserve"> </w:t>
      </w:r>
      <w:r w:rsidR="00CB4312" w:rsidRPr="00B729B8">
        <w:rPr>
          <w:rFonts w:ascii="Times New Roman" w:hAnsi="Times New Roman" w:cs="Times New Roman"/>
          <w:sz w:val="24"/>
          <w:szCs w:val="24"/>
          <w:lang w:val="en-US"/>
        </w:rPr>
        <w:t xml:space="preserve">the </w:t>
      </w:r>
      <w:r w:rsidR="00881478" w:rsidRPr="00B729B8">
        <w:rPr>
          <w:rFonts w:ascii="Times New Roman" w:hAnsi="Times New Roman" w:cs="Times New Roman"/>
          <w:sz w:val="24"/>
          <w:szCs w:val="24"/>
          <w:lang w:val="en-US"/>
        </w:rPr>
        <w:t xml:space="preserve">results and </w:t>
      </w:r>
      <w:r w:rsidRPr="00B729B8">
        <w:rPr>
          <w:rFonts w:ascii="Times New Roman" w:hAnsi="Times New Roman" w:cs="Times New Roman"/>
          <w:sz w:val="24"/>
          <w:szCs w:val="24"/>
          <w:lang w:val="en-US"/>
        </w:rPr>
        <w:t>reduc</w:t>
      </w:r>
      <w:r w:rsidR="00881478" w:rsidRPr="00B729B8">
        <w:rPr>
          <w:rFonts w:ascii="Times New Roman" w:hAnsi="Times New Roman" w:cs="Times New Roman"/>
          <w:sz w:val="24"/>
          <w:szCs w:val="24"/>
          <w:lang w:val="en-US"/>
        </w:rPr>
        <w:t>e</w:t>
      </w:r>
      <w:r w:rsidRPr="00B729B8">
        <w:rPr>
          <w:rFonts w:ascii="Times New Roman" w:hAnsi="Times New Roman" w:cs="Times New Roman"/>
          <w:sz w:val="24"/>
          <w:szCs w:val="24"/>
          <w:lang w:val="en-US"/>
        </w:rPr>
        <w:t xml:space="preserve"> the</w:t>
      </w:r>
      <w:r w:rsidR="00881478" w:rsidRPr="00B729B8">
        <w:rPr>
          <w:rFonts w:ascii="Times New Roman" w:hAnsi="Times New Roman" w:cs="Times New Roman"/>
          <w:sz w:val="24"/>
          <w:szCs w:val="24"/>
          <w:lang w:val="en-US"/>
        </w:rPr>
        <w:t>ir</w:t>
      </w:r>
      <w:r w:rsidRPr="00B729B8">
        <w:rPr>
          <w:rFonts w:ascii="Times New Roman" w:hAnsi="Times New Roman" w:cs="Times New Roman"/>
          <w:sz w:val="24"/>
          <w:szCs w:val="24"/>
          <w:lang w:val="en-US"/>
        </w:rPr>
        <w:t xml:space="preserve"> generalization. Nonetheless, </w:t>
      </w:r>
      <w:r w:rsidR="00CB4312" w:rsidRPr="00B729B8">
        <w:rPr>
          <w:rFonts w:ascii="Times New Roman" w:hAnsi="Times New Roman" w:cs="Times New Roman"/>
          <w:sz w:val="24"/>
          <w:szCs w:val="24"/>
          <w:lang w:val="en-US"/>
        </w:rPr>
        <w:t>when adopting an alter</w:t>
      </w:r>
      <w:r w:rsidR="00BB3887" w:rsidRPr="00B729B8">
        <w:rPr>
          <w:rFonts w:ascii="Times New Roman" w:hAnsi="Times New Roman" w:cs="Times New Roman"/>
          <w:sz w:val="24"/>
          <w:szCs w:val="24"/>
          <w:lang w:val="en-US"/>
        </w:rPr>
        <w:t xml:space="preserve">native approach (i.e., based on 3-level responses: non-use, monthly and at least weekly) </w:t>
      </w:r>
      <w:r w:rsidRPr="00B729B8">
        <w:rPr>
          <w:rFonts w:ascii="Times New Roman" w:hAnsi="Times New Roman" w:cs="Times New Roman"/>
          <w:sz w:val="24"/>
          <w:szCs w:val="24"/>
          <w:lang w:val="en-US"/>
        </w:rPr>
        <w:t>interpretations and conclusions remain unalterable (see supplemental material</w:t>
      </w:r>
      <w:r w:rsidR="00BB3887" w:rsidRPr="00B729B8">
        <w:rPr>
          <w:rFonts w:ascii="Times New Roman" w:hAnsi="Times New Roman" w:cs="Times New Roman"/>
          <w:sz w:val="24"/>
          <w:szCs w:val="24"/>
          <w:lang w:val="en-US"/>
        </w:rPr>
        <w:t>s, Tables S5a-6b</w:t>
      </w:r>
      <w:r w:rsidRPr="00B729B8">
        <w:rPr>
          <w:rFonts w:ascii="Times New Roman" w:hAnsi="Times New Roman" w:cs="Times New Roman"/>
          <w:sz w:val="24"/>
          <w:szCs w:val="24"/>
          <w:lang w:val="en-US"/>
        </w:rPr>
        <w:t xml:space="preserve">). A LTA was performed to obtain subgroups of participants engaging in different patterns of combustible cigarette smoking and e-cigarettes use across four assessment waves using SAS 9.4. Based on participants’ responses, the LTA uses the probability of being part of each exclusive subgroup to assign participants to one of such groups or latent classes. As an extension of the latent class analysis, this procedure also allows participants to move dynamically between groups and to estimate the probability of between-classes transitions (tau parameter) in addition to of class membership (delta parameter) and of item-response probability (rho parameter). Parameters were estimated by the maximum likelihood method using the expectation maximization procedure </w:t>
      </w:r>
      <w:r w:rsidRPr="00B729B8">
        <w:rPr>
          <w:rFonts w:ascii="Times New Roman" w:hAnsi="Times New Roman" w:cs="Times New Roman"/>
          <w:noProof/>
          <w:sz w:val="24"/>
          <w:szCs w:val="24"/>
          <w:vertAlign w:val="superscript"/>
          <w:lang w:val="en-US"/>
        </w:rPr>
        <w:t>3</w:t>
      </w:r>
      <w:r w:rsidR="005050C0" w:rsidRPr="00B729B8">
        <w:rPr>
          <w:rFonts w:ascii="Times New Roman" w:hAnsi="Times New Roman" w:cs="Times New Roman"/>
          <w:noProof/>
          <w:sz w:val="24"/>
          <w:szCs w:val="24"/>
          <w:vertAlign w:val="superscript"/>
          <w:lang w:val="en-US"/>
        </w:rPr>
        <w:t>5</w:t>
      </w:r>
      <w:r w:rsidRPr="00B729B8">
        <w:rPr>
          <w:rFonts w:ascii="Times New Roman" w:hAnsi="Times New Roman" w:cs="Times New Roman"/>
          <w:sz w:val="24"/>
          <w:szCs w:val="24"/>
          <w:lang w:val="en-US"/>
        </w:rPr>
        <w:t xml:space="preserve">. The LTA handles missing data by calculating the equation using the product over the non-missing values of those individuals under the assumption of missing at random (for the mathematical expression see equation 4 in </w:t>
      </w:r>
      <w:r w:rsidRPr="00B729B8">
        <w:rPr>
          <w:rFonts w:ascii="Times New Roman" w:hAnsi="Times New Roman" w:cs="Times New Roman"/>
          <w:noProof/>
          <w:sz w:val="24"/>
          <w:szCs w:val="24"/>
          <w:lang w:val="en-US"/>
        </w:rPr>
        <w:t xml:space="preserve">Lanza et al. </w:t>
      </w:r>
      <w:r w:rsidR="005050C0" w:rsidRPr="00B729B8">
        <w:rPr>
          <w:rFonts w:ascii="Times New Roman" w:hAnsi="Times New Roman" w:cs="Times New Roman"/>
          <w:noProof/>
          <w:sz w:val="24"/>
          <w:szCs w:val="24"/>
          <w:vertAlign w:val="superscript"/>
          <w:lang w:val="en-US"/>
        </w:rPr>
        <w:t>35</w:t>
      </w:r>
      <w:r w:rsidRPr="00B729B8">
        <w:rPr>
          <w:rFonts w:ascii="Times New Roman" w:hAnsi="Times New Roman" w:cs="Times New Roman"/>
          <w:sz w:val="24"/>
          <w:szCs w:val="24"/>
          <w:lang w:val="en-US"/>
        </w:rPr>
        <w:t>. Besides, the likelihood test suggests that data is missing completely at random (G</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 = 300.89, df = 633,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 .999), despite differences between completers and dropouts. Measurement invariance between assessments (i.e., the same latent classes are presented in each assessment) was tested using a likelihood ratio test between de constraint and unconstraint model. Based on the result suggesting measurement invariance (Δ</w:t>
      </w:r>
      <w:r w:rsidRPr="00B729B8">
        <w:rPr>
          <w:rFonts w:ascii="Times New Roman" w:hAnsi="Times New Roman" w:cs="Times New Roman"/>
          <w:i/>
          <w:sz w:val="24"/>
          <w:szCs w:val="24"/>
          <w:lang w:val="en-US"/>
        </w:rPr>
        <w:t>G</w:t>
      </w:r>
      <w:r w:rsidRPr="00B729B8">
        <w:rPr>
          <w:rFonts w:ascii="Times New Roman" w:hAnsi="Times New Roman" w:cs="Times New Roman"/>
          <w:i/>
          <w:sz w:val="24"/>
          <w:szCs w:val="24"/>
          <w:vertAlign w:val="superscript"/>
          <w:lang w:val="en-US"/>
        </w:rPr>
        <w:t>2</w:t>
      </w:r>
      <w:r w:rsidRPr="00B729B8">
        <w:rPr>
          <w:rFonts w:ascii="Times New Roman" w:hAnsi="Times New Roman" w:cs="Times New Roman"/>
          <w:sz w:val="24"/>
          <w:szCs w:val="24"/>
          <w:vertAlign w:val="superscript"/>
          <w:lang w:val="en-US"/>
        </w:rPr>
        <w:t xml:space="preserve"> </w:t>
      </w:r>
      <w:r w:rsidRPr="00B729B8">
        <w:rPr>
          <w:rFonts w:ascii="Times New Roman" w:hAnsi="Times New Roman" w:cs="Times New Roman"/>
          <w:sz w:val="24"/>
          <w:szCs w:val="24"/>
          <w:lang w:val="en-US"/>
        </w:rPr>
        <w:t xml:space="preserve">= 15.03, Δdf = 24,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 .920), the rho</w:t>
      </w:r>
      <w:r w:rsidRPr="00B729B8">
        <w:rPr>
          <w:rFonts w:ascii="Times New Roman" w:hAnsi="Times New Roman" w:cs="Times New Roman"/>
          <w:i/>
          <w:sz w:val="24"/>
          <w:szCs w:val="24"/>
          <w:lang w:val="en-US"/>
        </w:rPr>
        <w:t xml:space="preserve"> </w:t>
      </w:r>
      <w:r w:rsidRPr="00B729B8">
        <w:rPr>
          <w:rFonts w:ascii="Times New Roman" w:hAnsi="Times New Roman" w:cs="Times New Roman"/>
          <w:sz w:val="24"/>
          <w:szCs w:val="24"/>
          <w:lang w:val="en-US"/>
        </w:rPr>
        <w:t>parameters were constrained across time.</w:t>
      </w:r>
    </w:p>
    <w:p w14:paraId="7B489116" w14:textId="77777777" w:rsidR="009E5839" w:rsidRPr="00B729B8" w:rsidRDefault="009E5839" w:rsidP="0004163C">
      <w:pPr>
        <w:spacing w:line="480" w:lineRule="auto"/>
        <w:ind w:firstLine="708"/>
        <w:rPr>
          <w:rFonts w:ascii="Times New Roman" w:hAnsi="Times New Roman" w:cs="Times New Roman"/>
          <w:sz w:val="24"/>
          <w:szCs w:val="24"/>
          <w:lang w:val="en-US"/>
        </w:rPr>
      </w:pPr>
      <w:r w:rsidRPr="00B729B8">
        <w:rPr>
          <w:rFonts w:ascii="Times New Roman" w:hAnsi="Times New Roman" w:cs="Times New Roman"/>
          <w:sz w:val="24"/>
          <w:szCs w:val="24"/>
          <w:lang w:val="en-US"/>
        </w:rPr>
        <w:t>Performance of the tested models was assessed through multiple indicators to identify an optimal model. The number of latent classes was selected based on 1) the likelihood-ratio statistics (G</w:t>
      </w:r>
      <w:r w:rsidRPr="00B729B8">
        <w:rPr>
          <w:rFonts w:ascii="Times New Roman" w:hAnsi="Times New Roman" w:cs="Times New Roman"/>
          <w:sz w:val="24"/>
          <w:szCs w:val="24"/>
          <w:vertAlign w:val="superscript"/>
          <w:lang w:val="en-US"/>
        </w:rPr>
        <w:t xml:space="preserve">2 </w:t>
      </w:r>
      <w:r w:rsidRPr="00B729B8">
        <w:rPr>
          <w:rFonts w:ascii="Times New Roman" w:hAnsi="Times New Roman" w:cs="Times New Roman"/>
          <w:sz w:val="24"/>
          <w:szCs w:val="24"/>
          <w:lang w:val="en-US"/>
        </w:rPr>
        <w:t>and log-likelihood or LL), and 2) the incremental model fit statistics (the Akaike’s Information Criteria or AIC, and the Bayesian Information Criterion or SABIC). Considering class sample size and interpretability of each class,</w:t>
      </w:r>
      <w:r w:rsidRPr="00B729B8">
        <w:rPr>
          <w:rFonts w:ascii="Times New Roman" w:hAnsi="Times New Roman" w:cs="Times New Roman"/>
          <w:sz w:val="24"/>
          <w:szCs w:val="24"/>
          <w:vertAlign w:val="superscript"/>
          <w:lang w:val="en-US"/>
        </w:rPr>
        <w:t xml:space="preserve"> </w:t>
      </w:r>
      <w:r w:rsidRPr="00B729B8">
        <w:rPr>
          <w:rFonts w:ascii="Times New Roman" w:hAnsi="Times New Roman" w:cs="Times New Roman"/>
          <w:sz w:val="24"/>
          <w:szCs w:val="24"/>
          <w:lang w:val="en-US"/>
        </w:rPr>
        <w:t>a smaller G</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LL, AIC, BIC suggest a better model fit and parsimony. Measurement invariance between both samples was explored using a likelihood ratio test (Canada = 1; US = 2), suggesting the presence of the same latent classes in both samples (Δ</w:t>
      </w:r>
      <w:r w:rsidRPr="00B729B8">
        <w:rPr>
          <w:rFonts w:ascii="Times New Roman" w:hAnsi="Times New Roman" w:cs="Times New Roman"/>
          <w:i/>
          <w:sz w:val="24"/>
          <w:szCs w:val="24"/>
          <w:lang w:val="en-US"/>
        </w:rPr>
        <w:t>G</w:t>
      </w:r>
      <w:r w:rsidRPr="00B729B8">
        <w:rPr>
          <w:rFonts w:ascii="Times New Roman" w:hAnsi="Times New Roman" w:cs="Times New Roman"/>
          <w:i/>
          <w:sz w:val="24"/>
          <w:szCs w:val="24"/>
          <w:vertAlign w:val="superscript"/>
          <w:lang w:val="en-US"/>
        </w:rPr>
        <w:t>2</w:t>
      </w:r>
      <w:r w:rsidRPr="00B729B8">
        <w:rPr>
          <w:rFonts w:ascii="Times New Roman" w:hAnsi="Times New Roman" w:cs="Times New Roman"/>
          <w:sz w:val="24"/>
          <w:szCs w:val="24"/>
          <w:vertAlign w:val="superscript"/>
          <w:lang w:val="en-US"/>
        </w:rPr>
        <w:t xml:space="preserve"> </w:t>
      </w:r>
      <w:r w:rsidRPr="00B729B8">
        <w:rPr>
          <w:rFonts w:ascii="Times New Roman" w:hAnsi="Times New Roman" w:cs="Times New Roman"/>
          <w:sz w:val="24"/>
          <w:szCs w:val="24"/>
          <w:lang w:val="en-US"/>
        </w:rPr>
        <w:t xml:space="preserve">= 1.92, Δdf = 8,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 .983), thus not requiring separate analysis for each sample. Despite the presence of same subpopulations of cigarette smokers and e-cigarette users, demographic characteristics and alcohol severity levels between classes were compared cross-sectionally using chi-squared analyses and Cramer’s </w:t>
      </w:r>
      <w:r w:rsidRPr="00B729B8">
        <w:rPr>
          <w:rFonts w:ascii="Times New Roman" w:hAnsi="Times New Roman" w:cs="Times New Roman"/>
          <w:i/>
          <w:sz w:val="24"/>
          <w:szCs w:val="24"/>
          <w:lang w:val="en-US"/>
        </w:rPr>
        <w:t>V</w:t>
      </w:r>
      <w:r w:rsidRPr="00B729B8">
        <w:rPr>
          <w:rFonts w:ascii="Times New Roman" w:hAnsi="Times New Roman" w:cs="Times New Roman"/>
          <w:sz w:val="24"/>
          <w:szCs w:val="24"/>
          <w:lang w:val="en-US"/>
        </w:rPr>
        <w:t xml:space="preserve"> as the effect size.</w:t>
      </w:r>
    </w:p>
    <w:p w14:paraId="29F2EA23" w14:textId="77777777" w:rsidR="009E5839" w:rsidRPr="00B729B8" w:rsidRDefault="009E5839" w:rsidP="0004163C">
      <w:pPr>
        <w:rPr>
          <w:rFonts w:ascii="Times New Roman" w:hAnsi="Times New Roman" w:cs="Times New Roman"/>
          <w:bCs/>
          <w:sz w:val="24"/>
          <w:szCs w:val="24"/>
          <w:lang w:val="en-US"/>
        </w:rPr>
      </w:pPr>
    </w:p>
    <w:p w14:paraId="670CFEFA" w14:textId="77777777" w:rsidR="009E5839" w:rsidRPr="00B729B8" w:rsidRDefault="009E5839" w:rsidP="0004163C">
      <w:pPr>
        <w:spacing w:line="480" w:lineRule="auto"/>
        <w:jc w:val="center"/>
        <w:rPr>
          <w:rFonts w:ascii="Times New Roman" w:hAnsi="Times New Roman" w:cs="Times New Roman"/>
          <w:b/>
          <w:bCs/>
          <w:sz w:val="24"/>
          <w:szCs w:val="24"/>
          <w:lang w:val="en-US"/>
        </w:rPr>
      </w:pPr>
      <w:r w:rsidRPr="00B729B8">
        <w:rPr>
          <w:rFonts w:ascii="Times New Roman" w:hAnsi="Times New Roman" w:cs="Times New Roman"/>
          <w:b/>
          <w:bCs/>
          <w:sz w:val="24"/>
          <w:szCs w:val="24"/>
          <w:lang w:val="en-US"/>
        </w:rPr>
        <w:t>RESULTS</w:t>
      </w:r>
    </w:p>
    <w:p w14:paraId="789EBAD9" w14:textId="77777777" w:rsidR="009E5839" w:rsidRPr="00B729B8" w:rsidRDefault="009E5839" w:rsidP="0004163C">
      <w:pPr>
        <w:spacing w:line="480" w:lineRule="auto"/>
        <w:rPr>
          <w:rFonts w:ascii="Times New Roman" w:hAnsi="Times New Roman" w:cs="Times New Roman"/>
          <w:b/>
          <w:sz w:val="24"/>
          <w:szCs w:val="24"/>
          <w:lang w:val="en-US"/>
        </w:rPr>
      </w:pPr>
      <w:r w:rsidRPr="00B729B8">
        <w:rPr>
          <w:rFonts w:ascii="Times New Roman" w:hAnsi="Times New Roman" w:cs="Times New Roman"/>
          <w:b/>
          <w:sz w:val="24"/>
          <w:szCs w:val="24"/>
          <w:lang w:val="en-US"/>
        </w:rPr>
        <w:t>Identification of Latent Group Structure</w:t>
      </w:r>
    </w:p>
    <w:p w14:paraId="7C730499" w14:textId="5B99A6BB" w:rsidR="009E5839" w:rsidRPr="00B729B8" w:rsidRDefault="009E5839" w:rsidP="0004163C">
      <w:pPr>
        <w:spacing w:line="480" w:lineRule="auto"/>
        <w:rPr>
          <w:rFonts w:ascii="Times New Roman" w:hAnsi="Times New Roman" w:cs="Times New Roman"/>
          <w:sz w:val="24"/>
          <w:szCs w:val="24"/>
          <w:lang w:val="en-US"/>
        </w:rPr>
      </w:pPr>
      <w:r w:rsidRPr="00B729B8">
        <w:rPr>
          <w:rFonts w:ascii="Times New Roman" w:hAnsi="Times New Roman" w:cs="Times New Roman"/>
          <w:sz w:val="24"/>
          <w:szCs w:val="24"/>
          <w:lang w:val="en-US"/>
        </w:rPr>
        <w:tab/>
        <w:t>The model with more adequate fit and interpretability suggested the presence of four latent classes (</w:t>
      </w:r>
      <w:r w:rsidRPr="00B729B8">
        <w:rPr>
          <w:rFonts w:ascii="Times New Roman" w:eastAsia="Times New Roman" w:hAnsi="Times New Roman" w:cs="Times New Roman"/>
          <w:color w:val="000000"/>
          <w:sz w:val="24"/>
          <w:szCs w:val="24"/>
          <w:lang w:val="en-US" w:eastAsia="es-ES"/>
        </w:rPr>
        <w:t>G</w:t>
      </w:r>
      <w:r w:rsidRPr="00B729B8">
        <w:rPr>
          <w:rFonts w:ascii="Times New Roman" w:eastAsia="Times New Roman" w:hAnsi="Times New Roman" w:cs="Times New Roman"/>
          <w:color w:val="000000"/>
          <w:sz w:val="24"/>
          <w:szCs w:val="24"/>
          <w:vertAlign w:val="superscript"/>
          <w:lang w:val="en-US" w:eastAsia="es-ES"/>
        </w:rPr>
        <w:t>2</w:t>
      </w:r>
      <w:r w:rsidRPr="00B729B8">
        <w:rPr>
          <w:rFonts w:ascii="Times New Roman" w:eastAsia="Times New Roman" w:hAnsi="Times New Roman" w:cs="Times New Roman"/>
          <w:color w:val="000000"/>
          <w:sz w:val="24"/>
          <w:szCs w:val="24"/>
          <w:lang w:val="en-US" w:eastAsia="es-ES"/>
        </w:rPr>
        <w:t xml:space="preserve"> = 150.88, </w:t>
      </w:r>
      <w:r w:rsidR="00AD1FB7" w:rsidRPr="00B729B8">
        <w:rPr>
          <w:rFonts w:ascii="Times New Roman" w:eastAsia="Times New Roman" w:hAnsi="Times New Roman" w:cs="Times New Roman"/>
          <w:color w:val="000000"/>
          <w:sz w:val="24"/>
          <w:szCs w:val="24"/>
          <w:lang w:val="en-US" w:eastAsia="es-ES"/>
        </w:rPr>
        <w:t>LL</w:t>
      </w:r>
      <w:r w:rsidRPr="00B729B8">
        <w:rPr>
          <w:rFonts w:ascii="Times New Roman" w:eastAsia="Times New Roman" w:hAnsi="Times New Roman" w:cs="Times New Roman"/>
          <w:color w:val="000000"/>
          <w:sz w:val="24"/>
          <w:szCs w:val="24"/>
          <w:lang w:val="en-US" w:eastAsia="es-ES"/>
        </w:rPr>
        <w:t xml:space="preserve"> = -2,362.93, </w:t>
      </w:r>
      <w:r w:rsidR="00AD1FB7" w:rsidRPr="00B729B8">
        <w:rPr>
          <w:rFonts w:ascii="Times New Roman" w:eastAsia="Times New Roman" w:hAnsi="Times New Roman" w:cs="Times New Roman"/>
          <w:bCs/>
          <w:color w:val="000000"/>
          <w:sz w:val="24"/>
          <w:szCs w:val="24"/>
          <w:lang w:val="en-US" w:eastAsia="es-ES"/>
        </w:rPr>
        <w:t>AIC</w:t>
      </w:r>
      <w:r w:rsidRPr="00B729B8">
        <w:rPr>
          <w:rFonts w:ascii="Times New Roman" w:eastAsia="Times New Roman" w:hAnsi="Times New Roman" w:cs="Times New Roman"/>
          <w:bCs/>
          <w:color w:val="000000"/>
          <w:sz w:val="24"/>
          <w:szCs w:val="24"/>
          <w:lang w:val="en-US" w:eastAsia="es-ES"/>
        </w:rPr>
        <w:t xml:space="preserve"> = 244.88, </w:t>
      </w:r>
      <w:r w:rsidR="00AD1FB7" w:rsidRPr="00B729B8">
        <w:rPr>
          <w:rFonts w:ascii="Times New Roman" w:eastAsia="Times New Roman" w:hAnsi="Times New Roman" w:cs="Times New Roman"/>
          <w:bCs/>
          <w:color w:val="000000"/>
          <w:sz w:val="24"/>
          <w:szCs w:val="24"/>
          <w:lang w:val="en-US" w:eastAsia="es-ES"/>
        </w:rPr>
        <w:t>BIC</w:t>
      </w:r>
      <w:r w:rsidRPr="00B729B8">
        <w:rPr>
          <w:rFonts w:ascii="Times New Roman" w:eastAsia="Times New Roman" w:hAnsi="Times New Roman" w:cs="Times New Roman"/>
          <w:bCs/>
          <w:color w:val="000000"/>
          <w:sz w:val="24"/>
          <w:szCs w:val="24"/>
          <w:lang w:val="en-US" w:eastAsia="es-ES"/>
        </w:rPr>
        <w:t xml:space="preserve"> = 475.64</w:t>
      </w:r>
      <w:r w:rsidRPr="00B729B8">
        <w:rPr>
          <w:rFonts w:ascii="Times New Roman" w:hAnsi="Times New Roman" w:cs="Times New Roman"/>
          <w:sz w:val="24"/>
          <w:szCs w:val="24"/>
          <w:lang w:val="en-US"/>
        </w:rPr>
        <w:t>): 1) exclusive e-</w:t>
      </w:r>
      <w:r w:rsidRPr="00B729B8">
        <w:rPr>
          <w:rFonts w:ascii="Times New Roman" w:hAnsi="Times New Roman" w:cs="Times New Roman"/>
          <w:bCs/>
          <w:sz w:val="24"/>
          <w:szCs w:val="24"/>
          <w:lang w:val="en-US"/>
        </w:rPr>
        <w:t>cigarette</w:t>
      </w:r>
      <w:r w:rsidRPr="00B729B8">
        <w:rPr>
          <w:rFonts w:ascii="Times New Roman" w:hAnsi="Times New Roman" w:cs="Times New Roman"/>
          <w:sz w:val="24"/>
          <w:szCs w:val="24"/>
          <w:lang w:val="en-US"/>
        </w:rPr>
        <w:t xml:space="preserve"> users (probability per assessment in %: 7.75, 8.13, 10.10, 8.93), dual users (%: 9.89, 6.39, 5.34, 2.61), non-users (%: 61.66, 72.28, 76.44, 80.06), and exclusive combustible cigarette smokers (%: 20.70, 13.20, 8.12, 8.40). Latent class solutions greater than four did not converge. Table 2 shows the item-response probability for each indicator across classes and their prevalence over time (see Table S4, in supplemental material, for the distribution of participants across classes over time).</w:t>
      </w:r>
    </w:p>
    <w:p w14:paraId="638465D4" w14:textId="240F9806" w:rsidR="009E5839" w:rsidRPr="00B729B8" w:rsidRDefault="009E5839" w:rsidP="0004163C">
      <w:pPr>
        <w:spacing w:line="480" w:lineRule="auto"/>
        <w:ind w:firstLine="708"/>
        <w:rPr>
          <w:rFonts w:ascii="Times New Roman" w:hAnsi="Times New Roman" w:cs="Times New Roman"/>
          <w:sz w:val="24"/>
          <w:szCs w:val="24"/>
          <w:lang w:val="en-US"/>
        </w:rPr>
      </w:pPr>
      <w:r w:rsidRPr="00B729B8">
        <w:rPr>
          <w:rFonts w:ascii="Times New Roman" w:hAnsi="Times New Roman" w:cs="Times New Roman"/>
          <w:sz w:val="24"/>
          <w:szCs w:val="24"/>
          <w:lang w:val="en-US"/>
        </w:rPr>
        <w:t>All four classes showed high homogeneity, but groups’ sizes changed across assessments, except in the e-</w:t>
      </w:r>
      <w:r w:rsidRPr="00B729B8">
        <w:rPr>
          <w:rFonts w:ascii="Times New Roman" w:hAnsi="Times New Roman" w:cs="Times New Roman"/>
          <w:bCs/>
          <w:sz w:val="24"/>
          <w:szCs w:val="24"/>
          <w:lang w:val="en-US"/>
        </w:rPr>
        <w:t>cigarettes</w:t>
      </w:r>
      <w:r w:rsidRPr="00B729B8">
        <w:rPr>
          <w:rFonts w:ascii="Times New Roman" w:hAnsi="Times New Roman" w:cs="Times New Roman"/>
          <w:sz w:val="24"/>
          <w:szCs w:val="24"/>
          <w:lang w:val="en-US"/>
        </w:rPr>
        <w:t xml:space="preserve"> only </w:t>
      </w:r>
      <w:r w:rsidR="00AD1FB7" w:rsidRPr="00B729B8">
        <w:rPr>
          <w:rFonts w:ascii="Times New Roman" w:hAnsi="Times New Roman" w:cs="Times New Roman"/>
          <w:sz w:val="24"/>
          <w:szCs w:val="24"/>
          <w:lang w:val="en-US"/>
        </w:rPr>
        <w:t>group (see Table 2 and S3, in</w:t>
      </w:r>
      <w:r w:rsidRPr="00B729B8">
        <w:rPr>
          <w:rFonts w:ascii="Times New Roman" w:hAnsi="Times New Roman" w:cs="Times New Roman"/>
          <w:sz w:val="24"/>
          <w:szCs w:val="24"/>
          <w:lang w:val="en-US"/>
        </w:rPr>
        <w:t xml:space="preserve"> supplemental material). Although the same latent classes were found in both samples, some significant differences in their distribution existed. Specifically, at 16-months, dual use was more likely in the Canadian sample (55.3% vs 44.7%) while non-use was higher in the US sample (61.7% vs 38.3%; </w:t>
      </w:r>
      <w:r w:rsidRPr="00B729B8">
        <w:rPr>
          <w:rFonts w:ascii="Times New Roman" w:hAnsi="Times New Roman" w:cs="Times New Roman"/>
          <w:i/>
          <w:sz w:val="24"/>
          <w:szCs w:val="24"/>
          <w:lang w:val="en-US"/>
        </w:rPr>
        <w:t>χ</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(3) = 8.51,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 .037, </w:t>
      </w:r>
      <w:r w:rsidRPr="00B729B8">
        <w:rPr>
          <w:rFonts w:ascii="Times New Roman" w:hAnsi="Times New Roman" w:cs="Times New Roman"/>
          <w:i/>
          <w:sz w:val="24"/>
          <w:szCs w:val="24"/>
          <w:lang w:val="en-US"/>
        </w:rPr>
        <w:t>V</w:t>
      </w:r>
      <w:r w:rsidRPr="00B729B8">
        <w:rPr>
          <w:rFonts w:ascii="Times New Roman" w:hAnsi="Times New Roman" w:cs="Times New Roman"/>
          <w:sz w:val="24"/>
          <w:szCs w:val="24"/>
          <w:lang w:val="en-US"/>
        </w:rPr>
        <w:t xml:space="preserve"> = .092). These differences remained at 24-months (</w:t>
      </w:r>
      <w:r w:rsidRPr="00B729B8">
        <w:rPr>
          <w:rFonts w:ascii="Times New Roman" w:hAnsi="Times New Roman" w:cs="Times New Roman"/>
          <w:i/>
          <w:sz w:val="24"/>
          <w:szCs w:val="24"/>
          <w:lang w:val="en-US"/>
        </w:rPr>
        <w:t>χ</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(3) = 8.58,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 .035, </w:t>
      </w:r>
      <w:r w:rsidRPr="00B729B8">
        <w:rPr>
          <w:rFonts w:ascii="Times New Roman" w:hAnsi="Times New Roman" w:cs="Times New Roman"/>
          <w:i/>
          <w:sz w:val="24"/>
          <w:szCs w:val="24"/>
          <w:lang w:val="en-US"/>
        </w:rPr>
        <w:t>V</w:t>
      </w:r>
      <w:r w:rsidRPr="00B729B8">
        <w:rPr>
          <w:rFonts w:ascii="Times New Roman" w:hAnsi="Times New Roman" w:cs="Times New Roman"/>
          <w:sz w:val="24"/>
          <w:szCs w:val="24"/>
          <w:lang w:val="en-US"/>
        </w:rPr>
        <w:t xml:space="preserve"> = .093) for both dual (58.1% vs 41.9%) and non-use (61.8% vs 38.2%).</w:t>
      </w:r>
    </w:p>
    <w:p w14:paraId="694366C8" w14:textId="77777777" w:rsidR="009E5839" w:rsidRPr="00B729B8" w:rsidRDefault="009E5839" w:rsidP="0004163C">
      <w:pPr>
        <w:spacing w:line="480" w:lineRule="auto"/>
        <w:rPr>
          <w:rFonts w:ascii="Times New Roman" w:hAnsi="Times New Roman" w:cs="Times New Roman"/>
          <w:b/>
          <w:sz w:val="24"/>
          <w:szCs w:val="24"/>
          <w:lang w:val="en-US"/>
        </w:rPr>
      </w:pPr>
      <w:r w:rsidRPr="00B729B8">
        <w:rPr>
          <w:rFonts w:ascii="Times New Roman" w:hAnsi="Times New Roman" w:cs="Times New Roman"/>
          <w:b/>
          <w:sz w:val="24"/>
          <w:szCs w:val="24"/>
          <w:lang w:val="en-US"/>
        </w:rPr>
        <w:t>Latent Transition Analysis of Patterns of Use</w:t>
      </w:r>
    </w:p>
    <w:p w14:paraId="59CAEEA8" w14:textId="77777777" w:rsidR="009E5839" w:rsidRPr="00B729B8" w:rsidRDefault="009E5839" w:rsidP="0004163C">
      <w:pPr>
        <w:spacing w:line="480" w:lineRule="auto"/>
        <w:rPr>
          <w:rFonts w:ascii="Times New Roman" w:hAnsi="Times New Roman" w:cs="Times New Roman"/>
          <w:sz w:val="24"/>
          <w:szCs w:val="24"/>
          <w:lang w:val="en-US"/>
        </w:rPr>
      </w:pPr>
      <w:r w:rsidRPr="00B729B8">
        <w:rPr>
          <w:rFonts w:ascii="Times New Roman" w:hAnsi="Times New Roman" w:cs="Times New Roman"/>
          <w:sz w:val="24"/>
          <w:szCs w:val="24"/>
          <w:lang w:val="en-US"/>
        </w:rPr>
        <w:tab/>
        <w:t xml:space="preserve">Figure 1 shows the 24-month status of participants belonging to the three classes of users of nicotine-products at baseline; a complete 24-month follow-up disposition is in Figure S1. Figure 2 shows the proportion of usage status transitions among those reporting any use in the whole sample over the 24 months. </w:t>
      </w:r>
    </w:p>
    <w:p w14:paraId="5932815D" w14:textId="77777777" w:rsidR="009E5839" w:rsidRPr="00B729B8" w:rsidRDefault="009E5839" w:rsidP="0004163C">
      <w:pPr>
        <w:spacing w:line="480" w:lineRule="auto"/>
        <w:rPr>
          <w:rFonts w:ascii="Times New Roman" w:hAnsi="Times New Roman" w:cs="Times New Roman"/>
          <w:sz w:val="24"/>
          <w:szCs w:val="24"/>
          <w:lang w:val="en-US"/>
        </w:rPr>
      </w:pPr>
      <w:r w:rsidRPr="00B729B8">
        <w:rPr>
          <w:rFonts w:ascii="Times New Roman" w:hAnsi="Times New Roman" w:cs="Times New Roman"/>
          <w:sz w:val="24"/>
          <w:szCs w:val="24"/>
          <w:lang w:val="en-US"/>
        </w:rPr>
        <w:tab/>
        <w:t>The mean stability parameters suggest the non-use class as the most stable and the dual use class as the most dynamic across time (see Table 2). Of dual users, 31.6-48.5% remained in their class over time, with most transitioning to exclusive e-</w:t>
      </w:r>
      <w:r w:rsidRPr="00B729B8">
        <w:rPr>
          <w:rFonts w:ascii="Times New Roman" w:hAnsi="Times New Roman" w:cs="Times New Roman"/>
          <w:bCs/>
          <w:sz w:val="24"/>
          <w:szCs w:val="24"/>
          <w:lang w:val="en-US"/>
        </w:rPr>
        <w:t>cigarettes</w:t>
      </w:r>
      <w:r w:rsidRPr="00B729B8">
        <w:rPr>
          <w:rFonts w:ascii="Times New Roman" w:hAnsi="Times New Roman" w:cs="Times New Roman"/>
          <w:sz w:val="24"/>
          <w:szCs w:val="24"/>
          <w:lang w:val="en-US"/>
        </w:rPr>
        <w:t xml:space="preserve"> use. One in four dual users moved toward exclusive combustible cigarette smoking between the first assessments and the same proportion (23.4%) moved toward non-use between the last two. Thus, most dual users at baseline reported being either non-users or exclusive e-</w:t>
      </w:r>
      <w:r w:rsidRPr="00B729B8">
        <w:rPr>
          <w:rFonts w:ascii="Times New Roman" w:hAnsi="Times New Roman" w:cs="Times New Roman"/>
          <w:bCs/>
          <w:sz w:val="24"/>
          <w:szCs w:val="24"/>
          <w:lang w:val="en-US"/>
        </w:rPr>
        <w:t>cigarette</w:t>
      </w:r>
      <w:r w:rsidRPr="00B729B8">
        <w:rPr>
          <w:rFonts w:ascii="Times New Roman" w:hAnsi="Times New Roman" w:cs="Times New Roman"/>
          <w:sz w:val="24"/>
          <w:szCs w:val="24"/>
          <w:lang w:val="en-US"/>
        </w:rPr>
        <w:t xml:space="preserve"> users at 24-months.</w:t>
      </w:r>
    </w:p>
    <w:p w14:paraId="0199C0EE" w14:textId="77777777" w:rsidR="009E5839" w:rsidRPr="00B729B8" w:rsidRDefault="009E5839" w:rsidP="0004163C">
      <w:pPr>
        <w:spacing w:line="480" w:lineRule="auto"/>
        <w:rPr>
          <w:rFonts w:ascii="Times New Roman" w:hAnsi="Times New Roman" w:cs="Times New Roman"/>
          <w:sz w:val="24"/>
          <w:szCs w:val="24"/>
          <w:lang w:val="en-US"/>
        </w:rPr>
      </w:pPr>
      <w:r w:rsidRPr="00B729B8">
        <w:rPr>
          <w:rFonts w:ascii="Times New Roman" w:hAnsi="Times New Roman" w:cs="Times New Roman"/>
          <w:sz w:val="24"/>
          <w:szCs w:val="24"/>
          <w:lang w:val="en-US"/>
        </w:rPr>
        <w:tab/>
        <w:t>Between 52-79.6% exclusive cigarette smokers maintained their pattern of use. Nonetheless, 29.6-</w:t>
      </w:r>
      <w:r w:rsidRPr="00B729B8">
        <w:rPr>
          <w:rFonts w:ascii="Times New Roman" w:eastAsia="Times New Roman" w:hAnsi="Times New Roman" w:cs="Times New Roman"/>
          <w:bCs/>
          <w:color w:val="000000"/>
          <w:sz w:val="24"/>
          <w:szCs w:val="24"/>
          <w:lang w:val="en-US" w:eastAsia="es-ES"/>
        </w:rPr>
        <w:t>32.4%</w:t>
      </w:r>
      <w:r w:rsidRPr="00B729B8">
        <w:rPr>
          <w:rFonts w:ascii="Times New Roman" w:hAnsi="Times New Roman" w:cs="Times New Roman"/>
          <w:sz w:val="24"/>
          <w:szCs w:val="24"/>
          <w:lang w:val="en-US"/>
        </w:rPr>
        <w:t xml:space="preserve"> quit across time (see Table 2). At 24-months most exclusive combustible cigarette smokers at baseline reported being non-users, followed by those still smoking combustible cigarettes exclusively (see Figure 1).</w:t>
      </w:r>
    </w:p>
    <w:p w14:paraId="028B0C68" w14:textId="77777777" w:rsidR="009E5839" w:rsidRPr="00B729B8" w:rsidRDefault="009E5839" w:rsidP="0004163C">
      <w:pPr>
        <w:spacing w:line="480" w:lineRule="auto"/>
        <w:rPr>
          <w:rFonts w:ascii="Times New Roman" w:hAnsi="Times New Roman" w:cs="Times New Roman"/>
          <w:b/>
          <w:sz w:val="24"/>
          <w:szCs w:val="24"/>
          <w:lang w:val="en-US"/>
        </w:rPr>
      </w:pPr>
      <w:r w:rsidRPr="00B729B8">
        <w:rPr>
          <w:rFonts w:ascii="Times New Roman" w:hAnsi="Times New Roman" w:cs="Times New Roman"/>
          <w:sz w:val="24"/>
          <w:szCs w:val="24"/>
          <w:lang w:val="en-US"/>
        </w:rPr>
        <w:tab/>
        <w:t>Although virtually all (92.4%) exclusive e-</w:t>
      </w:r>
      <w:r w:rsidRPr="00B729B8">
        <w:rPr>
          <w:rFonts w:ascii="Times New Roman" w:hAnsi="Times New Roman" w:cs="Times New Roman"/>
          <w:bCs/>
          <w:sz w:val="24"/>
          <w:szCs w:val="24"/>
          <w:lang w:val="en-US"/>
        </w:rPr>
        <w:t>cigarette</w:t>
      </w:r>
      <w:r w:rsidRPr="00B729B8">
        <w:rPr>
          <w:rFonts w:ascii="Times New Roman" w:hAnsi="Times New Roman" w:cs="Times New Roman"/>
          <w:sz w:val="24"/>
          <w:szCs w:val="24"/>
          <w:lang w:val="en-US"/>
        </w:rPr>
        <w:t xml:space="preserve"> users remained in their class between 8- and 16-months, those moving between the first and last assessments transitioned mostly to non-use (see Figure 1). Only 5.6% of non-users changed their status, with most of them transiting to either exclusive e-</w:t>
      </w:r>
      <w:r w:rsidRPr="00B729B8">
        <w:rPr>
          <w:rFonts w:ascii="Times New Roman" w:hAnsi="Times New Roman" w:cs="Times New Roman"/>
          <w:bCs/>
          <w:sz w:val="24"/>
          <w:szCs w:val="24"/>
          <w:lang w:val="en-US"/>
        </w:rPr>
        <w:t>cigarette</w:t>
      </w:r>
      <w:r w:rsidRPr="00B729B8">
        <w:rPr>
          <w:rFonts w:ascii="Times New Roman" w:hAnsi="Times New Roman" w:cs="Times New Roman"/>
          <w:sz w:val="24"/>
          <w:szCs w:val="24"/>
          <w:lang w:val="en-US"/>
        </w:rPr>
        <w:t xml:space="preserve"> use (2.4%) or exclusive combustible cigarette smoking (1.3%) (see Table 2).</w:t>
      </w:r>
    </w:p>
    <w:p w14:paraId="2B67B020" w14:textId="77777777" w:rsidR="009E5839" w:rsidRPr="00B729B8" w:rsidRDefault="009E5839" w:rsidP="0004163C">
      <w:pPr>
        <w:spacing w:line="480" w:lineRule="auto"/>
        <w:rPr>
          <w:rFonts w:ascii="Times New Roman" w:hAnsi="Times New Roman" w:cs="Times New Roman"/>
          <w:b/>
          <w:sz w:val="24"/>
          <w:szCs w:val="24"/>
          <w:lang w:val="en-US"/>
        </w:rPr>
      </w:pPr>
      <w:r w:rsidRPr="00B729B8">
        <w:rPr>
          <w:rFonts w:ascii="Times New Roman" w:hAnsi="Times New Roman" w:cs="Times New Roman"/>
          <w:b/>
          <w:sz w:val="24"/>
          <w:szCs w:val="24"/>
          <w:lang w:val="en-US"/>
        </w:rPr>
        <w:t>Group Differences in Alcohol Severity and Demographics</w:t>
      </w:r>
    </w:p>
    <w:p w14:paraId="43DC7F65" w14:textId="1D7D97F1" w:rsidR="009E5839" w:rsidRPr="00B729B8" w:rsidRDefault="009E5839" w:rsidP="0004163C">
      <w:pPr>
        <w:spacing w:line="480" w:lineRule="auto"/>
        <w:ind w:firstLine="708"/>
        <w:rPr>
          <w:rFonts w:ascii="Times New Roman" w:hAnsi="Times New Roman" w:cs="Times New Roman"/>
          <w:sz w:val="24"/>
          <w:szCs w:val="24"/>
          <w:lang w:val="en-US"/>
        </w:rPr>
      </w:pPr>
      <w:r w:rsidRPr="00B729B8">
        <w:rPr>
          <w:rFonts w:ascii="Times New Roman" w:hAnsi="Times New Roman" w:cs="Times New Roman"/>
          <w:sz w:val="24"/>
          <w:szCs w:val="24"/>
          <w:lang w:val="en-US"/>
        </w:rPr>
        <w:t>Alcohol severity also differed significantly between classes</w:t>
      </w:r>
      <w:r w:rsidRPr="00B729B8">
        <w:rPr>
          <w:rFonts w:ascii="Times New Roman" w:hAnsi="Times New Roman" w:cs="Times New Roman"/>
          <w:bCs/>
          <w:sz w:val="24"/>
          <w:szCs w:val="24"/>
          <w:lang w:val="en-US"/>
        </w:rPr>
        <w:t xml:space="preserve"> </w:t>
      </w:r>
      <w:r w:rsidRPr="00B729B8">
        <w:rPr>
          <w:rFonts w:ascii="Times New Roman" w:hAnsi="Times New Roman" w:cs="Times New Roman"/>
          <w:sz w:val="24"/>
          <w:szCs w:val="24"/>
          <w:lang w:val="en-US"/>
        </w:rPr>
        <w:t>at baseline (</w:t>
      </w:r>
      <w:r w:rsidRPr="00B729B8">
        <w:rPr>
          <w:rFonts w:ascii="Times New Roman" w:hAnsi="Times New Roman" w:cs="Times New Roman"/>
          <w:i/>
          <w:sz w:val="24"/>
          <w:szCs w:val="24"/>
          <w:lang w:val="en-US"/>
        </w:rPr>
        <w:t>χ</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(3) = 31.63,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&lt; .001, </w:t>
      </w:r>
      <w:r w:rsidRPr="00B729B8">
        <w:rPr>
          <w:rFonts w:ascii="Times New Roman" w:hAnsi="Times New Roman" w:cs="Times New Roman"/>
          <w:i/>
          <w:sz w:val="24"/>
          <w:szCs w:val="24"/>
          <w:lang w:val="en-US"/>
        </w:rPr>
        <w:t>V</w:t>
      </w:r>
      <w:r w:rsidRPr="00B729B8">
        <w:rPr>
          <w:rFonts w:ascii="Times New Roman" w:hAnsi="Times New Roman" w:cs="Times New Roman"/>
          <w:sz w:val="24"/>
          <w:szCs w:val="24"/>
          <w:lang w:val="en-US"/>
        </w:rPr>
        <w:t xml:space="preserve"> = .178), 8- (</w:t>
      </w:r>
      <w:r w:rsidRPr="00B729B8">
        <w:rPr>
          <w:rFonts w:ascii="Times New Roman" w:hAnsi="Times New Roman" w:cs="Times New Roman"/>
          <w:i/>
          <w:sz w:val="24"/>
          <w:szCs w:val="24"/>
          <w:lang w:val="en-US"/>
        </w:rPr>
        <w:t>χ</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(3) = 28.20,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&lt; .001, </w:t>
      </w:r>
      <w:r w:rsidRPr="00B729B8">
        <w:rPr>
          <w:rFonts w:ascii="Times New Roman" w:hAnsi="Times New Roman" w:cs="Times New Roman"/>
          <w:i/>
          <w:sz w:val="24"/>
          <w:szCs w:val="24"/>
          <w:lang w:val="en-US"/>
        </w:rPr>
        <w:t>V</w:t>
      </w:r>
      <w:r w:rsidRPr="00B729B8">
        <w:rPr>
          <w:rFonts w:ascii="Times New Roman" w:hAnsi="Times New Roman" w:cs="Times New Roman"/>
          <w:sz w:val="24"/>
          <w:szCs w:val="24"/>
          <w:lang w:val="en-US"/>
        </w:rPr>
        <w:t xml:space="preserve"> = .168), 16- (</w:t>
      </w:r>
      <w:r w:rsidRPr="00B729B8">
        <w:rPr>
          <w:rFonts w:ascii="Times New Roman" w:hAnsi="Times New Roman" w:cs="Times New Roman"/>
          <w:i/>
          <w:sz w:val="24"/>
          <w:szCs w:val="24"/>
          <w:lang w:val="en-US"/>
        </w:rPr>
        <w:t>χ</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(3) = 20.76,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&lt; .001, </w:t>
      </w:r>
      <w:r w:rsidRPr="00B729B8">
        <w:rPr>
          <w:rFonts w:ascii="Times New Roman" w:hAnsi="Times New Roman" w:cs="Times New Roman"/>
          <w:i/>
          <w:sz w:val="24"/>
          <w:szCs w:val="24"/>
          <w:lang w:val="en-US"/>
        </w:rPr>
        <w:t>V</w:t>
      </w:r>
      <w:r w:rsidRPr="00B729B8">
        <w:rPr>
          <w:rFonts w:ascii="Times New Roman" w:hAnsi="Times New Roman" w:cs="Times New Roman"/>
          <w:sz w:val="24"/>
          <w:szCs w:val="24"/>
          <w:lang w:val="en-US"/>
        </w:rPr>
        <w:t xml:space="preserve"> = .144) and 24-months (</w:t>
      </w:r>
      <w:r w:rsidRPr="00B729B8">
        <w:rPr>
          <w:rFonts w:ascii="Times New Roman" w:hAnsi="Times New Roman" w:cs="Times New Roman"/>
          <w:i/>
          <w:sz w:val="24"/>
          <w:szCs w:val="24"/>
          <w:lang w:val="en-US"/>
        </w:rPr>
        <w:t>χ</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(3) = 11.65,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 .009, </w:t>
      </w:r>
      <w:r w:rsidRPr="00B729B8">
        <w:rPr>
          <w:rFonts w:ascii="Times New Roman" w:hAnsi="Times New Roman" w:cs="Times New Roman"/>
          <w:i/>
          <w:sz w:val="24"/>
          <w:szCs w:val="24"/>
          <w:lang w:val="en-US"/>
        </w:rPr>
        <w:t>V</w:t>
      </w:r>
      <w:r w:rsidRPr="00B729B8">
        <w:rPr>
          <w:rFonts w:ascii="Times New Roman" w:hAnsi="Times New Roman" w:cs="Times New Roman"/>
          <w:sz w:val="24"/>
          <w:szCs w:val="24"/>
          <w:lang w:val="en-US"/>
        </w:rPr>
        <w:t xml:space="preserve"> = .108). Individuals with moderate/high alcohol severity from baseline to 16-months were more likely to be exclusive combustible cigarette (63.7%, 66.4% and 70.1%) users compared to those with low alcohol severity (36.3%, 33.6% and 29.9%, respectively). At baseline, individuals with moderate/high alcohol severity were also more likely to be dual users (74.7% vs 25.3%). However, at 8- to 24-months they were more likely to be exclusive e-</w:t>
      </w:r>
      <w:r w:rsidRPr="00B729B8">
        <w:rPr>
          <w:rFonts w:ascii="Times New Roman" w:hAnsi="Times New Roman" w:cs="Times New Roman"/>
          <w:bCs/>
          <w:sz w:val="24"/>
          <w:szCs w:val="24"/>
          <w:lang w:val="en-US"/>
        </w:rPr>
        <w:t>cigarette</w:t>
      </w:r>
      <w:r w:rsidRPr="00B729B8">
        <w:rPr>
          <w:rFonts w:ascii="Times New Roman" w:hAnsi="Times New Roman" w:cs="Times New Roman"/>
          <w:sz w:val="24"/>
          <w:szCs w:val="24"/>
          <w:lang w:val="en-US"/>
        </w:rPr>
        <w:t xml:space="preserve"> users (76.1%, 71.1% and 67.1%) compared to those with low alcohol severity (23.9%, 28.9% and 32.9%). </w:t>
      </w:r>
      <w:r w:rsidR="00906B31" w:rsidRPr="00B729B8">
        <w:rPr>
          <w:rFonts w:ascii="Times New Roman" w:hAnsi="Times New Roman" w:cs="Times New Roman"/>
          <w:sz w:val="24"/>
          <w:szCs w:val="24"/>
          <w:lang w:val="en-US"/>
        </w:rPr>
        <w:t>However, except</w:t>
      </w:r>
      <w:r w:rsidRPr="00B729B8">
        <w:rPr>
          <w:rFonts w:ascii="Times New Roman" w:hAnsi="Times New Roman" w:cs="Times New Roman"/>
          <w:sz w:val="24"/>
          <w:szCs w:val="24"/>
          <w:lang w:val="en-US"/>
        </w:rPr>
        <w:t xml:space="preserve"> </w:t>
      </w:r>
      <w:r w:rsidR="00906B31" w:rsidRPr="00B729B8">
        <w:rPr>
          <w:rFonts w:ascii="Times New Roman" w:hAnsi="Times New Roman" w:cs="Times New Roman"/>
          <w:sz w:val="24"/>
          <w:szCs w:val="24"/>
          <w:lang w:val="en-US"/>
        </w:rPr>
        <w:t xml:space="preserve">for </w:t>
      </w:r>
      <w:r w:rsidRPr="00B729B8">
        <w:rPr>
          <w:rFonts w:ascii="Times New Roman" w:hAnsi="Times New Roman" w:cs="Times New Roman"/>
          <w:sz w:val="24"/>
          <w:szCs w:val="24"/>
          <w:lang w:val="en-US"/>
        </w:rPr>
        <w:t>baseline differences, al</w:t>
      </w:r>
      <w:r w:rsidR="00906B31" w:rsidRPr="00B729B8">
        <w:rPr>
          <w:rFonts w:ascii="Times New Roman" w:hAnsi="Times New Roman" w:cs="Times New Roman"/>
          <w:sz w:val="24"/>
          <w:szCs w:val="24"/>
          <w:lang w:val="en-US"/>
        </w:rPr>
        <w:t>l significant differences were small</w:t>
      </w:r>
      <w:r w:rsidRPr="00B729B8">
        <w:rPr>
          <w:rFonts w:ascii="Times New Roman" w:hAnsi="Times New Roman" w:cs="Times New Roman"/>
          <w:sz w:val="24"/>
          <w:szCs w:val="24"/>
          <w:lang w:val="en-US"/>
        </w:rPr>
        <w:t xml:space="preserve"> in magnitude.</w:t>
      </w:r>
    </w:p>
    <w:p w14:paraId="7D1026FB" w14:textId="763AB16B" w:rsidR="009E5839" w:rsidRPr="00B729B8" w:rsidRDefault="009E5839" w:rsidP="0004163C">
      <w:pPr>
        <w:spacing w:line="480" w:lineRule="auto"/>
        <w:ind w:firstLine="708"/>
        <w:rPr>
          <w:rFonts w:ascii="Times New Roman" w:hAnsi="Times New Roman" w:cs="Times New Roman"/>
          <w:sz w:val="24"/>
          <w:szCs w:val="24"/>
          <w:lang w:val="en-US"/>
        </w:rPr>
      </w:pPr>
      <w:r w:rsidRPr="00B729B8">
        <w:rPr>
          <w:rFonts w:ascii="Times New Roman" w:hAnsi="Times New Roman" w:cs="Times New Roman"/>
          <w:sz w:val="24"/>
          <w:szCs w:val="24"/>
          <w:lang w:val="en-US"/>
        </w:rPr>
        <w:t>There were also statistically significant differences in the proportion of males and females between classes at baseline (</w:t>
      </w:r>
      <w:r w:rsidRPr="00B729B8">
        <w:rPr>
          <w:rFonts w:ascii="Times New Roman" w:hAnsi="Times New Roman" w:cs="Times New Roman"/>
          <w:i/>
          <w:sz w:val="24"/>
          <w:szCs w:val="24"/>
          <w:lang w:val="en-US"/>
        </w:rPr>
        <w:t>χ</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(3) = 16.59,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 .001, </w:t>
      </w:r>
      <w:r w:rsidRPr="00B729B8">
        <w:rPr>
          <w:rFonts w:ascii="Times New Roman" w:hAnsi="Times New Roman" w:cs="Times New Roman"/>
          <w:i/>
          <w:sz w:val="24"/>
          <w:szCs w:val="24"/>
          <w:lang w:val="en-US"/>
        </w:rPr>
        <w:t>V</w:t>
      </w:r>
      <w:r w:rsidRPr="00B729B8">
        <w:rPr>
          <w:rFonts w:ascii="Times New Roman" w:hAnsi="Times New Roman" w:cs="Times New Roman"/>
          <w:sz w:val="24"/>
          <w:szCs w:val="24"/>
          <w:lang w:val="en-US"/>
        </w:rPr>
        <w:t xml:space="preserve"> = .129), 8- (</w:t>
      </w:r>
      <w:r w:rsidRPr="00B729B8">
        <w:rPr>
          <w:rFonts w:ascii="Times New Roman" w:hAnsi="Times New Roman" w:cs="Times New Roman"/>
          <w:i/>
          <w:sz w:val="24"/>
          <w:szCs w:val="24"/>
          <w:lang w:val="en-US"/>
        </w:rPr>
        <w:t>χ</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(3) = 25.75,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&lt; .001, </w:t>
      </w:r>
      <w:r w:rsidRPr="00B729B8">
        <w:rPr>
          <w:rFonts w:ascii="Times New Roman" w:hAnsi="Times New Roman" w:cs="Times New Roman"/>
          <w:i/>
          <w:sz w:val="24"/>
          <w:szCs w:val="24"/>
          <w:lang w:val="en-US"/>
        </w:rPr>
        <w:t>V</w:t>
      </w:r>
      <w:r w:rsidRPr="00B729B8">
        <w:rPr>
          <w:rFonts w:ascii="Times New Roman" w:hAnsi="Times New Roman" w:cs="Times New Roman"/>
          <w:sz w:val="24"/>
          <w:szCs w:val="24"/>
          <w:lang w:val="en-US"/>
        </w:rPr>
        <w:t xml:space="preserve"> = .160), 16- (</w:t>
      </w:r>
      <w:r w:rsidRPr="00B729B8">
        <w:rPr>
          <w:rFonts w:ascii="Times New Roman" w:hAnsi="Times New Roman" w:cs="Times New Roman"/>
          <w:i/>
          <w:sz w:val="24"/>
          <w:szCs w:val="24"/>
          <w:lang w:val="en-US"/>
        </w:rPr>
        <w:t>χ</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(3) = 19.17,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&lt; .001, </w:t>
      </w:r>
      <w:r w:rsidRPr="00B729B8">
        <w:rPr>
          <w:rFonts w:ascii="Times New Roman" w:hAnsi="Times New Roman" w:cs="Times New Roman"/>
          <w:i/>
          <w:sz w:val="24"/>
          <w:szCs w:val="24"/>
          <w:lang w:val="en-US"/>
        </w:rPr>
        <w:t>V</w:t>
      </w:r>
      <w:r w:rsidRPr="00B729B8">
        <w:rPr>
          <w:rFonts w:ascii="Times New Roman" w:hAnsi="Times New Roman" w:cs="Times New Roman"/>
          <w:sz w:val="24"/>
          <w:szCs w:val="24"/>
          <w:lang w:val="en-US"/>
        </w:rPr>
        <w:t xml:space="preserve"> = .138) and 24-months (</w:t>
      </w:r>
      <w:r w:rsidRPr="00B729B8">
        <w:rPr>
          <w:rFonts w:ascii="Times New Roman" w:hAnsi="Times New Roman" w:cs="Times New Roman"/>
          <w:i/>
          <w:sz w:val="24"/>
          <w:szCs w:val="24"/>
          <w:lang w:val="en-US"/>
        </w:rPr>
        <w:t>χ</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(3) = 17.82,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&lt; .001, </w:t>
      </w:r>
      <w:r w:rsidRPr="00B729B8">
        <w:rPr>
          <w:rFonts w:ascii="Times New Roman" w:hAnsi="Times New Roman" w:cs="Times New Roman"/>
          <w:i/>
          <w:sz w:val="24"/>
          <w:szCs w:val="24"/>
          <w:lang w:val="en-US"/>
        </w:rPr>
        <w:t>V</w:t>
      </w:r>
      <w:r w:rsidRPr="00B729B8">
        <w:rPr>
          <w:rFonts w:ascii="Times New Roman" w:hAnsi="Times New Roman" w:cs="Times New Roman"/>
          <w:sz w:val="24"/>
          <w:szCs w:val="24"/>
          <w:lang w:val="en-US"/>
        </w:rPr>
        <w:t xml:space="preserve"> = .133), although with low effect sizes. Specifically, males were more likely to be exclusive e-</w:t>
      </w:r>
      <w:r w:rsidRPr="00B729B8">
        <w:rPr>
          <w:rFonts w:ascii="Times New Roman" w:hAnsi="Times New Roman" w:cs="Times New Roman"/>
          <w:bCs/>
          <w:sz w:val="24"/>
          <w:szCs w:val="24"/>
          <w:lang w:val="en-US"/>
        </w:rPr>
        <w:t>cigarette</w:t>
      </w:r>
      <w:r w:rsidRPr="00B729B8">
        <w:rPr>
          <w:rFonts w:ascii="Times New Roman" w:hAnsi="Times New Roman" w:cs="Times New Roman"/>
          <w:sz w:val="24"/>
          <w:szCs w:val="24"/>
          <w:lang w:val="en-US"/>
        </w:rPr>
        <w:t xml:space="preserve"> users (58.9-70.1% vs 29.9-41.1%) and females more likely to be non-users (59-61.4% vs 38.6-41%) in all assessments. At baseline, males were also more likely than females to be dual users (52.6% vs 47.4%). Ethnicity also differed significantly at baseline (</w:t>
      </w:r>
      <w:r w:rsidRPr="00B729B8">
        <w:rPr>
          <w:rFonts w:ascii="Times New Roman" w:hAnsi="Times New Roman" w:cs="Times New Roman"/>
          <w:i/>
          <w:sz w:val="24"/>
          <w:szCs w:val="24"/>
          <w:lang w:val="en-US"/>
        </w:rPr>
        <w:t>χ</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(3) = 15.52,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 .001, </w:t>
      </w:r>
      <w:r w:rsidRPr="00B729B8">
        <w:rPr>
          <w:rFonts w:ascii="Times New Roman" w:hAnsi="Times New Roman" w:cs="Times New Roman"/>
          <w:i/>
          <w:sz w:val="24"/>
          <w:szCs w:val="24"/>
          <w:lang w:val="en-US"/>
        </w:rPr>
        <w:t>V</w:t>
      </w:r>
      <w:r w:rsidRPr="00B729B8">
        <w:rPr>
          <w:rFonts w:ascii="Times New Roman" w:hAnsi="Times New Roman" w:cs="Times New Roman"/>
          <w:sz w:val="24"/>
          <w:szCs w:val="24"/>
          <w:lang w:val="en-US"/>
        </w:rPr>
        <w:t xml:space="preserve"> = .125), 8- (</w:t>
      </w:r>
      <w:r w:rsidRPr="00B729B8">
        <w:rPr>
          <w:rFonts w:ascii="Times New Roman" w:hAnsi="Times New Roman" w:cs="Times New Roman"/>
          <w:i/>
          <w:sz w:val="24"/>
          <w:szCs w:val="24"/>
          <w:lang w:val="en-US"/>
        </w:rPr>
        <w:t>χ</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(3) = 29.80,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&lt; .001, </w:t>
      </w:r>
      <w:r w:rsidRPr="00B729B8">
        <w:rPr>
          <w:rFonts w:ascii="Times New Roman" w:hAnsi="Times New Roman" w:cs="Times New Roman"/>
          <w:i/>
          <w:sz w:val="24"/>
          <w:szCs w:val="24"/>
          <w:lang w:val="en-US"/>
        </w:rPr>
        <w:t>V</w:t>
      </w:r>
      <w:r w:rsidRPr="00B729B8">
        <w:rPr>
          <w:rFonts w:ascii="Times New Roman" w:hAnsi="Times New Roman" w:cs="Times New Roman"/>
          <w:sz w:val="24"/>
          <w:szCs w:val="24"/>
          <w:lang w:val="en-US"/>
        </w:rPr>
        <w:t xml:space="preserve"> = .173), 16- (</w:t>
      </w:r>
      <w:r w:rsidRPr="00B729B8">
        <w:rPr>
          <w:rFonts w:ascii="Times New Roman" w:hAnsi="Times New Roman" w:cs="Times New Roman"/>
          <w:i/>
          <w:sz w:val="24"/>
          <w:szCs w:val="24"/>
          <w:lang w:val="en-US"/>
        </w:rPr>
        <w:t>χ</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(3) = 28.09,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&lt; .001, </w:t>
      </w:r>
      <w:r w:rsidRPr="00B729B8">
        <w:rPr>
          <w:rFonts w:ascii="Times New Roman" w:hAnsi="Times New Roman" w:cs="Times New Roman"/>
          <w:i/>
          <w:sz w:val="24"/>
          <w:szCs w:val="24"/>
          <w:lang w:val="en-US"/>
        </w:rPr>
        <w:t>V</w:t>
      </w:r>
      <w:r w:rsidRPr="00B729B8">
        <w:rPr>
          <w:rFonts w:ascii="Times New Roman" w:hAnsi="Times New Roman" w:cs="Times New Roman"/>
          <w:sz w:val="24"/>
          <w:szCs w:val="24"/>
          <w:lang w:val="en-US"/>
        </w:rPr>
        <w:t xml:space="preserve"> = .168) and 24-months (</w:t>
      </w:r>
      <w:r w:rsidRPr="00B729B8">
        <w:rPr>
          <w:rFonts w:ascii="Times New Roman" w:hAnsi="Times New Roman" w:cs="Times New Roman"/>
          <w:i/>
          <w:sz w:val="24"/>
          <w:szCs w:val="24"/>
          <w:lang w:val="en-US"/>
        </w:rPr>
        <w:t>χ</w:t>
      </w:r>
      <w:r w:rsidRPr="00B729B8">
        <w:rPr>
          <w:rFonts w:ascii="Times New Roman" w:hAnsi="Times New Roman" w:cs="Times New Roman"/>
          <w:sz w:val="24"/>
          <w:szCs w:val="24"/>
          <w:vertAlign w:val="superscript"/>
          <w:lang w:val="en-US"/>
        </w:rPr>
        <w:t>2</w:t>
      </w:r>
      <w:r w:rsidRPr="00B729B8">
        <w:rPr>
          <w:rFonts w:ascii="Times New Roman" w:hAnsi="Times New Roman" w:cs="Times New Roman"/>
          <w:sz w:val="24"/>
          <w:szCs w:val="24"/>
          <w:lang w:val="en-US"/>
        </w:rPr>
        <w:t xml:space="preserve">(3) = 25.10, </w:t>
      </w:r>
      <w:r w:rsidRPr="00B729B8">
        <w:rPr>
          <w:rFonts w:ascii="Times New Roman" w:hAnsi="Times New Roman" w:cs="Times New Roman"/>
          <w:i/>
          <w:sz w:val="24"/>
          <w:szCs w:val="24"/>
          <w:lang w:val="en-US"/>
        </w:rPr>
        <w:t>p</w:t>
      </w:r>
      <w:r w:rsidRPr="00B729B8">
        <w:rPr>
          <w:rFonts w:ascii="Times New Roman" w:hAnsi="Times New Roman" w:cs="Times New Roman"/>
          <w:sz w:val="24"/>
          <w:szCs w:val="24"/>
          <w:lang w:val="en-US"/>
        </w:rPr>
        <w:t xml:space="preserve"> &lt; .001, </w:t>
      </w:r>
      <w:r w:rsidRPr="00B729B8">
        <w:rPr>
          <w:rFonts w:ascii="Times New Roman" w:hAnsi="Times New Roman" w:cs="Times New Roman"/>
          <w:i/>
          <w:sz w:val="24"/>
          <w:szCs w:val="24"/>
          <w:lang w:val="en-US"/>
        </w:rPr>
        <w:t>V</w:t>
      </w:r>
      <w:r w:rsidRPr="00B729B8">
        <w:rPr>
          <w:rFonts w:ascii="Times New Roman" w:hAnsi="Times New Roman" w:cs="Times New Roman"/>
          <w:sz w:val="24"/>
          <w:szCs w:val="24"/>
          <w:lang w:val="en-US"/>
        </w:rPr>
        <w:t xml:space="preserve"> = .158), ranging from low to moderate effect size</w:t>
      </w:r>
      <w:r w:rsidR="00906B31" w:rsidRPr="00B729B8">
        <w:rPr>
          <w:rFonts w:ascii="Times New Roman" w:hAnsi="Times New Roman" w:cs="Times New Roman"/>
          <w:sz w:val="24"/>
          <w:szCs w:val="24"/>
          <w:lang w:val="en-US"/>
        </w:rPr>
        <w:t>s</w:t>
      </w:r>
      <w:r w:rsidRPr="00B729B8">
        <w:rPr>
          <w:rFonts w:ascii="Times New Roman" w:hAnsi="Times New Roman" w:cs="Times New Roman"/>
          <w:sz w:val="24"/>
          <w:szCs w:val="24"/>
          <w:lang w:val="en-US"/>
        </w:rPr>
        <w:t>. Non-white participants were more likely to be non-users over time, despite being less prevalent (46.2-47.6% vs 52.4-53.8%). White participants were more likely to be combustible cigarette smokers (66.3–70.1% vs 29.9-33.3%), except at 24-months. Regarding exclusive e-</w:t>
      </w:r>
      <w:r w:rsidRPr="00B729B8">
        <w:rPr>
          <w:rFonts w:ascii="Times New Roman" w:hAnsi="Times New Roman" w:cs="Times New Roman"/>
          <w:bCs/>
          <w:sz w:val="24"/>
          <w:szCs w:val="24"/>
          <w:lang w:val="en-US"/>
        </w:rPr>
        <w:t>cigarette</w:t>
      </w:r>
      <w:r w:rsidRPr="00B729B8">
        <w:rPr>
          <w:rFonts w:ascii="Times New Roman" w:hAnsi="Times New Roman" w:cs="Times New Roman"/>
          <w:sz w:val="24"/>
          <w:szCs w:val="24"/>
          <w:lang w:val="en-US"/>
        </w:rPr>
        <w:t xml:space="preserve"> use, white participants were more prevalent in assessments from 8- to 24-months (75.6–81.1% vs 18.9–24.4%). White participants were also more likely to be dual users at 16-months, compared to non-white (72.3% vs 27.7%).</w:t>
      </w:r>
    </w:p>
    <w:p w14:paraId="6FB4793F" w14:textId="77777777" w:rsidR="009E5839" w:rsidRPr="00B729B8" w:rsidRDefault="009E5839" w:rsidP="0004163C">
      <w:pPr>
        <w:jc w:val="center"/>
        <w:rPr>
          <w:rFonts w:ascii="Times New Roman" w:hAnsi="Times New Roman" w:cs="Times New Roman"/>
          <w:b/>
          <w:sz w:val="24"/>
          <w:szCs w:val="24"/>
          <w:lang w:val="en-US"/>
        </w:rPr>
      </w:pPr>
      <w:r w:rsidRPr="00B729B8">
        <w:rPr>
          <w:rFonts w:ascii="Times New Roman" w:hAnsi="Times New Roman" w:cs="Times New Roman"/>
          <w:b/>
          <w:sz w:val="24"/>
          <w:szCs w:val="24"/>
          <w:lang w:val="en-US"/>
        </w:rPr>
        <w:t>DISCUSSION</w:t>
      </w:r>
    </w:p>
    <w:p w14:paraId="799C4EB5" w14:textId="340DA41B" w:rsidR="009E5839" w:rsidRPr="00B729B8" w:rsidRDefault="009E5839" w:rsidP="0004163C">
      <w:pPr>
        <w:spacing w:line="480" w:lineRule="auto"/>
        <w:ind w:firstLine="708"/>
        <w:rPr>
          <w:rFonts w:ascii="Times New Roman" w:hAnsi="Times New Roman" w:cs="Times New Roman"/>
          <w:sz w:val="24"/>
          <w:szCs w:val="24"/>
          <w:lang w:val="en-US"/>
        </w:rPr>
      </w:pPr>
      <w:r w:rsidRPr="00B729B8">
        <w:rPr>
          <w:rFonts w:ascii="Times New Roman" w:hAnsi="Times New Roman" w:cs="Times New Roman"/>
          <w:sz w:val="24"/>
          <w:szCs w:val="24"/>
          <w:lang w:val="en-US"/>
        </w:rPr>
        <w:t>Given the ongoing discussion on the effectiveness of e-</w:t>
      </w:r>
      <w:r w:rsidRPr="00B729B8">
        <w:rPr>
          <w:rFonts w:ascii="Times New Roman" w:hAnsi="Times New Roman" w:cs="Times New Roman"/>
          <w:bCs/>
          <w:sz w:val="24"/>
          <w:szCs w:val="24"/>
          <w:lang w:val="en-US"/>
        </w:rPr>
        <w:t>cigarettes</w:t>
      </w:r>
      <w:r w:rsidRPr="00B729B8">
        <w:rPr>
          <w:rFonts w:ascii="Times New Roman" w:hAnsi="Times New Roman" w:cs="Times New Roman"/>
          <w:sz w:val="24"/>
          <w:szCs w:val="24"/>
          <w:lang w:val="en-US"/>
        </w:rPr>
        <w:t xml:space="preserve"> for quitting, the</w:t>
      </w:r>
      <w:r w:rsidR="006100FB" w:rsidRPr="00B729B8">
        <w:rPr>
          <w:rFonts w:ascii="Times New Roman" w:hAnsi="Times New Roman" w:cs="Times New Roman"/>
          <w:sz w:val="24"/>
          <w:szCs w:val="24"/>
          <w:lang w:val="en-US"/>
        </w:rPr>
        <w:t>ir</w:t>
      </w:r>
      <w:r w:rsidRPr="00B729B8">
        <w:rPr>
          <w:rFonts w:ascii="Times New Roman" w:hAnsi="Times New Roman" w:cs="Times New Roman"/>
          <w:sz w:val="24"/>
          <w:szCs w:val="24"/>
          <w:lang w:val="en-US"/>
        </w:rPr>
        <w:t xml:space="preserve"> effect on discontinuation</w:t>
      </w:r>
      <w:r w:rsidR="006100FB" w:rsidRPr="00B729B8">
        <w:rPr>
          <w:rFonts w:ascii="Times New Roman" w:hAnsi="Times New Roman" w:cs="Times New Roman"/>
          <w:sz w:val="24"/>
          <w:szCs w:val="24"/>
          <w:lang w:val="en-US"/>
        </w:rPr>
        <w:t xml:space="preserve"> of use</w:t>
      </w:r>
      <w:r w:rsidRPr="00B729B8">
        <w:rPr>
          <w:rFonts w:ascii="Times New Roman" w:hAnsi="Times New Roman" w:cs="Times New Roman"/>
          <w:sz w:val="24"/>
          <w:szCs w:val="24"/>
          <w:lang w:val="en-US"/>
        </w:rPr>
        <w:t xml:space="preserve"> and their potential role as a gateway for combustible cigarette smoking, the current study examined patterns of combustible cigarette and e-cigarettes use over two years in young adult binge drinkers from US and Canada. The present study adds to prior evidence in several meaningful ways. Consistent with </w:t>
      </w:r>
      <w:r w:rsidR="00332E68" w:rsidRPr="00B729B8">
        <w:rPr>
          <w:rFonts w:ascii="Times New Roman" w:hAnsi="Times New Roman" w:cs="Times New Roman"/>
          <w:sz w:val="24"/>
          <w:szCs w:val="24"/>
          <w:lang w:val="en-US"/>
        </w:rPr>
        <w:t xml:space="preserve">both our </w:t>
      </w:r>
      <w:r w:rsidR="00332E68" w:rsidRPr="00B729B8">
        <w:rPr>
          <w:rFonts w:ascii="Times New Roman" w:hAnsi="Times New Roman" w:cs="Times New Roman"/>
          <w:i/>
          <w:sz w:val="24"/>
          <w:szCs w:val="24"/>
          <w:lang w:val="en-US"/>
        </w:rPr>
        <w:t>a</w:t>
      </w:r>
      <w:r w:rsidR="0092133E" w:rsidRPr="00B729B8">
        <w:rPr>
          <w:rFonts w:ascii="Times New Roman" w:hAnsi="Times New Roman" w:cs="Times New Roman"/>
          <w:i/>
          <w:sz w:val="24"/>
          <w:szCs w:val="24"/>
          <w:lang w:val="en-US"/>
        </w:rPr>
        <w:t xml:space="preserve"> </w:t>
      </w:r>
      <w:r w:rsidR="00332E68" w:rsidRPr="00B729B8">
        <w:rPr>
          <w:rFonts w:ascii="Times New Roman" w:hAnsi="Times New Roman" w:cs="Times New Roman"/>
          <w:i/>
          <w:sz w:val="24"/>
          <w:szCs w:val="24"/>
          <w:lang w:val="en-US"/>
        </w:rPr>
        <w:t>priori</w:t>
      </w:r>
      <w:r w:rsidR="00332E68" w:rsidRPr="00B729B8">
        <w:rPr>
          <w:rFonts w:ascii="Times New Roman" w:hAnsi="Times New Roman" w:cs="Times New Roman"/>
          <w:sz w:val="24"/>
          <w:szCs w:val="24"/>
          <w:lang w:val="en-US"/>
        </w:rPr>
        <w:t xml:space="preserve"> </w:t>
      </w:r>
      <w:r w:rsidR="008D1650" w:rsidRPr="00B729B8">
        <w:rPr>
          <w:rFonts w:ascii="Times New Roman" w:hAnsi="Times New Roman" w:cs="Times New Roman"/>
          <w:sz w:val="24"/>
          <w:szCs w:val="24"/>
          <w:lang w:val="en-US"/>
        </w:rPr>
        <w:t xml:space="preserve">hypothesis </w:t>
      </w:r>
      <w:r w:rsidR="00332E68" w:rsidRPr="00B729B8">
        <w:rPr>
          <w:rFonts w:ascii="Times New Roman" w:hAnsi="Times New Roman" w:cs="Times New Roman"/>
          <w:sz w:val="24"/>
          <w:szCs w:val="24"/>
          <w:lang w:val="en-US"/>
        </w:rPr>
        <w:t xml:space="preserve">and </w:t>
      </w:r>
      <w:r w:rsidRPr="00B729B8">
        <w:rPr>
          <w:rFonts w:ascii="Times New Roman" w:hAnsi="Times New Roman" w:cs="Times New Roman"/>
          <w:sz w:val="24"/>
          <w:szCs w:val="24"/>
          <w:lang w:val="en-US"/>
        </w:rPr>
        <w:t xml:space="preserve">epidemiological data </w:t>
      </w:r>
      <w:r w:rsidRPr="00B729B8">
        <w:rPr>
          <w:rFonts w:ascii="Times New Roman" w:hAnsi="Times New Roman" w:cs="Times New Roman"/>
          <w:noProof/>
          <w:sz w:val="24"/>
          <w:szCs w:val="24"/>
          <w:vertAlign w:val="superscript"/>
          <w:lang w:val="en-US"/>
        </w:rPr>
        <w:t>3</w:t>
      </w:r>
      <w:r w:rsidR="005050C0" w:rsidRPr="00B729B8">
        <w:rPr>
          <w:rFonts w:ascii="Times New Roman" w:hAnsi="Times New Roman" w:cs="Times New Roman"/>
          <w:noProof/>
          <w:sz w:val="24"/>
          <w:szCs w:val="24"/>
          <w:vertAlign w:val="superscript"/>
          <w:lang w:val="en-US"/>
        </w:rPr>
        <w:t>0</w:t>
      </w:r>
      <w:r w:rsidRPr="00B729B8">
        <w:rPr>
          <w:rFonts w:ascii="Times New Roman" w:hAnsi="Times New Roman" w:cs="Times New Roman"/>
          <w:sz w:val="24"/>
          <w:szCs w:val="24"/>
          <w:lang w:val="en-US"/>
        </w:rPr>
        <w:t>, we found a four-class solution comprising non-users, exclusive e-</w:t>
      </w:r>
      <w:r w:rsidRPr="00B729B8">
        <w:rPr>
          <w:rFonts w:ascii="Times New Roman" w:hAnsi="Times New Roman" w:cs="Times New Roman"/>
          <w:bCs/>
          <w:sz w:val="24"/>
          <w:szCs w:val="24"/>
          <w:lang w:val="en-US"/>
        </w:rPr>
        <w:t>cigarette</w:t>
      </w:r>
      <w:r w:rsidRPr="00B729B8">
        <w:rPr>
          <w:rFonts w:ascii="Times New Roman" w:hAnsi="Times New Roman" w:cs="Times New Roman"/>
          <w:sz w:val="24"/>
          <w:szCs w:val="24"/>
          <w:lang w:val="en-US"/>
        </w:rPr>
        <w:t xml:space="preserve"> users, exclusive combustible cigarettes smokers and dual users. These four patterns are present in both US and Canadian samples. As this study focused on current use defined as monthly or more frequent use, results offer a more fine-grained description of regular patterns of use than the only previous longitudinal study to use LTA in ever-tobacco users </w:t>
      </w:r>
      <w:r w:rsidRPr="00B729B8">
        <w:rPr>
          <w:rFonts w:ascii="Times New Roman" w:hAnsi="Times New Roman" w:cs="Times New Roman"/>
          <w:noProof/>
          <w:sz w:val="24"/>
          <w:szCs w:val="24"/>
          <w:vertAlign w:val="superscript"/>
          <w:lang w:val="en-US"/>
        </w:rPr>
        <w:t>3</w:t>
      </w:r>
      <w:r w:rsidR="00D57C12" w:rsidRPr="00B729B8">
        <w:rPr>
          <w:rFonts w:ascii="Times New Roman" w:hAnsi="Times New Roman" w:cs="Times New Roman"/>
          <w:noProof/>
          <w:sz w:val="24"/>
          <w:szCs w:val="24"/>
          <w:vertAlign w:val="superscript"/>
          <w:lang w:val="en-US"/>
        </w:rPr>
        <w:t>1</w:t>
      </w:r>
      <w:r w:rsidRPr="00B729B8">
        <w:rPr>
          <w:rFonts w:ascii="Times New Roman" w:hAnsi="Times New Roman" w:cs="Times New Roman"/>
          <w:sz w:val="24"/>
          <w:szCs w:val="24"/>
          <w:lang w:val="en-US"/>
        </w:rPr>
        <w:t>. Although most participants were classified as non-users, 56.5% of e-</w:t>
      </w:r>
      <w:r w:rsidRPr="00B729B8">
        <w:rPr>
          <w:rFonts w:ascii="Times New Roman" w:hAnsi="Times New Roman" w:cs="Times New Roman"/>
          <w:bCs/>
          <w:sz w:val="24"/>
          <w:szCs w:val="24"/>
          <w:lang w:val="en-US"/>
        </w:rPr>
        <w:t>cigarette</w:t>
      </w:r>
      <w:r w:rsidRPr="00B729B8">
        <w:rPr>
          <w:rFonts w:ascii="Times New Roman" w:hAnsi="Times New Roman" w:cs="Times New Roman"/>
          <w:sz w:val="24"/>
          <w:szCs w:val="24"/>
          <w:lang w:val="en-US"/>
        </w:rPr>
        <w:t xml:space="preserve"> users at the baseline were classified as dual users. This prevalence aligns with the evidence indicating that dual users are overrepresented in the population of e-</w:t>
      </w:r>
      <w:r w:rsidRPr="00B729B8">
        <w:rPr>
          <w:rFonts w:ascii="Times New Roman" w:hAnsi="Times New Roman" w:cs="Times New Roman"/>
          <w:bCs/>
          <w:sz w:val="24"/>
          <w:szCs w:val="24"/>
          <w:lang w:val="en-US"/>
        </w:rPr>
        <w:t>cigarette</w:t>
      </w:r>
      <w:r w:rsidRPr="00B729B8">
        <w:rPr>
          <w:rFonts w:ascii="Times New Roman" w:hAnsi="Times New Roman" w:cs="Times New Roman"/>
          <w:sz w:val="24"/>
          <w:szCs w:val="24"/>
          <w:lang w:val="en-US"/>
        </w:rPr>
        <w:t xml:space="preserve"> users in the US and Canada </w:t>
      </w:r>
      <w:r w:rsidR="00D57C12" w:rsidRPr="00B729B8">
        <w:rPr>
          <w:rFonts w:ascii="Times New Roman" w:hAnsi="Times New Roman" w:cs="Times New Roman"/>
          <w:noProof/>
          <w:sz w:val="24"/>
          <w:szCs w:val="24"/>
          <w:vertAlign w:val="superscript"/>
          <w:lang w:val="en-US"/>
        </w:rPr>
        <w:t>16,24,3</w:t>
      </w:r>
      <w:r w:rsidR="00DB70A7" w:rsidRPr="00B729B8">
        <w:rPr>
          <w:rFonts w:ascii="Times New Roman" w:hAnsi="Times New Roman" w:cs="Times New Roman"/>
          <w:noProof/>
          <w:sz w:val="24"/>
          <w:szCs w:val="24"/>
          <w:vertAlign w:val="superscript"/>
          <w:lang w:val="en-US"/>
        </w:rPr>
        <w:t>6</w:t>
      </w:r>
      <w:r w:rsidR="00D57C12" w:rsidRPr="00B729B8">
        <w:rPr>
          <w:rFonts w:ascii="Times New Roman" w:hAnsi="Times New Roman" w:cs="Times New Roman"/>
          <w:noProof/>
          <w:sz w:val="24"/>
          <w:szCs w:val="24"/>
          <w:vertAlign w:val="superscript"/>
          <w:lang w:val="en-US"/>
        </w:rPr>
        <w:t>,3</w:t>
      </w:r>
      <w:r w:rsidR="00DB70A7" w:rsidRPr="00B729B8">
        <w:rPr>
          <w:rFonts w:ascii="Times New Roman" w:hAnsi="Times New Roman" w:cs="Times New Roman"/>
          <w:noProof/>
          <w:sz w:val="24"/>
          <w:szCs w:val="24"/>
          <w:vertAlign w:val="superscript"/>
          <w:lang w:val="en-US"/>
        </w:rPr>
        <w:t>7</w:t>
      </w:r>
      <w:r w:rsidRPr="00B729B8">
        <w:rPr>
          <w:rFonts w:ascii="Times New Roman" w:hAnsi="Times New Roman" w:cs="Times New Roman"/>
          <w:sz w:val="24"/>
          <w:szCs w:val="24"/>
          <w:lang w:val="en-US"/>
        </w:rPr>
        <w:t xml:space="preserve">, although the prevalence appears to be higher among adults than young adults </w:t>
      </w:r>
      <w:r w:rsidRPr="00B729B8">
        <w:rPr>
          <w:rFonts w:ascii="Times New Roman" w:hAnsi="Times New Roman" w:cs="Times New Roman"/>
          <w:noProof/>
          <w:sz w:val="24"/>
          <w:szCs w:val="24"/>
          <w:vertAlign w:val="superscript"/>
          <w:lang w:val="en-US"/>
        </w:rPr>
        <w:t>3</w:t>
      </w:r>
      <w:r w:rsidR="00D57C12" w:rsidRPr="00B729B8">
        <w:rPr>
          <w:rFonts w:ascii="Times New Roman" w:hAnsi="Times New Roman" w:cs="Times New Roman"/>
          <w:noProof/>
          <w:sz w:val="24"/>
          <w:szCs w:val="24"/>
          <w:vertAlign w:val="superscript"/>
          <w:lang w:val="en-US"/>
        </w:rPr>
        <w:t>0</w:t>
      </w:r>
      <w:r w:rsidRPr="00B729B8">
        <w:rPr>
          <w:rFonts w:ascii="Times New Roman" w:hAnsi="Times New Roman" w:cs="Times New Roman"/>
          <w:sz w:val="24"/>
          <w:szCs w:val="24"/>
          <w:lang w:val="en-US"/>
        </w:rPr>
        <w:t>. In fact, while some studies found that among individuals aged 15-24, exclusive e-</w:t>
      </w:r>
      <w:r w:rsidRPr="00B729B8">
        <w:rPr>
          <w:rFonts w:ascii="Times New Roman" w:hAnsi="Times New Roman" w:cs="Times New Roman"/>
          <w:bCs/>
          <w:sz w:val="24"/>
          <w:szCs w:val="24"/>
          <w:lang w:val="en-US"/>
        </w:rPr>
        <w:t>cigarette</w:t>
      </w:r>
      <w:r w:rsidRPr="00B729B8">
        <w:rPr>
          <w:rFonts w:ascii="Times New Roman" w:hAnsi="Times New Roman" w:cs="Times New Roman"/>
          <w:sz w:val="24"/>
          <w:szCs w:val="24"/>
          <w:lang w:val="en-US"/>
        </w:rPr>
        <w:t xml:space="preserve"> users were more prevalent than dual users </w:t>
      </w:r>
      <w:r w:rsidRPr="00B729B8">
        <w:rPr>
          <w:rFonts w:ascii="Times New Roman" w:hAnsi="Times New Roman" w:cs="Times New Roman"/>
          <w:noProof/>
          <w:sz w:val="24"/>
          <w:szCs w:val="24"/>
          <w:vertAlign w:val="superscript"/>
          <w:lang w:val="en-US"/>
        </w:rPr>
        <w:t>3</w:t>
      </w:r>
      <w:r w:rsidR="00DB70A7" w:rsidRPr="00B729B8">
        <w:rPr>
          <w:rFonts w:ascii="Times New Roman" w:hAnsi="Times New Roman" w:cs="Times New Roman"/>
          <w:noProof/>
          <w:sz w:val="24"/>
          <w:szCs w:val="24"/>
          <w:vertAlign w:val="superscript"/>
          <w:lang w:val="en-US"/>
        </w:rPr>
        <w:t>6</w:t>
      </w:r>
      <w:r w:rsidRPr="00B729B8">
        <w:rPr>
          <w:rFonts w:ascii="Times New Roman" w:hAnsi="Times New Roman" w:cs="Times New Roman"/>
          <w:noProof/>
          <w:sz w:val="24"/>
          <w:szCs w:val="24"/>
          <w:vertAlign w:val="superscript"/>
          <w:lang w:val="en-US"/>
        </w:rPr>
        <w:t>,</w:t>
      </w:r>
      <w:r w:rsidR="00DB70A7" w:rsidRPr="00B729B8">
        <w:rPr>
          <w:rFonts w:ascii="Times New Roman" w:hAnsi="Times New Roman" w:cs="Times New Roman"/>
          <w:noProof/>
          <w:sz w:val="24"/>
          <w:szCs w:val="24"/>
          <w:vertAlign w:val="superscript"/>
          <w:lang w:val="en-US"/>
        </w:rPr>
        <w:t>37</w:t>
      </w:r>
      <w:r w:rsidRPr="00B729B8">
        <w:rPr>
          <w:rFonts w:ascii="Times New Roman" w:hAnsi="Times New Roman" w:cs="Times New Roman"/>
          <w:sz w:val="24"/>
          <w:szCs w:val="24"/>
          <w:lang w:val="en-US"/>
        </w:rPr>
        <w:t xml:space="preserve"> other found the opposite </w:t>
      </w:r>
      <w:r w:rsidRPr="00B729B8">
        <w:rPr>
          <w:rFonts w:ascii="Times New Roman" w:hAnsi="Times New Roman" w:cs="Times New Roman"/>
          <w:noProof/>
          <w:sz w:val="24"/>
          <w:szCs w:val="24"/>
          <w:vertAlign w:val="superscript"/>
          <w:lang w:val="en-US"/>
        </w:rPr>
        <w:t>2</w:t>
      </w:r>
      <w:r w:rsidR="0025624D" w:rsidRPr="00B729B8">
        <w:rPr>
          <w:rFonts w:ascii="Times New Roman" w:hAnsi="Times New Roman" w:cs="Times New Roman"/>
          <w:noProof/>
          <w:sz w:val="24"/>
          <w:szCs w:val="24"/>
          <w:vertAlign w:val="superscript"/>
          <w:lang w:val="en-US"/>
        </w:rPr>
        <w:t>4</w:t>
      </w:r>
      <w:r w:rsidRPr="00B729B8">
        <w:rPr>
          <w:rFonts w:ascii="Times New Roman" w:hAnsi="Times New Roman" w:cs="Times New Roman"/>
          <w:sz w:val="24"/>
          <w:szCs w:val="24"/>
          <w:lang w:val="en-US"/>
        </w:rPr>
        <w:t>.</w:t>
      </w:r>
    </w:p>
    <w:p w14:paraId="7C847A73" w14:textId="0A5D7C80" w:rsidR="009E5839" w:rsidRPr="00B729B8" w:rsidRDefault="007E2BA6" w:rsidP="0004163C">
      <w:pPr>
        <w:spacing w:line="480" w:lineRule="auto"/>
        <w:ind w:firstLine="708"/>
        <w:rPr>
          <w:rFonts w:ascii="Times New Roman" w:hAnsi="Times New Roman" w:cs="Times New Roman"/>
          <w:sz w:val="24"/>
          <w:szCs w:val="24"/>
          <w:lang w:val="en-US"/>
        </w:rPr>
      </w:pPr>
      <w:r w:rsidRPr="00B729B8">
        <w:rPr>
          <w:rFonts w:ascii="Times New Roman" w:hAnsi="Times New Roman" w:cs="Times New Roman"/>
          <w:sz w:val="24"/>
          <w:szCs w:val="24"/>
          <w:lang w:val="en-US"/>
        </w:rPr>
        <w:t xml:space="preserve">Present findings </w:t>
      </w:r>
      <w:r w:rsidR="008D1650" w:rsidRPr="00B729B8">
        <w:rPr>
          <w:rFonts w:ascii="Times New Roman" w:hAnsi="Times New Roman" w:cs="Times New Roman"/>
          <w:sz w:val="24"/>
          <w:szCs w:val="24"/>
          <w:lang w:val="en-US"/>
        </w:rPr>
        <w:t xml:space="preserve">also </w:t>
      </w:r>
      <w:r w:rsidRPr="00B729B8">
        <w:rPr>
          <w:rFonts w:ascii="Times New Roman" w:hAnsi="Times New Roman" w:cs="Times New Roman"/>
          <w:sz w:val="24"/>
          <w:szCs w:val="24"/>
          <w:lang w:val="en-US"/>
        </w:rPr>
        <w:t>support o</w:t>
      </w:r>
      <w:r w:rsidR="0092012A" w:rsidRPr="00B729B8">
        <w:rPr>
          <w:rFonts w:ascii="Times New Roman" w:hAnsi="Times New Roman" w:cs="Times New Roman"/>
          <w:sz w:val="24"/>
          <w:szCs w:val="24"/>
          <w:lang w:val="en-US"/>
        </w:rPr>
        <w:t xml:space="preserve">ur hypothesis on transitions in the case of exclusive e-cig use. </w:t>
      </w:r>
      <w:r w:rsidR="009E5839" w:rsidRPr="00B729B8">
        <w:rPr>
          <w:rFonts w:ascii="Times New Roman" w:hAnsi="Times New Roman" w:cs="Times New Roman"/>
          <w:sz w:val="24"/>
          <w:szCs w:val="24"/>
          <w:lang w:val="en-US"/>
        </w:rPr>
        <w:t xml:space="preserve">The prevalence of each class varied significantly over time, with the “dual users” class the most dynamic, as shown in adults </w:t>
      </w:r>
      <w:r w:rsidR="009E5839" w:rsidRPr="00B729B8">
        <w:rPr>
          <w:rFonts w:ascii="Times New Roman" w:hAnsi="Times New Roman" w:cs="Times New Roman"/>
          <w:noProof/>
          <w:sz w:val="24"/>
          <w:szCs w:val="24"/>
          <w:vertAlign w:val="superscript"/>
          <w:lang w:val="en-US"/>
        </w:rPr>
        <w:t>1</w:t>
      </w:r>
      <w:r w:rsidR="0025624D" w:rsidRPr="00B729B8">
        <w:rPr>
          <w:rFonts w:ascii="Times New Roman" w:hAnsi="Times New Roman" w:cs="Times New Roman"/>
          <w:noProof/>
          <w:sz w:val="24"/>
          <w:szCs w:val="24"/>
          <w:vertAlign w:val="superscript"/>
          <w:lang w:val="en-US"/>
        </w:rPr>
        <w:t>6</w:t>
      </w:r>
      <w:r w:rsidR="009E5839" w:rsidRPr="00B729B8">
        <w:rPr>
          <w:rFonts w:ascii="Times New Roman" w:hAnsi="Times New Roman" w:cs="Times New Roman"/>
          <w:sz w:val="24"/>
          <w:szCs w:val="24"/>
          <w:lang w:val="en-US"/>
        </w:rPr>
        <w:t>. The only exception was the “exclusive e-</w:t>
      </w:r>
      <w:r w:rsidR="009E5839" w:rsidRPr="00B729B8">
        <w:rPr>
          <w:rFonts w:ascii="Times New Roman" w:hAnsi="Times New Roman" w:cs="Times New Roman"/>
          <w:bCs/>
          <w:sz w:val="24"/>
          <w:szCs w:val="24"/>
          <w:lang w:val="en-US"/>
        </w:rPr>
        <w:t>cigarette</w:t>
      </w:r>
      <w:r w:rsidR="009E5839" w:rsidRPr="00B729B8">
        <w:rPr>
          <w:rFonts w:ascii="Times New Roman" w:hAnsi="Times New Roman" w:cs="Times New Roman"/>
          <w:sz w:val="24"/>
          <w:szCs w:val="24"/>
          <w:lang w:val="en-US"/>
        </w:rPr>
        <w:t xml:space="preserve"> users” class. This stability may be a response to the continued transition from exclusive e-</w:t>
      </w:r>
      <w:r w:rsidR="009E5839" w:rsidRPr="00B729B8">
        <w:rPr>
          <w:rFonts w:ascii="Times New Roman" w:hAnsi="Times New Roman" w:cs="Times New Roman"/>
          <w:bCs/>
          <w:sz w:val="24"/>
          <w:szCs w:val="24"/>
          <w:lang w:val="en-US"/>
        </w:rPr>
        <w:t>cigarettes</w:t>
      </w:r>
      <w:r w:rsidR="009E5839" w:rsidRPr="00B729B8">
        <w:rPr>
          <w:rFonts w:ascii="Times New Roman" w:hAnsi="Times New Roman" w:cs="Times New Roman"/>
          <w:sz w:val="24"/>
          <w:szCs w:val="24"/>
          <w:lang w:val="en-US"/>
        </w:rPr>
        <w:t xml:space="preserve"> use to non-use, in parallel to changes from dual to exclusive e-</w:t>
      </w:r>
      <w:r w:rsidR="009E5839" w:rsidRPr="00B729B8">
        <w:rPr>
          <w:rFonts w:ascii="Times New Roman" w:hAnsi="Times New Roman" w:cs="Times New Roman"/>
          <w:bCs/>
          <w:sz w:val="24"/>
          <w:szCs w:val="24"/>
          <w:lang w:val="en-US"/>
        </w:rPr>
        <w:t>cigarettes</w:t>
      </w:r>
      <w:r w:rsidR="009E5839" w:rsidRPr="00B729B8">
        <w:rPr>
          <w:rFonts w:ascii="Times New Roman" w:hAnsi="Times New Roman" w:cs="Times New Roman"/>
          <w:sz w:val="24"/>
          <w:szCs w:val="24"/>
          <w:lang w:val="en-US"/>
        </w:rPr>
        <w:t xml:space="preserve"> use. Of note, individuals using any nicotine products drop in 24 months from 38.34% to 19.94%. Indeed, the prevalence of the “exclusive e-</w:t>
      </w:r>
      <w:r w:rsidR="009E5839" w:rsidRPr="00B729B8">
        <w:rPr>
          <w:rFonts w:ascii="Times New Roman" w:hAnsi="Times New Roman" w:cs="Times New Roman"/>
          <w:bCs/>
          <w:sz w:val="24"/>
          <w:szCs w:val="24"/>
          <w:lang w:val="en-US"/>
        </w:rPr>
        <w:t>cigarette</w:t>
      </w:r>
      <w:r w:rsidR="009E5839" w:rsidRPr="00B729B8">
        <w:rPr>
          <w:rFonts w:ascii="Times New Roman" w:hAnsi="Times New Roman" w:cs="Times New Roman"/>
          <w:sz w:val="24"/>
          <w:szCs w:val="24"/>
          <w:lang w:val="en-US"/>
        </w:rPr>
        <w:t xml:space="preserve"> users” class increased by 3% between 8- and 16-months, the period without transition between “exclusive e-</w:t>
      </w:r>
      <w:r w:rsidR="009E5839" w:rsidRPr="00B729B8">
        <w:rPr>
          <w:rFonts w:ascii="Times New Roman" w:hAnsi="Times New Roman" w:cs="Times New Roman"/>
          <w:bCs/>
          <w:sz w:val="24"/>
          <w:szCs w:val="24"/>
          <w:lang w:val="en-US"/>
        </w:rPr>
        <w:t>cigarette</w:t>
      </w:r>
      <w:r w:rsidR="009E5839" w:rsidRPr="00B729B8">
        <w:rPr>
          <w:rFonts w:ascii="Times New Roman" w:hAnsi="Times New Roman" w:cs="Times New Roman"/>
          <w:sz w:val="24"/>
          <w:szCs w:val="24"/>
          <w:lang w:val="en-US"/>
        </w:rPr>
        <w:t xml:space="preserve"> users” and “non-users” classes. As shown in a previous study on trajectories of tobacco use among young adults </w:t>
      </w:r>
      <w:r w:rsidR="00DB70A7" w:rsidRPr="00B729B8">
        <w:rPr>
          <w:rFonts w:ascii="Times New Roman" w:hAnsi="Times New Roman" w:cs="Times New Roman"/>
          <w:noProof/>
          <w:sz w:val="24"/>
          <w:szCs w:val="24"/>
          <w:vertAlign w:val="superscript"/>
          <w:lang w:val="en-US"/>
        </w:rPr>
        <w:t>38</w:t>
      </w:r>
      <w:r w:rsidR="009E5839" w:rsidRPr="00B729B8">
        <w:rPr>
          <w:rFonts w:ascii="Times New Roman" w:hAnsi="Times New Roman" w:cs="Times New Roman"/>
          <w:sz w:val="24"/>
          <w:szCs w:val="24"/>
          <w:lang w:val="en-US"/>
        </w:rPr>
        <w:t>, the present study highlights this period (i.e., baseline to 8-months, that is, between 22 and 23 years old) as critical for transiting from e-</w:t>
      </w:r>
      <w:r w:rsidR="009E5839" w:rsidRPr="00B729B8">
        <w:rPr>
          <w:rFonts w:ascii="Times New Roman" w:hAnsi="Times New Roman" w:cs="Times New Roman"/>
          <w:bCs/>
          <w:sz w:val="24"/>
          <w:szCs w:val="24"/>
          <w:lang w:val="en-US"/>
        </w:rPr>
        <w:t>cigarettes</w:t>
      </w:r>
      <w:r w:rsidR="009E5839" w:rsidRPr="00B729B8">
        <w:rPr>
          <w:rFonts w:ascii="Times New Roman" w:hAnsi="Times New Roman" w:cs="Times New Roman"/>
          <w:sz w:val="24"/>
          <w:szCs w:val="24"/>
          <w:lang w:val="en-US"/>
        </w:rPr>
        <w:t xml:space="preserve"> use to non-use, as most exclusive e-</w:t>
      </w:r>
      <w:r w:rsidR="009E5839" w:rsidRPr="00B729B8">
        <w:rPr>
          <w:rFonts w:ascii="Times New Roman" w:hAnsi="Times New Roman" w:cs="Times New Roman"/>
          <w:bCs/>
          <w:sz w:val="24"/>
          <w:szCs w:val="24"/>
          <w:lang w:val="en-US"/>
        </w:rPr>
        <w:t>cigarette</w:t>
      </w:r>
      <w:r w:rsidR="009E5839" w:rsidRPr="00B729B8">
        <w:rPr>
          <w:rFonts w:ascii="Times New Roman" w:hAnsi="Times New Roman" w:cs="Times New Roman"/>
          <w:sz w:val="24"/>
          <w:szCs w:val="24"/>
          <w:lang w:val="en-US"/>
        </w:rPr>
        <w:t xml:space="preserve"> users (63.9%) reported being only monthly users. This is of special interest considering the “stagnation” of transitions between 8- and 16-months, and the general stabilization reported previously </w:t>
      </w:r>
      <w:r w:rsidR="0025624D" w:rsidRPr="00B729B8">
        <w:rPr>
          <w:rFonts w:ascii="Times New Roman" w:hAnsi="Times New Roman" w:cs="Times New Roman"/>
          <w:noProof/>
          <w:sz w:val="24"/>
          <w:szCs w:val="24"/>
          <w:vertAlign w:val="superscript"/>
          <w:lang w:val="en-US"/>
        </w:rPr>
        <w:t>24</w:t>
      </w:r>
      <w:r w:rsidR="009E5839" w:rsidRPr="00B729B8">
        <w:rPr>
          <w:rFonts w:ascii="Times New Roman" w:hAnsi="Times New Roman" w:cs="Times New Roman"/>
          <w:sz w:val="24"/>
          <w:szCs w:val="24"/>
          <w:lang w:val="en-US"/>
        </w:rPr>
        <w:t>. Furthermore, this high rate of transition contrasts with the stability of exclusive combustible cigarette smokers.</w:t>
      </w:r>
    </w:p>
    <w:p w14:paraId="015A81FF" w14:textId="61F87725" w:rsidR="009E5839" w:rsidRPr="00B729B8" w:rsidRDefault="009E5839" w:rsidP="0004163C">
      <w:pPr>
        <w:spacing w:line="480" w:lineRule="auto"/>
        <w:rPr>
          <w:rFonts w:ascii="Times New Roman" w:hAnsi="Times New Roman" w:cs="Times New Roman"/>
          <w:sz w:val="24"/>
          <w:szCs w:val="24"/>
          <w:lang w:val="en-US"/>
        </w:rPr>
      </w:pPr>
      <w:r w:rsidRPr="00B729B8">
        <w:rPr>
          <w:rFonts w:ascii="Times New Roman" w:hAnsi="Times New Roman" w:cs="Times New Roman"/>
          <w:sz w:val="24"/>
          <w:szCs w:val="24"/>
          <w:lang w:val="en-US"/>
        </w:rPr>
        <w:tab/>
      </w:r>
      <w:r w:rsidR="00554BAA" w:rsidRPr="00B729B8">
        <w:rPr>
          <w:rFonts w:ascii="Times New Roman" w:hAnsi="Times New Roman" w:cs="Times New Roman"/>
          <w:sz w:val="24"/>
          <w:szCs w:val="24"/>
          <w:lang w:val="en-US"/>
        </w:rPr>
        <w:t>The hypothesis o</w:t>
      </w:r>
      <w:r w:rsidR="00735BDA" w:rsidRPr="00B729B8">
        <w:rPr>
          <w:rFonts w:ascii="Times New Roman" w:hAnsi="Times New Roman" w:cs="Times New Roman"/>
          <w:sz w:val="24"/>
          <w:szCs w:val="24"/>
          <w:lang w:val="en-US"/>
        </w:rPr>
        <w:t>f</w:t>
      </w:r>
      <w:r w:rsidR="00554BAA" w:rsidRPr="00B729B8">
        <w:rPr>
          <w:rFonts w:ascii="Times New Roman" w:hAnsi="Times New Roman" w:cs="Times New Roman"/>
          <w:sz w:val="24"/>
          <w:szCs w:val="24"/>
          <w:lang w:val="en-US"/>
        </w:rPr>
        <w:t xml:space="preserve"> </w:t>
      </w:r>
      <w:r w:rsidR="00735BDA" w:rsidRPr="00B729B8">
        <w:rPr>
          <w:rFonts w:ascii="Times New Roman" w:hAnsi="Times New Roman" w:cs="Times New Roman"/>
          <w:sz w:val="24"/>
          <w:szCs w:val="24"/>
          <w:lang w:val="en-US"/>
        </w:rPr>
        <w:t xml:space="preserve">a </w:t>
      </w:r>
      <w:r w:rsidR="0092012A" w:rsidRPr="00B729B8">
        <w:rPr>
          <w:rFonts w:ascii="Times New Roman" w:hAnsi="Times New Roman" w:cs="Times New Roman"/>
          <w:sz w:val="24"/>
          <w:szCs w:val="24"/>
          <w:lang w:val="en-US"/>
        </w:rPr>
        <w:t>deleterious role of dual use</w:t>
      </w:r>
      <w:r w:rsidR="00554BAA" w:rsidRPr="00B729B8">
        <w:rPr>
          <w:rFonts w:ascii="Times New Roman" w:hAnsi="Times New Roman" w:cs="Times New Roman"/>
          <w:sz w:val="24"/>
          <w:szCs w:val="24"/>
          <w:lang w:val="en-US"/>
        </w:rPr>
        <w:t xml:space="preserve"> was not supported. </w:t>
      </w:r>
      <w:r w:rsidRPr="00B729B8">
        <w:rPr>
          <w:rFonts w:ascii="Times New Roman" w:hAnsi="Times New Roman" w:cs="Times New Roman"/>
          <w:sz w:val="24"/>
          <w:szCs w:val="24"/>
          <w:lang w:val="en-US"/>
        </w:rPr>
        <w:t>In parallel with the transition of e-</w:t>
      </w:r>
      <w:r w:rsidRPr="00B729B8">
        <w:rPr>
          <w:rFonts w:ascii="Times New Roman" w:hAnsi="Times New Roman" w:cs="Times New Roman"/>
          <w:bCs/>
          <w:sz w:val="24"/>
          <w:szCs w:val="24"/>
          <w:lang w:val="en-US"/>
        </w:rPr>
        <w:t>cigarette</w:t>
      </w:r>
      <w:r w:rsidRPr="00B729B8">
        <w:rPr>
          <w:rFonts w:ascii="Times New Roman" w:hAnsi="Times New Roman" w:cs="Times New Roman"/>
          <w:sz w:val="24"/>
          <w:szCs w:val="24"/>
          <w:lang w:val="en-US"/>
        </w:rPr>
        <w:t xml:space="preserve"> users to non-use, around </w:t>
      </w:r>
      <w:r w:rsidR="00554BAA" w:rsidRPr="00B729B8">
        <w:rPr>
          <w:rFonts w:ascii="Times New Roman" w:hAnsi="Times New Roman" w:cs="Times New Roman"/>
          <w:sz w:val="24"/>
          <w:szCs w:val="24"/>
          <w:lang w:val="en-US"/>
        </w:rPr>
        <w:t>1/3</w:t>
      </w:r>
      <w:r w:rsidRPr="00B729B8">
        <w:rPr>
          <w:rFonts w:ascii="Times New Roman" w:hAnsi="Times New Roman" w:cs="Times New Roman"/>
          <w:sz w:val="24"/>
          <w:szCs w:val="24"/>
          <w:lang w:val="en-US"/>
        </w:rPr>
        <w:t xml:space="preserve"> dual use</w:t>
      </w:r>
      <w:r w:rsidR="00554BAA" w:rsidRPr="00B729B8">
        <w:rPr>
          <w:rFonts w:ascii="Times New Roman" w:hAnsi="Times New Roman" w:cs="Times New Roman"/>
          <w:sz w:val="24"/>
          <w:szCs w:val="24"/>
          <w:lang w:val="en-US"/>
        </w:rPr>
        <w:t>rs</w:t>
      </w:r>
      <w:r w:rsidRPr="00B729B8">
        <w:rPr>
          <w:rFonts w:ascii="Times New Roman" w:hAnsi="Times New Roman" w:cs="Times New Roman"/>
          <w:sz w:val="24"/>
          <w:szCs w:val="24"/>
          <w:lang w:val="en-US"/>
        </w:rPr>
        <w:t xml:space="preserve"> transit</w:t>
      </w:r>
      <w:r w:rsidR="00735BDA" w:rsidRPr="00B729B8">
        <w:rPr>
          <w:rFonts w:ascii="Times New Roman" w:hAnsi="Times New Roman" w:cs="Times New Roman"/>
          <w:sz w:val="24"/>
          <w:szCs w:val="24"/>
          <w:lang w:val="en-US"/>
        </w:rPr>
        <w:t>ion</w:t>
      </w:r>
      <w:r w:rsidRPr="00B729B8">
        <w:rPr>
          <w:rFonts w:ascii="Times New Roman" w:hAnsi="Times New Roman" w:cs="Times New Roman"/>
          <w:sz w:val="24"/>
          <w:szCs w:val="24"/>
          <w:lang w:val="en-US"/>
        </w:rPr>
        <w:t>ed to exclusive e-</w:t>
      </w:r>
      <w:r w:rsidRPr="00B729B8">
        <w:rPr>
          <w:rFonts w:ascii="Times New Roman" w:hAnsi="Times New Roman" w:cs="Times New Roman"/>
          <w:bCs/>
          <w:sz w:val="24"/>
          <w:szCs w:val="24"/>
          <w:lang w:val="en-US"/>
        </w:rPr>
        <w:t>cigarettes</w:t>
      </w:r>
      <w:r w:rsidRPr="00B729B8">
        <w:rPr>
          <w:rFonts w:ascii="Times New Roman" w:hAnsi="Times New Roman" w:cs="Times New Roman"/>
          <w:sz w:val="24"/>
          <w:szCs w:val="24"/>
          <w:lang w:val="en-US"/>
        </w:rPr>
        <w:t xml:space="preserve"> use during the same period (i.e., baseline to 16-months). This change is important because the vast majority of e-</w:t>
      </w:r>
      <w:r w:rsidRPr="00B729B8">
        <w:rPr>
          <w:rFonts w:ascii="Times New Roman" w:hAnsi="Times New Roman" w:cs="Times New Roman"/>
          <w:bCs/>
          <w:sz w:val="24"/>
          <w:szCs w:val="24"/>
          <w:lang w:val="en-US"/>
        </w:rPr>
        <w:t>cigarette</w:t>
      </w:r>
      <w:r w:rsidRPr="00B729B8">
        <w:rPr>
          <w:rFonts w:ascii="Times New Roman" w:hAnsi="Times New Roman" w:cs="Times New Roman"/>
          <w:sz w:val="24"/>
          <w:szCs w:val="24"/>
          <w:lang w:val="en-US"/>
        </w:rPr>
        <w:t xml:space="preserve"> users </w:t>
      </w:r>
      <w:r w:rsidR="0092012A" w:rsidRPr="00B729B8">
        <w:rPr>
          <w:rFonts w:ascii="Times New Roman" w:hAnsi="Times New Roman" w:cs="Times New Roman"/>
          <w:sz w:val="24"/>
          <w:szCs w:val="24"/>
          <w:lang w:val="en-US"/>
        </w:rPr>
        <w:t xml:space="preserve">in the present study </w:t>
      </w:r>
      <w:r w:rsidRPr="00B729B8">
        <w:rPr>
          <w:rFonts w:ascii="Times New Roman" w:hAnsi="Times New Roman" w:cs="Times New Roman"/>
          <w:sz w:val="24"/>
          <w:szCs w:val="24"/>
          <w:lang w:val="en-US"/>
        </w:rPr>
        <w:t>move from either dual use to exclusive e-</w:t>
      </w:r>
      <w:r w:rsidRPr="00B729B8">
        <w:rPr>
          <w:rFonts w:ascii="Times New Roman" w:hAnsi="Times New Roman" w:cs="Times New Roman"/>
          <w:bCs/>
          <w:sz w:val="24"/>
          <w:szCs w:val="24"/>
          <w:lang w:val="en-US"/>
        </w:rPr>
        <w:t>cigarettes</w:t>
      </w:r>
      <w:r w:rsidRPr="00B729B8">
        <w:rPr>
          <w:rFonts w:ascii="Times New Roman" w:hAnsi="Times New Roman" w:cs="Times New Roman"/>
          <w:sz w:val="24"/>
          <w:szCs w:val="24"/>
          <w:lang w:val="en-US"/>
        </w:rPr>
        <w:t xml:space="preserve"> use or from exclusive e-</w:t>
      </w:r>
      <w:r w:rsidRPr="00B729B8">
        <w:rPr>
          <w:rFonts w:ascii="Times New Roman" w:hAnsi="Times New Roman" w:cs="Times New Roman"/>
          <w:bCs/>
          <w:sz w:val="24"/>
          <w:szCs w:val="24"/>
          <w:lang w:val="en-US"/>
        </w:rPr>
        <w:t>cigarettes</w:t>
      </w:r>
      <w:r w:rsidRPr="00B729B8">
        <w:rPr>
          <w:rFonts w:ascii="Times New Roman" w:hAnsi="Times New Roman" w:cs="Times New Roman"/>
          <w:sz w:val="24"/>
          <w:szCs w:val="24"/>
          <w:lang w:val="en-US"/>
        </w:rPr>
        <w:t xml:space="preserve"> use to non-use. Despite the mixed evidence on the likelihood of discontinuing </w:t>
      </w:r>
      <w:r w:rsidR="0092133E" w:rsidRPr="00B729B8">
        <w:rPr>
          <w:rFonts w:ascii="Times New Roman" w:hAnsi="Times New Roman" w:cs="Times New Roman"/>
          <w:sz w:val="24"/>
          <w:szCs w:val="24"/>
          <w:lang w:val="en-US"/>
        </w:rPr>
        <w:t xml:space="preserve">e-cigs </w:t>
      </w:r>
      <w:r w:rsidRPr="00B729B8">
        <w:rPr>
          <w:rFonts w:ascii="Times New Roman" w:hAnsi="Times New Roman" w:cs="Times New Roman"/>
          <w:sz w:val="24"/>
          <w:szCs w:val="24"/>
          <w:lang w:val="en-US"/>
        </w:rPr>
        <w:t xml:space="preserve">among </w:t>
      </w:r>
      <w:r w:rsidR="0092133E" w:rsidRPr="00B729B8">
        <w:rPr>
          <w:rFonts w:ascii="Times New Roman" w:hAnsi="Times New Roman" w:cs="Times New Roman"/>
          <w:bCs/>
          <w:sz w:val="24"/>
          <w:szCs w:val="24"/>
          <w:lang w:val="en-US"/>
        </w:rPr>
        <w:t xml:space="preserve">cigarette </w:t>
      </w:r>
      <w:r w:rsidRPr="00B729B8">
        <w:rPr>
          <w:rFonts w:ascii="Times New Roman" w:hAnsi="Times New Roman" w:cs="Times New Roman"/>
          <w:sz w:val="24"/>
          <w:szCs w:val="24"/>
          <w:lang w:val="en-US"/>
        </w:rPr>
        <w:t xml:space="preserve">smokers </w:t>
      </w:r>
      <w:r w:rsidR="00DB70A7" w:rsidRPr="00B729B8">
        <w:rPr>
          <w:rFonts w:ascii="Times New Roman" w:hAnsi="Times New Roman" w:cs="Times New Roman"/>
          <w:noProof/>
          <w:sz w:val="24"/>
          <w:szCs w:val="24"/>
          <w:vertAlign w:val="superscript"/>
          <w:lang w:val="en-US"/>
        </w:rPr>
        <w:t>39</w:t>
      </w:r>
      <w:r w:rsidRPr="00B729B8">
        <w:rPr>
          <w:rFonts w:ascii="Times New Roman" w:hAnsi="Times New Roman" w:cs="Times New Roman"/>
          <w:noProof/>
          <w:sz w:val="24"/>
          <w:szCs w:val="24"/>
          <w:vertAlign w:val="superscript"/>
          <w:lang w:val="en-US"/>
        </w:rPr>
        <w:t>,4</w:t>
      </w:r>
      <w:r w:rsidR="00DB70A7" w:rsidRPr="00B729B8">
        <w:rPr>
          <w:rFonts w:ascii="Times New Roman" w:hAnsi="Times New Roman" w:cs="Times New Roman"/>
          <w:noProof/>
          <w:sz w:val="24"/>
          <w:szCs w:val="24"/>
          <w:vertAlign w:val="superscript"/>
          <w:lang w:val="en-US"/>
        </w:rPr>
        <w:t>0</w:t>
      </w:r>
      <w:r w:rsidRPr="00B729B8">
        <w:rPr>
          <w:rFonts w:ascii="Times New Roman" w:hAnsi="Times New Roman" w:cs="Times New Roman"/>
          <w:sz w:val="24"/>
          <w:szCs w:val="24"/>
          <w:lang w:val="en-US"/>
        </w:rPr>
        <w:t>, the present study shows greater transitions from dual to exclusive e-</w:t>
      </w:r>
      <w:r w:rsidRPr="00B729B8">
        <w:rPr>
          <w:rFonts w:ascii="Times New Roman" w:hAnsi="Times New Roman" w:cs="Times New Roman"/>
          <w:bCs/>
          <w:sz w:val="24"/>
          <w:szCs w:val="24"/>
          <w:lang w:val="en-US"/>
        </w:rPr>
        <w:t>cigarettes</w:t>
      </w:r>
      <w:r w:rsidRPr="00B729B8">
        <w:rPr>
          <w:rFonts w:ascii="Times New Roman" w:hAnsi="Times New Roman" w:cs="Times New Roman"/>
          <w:sz w:val="24"/>
          <w:szCs w:val="24"/>
          <w:lang w:val="en-US"/>
        </w:rPr>
        <w:t xml:space="preserve"> use. In line with previous studies, this suggests that, for several young adults, dual use does not jeopardize desistance attempts </w:t>
      </w:r>
      <w:r w:rsidRPr="00B729B8">
        <w:rPr>
          <w:rFonts w:ascii="Times New Roman" w:hAnsi="Times New Roman" w:cs="Times New Roman"/>
          <w:noProof/>
          <w:sz w:val="24"/>
          <w:szCs w:val="24"/>
          <w:vertAlign w:val="superscript"/>
          <w:lang w:val="en-US"/>
        </w:rPr>
        <w:t>2</w:t>
      </w:r>
      <w:r w:rsidR="0025624D" w:rsidRPr="00B729B8">
        <w:rPr>
          <w:rFonts w:ascii="Times New Roman" w:hAnsi="Times New Roman" w:cs="Times New Roman"/>
          <w:noProof/>
          <w:sz w:val="24"/>
          <w:szCs w:val="24"/>
          <w:vertAlign w:val="superscript"/>
          <w:lang w:val="en-US"/>
        </w:rPr>
        <w:t>4</w:t>
      </w:r>
      <w:r w:rsidRPr="00B729B8">
        <w:rPr>
          <w:rFonts w:ascii="Times New Roman" w:hAnsi="Times New Roman" w:cs="Times New Roman"/>
          <w:noProof/>
          <w:sz w:val="24"/>
          <w:szCs w:val="24"/>
          <w:vertAlign w:val="superscript"/>
          <w:lang w:val="en-US"/>
        </w:rPr>
        <w:t>,3</w:t>
      </w:r>
      <w:r w:rsidR="0025624D" w:rsidRPr="00B729B8">
        <w:rPr>
          <w:rFonts w:ascii="Times New Roman" w:hAnsi="Times New Roman" w:cs="Times New Roman"/>
          <w:noProof/>
          <w:sz w:val="24"/>
          <w:szCs w:val="24"/>
          <w:vertAlign w:val="superscript"/>
          <w:lang w:val="en-US"/>
        </w:rPr>
        <w:t>0</w:t>
      </w:r>
      <w:r w:rsidRPr="00B729B8">
        <w:rPr>
          <w:rFonts w:ascii="Times New Roman" w:hAnsi="Times New Roman" w:cs="Times New Roman"/>
          <w:sz w:val="24"/>
          <w:szCs w:val="24"/>
          <w:lang w:val="en-US"/>
        </w:rPr>
        <w:t>. Data on adult dual users suggest that perceived relative harm of e-</w:t>
      </w:r>
      <w:r w:rsidRPr="00B729B8">
        <w:rPr>
          <w:rFonts w:ascii="Times New Roman" w:hAnsi="Times New Roman" w:cs="Times New Roman"/>
          <w:bCs/>
          <w:sz w:val="24"/>
          <w:szCs w:val="24"/>
          <w:lang w:val="en-US"/>
        </w:rPr>
        <w:t>cigarettes</w:t>
      </w:r>
      <w:r w:rsidRPr="00B729B8">
        <w:rPr>
          <w:rFonts w:ascii="Times New Roman" w:hAnsi="Times New Roman" w:cs="Times New Roman"/>
          <w:sz w:val="24"/>
          <w:szCs w:val="24"/>
          <w:lang w:val="en-US"/>
        </w:rPr>
        <w:t xml:space="preserve"> compared to combustible cigarettes is associated with transitions to exclusive e-</w:t>
      </w:r>
      <w:r w:rsidRPr="00B729B8">
        <w:rPr>
          <w:rFonts w:ascii="Times New Roman" w:hAnsi="Times New Roman" w:cs="Times New Roman"/>
          <w:bCs/>
          <w:sz w:val="24"/>
          <w:szCs w:val="24"/>
          <w:lang w:val="en-US"/>
        </w:rPr>
        <w:t>cigarette</w:t>
      </w:r>
      <w:r w:rsidRPr="00B729B8">
        <w:rPr>
          <w:rFonts w:ascii="Times New Roman" w:hAnsi="Times New Roman" w:cs="Times New Roman"/>
          <w:sz w:val="24"/>
          <w:szCs w:val="24"/>
          <w:lang w:val="en-US"/>
        </w:rPr>
        <w:t xml:space="preserve"> use and with reductions in smoking frequency, thus facilitating prospect transitions </w:t>
      </w:r>
      <w:r w:rsidR="00DB70A7" w:rsidRPr="00B729B8">
        <w:rPr>
          <w:rFonts w:ascii="Times New Roman" w:hAnsi="Times New Roman" w:cs="Times New Roman"/>
          <w:noProof/>
          <w:sz w:val="24"/>
          <w:szCs w:val="24"/>
          <w:vertAlign w:val="superscript"/>
          <w:lang w:val="en-US"/>
        </w:rPr>
        <w:t>41</w:t>
      </w:r>
      <w:r w:rsidRPr="00B729B8">
        <w:rPr>
          <w:rFonts w:ascii="Times New Roman" w:hAnsi="Times New Roman" w:cs="Times New Roman"/>
          <w:sz w:val="24"/>
          <w:szCs w:val="24"/>
          <w:lang w:val="en-US"/>
        </w:rPr>
        <w:t>. Factors promoting change from dual to exclusive e-</w:t>
      </w:r>
      <w:r w:rsidRPr="00B729B8">
        <w:rPr>
          <w:rFonts w:ascii="Times New Roman" w:hAnsi="Times New Roman" w:cs="Times New Roman"/>
          <w:bCs/>
          <w:sz w:val="24"/>
          <w:szCs w:val="24"/>
          <w:lang w:val="en-US"/>
        </w:rPr>
        <w:t>cigarettes</w:t>
      </w:r>
      <w:r w:rsidRPr="00B729B8">
        <w:rPr>
          <w:rFonts w:ascii="Times New Roman" w:hAnsi="Times New Roman" w:cs="Times New Roman"/>
          <w:sz w:val="24"/>
          <w:szCs w:val="24"/>
          <w:lang w:val="en-US"/>
        </w:rPr>
        <w:t xml:space="preserve"> use and non-use are to date unknown, and warrant investigation toward interventions to promote change in young adults.</w:t>
      </w:r>
      <w:r w:rsidR="00787669" w:rsidRPr="00B729B8">
        <w:rPr>
          <w:rFonts w:ascii="Times New Roman" w:hAnsi="Times New Roman" w:cs="Times New Roman"/>
          <w:sz w:val="24"/>
          <w:szCs w:val="24"/>
          <w:lang w:val="en-US"/>
        </w:rPr>
        <w:t xml:space="preserve"> </w:t>
      </w:r>
    </w:p>
    <w:p w14:paraId="0839BCA0" w14:textId="10BC369D" w:rsidR="009E5839" w:rsidRPr="00B729B8" w:rsidRDefault="009E5839" w:rsidP="006100FB">
      <w:pPr>
        <w:spacing w:line="480" w:lineRule="auto"/>
        <w:rPr>
          <w:rFonts w:ascii="Times New Roman" w:hAnsi="Times New Roman" w:cs="Times New Roman"/>
          <w:sz w:val="24"/>
          <w:szCs w:val="24"/>
          <w:lang w:val="en-US"/>
        </w:rPr>
      </w:pPr>
      <w:r w:rsidRPr="00B729B8">
        <w:rPr>
          <w:rFonts w:ascii="Times New Roman" w:hAnsi="Times New Roman" w:cs="Times New Roman"/>
          <w:sz w:val="24"/>
          <w:szCs w:val="24"/>
          <w:lang w:val="en-US"/>
        </w:rPr>
        <w:tab/>
        <w:t>This study indicates that those who remain using e-</w:t>
      </w:r>
      <w:r w:rsidRPr="00B729B8">
        <w:rPr>
          <w:rFonts w:ascii="Times New Roman" w:hAnsi="Times New Roman" w:cs="Times New Roman"/>
          <w:bCs/>
          <w:sz w:val="24"/>
          <w:szCs w:val="24"/>
          <w:lang w:val="en-US"/>
        </w:rPr>
        <w:t>cigarettes</w:t>
      </w:r>
      <w:r w:rsidRPr="00B729B8">
        <w:rPr>
          <w:rFonts w:ascii="Times New Roman" w:hAnsi="Times New Roman" w:cs="Times New Roman"/>
          <w:sz w:val="24"/>
          <w:szCs w:val="24"/>
          <w:lang w:val="en-US"/>
        </w:rPr>
        <w:t xml:space="preserve"> exclusively were more likely to be white, male and to present higher alcohol severity at baseline. Previous epidemiological data and systematic reviews have also reported these associations regarding sex and ethnicity </w:t>
      </w:r>
      <w:r w:rsidRPr="00B729B8">
        <w:rPr>
          <w:rFonts w:ascii="Times New Roman" w:hAnsi="Times New Roman" w:cs="Times New Roman"/>
          <w:noProof/>
          <w:sz w:val="24"/>
          <w:szCs w:val="24"/>
          <w:vertAlign w:val="superscript"/>
          <w:lang w:val="en-US"/>
        </w:rPr>
        <w:t>4</w:t>
      </w:r>
      <w:r w:rsidR="00DB70A7" w:rsidRPr="00B729B8">
        <w:rPr>
          <w:rFonts w:ascii="Times New Roman" w:hAnsi="Times New Roman" w:cs="Times New Roman"/>
          <w:noProof/>
          <w:sz w:val="24"/>
          <w:szCs w:val="24"/>
          <w:vertAlign w:val="superscript"/>
          <w:lang w:val="en-US"/>
        </w:rPr>
        <w:t>2</w:t>
      </w:r>
      <w:r w:rsidRPr="00B729B8">
        <w:rPr>
          <w:rFonts w:ascii="Times New Roman" w:hAnsi="Times New Roman" w:cs="Times New Roman"/>
          <w:noProof/>
          <w:sz w:val="24"/>
          <w:szCs w:val="24"/>
          <w:vertAlign w:val="superscript"/>
          <w:lang w:val="en-US"/>
        </w:rPr>
        <w:t>,4</w:t>
      </w:r>
      <w:r w:rsidR="00DB70A7" w:rsidRPr="00B729B8">
        <w:rPr>
          <w:rFonts w:ascii="Times New Roman" w:hAnsi="Times New Roman" w:cs="Times New Roman"/>
          <w:noProof/>
          <w:sz w:val="24"/>
          <w:szCs w:val="24"/>
          <w:vertAlign w:val="superscript"/>
          <w:lang w:val="en-US"/>
        </w:rPr>
        <w:t>3</w:t>
      </w:r>
      <w:r w:rsidRPr="00B729B8">
        <w:rPr>
          <w:rFonts w:ascii="Times New Roman" w:hAnsi="Times New Roman" w:cs="Times New Roman"/>
          <w:sz w:val="24"/>
          <w:szCs w:val="24"/>
          <w:lang w:val="en-US"/>
        </w:rPr>
        <w:t>, strongly supporting these individuals as risk populations in relation to regular e-</w:t>
      </w:r>
      <w:r w:rsidRPr="00B729B8">
        <w:rPr>
          <w:rFonts w:ascii="Times New Roman" w:hAnsi="Times New Roman" w:cs="Times New Roman"/>
          <w:bCs/>
          <w:sz w:val="24"/>
          <w:szCs w:val="24"/>
          <w:lang w:val="en-US"/>
        </w:rPr>
        <w:t>cigarettes</w:t>
      </w:r>
      <w:r w:rsidRPr="00B729B8">
        <w:rPr>
          <w:rFonts w:ascii="Times New Roman" w:hAnsi="Times New Roman" w:cs="Times New Roman"/>
          <w:sz w:val="24"/>
          <w:szCs w:val="24"/>
          <w:lang w:val="en-US"/>
        </w:rPr>
        <w:t xml:space="preserve"> use. Results regarding alcohol severity aligns with evidence showing increased risk of endorsing DSM-5 AUD criteria in e-</w:t>
      </w:r>
      <w:r w:rsidRPr="00B729B8">
        <w:rPr>
          <w:rFonts w:ascii="Times New Roman" w:hAnsi="Times New Roman" w:cs="Times New Roman"/>
          <w:bCs/>
          <w:sz w:val="24"/>
          <w:szCs w:val="24"/>
          <w:lang w:val="en-US"/>
        </w:rPr>
        <w:t>cigarette</w:t>
      </w:r>
      <w:r w:rsidRPr="00B729B8">
        <w:rPr>
          <w:rFonts w:ascii="Times New Roman" w:hAnsi="Times New Roman" w:cs="Times New Roman"/>
          <w:sz w:val="24"/>
          <w:szCs w:val="24"/>
          <w:lang w:val="en-US"/>
        </w:rPr>
        <w:t xml:space="preserve"> users, especially among less frequent users </w:t>
      </w:r>
      <w:r w:rsidRPr="00B729B8">
        <w:rPr>
          <w:rFonts w:ascii="Times New Roman" w:hAnsi="Times New Roman" w:cs="Times New Roman"/>
          <w:noProof/>
          <w:sz w:val="24"/>
          <w:szCs w:val="24"/>
          <w:vertAlign w:val="superscript"/>
          <w:lang w:val="en-US"/>
        </w:rPr>
        <w:t>4</w:t>
      </w:r>
      <w:r w:rsidR="00DB70A7" w:rsidRPr="00B729B8">
        <w:rPr>
          <w:rFonts w:ascii="Times New Roman" w:hAnsi="Times New Roman" w:cs="Times New Roman"/>
          <w:noProof/>
          <w:sz w:val="24"/>
          <w:szCs w:val="24"/>
          <w:vertAlign w:val="superscript"/>
          <w:lang w:val="en-US"/>
        </w:rPr>
        <w:t>4</w:t>
      </w:r>
      <w:r w:rsidRPr="00B729B8">
        <w:rPr>
          <w:rFonts w:ascii="Times New Roman" w:hAnsi="Times New Roman" w:cs="Times New Roman"/>
          <w:sz w:val="24"/>
          <w:szCs w:val="24"/>
          <w:lang w:val="en-US"/>
        </w:rPr>
        <w:t xml:space="preserve">. Nonetheless, the association between e-cig use and hazardous drinking is far from clear, with studies suggesting that alcohol increases the rewarding effects of both combustible cigarettes and e-cigs and hence increasing their concurrent use </w:t>
      </w:r>
      <w:r w:rsidR="00DB70A7" w:rsidRPr="00B729B8">
        <w:rPr>
          <w:rFonts w:ascii="Times New Roman" w:hAnsi="Times New Roman" w:cs="Times New Roman"/>
          <w:noProof/>
          <w:sz w:val="24"/>
          <w:szCs w:val="24"/>
          <w:vertAlign w:val="superscript"/>
          <w:lang w:val="en-US"/>
        </w:rPr>
        <w:t>45</w:t>
      </w:r>
      <w:r w:rsidRPr="00B729B8">
        <w:rPr>
          <w:rFonts w:ascii="Times New Roman" w:hAnsi="Times New Roman" w:cs="Times New Roman"/>
          <w:sz w:val="24"/>
          <w:szCs w:val="24"/>
          <w:lang w:val="en-US"/>
        </w:rPr>
        <w:t xml:space="preserve">, and others finding e-cigarette use to predict alcohol use but not vice versa </w:t>
      </w:r>
      <w:r w:rsidRPr="00B729B8">
        <w:rPr>
          <w:rFonts w:ascii="Times New Roman" w:hAnsi="Times New Roman" w:cs="Times New Roman"/>
          <w:noProof/>
          <w:sz w:val="24"/>
          <w:szCs w:val="24"/>
          <w:vertAlign w:val="superscript"/>
          <w:lang w:val="en-US"/>
        </w:rPr>
        <w:t>4</w:t>
      </w:r>
      <w:r w:rsidR="00DB70A7" w:rsidRPr="00B729B8">
        <w:rPr>
          <w:rFonts w:ascii="Times New Roman" w:hAnsi="Times New Roman" w:cs="Times New Roman"/>
          <w:noProof/>
          <w:sz w:val="24"/>
          <w:szCs w:val="24"/>
          <w:vertAlign w:val="superscript"/>
          <w:lang w:val="en-US"/>
        </w:rPr>
        <w:t>6</w:t>
      </w:r>
      <w:r w:rsidRPr="00B729B8">
        <w:rPr>
          <w:rFonts w:ascii="Times New Roman" w:hAnsi="Times New Roman" w:cs="Times New Roman"/>
          <w:sz w:val="24"/>
          <w:szCs w:val="24"/>
          <w:lang w:val="en-US"/>
        </w:rPr>
        <w:t>. Whatever the association between alcohol and e-cigarette use is, the present study suggests a generalized reduction in dual use even for high-risk young adults</w:t>
      </w:r>
      <w:r w:rsidR="008E4DB5" w:rsidRPr="00B729B8">
        <w:rPr>
          <w:rFonts w:ascii="Times New Roman" w:hAnsi="Times New Roman" w:cs="Times New Roman"/>
          <w:sz w:val="24"/>
          <w:szCs w:val="24"/>
          <w:lang w:val="en-US"/>
        </w:rPr>
        <w:t>,</w:t>
      </w:r>
      <w:r w:rsidRPr="00B729B8">
        <w:rPr>
          <w:rFonts w:ascii="Times New Roman" w:hAnsi="Times New Roman" w:cs="Times New Roman"/>
          <w:sz w:val="24"/>
          <w:szCs w:val="24"/>
          <w:lang w:val="en-US"/>
        </w:rPr>
        <w:t xml:space="preserve"> such as binge drinkers. Some studies have </w:t>
      </w:r>
      <w:r w:rsidR="006100FB" w:rsidRPr="00B729B8">
        <w:rPr>
          <w:rFonts w:ascii="Times New Roman" w:hAnsi="Times New Roman" w:cs="Times New Roman"/>
          <w:sz w:val="24"/>
          <w:szCs w:val="24"/>
          <w:lang w:val="en-US"/>
        </w:rPr>
        <w:t>suggested</w:t>
      </w:r>
      <w:r w:rsidRPr="00B729B8">
        <w:rPr>
          <w:rFonts w:ascii="Times New Roman" w:hAnsi="Times New Roman" w:cs="Times New Roman"/>
          <w:sz w:val="24"/>
          <w:szCs w:val="24"/>
          <w:lang w:val="en-US"/>
        </w:rPr>
        <w:t xml:space="preserve"> the influence of </w:t>
      </w:r>
      <w:r w:rsidR="0069530F" w:rsidRPr="00B729B8">
        <w:rPr>
          <w:rFonts w:ascii="Times New Roman" w:hAnsi="Times New Roman" w:cs="Times New Roman"/>
          <w:sz w:val="24"/>
          <w:szCs w:val="24"/>
          <w:lang w:val="en-US"/>
        </w:rPr>
        <w:t xml:space="preserve">specific </w:t>
      </w:r>
      <w:r w:rsidRPr="00B729B8">
        <w:rPr>
          <w:rFonts w:ascii="Times New Roman" w:hAnsi="Times New Roman" w:cs="Times New Roman"/>
          <w:sz w:val="24"/>
          <w:szCs w:val="24"/>
          <w:lang w:val="en-US"/>
        </w:rPr>
        <w:t xml:space="preserve">transdiagnostic variables </w:t>
      </w:r>
      <w:r w:rsidR="0069530F" w:rsidRPr="00B729B8">
        <w:rPr>
          <w:rFonts w:ascii="Times New Roman" w:hAnsi="Times New Roman" w:cs="Times New Roman"/>
          <w:sz w:val="24"/>
          <w:szCs w:val="24"/>
          <w:lang w:val="en-US"/>
        </w:rPr>
        <w:t xml:space="preserve">in </w:t>
      </w:r>
      <w:r w:rsidRPr="00B729B8">
        <w:rPr>
          <w:rFonts w:ascii="Times New Roman" w:hAnsi="Times New Roman" w:cs="Times New Roman"/>
          <w:sz w:val="24"/>
          <w:szCs w:val="24"/>
          <w:lang w:val="en-US"/>
        </w:rPr>
        <w:t xml:space="preserve">the co-occurrence of binge drinking and smoking or </w:t>
      </w:r>
      <w:r w:rsidR="006100FB" w:rsidRPr="00B729B8">
        <w:rPr>
          <w:rFonts w:ascii="Times New Roman" w:hAnsi="Times New Roman" w:cs="Times New Roman"/>
          <w:sz w:val="24"/>
          <w:szCs w:val="24"/>
          <w:lang w:val="en-US"/>
        </w:rPr>
        <w:t>e-cig use</w:t>
      </w:r>
      <w:r w:rsidRPr="00B729B8">
        <w:rPr>
          <w:rFonts w:ascii="Times New Roman" w:hAnsi="Times New Roman" w:cs="Times New Roman"/>
          <w:sz w:val="24"/>
          <w:szCs w:val="24"/>
          <w:lang w:val="en-US"/>
        </w:rPr>
        <w:t xml:space="preserve">. Higher levels of lack of premeditation </w:t>
      </w:r>
      <w:r w:rsidR="008E4DB5" w:rsidRPr="00B729B8">
        <w:rPr>
          <w:rFonts w:ascii="Times New Roman" w:hAnsi="Times New Roman" w:cs="Times New Roman"/>
          <w:sz w:val="24"/>
          <w:szCs w:val="24"/>
          <w:lang w:val="en-US"/>
        </w:rPr>
        <w:t xml:space="preserve">have </w:t>
      </w:r>
      <w:r w:rsidRPr="00B729B8">
        <w:rPr>
          <w:rFonts w:ascii="Times New Roman" w:hAnsi="Times New Roman" w:cs="Times New Roman"/>
          <w:sz w:val="24"/>
          <w:szCs w:val="24"/>
          <w:lang w:val="en-US"/>
        </w:rPr>
        <w:t xml:space="preserve">been shown to play a major effect in developmental trajectories of impulsivity </w:t>
      </w:r>
      <w:r w:rsidR="008E4DB5" w:rsidRPr="00B729B8">
        <w:rPr>
          <w:rFonts w:ascii="Times New Roman" w:hAnsi="Times New Roman" w:cs="Times New Roman"/>
          <w:sz w:val="24"/>
          <w:szCs w:val="24"/>
          <w:lang w:val="en-US"/>
        </w:rPr>
        <w:t xml:space="preserve">in relation to </w:t>
      </w:r>
      <w:r w:rsidRPr="00B729B8">
        <w:rPr>
          <w:rFonts w:ascii="Times New Roman" w:hAnsi="Times New Roman" w:cs="Times New Roman"/>
          <w:sz w:val="24"/>
          <w:szCs w:val="24"/>
          <w:lang w:val="en-US"/>
        </w:rPr>
        <w:t>high-risk patterns of substance use</w:t>
      </w:r>
      <w:r w:rsidR="008E4DB5" w:rsidRPr="00B729B8">
        <w:rPr>
          <w:rFonts w:ascii="Times New Roman" w:hAnsi="Times New Roman" w:cs="Times New Roman"/>
          <w:sz w:val="24"/>
          <w:szCs w:val="24"/>
          <w:lang w:val="en-US"/>
        </w:rPr>
        <w:t>, and particularly hazardous drinking</w:t>
      </w:r>
      <w:r w:rsidRPr="00B729B8">
        <w:rPr>
          <w:rFonts w:ascii="Times New Roman" w:hAnsi="Times New Roman" w:cs="Times New Roman"/>
          <w:sz w:val="24"/>
          <w:szCs w:val="24"/>
          <w:lang w:val="en-US"/>
        </w:rPr>
        <w:t xml:space="preserve"> </w:t>
      </w:r>
      <w:r w:rsidR="00DB70A7" w:rsidRPr="00B729B8">
        <w:rPr>
          <w:rFonts w:ascii="Times New Roman" w:hAnsi="Times New Roman" w:cs="Times New Roman"/>
          <w:noProof/>
          <w:sz w:val="24"/>
          <w:szCs w:val="24"/>
          <w:vertAlign w:val="superscript"/>
          <w:lang w:val="en-US"/>
        </w:rPr>
        <w:t>47</w:t>
      </w:r>
      <w:r w:rsidRPr="00B729B8">
        <w:rPr>
          <w:rFonts w:ascii="Times New Roman" w:hAnsi="Times New Roman" w:cs="Times New Roman"/>
          <w:sz w:val="24"/>
          <w:szCs w:val="24"/>
          <w:lang w:val="en-US"/>
        </w:rPr>
        <w:t>.</w:t>
      </w:r>
      <w:r w:rsidR="006100FB" w:rsidRPr="00B729B8">
        <w:rPr>
          <w:rFonts w:ascii="Times New Roman" w:hAnsi="Times New Roman" w:cs="Times New Roman"/>
          <w:sz w:val="24"/>
          <w:szCs w:val="24"/>
          <w:lang w:val="en-US"/>
        </w:rPr>
        <w:t xml:space="preserve"> Mental health conditions are also related to ever e-cig use</w:t>
      </w:r>
      <w:r w:rsidR="00A174A6" w:rsidRPr="00B729B8">
        <w:rPr>
          <w:rFonts w:ascii="Times New Roman" w:hAnsi="Times New Roman" w:cs="Times New Roman"/>
          <w:sz w:val="24"/>
          <w:szCs w:val="24"/>
          <w:lang w:val="en-US"/>
        </w:rPr>
        <w:t>, which was also associated to alcohol use and binge drinking</w:t>
      </w:r>
      <w:r w:rsidR="0025624D" w:rsidRPr="00B729B8">
        <w:rPr>
          <w:rFonts w:ascii="Times New Roman" w:hAnsi="Times New Roman" w:cs="Times New Roman"/>
          <w:sz w:val="24"/>
          <w:szCs w:val="24"/>
          <w:lang w:val="en-US"/>
        </w:rPr>
        <w:t xml:space="preserve"> </w:t>
      </w:r>
      <w:r w:rsidR="0092133E" w:rsidRPr="00B729B8">
        <w:rPr>
          <w:rFonts w:ascii="Times New Roman" w:hAnsi="Times New Roman" w:cs="Times New Roman"/>
          <w:noProof/>
          <w:sz w:val="24"/>
          <w:szCs w:val="24"/>
          <w:vertAlign w:val="superscript"/>
          <w:lang w:val="en-US"/>
        </w:rPr>
        <w:t>48</w:t>
      </w:r>
      <w:r w:rsidRPr="00B729B8">
        <w:rPr>
          <w:rFonts w:ascii="Times New Roman" w:hAnsi="Times New Roman" w:cs="Times New Roman"/>
          <w:sz w:val="24"/>
          <w:szCs w:val="24"/>
          <w:lang w:val="en-US"/>
        </w:rPr>
        <w:t>.</w:t>
      </w:r>
      <w:r w:rsidR="00FC0DEF" w:rsidRPr="00B729B8">
        <w:rPr>
          <w:rFonts w:ascii="Times New Roman" w:hAnsi="Times New Roman" w:cs="Times New Roman"/>
          <w:sz w:val="24"/>
          <w:szCs w:val="24"/>
          <w:lang w:val="en-US"/>
        </w:rPr>
        <w:t xml:space="preserve"> </w:t>
      </w:r>
      <w:r w:rsidR="00A351B4" w:rsidRPr="00B729B8">
        <w:rPr>
          <w:rFonts w:ascii="Times New Roman" w:hAnsi="Times New Roman" w:cs="Times New Roman"/>
          <w:sz w:val="24"/>
          <w:szCs w:val="24"/>
          <w:lang w:val="en-US"/>
        </w:rPr>
        <w:t>F</w:t>
      </w:r>
      <w:r w:rsidR="008C5BC9" w:rsidRPr="00B729B8">
        <w:rPr>
          <w:rFonts w:ascii="Times New Roman" w:hAnsi="Times New Roman" w:cs="Times New Roman"/>
          <w:sz w:val="24"/>
          <w:szCs w:val="24"/>
          <w:lang w:val="en-US"/>
        </w:rPr>
        <w:t xml:space="preserve">uture studies </w:t>
      </w:r>
      <w:r w:rsidR="00A351B4" w:rsidRPr="00B729B8">
        <w:rPr>
          <w:rFonts w:ascii="Times New Roman" w:hAnsi="Times New Roman" w:cs="Times New Roman"/>
          <w:sz w:val="24"/>
          <w:szCs w:val="24"/>
          <w:lang w:val="en-US"/>
        </w:rPr>
        <w:t xml:space="preserve">are warranted </w:t>
      </w:r>
      <w:r w:rsidR="008C5BC9" w:rsidRPr="00B729B8">
        <w:rPr>
          <w:rFonts w:ascii="Times New Roman" w:hAnsi="Times New Roman" w:cs="Times New Roman"/>
          <w:sz w:val="24"/>
          <w:szCs w:val="24"/>
          <w:lang w:val="en-US"/>
        </w:rPr>
        <w:t xml:space="preserve">to test potential covariates associated to specific patterns of change based on </w:t>
      </w:r>
      <w:r w:rsidR="00DE1E1E" w:rsidRPr="00B729B8">
        <w:rPr>
          <w:rFonts w:ascii="Times New Roman" w:hAnsi="Times New Roman" w:cs="Times New Roman"/>
          <w:sz w:val="24"/>
          <w:szCs w:val="24"/>
          <w:lang w:val="en-US"/>
        </w:rPr>
        <w:t>aforementioned factors</w:t>
      </w:r>
      <w:r w:rsidR="008C5BC9" w:rsidRPr="00B729B8">
        <w:rPr>
          <w:rFonts w:ascii="Times New Roman" w:hAnsi="Times New Roman" w:cs="Times New Roman"/>
          <w:sz w:val="24"/>
          <w:szCs w:val="24"/>
          <w:lang w:val="en-US"/>
        </w:rPr>
        <w:t xml:space="preserve">. Also, </w:t>
      </w:r>
      <w:r w:rsidR="00DE1E1E" w:rsidRPr="00B729B8">
        <w:rPr>
          <w:rFonts w:ascii="Times New Roman" w:hAnsi="Times New Roman" w:cs="Times New Roman"/>
          <w:sz w:val="24"/>
          <w:szCs w:val="24"/>
          <w:lang w:val="en-US"/>
        </w:rPr>
        <w:t xml:space="preserve">further investigation is warranted </w:t>
      </w:r>
      <w:r w:rsidR="008C5BC9" w:rsidRPr="00B729B8">
        <w:rPr>
          <w:rFonts w:ascii="Times New Roman" w:hAnsi="Times New Roman" w:cs="Times New Roman"/>
          <w:sz w:val="24"/>
          <w:szCs w:val="24"/>
          <w:lang w:val="en-US"/>
        </w:rPr>
        <w:t xml:space="preserve">on e-cig characteristics </w:t>
      </w:r>
      <w:r w:rsidR="00DE1E1E" w:rsidRPr="00B729B8">
        <w:rPr>
          <w:rFonts w:ascii="Times New Roman" w:hAnsi="Times New Roman" w:cs="Times New Roman"/>
          <w:sz w:val="24"/>
          <w:szCs w:val="24"/>
          <w:lang w:val="en-US"/>
        </w:rPr>
        <w:t xml:space="preserve">associations with persistence </w:t>
      </w:r>
      <w:r w:rsidR="008C5BC9" w:rsidRPr="00B729B8">
        <w:rPr>
          <w:rFonts w:ascii="Times New Roman" w:hAnsi="Times New Roman" w:cs="Times New Roman"/>
          <w:sz w:val="24"/>
          <w:szCs w:val="24"/>
          <w:lang w:val="en-US"/>
        </w:rPr>
        <w:t>and the effect of environmental preventive interventions.</w:t>
      </w:r>
    </w:p>
    <w:p w14:paraId="2A060751" w14:textId="13FFBB7B" w:rsidR="009E5839" w:rsidRPr="00B729B8" w:rsidRDefault="009E5839" w:rsidP="0004163C">
      <w:pPr>
        <w:spacing w:line="480" w:lineRule="auto"/>
        <w:rPr>
          <w:rFonts w:ascii="Times New Roman" w:hAnsi="Times New Roman" w:cs="Times New Roman"/>
          <w:sz w:val="24"/>
          <w:szCs w:val="24"/>
          <w:lang w:val="en-US"/>
        </w:rPr>
      </w:pPr>
      <w:r w:rsidRPr="00B729B8">
        <w:rPr>
          <w:rFonts w:ascii="Times New Roman" w:hAnsi="Times New Roman" w:cs="Times New Roman"/>
          <w:sz w:val="24"/>
          <w:szCs w:val="24"/>
          <w:lang w:val="en-US"/>
        </w:rPr>
        <w:t xml:space="preserve"> </w:t>
      </w:r>
      <w:r w:rsidRPr="00B729B8">
        <w:rPr>
          <w:rFonts w:ascii="Times New Roman" w:hAnsi="Times New Roman" w:cs="Times New Roman"/>
          <w:sz w:val="24"/>
          <w:szCs w:val="24"/>
          <w:lang w:val="en-US"/>
        </w:rPr>
        <w:tab/>
        <w:t>This study has a number of limitations that should be considered when interpreting results. Th</w:t>
      </w:r>
      <w:r w:rsidR="00735BDA" w:rsidRPr="00B729B8">
        <w:rPr>
          <w:rFonts w:ascii="Times New Roman" w:hAnsi="Times New Roman" w:cs="Times New Roman"/>
          <w:sz w:val="24"/>
          <w:szCs w:val="24"/>
          <w:lang w:val="en-US"/>
        </w:rPr>
        <w:t>e</w:t>
      </w:r>
      <w:r w:rsidRPr="00B729B8">
        <w:rPr>
          <w:rFonts w:ascii="Times New Roman" w:hAnsi="Times New Roman" w:cs="Times New Roman"/>
          <w:sz w:val="24"/>
          <w:szCs w:val="24"/>
          <w:lang w:val="en-US"/>
        </w:rPr>
        <w:t>s</w:t>
      </w:r>
      <w:r w:rsidR="00735BDA" w:rsidRPr="00B729B8">
        <w:rPr>
          <w:rFonts w:ascii="Times New Roman" w:hAnsi="Times New Roman" w:cs="Times New Roman"/>
          <w:sz w:val="24"/>
          <w:szCs w:val="24"/>
          <w:lang w:val="en-US"/>
        </w:rPr>
        <w:t>e</w:t>
      </w:r>
      <w:r w:rsidRPr="00B729B8">
        <w:rPr>
          <w:rFonts w:ascii="Times New Roman" w:hAnsi="Times New Roman" w:cs="Times New Roman"/>
          <w:sz w:val="24"/>
          <w:szCs w:val="24"/>
          <w:lang w:val="en-US"/>
        </w:rPr>
        <w:t xml:space="preserve"> samples were </w:t>
      </w:r>
      <w:r w:rsidRPr="00B729B8">
        <w:rPr>
          <w:rFonts w:ascii="Times New Roman" w:hAnsi="Times New Roman" w:cs="Times New Roman"/>
          <w:bCs/>
          <w:iCs/>
          <w:sz w:val="24"/>
          <w:szCs w:val="24"/>
          <w:lang w:val="en-US"/>
        </w:rPr>
        <w:t>young adult binge drinkers and, therefore, the results might not be generalizable either to adult binge drinkers or to the general population. Secondly, latent statuses were explored based only on combustible and e-cigarettes, which may have prevented the identification of other potential statuses including other tobacco-related products. Nonetheless, the aim of this research focused on the relationship between cigarettes and e-</w:t>
      </w:r>
      <w:r w:rsidRPr="00B729B8">
        <w:rPr>
          <w:rFonts w:ascii="Times New Roman" w:hAnsi="Times New Roman" w:cs="Times New Roman"/>
          <w:bCs/>
          <w:sz w:val="24"/>
          <w:szCs w:val="24"/>
          <w:lang w:val="en-US"/>
        </w:rPr>
        <w:t>cigarettes</w:t>
      </w:r>
      <w:r w:rsidRPr="00B729B8">
        <w:rPr>
          <w:rFonts w:ascii="Times New Roman" w:hAnsi="Times New Roman" w:cs="Times New Roman"/>
          <w:bCs/>
          <w:iCs/>
          <w:sz w:val="24"/>
          <w:szCs w:val="24"/>
          <w:lang w:val="en-US"/>
        </w:rPr>
        <w:t xml:space="preserve"> irrespective of the potential use of other tobacco products. In addition, we consider as “dual users” participants reporting at least past month use of both products, independently of their frequency of use. Thus, participants within this class can vary c</w:t>
      </w:r>
      <w:r w:rsidR="00371C53" w:rsidRPr="00B729B8">
        <w:rPr>
          <w:rFonts w:ascii="Times New Roman" w:hAnsi="Times New Roman" w:cs="Times New Roman"/>
          <w:bCs/>
          <w:iCs/>
          <w:sz w:val="24"/>
          <w:szCs w:val="24"/>
          <w:lang w:val="en-US"/>
        </w:rPr>
        <w:t>onsiderably</w:t>
      </w:r>
      <w:r w:rsidRPr="00B729B8">
        <w:rPr>
          <w:rFonts w:ascii="Times New Roman" w:hAnsi="Times New Roman" w:cs="Times New Roman"/>
          <w:bCs/>
          <w:iCs/>
          <w:sz w:val="24"/>
          <w:szCs w:val="24"/>
          <w:lang w:val="en-US"/>
        </w:rPr>
        <w:t>, which may affect transitional pathways. Missing participants differed slightly from those retained. Lack of data on nicotine levels in e-</w:t>
      </w:r>
      <w:r w:rsidRPr="00B729B8">
        <w:rPr>
          <w:rFonts w:ascii="Times New Roman" w:hAnsi="Times New Roman" w:cs="Times New Roman"/>
          <w:bCs/>
          <w:sz w:val="24"/>
          <w:szCs w:val="24"/>
          <w:lang w:val="en-US"/>
        </w:rPr>
        <w:t>cigarettes</w:t>
      </w:r>
      <w:r w:rsidRPr="00B729B8">
        <w:rPr>
          <w:rFonts w:ascii="Times New Roman" w:hAnsi="Times New Roman" w:cs="Times New Roman"/>
          <w:bCs/>
          <w:iCs/>
          <w:sz w:val="24"/>
          <w:szCs w:val="24"/>
          <w:lang w:val="en-US"/>
        </w:rPr>
        <w:t xml:space="preserve"> precluded furthering examining characteristics of e-cig users more precisely. </w:t>
      </w:r>
      <w:r w:rsidR="0092133E" w:rsidRPr="00B729B8">
        <w:rPr>
          <w:rFonts w:ascii="Times New Roman" w:hAnsi="Times New Roman" w:cs="Times New Roman"/>
          <w:bCs/>
          <w:iCs/>
          <w:sz w:val="24"/>
          <w:szCs w:val="24"/>
          <w:lang w:val="en-US"/>
        </w:rPr>
        <w:t xml:space="preserve">Also, </w:t>
      </w:r>
      <w:r w:rsidR="00665B02" w:rsidRPr="00B729B8">
        <w:rPr>
          <w:rFonts w:ascii="Times New Roman" w:hAnsi="Times New Roman" w:cs="Times New Roman"/>
          <w:bCs/>
          <w:iCs/>
          <w:sz w:val="24"/>
          <w:szCs w:val="24"/>
          <w:lang w:val="en-US"/>
        </w:rPr>
        <w:t xml:space="preserve">the final assessment window overlapped with </w:t>
      </w:r>
      <w:r w:rsidR="00F27FC7" w:rsidRPr="00B729B8">
        <w:rPr>
          <w:rFonts w:ascii="Times New Roman" w:hAnsi="Times New Roman" w:cs="Times New Roman"/>
          <w:bCs/>
          <w:iCs/>
          <w:sz w:val="24"/>
          <w:szCs w:val="24"/>
          <w:lang w:val="en-US"/>
        </w:rPr>
        <w:t xml:space="preserve">the COVID-19 pandemic in a subset of participants, but </w:t>
      </w:r>
      <w:r w:rsidR="00155D7B" w:rsidRPr="00B729B8">
        <w:rPr>
          <w:rFonts w:ascii="Times New Roman" w:hAnsi="Times New Roman" w:cs="Times New Roman"/>
          <w:bCs/>
          <w:iCs/>
          <w:sz w:val="24"/>
          <w:szCs w:val="24"/>
          <w:lang w:val="en-US"/>
        </w:rPr>
        <w:t>any possible role of the pandemic could not be meaningfully undertaken</w:t>
      </w:r>
      <w:r w:rsidR="0092133E" w:rsidRPr="00B729B8">
        <w:rPr>
          <w:rFonts w:ascii="Times New Roman" w:hAnsi="Times New Roman" w:cs="Times New Roman"/>
          <w:bCs/>
          <w:iCs/>
          <w:sz w:val="24"/>
          <w:szCs w:val="24"/>
          <w:lang w:val="en-US"/>
        </w:rPr>
        <w:t xml:space="preserve">. </w:t>
      </w:r>
      <w:r w:rsidRPr="00B729B8">
        <w:rPr>
          <w:rFonts w:ascii="Times New Roman" w:hAnsi="Times New Roman" w:cs="Times New Roman"/>
          <w:bCs/>
          <w:iCs/>
          <w:sz w:val="24"/>
          <w:szCs w:val="24"/>
          <w:lang w:val="en-US"/>
        </w:rPr>
        <w:t xml:space="preserve">Finally, smoking status was self-reported and severity of addiction was examined via the FTCD, which </w:t>
      </w:r>
      <w:r w:rsidR="00F24F54" w:rsidRPr="00B729B8">
        <w:rPr>
          <w:rFonts w:ascii="Times New Roman" w:hAnsi="Times New Roman" w:cs="Times New Roman"/>
          <w:bCs/>
          <w:iCs/>
          <w:sz w:val="24"/>
          <w:szCs w:val="24"/>
          <w:lang w:val="en-US"/>
        </w:rPr>
        <w:t xml:space="preserve">is psychometrically suboptimal </w:t>
      </w:r>
      <w:r w:rsidRPr="00B729B8">
        <w:rPr>
          <w:rFonts w:ascii="Times New Roman" w:hAnsi="Times New Roman" w:cs="Times New Roman"/>
          <w:bCs/>
          <w:iCs/>
          <w:sz w:val="24"/>
          <w:szCs w:val="24"/>
          <w:lang w:val="en-US"/>
        </w:rPr>
        <w:t xml:space="preserve">in </w:t>
      </w:r>
      <w:r w:rsidR="00F24F54" w:rsidRPr="00B729B8">
        <w:rPr>
          <w:rFonts w:ascii="Times New Roman" w:hAnsi="Times New Roman" w:cs="Times New Roman"/>
          <w:bCs/>
          <w:iCs/>
          <w:sz w:val="24"/>
          <w:szCs w:val="24"/>
          <w:lang w:val="en-US"/>
        </w:rPr>
        <w:t>light</w:t>
      </w:r>
      <w:r w:rsidR="00096F7F" w:rsidRPr="00B729B8">
        <w:rPr>
          <w:rFonts w:ascii="Times New Roman" w:hAnsi="Times New Roman" w:cs="Times New Roman"/>
          <w:bCs/>
          <w:iCs/>
          <w:sz w:val="24"/>
          <w:szCs w:val="24"/>
          <w:lang w:val="en-US"/>
        </w:rPr>
        <w:t>er</w:t>
      </w:r>
      <w:r w:rsidR="00F24F54" w:rsidRPr="00B729B8">
        <w:rPr>
          <w:rFonts w:ascii="Times New Roman" w:hAnsi="Times New Roman" w:cs="Times New Roman"/>
          <w:bCs/>
          <w:iCs/>
          <w:sz w:val="24"/>
          <w:szCs w:val="24"/>
          <w:lang w:val="en-US"/>
        </w:rPr>
        <w:t xml:space="preserve"> </w:t>
      </w:r>
      <w:r w:rsidRPr="00B729B8">
        <w:rPr>
          <w:rFonts w:ascii="Times New Roman" w:hAnsi="Times New Roman" w:cs="Times New Roman"/>
          <w:bCs/>
          <w:iCs/>
          <w:sz w:val="24"/>
          <w:szCs w:val="24"/>
          <w:lang w:val="en-US"/>
        </w:rPr>
        <w:t xml:space="preserve">smokers </w:t>
      </w:r>
      <w:r w:rsidR="0092133E" w:rsidRPr="00B729B8">
        <w:rPr>
          <w:rFonts w:ascii="Times New Roman" w:hAnsi="Times New Roman" w:cs="Times New Roman"/>
          <w:bCs/>
          <w:iCs/>
          <w:noProof/>
          <w:sz w:val="24"/>
          <w:szCs w:val="24"/>
          <w:vertAlign w:val="superscript"/>
          <w:lang w:val="en-US"/>
        </w:rPr>
        <w:t>49</w:t>
      </w:r>
      <w:r w:rsidRPr="00B729B8">
        <w:rPr>
          <w:rFonts w:ascii="Times New Roman" w:hAnsi="Times New Roman" w:cs="Times New Roman"/>
          <w:bCs/>
          <w:iCs/>
          <w:sz w:val="24"/>
          <w:szCs w:val="24"/>
          <w:lang w:val="en-US"/>
        </w:rPr>
        <w:t xml:space="preserve">. </w:t>
      </w:r>
    </w:p>
    <w:p w14:paraId="44536E74" w14:textId="7A8E52A6" w:rsidR="009E5839" w:rsidRPr="00B729B8" w:rsidRDefault="009E5839" w:rsidP="0004163C">
      <w:pPr>
        <w:spacing w:line="480" w:lineRule="auto"/>
        <w:rPr>
          <w:rFonts w:ascii="Times New Roman" w:hAnsi="Times New Roman" w:cs="Times New Roman"/>
          <w:sz w:val="24"/>
          <w:szCs w:val="24"/>
          <w:lang w:val="en-US"/>
        </w:rPr>
      </w:pPr>
      <w:r w:rsidRPr="00B729B8">
        <w:rPr>
          <w:rFonts w:ascii="Times New Roman" w:hAnsi="Times New Roman" w:cs="Times New Roman"/>
          <w:sz w:val="24"/>
          <w:szCs w:val="24"/>
          <w:lang w:val="en-US"/>
        </w:rPr>
        <w:tab/>
        <w:t xml:space="preserve">Acknowledging these considerations, the present study </w:t>
      </w:r>
      <w:r w:rsidR="00096F7F" w:rsidRPr="00B729B8">
        <w:rPr>
          <w:rFonts w:ascii="Times New Roman" w:hAnsi="Times New Roman" w:cs="Times New Roman"/>
          <w:sz w:val="24"/>
          <w:szCs w:val="24"/>
          <w:lang w:val="en-US"/>
        </w:rPr>
        <w:t xml:space="preserve">nonetheless </w:t>
      </w:r>
      <w:r w:rsidRPr="00B729B8">
        <w:rPr>
          <w:rFonts w:ascii="Times New Roman" w:hAnsi="Times New Roman" w:cs="Times New Roman"/>
          <w:sz w:val="24"/>
          <w:szCs w:val="24"/>
          <w:lang w:val="en-US"/>
        </w:rPr>
        <w:t xml:space="preserve">provides novel </w:t>
      </w:r>
      <w:r w:rsidR="00735BDA" w:rsidRPr="00B729B8">
        <w:rPr>
          <w:rFonts w:ascii="Times New Roman" w:hAnsi="Times New Roman" w:cs="Times New Roman"/>
          <w:sz w:val="24"/>
          <w:szCs w:val="24"/>
          <w:lang w:val="en-US"/>
        </w:rPr>
        <w:t xml:space="preserve">and informative </w:t>
      </w:r>
      <w:r w:rsidRPr="00B729B8">
        <w:rPr>
          <w:rFonts w:ascii="Times New Roman" w:hAnsi="Times New Roman" w:cs="Times New Roman"/>
          <w:sz w:val="24"/>
          <w:szCs w:val="24"/>
          <w:lang w:val="en-US"/>
        </w:rPr>
        <w:t>perspectives on patterns of cigarettes smoking and e-</w:t>
      </w:r>
      <w:r w:rsidRPr="00B729B8">
        <w:rPr>
          <w:rFonts w:ascii="Times New Roman" w:hAnsi="Times New Roman" w:cs="Times New Roman"/>
          <w:bCs/>
          <w:sz w:val="24"/>
          <w:szCs w:val="24"/>
          <w:lang w:val="en-US"/>
        </w:rPr>
        <w:t>cigarettes</w:t>
      </w:r>
      <w:r w:rsidRPr="00B729B8">
        <w:rPr>
          <w:rFonts w:ascii="Times New Roman" w:hAnsi="Times New Roman" w:cs="Times New Roman"/>
          <w:sz w:val="24"/>
          <w:szCs w:val="24"/>
          <w:lang w:val="en-US"/>
        </w:rPr>
        <w:t xml:space="preserve"> use in high-risk young adults. Considering the active debate on whether dual use is a natural mid-state between combustible use and non-use or a risk pattern for persistent use, the present results support the former </w:t>
      </w:r>
      <w:r w:rsidR="00735BDA" w:rsidRPr="00B729B8">
        <w:rPr>
          <w:rFonts w:ascii="Times New Roman" w:hAnsi="Times New Roman" w:cs="Times New Roman"/>
          <w:sz w:val="24"/>
          <w:szCs w:val="24"/>
          <w:lang w:val="en-US"/>
        </w:rPr>
        <w:t xml:space="preserve">trajectory, </w:t>
      </w:r>
      <w:r w:rsidRPr="00B729B8">
        <w:rPr>
          <w:rFonts w:ascii="Times New Roman" w:hAnsi="Times New Roman" w:cs="Times New Roman"/>
          <w:sz w:val="24"/>
          <w:szCs w:val="24"/>
          <w:lang w:val="en-US"/>
        </w:rPr>
        <w:t xml:space="preserve">as dual-users generally followed the pathway </w:t>
      </w:r>
      <w:r w:rsidR="003E72FC" w:rsidRPr="00B729B8">
        <w:rPr>
          <w:rFonts w:ascii="Times New Roman" w:hAnsi="Times New Roman" w:cs="Times New Roman"/>
          <w:sz w:val="24"/>
          <w:szCs w:val="24"/>
          <w:lang w:val="en-US"/>
        </w:rPr>
        <w:t xml:space="preserve">away </w:t>
      </w:r>
      <w:r w:rsidRPr="00B729B8">
        <w:rPr>
          <w:rFonts w:ascii="Times New Roman" w:hAnsi="Times New Roman" w:cs="Times New Roman"/>
          <w:sz w:val="24"/>
          <w:szCs w:val="24"/>
          <w:lang w:val="en-US"/>
        </w:rPr>
        <w:t>from dual use to exclusive e-</w:t>
      </w:r>
      <w:r w:rsidRPr="00B729B8">
        <w:rPr>
          <w:rFonts w:ascii="Times New Roman" w:hAnsi="Times New Roman" w:cs="Times New Roman"/>
          <w:bCs/>
          <w:sz w:val="24"/>
          <w:szCs w:val="24"/>
          <w:lang w:val="en-US"/>
        </w:rPr>
        <w:t>cigarettes</w:t>
      </w:r>
      <w:r w:rsidRPr="00B729B8">
        <w:rPr>
          <w:rFonts w:ascii="Times New Roman" w:hAnsi="Times New Roman" w:cs="Times New Roman"/>
          <w:sz w:val="24"/>
          <w:szCs w:val="24"/>
          <w:lang w:val="en-US"/>
        </w:rPr>
        <w:t xml:space="preserve"> use and from there to non-use. Nonetheless, this was not the case for all users and further characterization of patterns of combustible smoking and e-</w:t>
      </w:r>
      <w:r w:rsidRPr="00B729B8">
        <w:rPr>
          <w:rFonts w:ascii="Times New Roman" w:hAnsi="Times New Roman" w:cs="Times New Roman"/>
          <w:bCs/>
          <w:sz w:val="24"/>
          <w:szCs w:val="24"/>
          <w:lang w:val="en-US"/>
        </w:rPr>
        <w:t>cigarettes</w:t>
      </w:r>
      <w:r w:rsidRPr="00B729B8">
        <w:rPr>
          <w:rFonts w:ascii="Times New Roman" w:hAnsi="Times New Roman" w:cs="Times New Roman"/>
          <w:sz w:val="24"/>
          <w:szCs w:val="24"/>
          <w:lang w:val="en-US"/>
        </w:rPr>
        <w:t xml:space="preserve"> use over time remain of high priority.</w:t>
      </w:r>
    </w:p>
    <w:p w14:paraId="4FC126ED" w14:textId="77777777" w:rsidR="009E5839" w:rsidRPr="00B729B8" w:rsidRDefault="009E5839" w:rsidP="0004163C">
      <w:pPr>
        <w:rPr>
          <w:rFonts w:ascii="Times New Roman" w:hAnsi="Times New Roman" w:cs="Times New Roman"/>
          <w:b/>
          <w:sz w:val="24"/>
          <w:szCs w:val="24"/>
          <w:lang w:val="en-US"/>
        </w:rPr>
        <w:sectPr w:rsidR="009E5839" w:rsidRPr="00B729B8">
          <w:headerReference w:type="default" r:id="rId8"/>
          <w:pgSz w:w="11906" w:h="16838"/>
          <w:pgMar w:top="1417" w:right="1701" w:bottom="1417" w:left="1701" w:header="708" w:footer="708" w:gutter="0"/>
          <w:cols w:space="708"/>
          <w:docGrid w:linePitch="360"/>
        </w:sectPr>
      </w:pPr>
    </w:p>
    <w:p w14:paraId="3FFF3EE5" w14:textId="77777777" w:rsidR="009E5839" w:rsidRPr="00B729B8" w:rsidRDefault="009E5839" w:rsidP="0004163C">
      <w:pPr>
        <w:rPr>
          <w:rFonts w:ascii="Times New Roman" w:hAnsi="Times New Roman" w:cs="Times New Roman"/>
          <w:b/>
          <w:sz w:val="24"/>
          <w:szCs w:val="24"/>
          <w:lang w:val="en-US"/>
        </w:rPr>
      </w:pPr>
      <w:r w:rsidRPr="00B729B8">
        <w:rPr>
          <w:rFonts w:ascii="Times New Roman" w:hAnsi="Times New Roman" w:cs="Times New Roman"/>
          <w:b/>
          <w:sz w:val="24"/>
          <w:szCs w:val="24"/>
          <w:lang w:val="en-US"/>
        </w:rPr>
        <w:t>Funding</w:t>
      </w:r>
    </w:p>
    <w:p w14:paraId="3E1CA724" w14:textId="54C82CE2" w:rsidR="009E5839" w:rsidRPr="00B729B8" w:rsidRDefault="009E5839" w:rsidP="0004163C">
      <w:pPr>
        <w:spacing w:line="480" w:lineRule="auto"/>
        <w:rPr>
          <w:rFonts w:ascii="Times New Roman" w:hAnsi="Times New Roman" w:cs="Times New Roman"/>
          <w:color w:val="000000" w:themeColor="text1"/>
          <w:sz w:val="24"/>
          <w:szCs w:val="24"/>
          <w:lang w:val="en-US"/>
        </w:rPr>
      </w:pPr>
      <w:r w:rsidRPr="00B729B8">
        <w:rPr>
          <w:rFonts w:ascii="Times New Roman" w:hAnsi="Times New Roman" w:cs="Times New Roman"/>
          <w:color w:val="000000" w:themeColor="text1"/>
          <w:sz w:val="24"/>
          <w:szCs w:val="24"/>
          <w:lang w:val="en-US"/>
        </w:rPr>
        <w:t>This study was supported by the National Institute on Alcohol Abuse and Alcoholism (R01AA024930; JGM &amp; JM)</w:t>
      </w:r>
      <w:r w:rsidR="00735BDA" w:rsidRPr="00B729B8">
        <w:rPr>
          <w:rFonts w:ascii="Times New Roman" w:hAnsi="Times New Roman" w:cs="Times New Roman"/>
          <w:color w:val="000000" w:themeColor="text1"/>
          <w:sz w:val="24"/>
          <w:szCs w:val="24"/>
          <w:lang w:val="en-US"/>
        </w:rPr>
        <w:t xml:space="preserve">, the </w:t>
      </w:r>
      <w:r w:rsidRPr="00B729B8">
        <w:rPr>
          <w:rFonts w:ascii="Times New Roman" w:hAnsi="Times New Roman" w:cs="Times New Roman"/>
          <w:color w:val="000000" w:themeColor="text1"/>
          <w:sz w:val="24"/>
          <w:szCs w:val="24"/>
          <w:lang w:val="en-US"/>
        </w:rPr>
        <w:t>Canadian Institutes of Health Research (#365297; JM)</w:t>
      </w:r>
      <w:r w:rsidR="00735BDA" w:rsidRPr="00B729B8">
        <w:rPr>
          <w:rFonts w:ascii="Times New Roman" w:hAnsi="Times New Roman" w:cs="Times New Roman"/>
          <w:color w:val="000000" w:themeColor="text1"/>
          <w:sz w:val="24"/>
          <w:szCs w:val="24"/>
          <w:lang w:val="en-US"/>
        </w:rPr>
        <w:t>, the Peter Boris Chair in Addictions Research and the Canada Research Chair in Translational Addiction Research</w:t>
      </w:r>
      <w:r w:rsidRPr="00B729B8">
        <w:rPr>
          <w:rFonts w:ascii="Times New Roman" w:hAnsi="Times New Roman" w:cs="Times New Roman"/>
          <w:color w:val="000000" w:themeColor="text1"/>
          <w:sz w:val="24"/>
          <w:szCs w:val="24"/>
          <w:lang w:val="en-US"/>
        </w:rPr>
        <w:t>.</w:t>
      </w:r>
    </w:p>
    <w:p w14:paraId="36F73324" w14:textId="77777777" w:rsidR="00735BDA" w:rsidRPr="00B729B8" w:rsidRDefault="00735BDA" w:rsidP="0004163C">
      <w:pPr>
        <w:spacing w:line="480" w:lineRule="auto"/>
        <w:rPr>
          <w:rFonts w:ascii="Times New Roman" w:hAnsi="Times New Roman" w:cs="Times New Roman"/>
          <w:color w:val="000000" w:themeColor="text1"/>
          <w:sz w:val="24"/>
          <w:szCs w:val="24"/>
          <w:lang w:val="en-US"/>
        </w:rPr>
      </w:pPr>
    </w:p>
    <w:p w14:paraId="6C44E2A6" w14:textId="77777777" w:rsidR="009E5839" w:rsidRPr="00B729B8" w:rsidRDefault="009E5839" w:rsidP="0004163C">
      <w:pPr>
        <w:spacing w:line="360" w:lineRule="auto"/>
        <w:rPr>
          <w:rFonts w:ascii="Times New Roman" w:hAnsi="Times New Roman" w:cs="Times New Roman"/>
          <w:b/>
          <w:sz w:val="24"/>
          <w:szCs w:val="24"/>
          <w:lang w:val="en-US"/>
        </w:rPr>
      </w:pPr>
      <w:r w:rsidRPr="00B729B8">
        <w:rPr>
          <w:rFonts w:ascii="Times New Roman" w:hAnsi="Times New Roman" w:cs="Times New Roman"/>
          <w:b/>
          <w:sz w:val="24"/>
          <w:szCs w:val="24"/>
          <w:lang w:val="en-US"/>
        </w:rPr>
        <w:t>Declaration of competing interest</w:t>
      </w:r>
    </w:p>
    <w:p w14:paraId="29B7DA97" w14:textId="77777777" w:rsidR="009E5839" w:rsidRPr="00B729B8" w:rsidRDefault="009E5839" w:rsidP="0004163C">
      <w:pPr>
        <w:spacing w:line="360" w:lineRule="auto"/>
        <w:rPr>
          <w:rFonts w:ascii="Times New Roman" w:hAnsi="Times New Roman" w:cs="Times New Roman"/>
          <w:color w:val="000000" w:themeColor="text1"/>
          <w:sz w:val="24"/>
          <w:szCs w:val="24"/>
          <w:lang w:val="en-US"/>
        </w:rPr>
      </w:pPr>
      <w:r w:rsidRPr="00B729B8">
        <w:rPr>
          <w:rFonts w:ascii="Times New Roman" w:hAnsi="Times New Roman" w:cs="Times New Roman"/>
          <w:color w:val="000000" w:themeColor="text1"/>
          <w:sz w:val="24"/>
          <w:szCs w:val="24"/>
          <w:lang w:val="en-US"/>
        </w:rPr>
        <w:t>JM is a principal in a private company, BEAM Diagnostics, Inc., but no commercial products fall within the scope of the study. No other authors have declarations.</w:t>
      </w:r>
    </w:p>
    <w:p w14:paraId="5C60BE65" w14:textId="77777777" w:rsidR="00735BDA" w:rsidRPr="00B729B8" w:rsidRDefault="00735BDA" w:rsidP="0004163C">
      <w:pPr>
        <w:spacing w:line="480" w:lineRule="auto"/>
        <w:rPr>
          <w:rFonts w:ascii="Times New Roman" w:hAnsi="Times New Roman" w:cs="Times New Roman"/>
          <w:b/>
          <w:sz w:val="24"/>
          <w:szCs w:val="24"/>
          <w:lang w:val="en-US"/>
        </w:rPr>
      </w:pPr>
    </w:p>
    <w:p w14:paraId="0D499612" w14:textId="4471CA0A" w:rsidR="009E5839" w:rsidRPr="00B729B8" w:rsidRDefault="009E5839" w:rsidP="0004163C">
      <w:pPr>
        <w:spacing w:line="480" w:lineRule="auto"/>
        <w:rPr>
          <w:rFonts w:ascii="Times New Roman" w:hAnsi="Times New Roman" w:cs="Times New Roman"/>
          <w:b/>
          <w:sz w:val="24"/>
          <w:szCs w:val="24"/>
          <w:lang w:val="en-US"/>
        </w:rPr>
      </w:pPr>
      <w:r w:rsidRPr="00B729B8">
        <w:rPr>
          <w:rFonts w:ascii="Times New Roman" w:hAnsi="Times New Roman" w:cs="Times New Roman"/>
          <w:b/>
          <w:sz w:val="24"/>
          <w:szCs w:val="24"/>
          <w:lang w:val="en-US"/>
        </w:rPr>
        <w:t>Acknowledgements</w:t>
      </w:r>
    </w:p>
    <w:p w14:paraId="5B0EE164" w14:textId="142B2C4A" w:rsidR="009E5839" w:rsidRPr="00B729B8" w:rsidRDefault="006D469F" w:rsidP="0004163C">
      <w:pPr>
        <w:spacing w:line="480" w:lineRule="auto"/>
        <w:rPr>
          <w:rFonts w:ascii="Times New Roman" w:hAnsi="Times New Roman" w:cs="Times New Roman"/>
          <w:sz w:val="24"/>
          <w:szCs w:val="24"/>
          <w:lang w:val="en-US"/>
        </w:rPr>
      </w:pPr>
      <w:r w:rsidRPr="00B729B8">
        <w:rPr>
          <w:rFonts w:ascii="Times New Roman" w:hAnsi="Times New Roman" w:cs="Times New Roman"/>
          <w:sz w:val="24"/>
          <w:szCs w:val="24"/>
          <w:lang w:val="en-US"/>
        </w:rPr>
        <w:t>The authors are very grateful to the research staff, including Ashley Dennhardt, Allison Wallace, Jessica Gillard, and Kyla Belisario</w:t>
      </w:r>
      <w:r w:rsidR="009E5839" w:rsidRPr="00B729B8">
        <w:rPr>
          <w:rFonts w:ascii="Times New Roman" w:hAnsi="Times New Roman" w:cs="Times New Roman"/>
          <w:sz w:val="24"/>
          <w:szCs w:val="24"/>
          <w:lang w:val="en-US"/>
        </w:rPr>
        <w:t>.</w:t>
      </w:r>
    </w:p>
    <w:p w14:paraId="64E9A3A6" w14:textId="77777777" w:rsidR="009E5839" w:rsidRPr="00B729B8" w:rsidRDefault="009E5839" w:rsidP="0004163C">
      <w:pPr>
        <w:spacing w:line="480" w:lineRule="auto"/>
        <w:jc w:val="center"/>
        <w:rPr>
          <w:rFonts w:ascii="Times New Roman" w:hAnsi="Times New Roman" w:cs="Times New Roman"/>
          <w:b/>
          <w:sz w:val="24"/>
          <w:szCs w:val="24"/>
          <w:lang w:val="en-US"/>
        </w:rPr>
        <w:sectPr w:rsidR="009E5839" w:rsidRPr="00B729B8">
          <w:pgSz w:w="11906" w:h="16838"/>
          <w:pgMar w:top="1417" w:right="1701" w:bottom="1417" w:left="1701" w:header="708" w:footer="708" w:gutter="0"/>
          <w:cols w:space="708"/>
          <w:docGrid w:linePitch="360"/>
        </w:sectPr>
      </w:pPr>
    </w:p>
    <w:p w14:paraId="72380DD7" w14:textId="77777777" w:rsidR="009E5839" w:rsidRPr="00B729B8" w:rsidRDefault="009E5839" w:rsidP="0004163C">
      <w:pPr>
        <w:spacing w:after="0" w:line="240" w:lineRule="auto"/>
        <w:jc w:val="center"/>
        <w:rPr>
          <w:rFonts w:ascii="Times New Roman" w:hAnsi="Times New Roman" w:cs="Times New Roman"/>
          <w:b/>
          <w:sz w:val="24"/>
          <w:szCs w:val="24"/>
          <w:lang w:val="en-US"/>
        </w:rPr>
      </w:pPr>
      <w:r w:rsidRPr="00B729B8">
        <w:rPr>
          <w:rFonts w:ascii="Times New Roman" w:hAnsi="Times New Roman" w:cs="Times New Roman"/>
          <w:b/>
          <w:sz w:val="24"/>
          <w:szCs w:val="24"/>
          <w:lang w:val="en-US"/>
        </w:rPr>
        <w:t>REFERENCES</w:t>
      </w:r>
    </w:p>
    <w:p w14:paraId="6B77D894" w14:textId="77777777" w:rsidR="009E5839" w:rsidRPr="00B729B8" w:rsidRDefault="009E5839" w:rsidP="0004163C">
      <w:pPr>
        <w:spacing w:after="0" w:line="240" w:lineRule="auto"/>
        <w:jc w:val="center"/>
        <w:rPr>
          <w:rFonts w:ascii="Times New Roman" w:hAnsi="Times New Roman" w:cs="Times New Roman"/>
          <w:b/>
          <w:sz w:val="24"/>
          <w:szCs w:val="24"/>
          <w:lang w:val="en-US"/>
        </w:rPr>
      </w:pPr>
    </w:p>
    <w:p w14:paraId="6FBCA01F" w14:textId="77777777" w:rsidR="009E5839" w:rsidRPr="00B729B8" w:rsidRDefault="009E5839" w:rsidP="0004163C">
      <w:pPr>
        <w:pStyle w:val="EndNoteBibliography"/>
        <w:spacing w:after="0"/>
        <w:ind w:left="720" w:hanging="720"/>
      </w:pPr>
      <w:bookmarkStart w:id="1" w:name="_ENREF_1"/>
      <w:r w:rsidRPr="00B729B8">
        <w:t>1.</w:t>
      </w:r>
      <w:r w:rsidRPr="00B729B8">
        <w:tab/>
        <w:t xml:space="preserve">Action on Smoking and Health. </w:t>
      </w:r>
      <w:r w:rsidRPr="00B729B8">
        <w:rPr>
          <w:i/>
        </w:rPr>
        <w:t xml:space="preserve">Fact Sheet: Use of e-cigarettes (vapes) among adults in Great Britain. </w:t>
      </w:r>
      <w:r w:rsidRPr="00B729B8">
        <w:t>2020.</w:t>
      </w:r>
      <w:bookmarkEnd w:id="1"/>
    </w:p>
    <w:p w14:paraId="3257B6EE" w14:textId="4CE50D76" w:rsidR="009E5839" w:rsidRPr="00B729B8" w:rsidRDefault="009E5839" w:rsidP="0004163C">
      <w:pPr>
        <w:pStyle w:val="EndNoteBibliography"/>
        <w:spacing w:after="0"/>
        <w:ind w:left="720" w:hanging="720"/>
      </w:pPr>
      <w:bookmarkStart w:id="2" w:name="_ENREF_2"/>
      <w:r w:rsidRPr="00B729B8">
        <w:t>2.</w:t>
      </w:r>
      <w:r w:rsidRPr="00B729B8">
        <w:tab/>
        <w:t xml:space="preserve">Cullen KA, Gentzke AS, Sawdey MD, et al. e-Cigarette Use Among Youth in the United States, 2019. </w:t>
      </w:r>
      <w:r w:rsidRPr="00B729B8">
        <w:rPr>
          <w:i/>
        </w:rPr>
        <w:t xml:space="preserve">Jama. </w:t>
      </w:r>
      <w:r w:rsidRPr="00B729B8">
        <w:t>2019.</w:t>
      </w:r>
      <w:bookmarkEnd w:id="2"/>
    </w:p>
    <w:p w14:paraId="27AFB17B" w14:textId="451BD0C5" w:rsidR="009E5839" w:rsidRPr="00B729B8" w:rsidRDefault="009E5839" w:rsidP="0004163C">
      <w:pPr>
        <w:pStyle w:val="EndNoteBibliography"/>
        <w:spacing w:after="0"/>
        <w:ind w:left="720" w:hanging="720"/>
      </w:pPr>
      <w:bookmarkStart w:id="3" w:name="_ENREF_3"/>
      <w:r w:rsidRPr="00B729B8">
        <w:t>3.</w:t>
      </w:r>
      <w:r w:rsidRPr="00B729B8">
        <w:tab/>
      </w:r>
      <w:bookmarkStart w:id="4" w:name="_ENREF_5"/>
      <w:bookmarkEnd w:id="3"/>
      <w:r w:rsidRPr="00B729B8">
        <w:t xml:space="preserve">Pham T, Williams, J.V.A., Bhattarai, A., Dores, A.K., Isherwood, L.J., &amp; Patten, S.B. Electronic cigarette use and mental health: A Canadian populaton-based study. </w:t>
      </w:r>
      <w:r w:rsidRPr="00B729B8">
        <w:rPr>
          <w:i/>
        </w:rPr>
        <w:t xml:space="preserve">J Affect Disord. </w:t>
      </w:r>
      <w:r w:rsidRPr="00B729B8">
        <w:t>2020;260:646-652.</w:t>
      </w:r>
      <w:bookmarkEnd w:id="4"/>
    </w:p>
    <w:p w14:paraId="0ED95BD9" w14:textId="069EB03C" w:rsidR="000861E5" w:rsidRPr="00B729B8" w:rsidRDefault="000861E5" w:rsidP="0004163C">
      <w:pPr>
        <w:pStyle w:val="EndNoteBibliography"/>
        <w:spacing w:after="0"/>
        <w:ind w:left="720" w:hanging="720"/>
      </w:pPr>
      <w:r w:rsidRPr="00B729B8">
        <w:t xml:space="preserve">4. </w:t>
      </w:r>
      <w:r w:rsidRPr="00B729B8">
        <w:tab/>
        <w:t xml:space="preserve">D'Angelo H, Patel M, Rose SW. Convenience Store Access and E-cigarette Advertising Exposure Is Associated With Future E-cigarette Initiation Among Tobacco-Naive Youth in the PATH Study (2013-2016). </w:t>
      </w:r>
      <w:r w:rsidRPr="00B729B8">
        <w:rPr>
          <w:i/>
        </w:rPr>
        <w:t xml:space="preserve">J Adolesc Health. </w:t>
      </w:r>
      <w:r w:rsidRPr="00B729B8">
        <w:t>2021;68(4):794-800.</w:t>
      </w:r>
    </w:p>
    <w:p w14:paraId="43A5479C" w14:textId="471B330D" w:rsidR="000861E5" w:rsidRPr="00B729B8" w:rsidRDefault="000861E5" w:rsidP="0004163C">
      <w:pPr>
        <w:pStyle w:val="EndNoteBibliography"/>
        <w:spacing w:after="0"/>
        <w:ind w:left="720" w:hanging="720"/>
      </w:pPr>
      <w:r w:rsidRPr="00B729B8">
        <w:t>5.</w:t>
      </w:r>
      <w:r w:rsidRPr="00B729B8">
        <w:tab/>
        <w:t xml:space="preserve">Hammond D, Reid JL, Burkhalter R, Rynard VL. E-cigarette Marketing Regulations and Youth Vaping: Cross-Sectional Surveys, 2017-2019. </w:t>
      </w:r>
      <w:r w:rsidRPr="00B729B8">
        <w:rPr>
          <w:i/>
        </w:rPr>
        <w:t xml:space="preserve">Pediatrics. </w:t>
      </w:r>
      <w:r w:rsidRPr="00B729B8">
        <w:t>2020;146(1).</w:t>
      </w:r>
    </w:p>
    <w:p w14:paraId="0EC25D79" w14:textId="32EC7910" w:rsidR="000861E5" w:rsidRPr="00B729B8" w:rsidRDefault="000861E5" w:rsidP="0004163C">
      <w:pPr>
        <w:pStyle w:val="EndNoteBibliography"/>
        <w:spacing w:after="0"/>
        <w:ind w:left="720" w:hanging="720"/>
      </w:pPr>
      <w:r w:rsidRPr="00B729B8">
        <w:t xml:space="preserve">6. </w:t>
      </w:r>
      <w:r w:rsidRPr="00B729B8">
        <w:tab/>
        <w:t xml:space="preserve">Vogel EA, Ramo DE, Rubinstein ML. Prevalence and correlates of adolescents' e-cigarette use frequency and dependence. </w:t>
      </w:r>
      <w:r w:rsidRPr="00B729B8">
        <w:rPr>
          <w:i/>
        </w:rPr>
        <w:t xml:space="preserve">Drug Alcohol Depend. </w:t>
      </w:r>
      <w:r w:rsidRPr="00B729B8">
        <w:t>2018;188:109-112.</w:t>
      </w:r>
    </w:p>
    <w:p w14:paraId="51889358" w14:textId="60439E10" w:rsidR="000861E5" w:rsidRPr="00B729B8" w:rsidRDefault="000861E5" w:rsidP="0004163C">
      <w:pPr>
        <w:pStyle w:val="EndNoteBibliography"/>
        <w:spacing w:after="0"/>
        <w:ind w:left="720" w:hanging="720"/>
      </w:pPr>
      <w:r w:rsidRPr="00B729B8">
        <w:t xml:space="preserve">7. </w:t>
      </w:r>
      <w:r w:rsidRPr="00B729B8">
        <w:tab/>
        <w:t xml:space="preserve">Simpson KA, Kechter A, Schiff SJ, et al. Characterizing symptoms of e-cigarette dependence: a qualitative study of young adults. </w:t>
      </w:r>
      <w:r w:rsidRPr="00B729B8">
        <w:rPr>
          <w:i/>
        </w:rPr>
        <w:t xml:space="preserve">BMC Public Health. </w:t>
      </w:r>
      <w:r w:rsidRPr="00B729B8">
        <w:t>2021;21(1):959.</w:t>
      </w:r>
    </w:p>
    <w:p w14:paraId="5455A5CF" w14:textId="41977E56" w:rsidR="009E5839" w:rsidRPr="00B729B8" w:rsidRDefault="009E5839" w:rsidP="0004163C">
      <w:pPr>
        <w:pStyle w:val="EndNoteBibliography"/>
        <w:spacing w:after="0"/>
        <w:ind w:left="720" w:hanging="720"/>
      </w:pPr>
      <w:bookmarkStart w:id="5" w:name="_ENREF_8"/>
      <w:r w:rsidRPr="00B729B8">
        <w:t>8.</w:t>
      </w:r>
      <w:r w:rsidRPr="00B729B8">
        <w:tab/>
      </w:r>
      <w:bookmarkEnd w:id="5"/>
      <w:r w:rsidR="000861E5" w:rsidRPr="00B729B8">
        <w:t xml:space="preserve">Owusu D, Huang J, Weaver SR, et al. Patterns and trends of dual use of e-cigarettes and cigarettes among U.S. adults, 2015-2018. </w:t>
      </w:r>
      <w:r w:rsidR="000861E5" w:rsidRPr="00B729B8">
        <w:rPr>
          <w:i/>
        </w:rPr>
        <w:t xml:space="preserve">Prev Med Rep. </w:t>
      </w:r>
      <w:r w:rsidR="000861E5" w:rsidRPr="00B729B8">
        <w:t>2019;16:101009.</w:t>
      </w:r>
    </w:p>
    <w:p w14:paraId="74C6CE3D" w14:textId="367745E3" w:rsidR="009E5839" w:rsidRPr="00B729B8" w:rsidRDefault="009E5839" w:rsidP="0004163C">
      <w:pPr>
        <w:pStyle w:val="EndNoteBibliography"/>
        <w:spacing w:after="0"/>
        <w:ind w:left="720" w:hanging="720"/>
        <w:rPr>
          <w:lang w:val="es-ES"/>
        </w:rPr>
      </w:pPr>
      <w:bookmarkStart w:id="6" w:name="_ENREF_9"/>
      <w:r w:rsidRPr="00B729B8">
        <w:t>9.</w:t>
      </w:r>
      <w:r w:rsidRPr="00B729B8">
        <w:tab/>
      </w:r>
      <w:bookmarkEnd w:id="6"/>
      <w:r w:rsidR="000861E5" w:rsidRPr="00B729B8">
        <w:t xml:space="preserve">Glasser AM, Collins L, Pearson JL, et al. Overview of Electronic Nicotine Delivery Systems: A Systematic Review. </w:t>
      </w:r>
      <w:r w:rsidR="000861E5" w:rsidRPr="00B729B8">
        <w:rPr>
          <w:i/>
          <w:lang w:val="es-ES"/>
        </w:rPr>
        <w:t xml:space="preserve">Am J Prev Med. </w:t>
      </w:r>
      <w:r w:rsidR="000861E5" w:rsidRPr="00B729B8">
        <w:rPr>
          <w:lang w:val="es-ES"/>
        </w:rPr>
        <w:t>2017;52(2):e33-e66.</w:t>
      </w:r>
    </w:p>
    <w:p w14:paraId="09E2E46A" w14:textId="0BF22A9F" w:rsidR="009E5839" w:rsidRPr="00B729B8" w:rsidRDefault="009E5839" w:rsidP="0004163C">
      <w:pPr>
        <w:pStyle w:val="EndNoteBibliography"/>
        <w:spacing w:after="0"/>
        <w:ind w:left="720" w:hanging="720"/>
      </w:pPr>
      <w:bookmarkStart w:id="7" w:name="_ENREF_10"/>
      <w:r w:rsidRPr="00B729B8">
        <w:rPr>
          <w:lang w:val="es-ES"/>
        </w:rPr>
        <w:t>10.</w:t>
      </w:r>
      <w:r w:rsidRPr="00B729B8">
        <w:rPr>
          <w:lang w:val="es-ES"/>
        </w:rPr>
        <w:tab/>
      </w:r>
      <w:bookmarkEnd w:id="7"/>
      <w:r w:rsidR="000861E5" w:rsidRPr="00B729B8">
        <w:rPr>
          <w:lang w:val="es-ES"/>
        </w:rPr>
        <w:t xml:space="preserve">Bafunno D, Catino A, Lamorgese V, et al. </w:t>
      </w:r>
      <w:r w:rsidR="000861E5" w:rsidRPr="00B729B8">
        <w:t xml:space="preserve">Impact of tobacco control interventions on smoking initiation, cessation, and prevalence: a systematic review. </w:t>
      </w:r>
      <w:r w:rsidR="000861E5" w:rsidRPr="00B729B8">
        <w:rPr>
          <w:i/>
        </w:rPr>
        <w:t xml:space="preserve">J Thorac Dis. </w:t>
      </w:r>
      <w:r w:rsidR="000861E5" w:rsidRPr="00B729B8">
        <w:t>2020;12(7):3844-3856.</w:t>
      </w:r>
    </w:p>
    <w:p w14:paraId="6061597F" w14:textId="4DE8D373" w:rsidR="009E5839" w:rsidRPr="00B729B8" w:rsidRDefault="009E5839" w:rsidP="0004163C">
      <w:pPr>
        <w:pStyle w:val="EndNoteBibliography"/>
        <w:spacing w:after="0"/>
        <w:ind w:left="720" w:hanging="720"/>
        <w:rPr>
          <w:lang w:val="fr-FR"/>
        </w:rPr>
      </w:pPr>
      <w:bookmarkStart w:id="8" w:name="_ENREF_11"/>
      <w:r w:rsidRPr="00B729B8">
        <w:t>11.</w:t>
      </w:r>
      <w:r w:rsidRPr="00B729B8">
        <w:tab/>
      </w:r>
      <w:bookmarkEnd w:id="8"/>
      <w:r w:rsidR="000861E5" w:rsidRPr="00B729B8">
        <w:t xml:space="preserve">Hartmann-Boyce J, McRobbie H, Bullen C, Begh R, Stead LF, Hajek P. Electronic cigarettes for smoking cessation. </w:t>
      </w:r>
      <w:r w:rsidR="000861E5" w:rsidRPr="00B729B8">
        <w:rPr>
          <w:i/>
          <w:lang w:val="fr-FR"/>
        </w:rPr>
        <w:t xml:space="preserve">Cochrane Database Syst Rev. </w:t>
      </w:r>
      <w:r w:rsidR="000861E5" w:rsidRPr="00B729B8">
        <w:rPr>
          <w:lang w:val="fr-FR"/>
        </w:rPr>
        <w:t>2016;9:CD010216.</w:t>
      </w:r>
    </w:p>
    <w:p w14:paraId="11B356AC" w14:textId="298A18BB" w:rsidR="009E5839" w:rsidRPr="00B729B8" w:rsidRDefault="009E5839" w:rsidP="0004163C">
      <w:pPr>
        <w:pStyle w:val="EndNoteBibliography"/>
        <w:spacing w:after="0"/>
        <w:ind w:left="720" w:hanging="720"/>
        <w:rPr>
          <w:lang w:val="fr-FR"/>
        </w:rPr>
      </w:pPr>
      <w:bookmarkStart w:id="9" w:name="_ENREF_12"/>
      <w:r w:rsidRPr="00B729B8">
        <w:rPr>
          <w:lang w:val="fr-FR"/>
        </w:rPr>
        <w:t>12.</w:t>
      </w:r>
      <w:r w:rsidRPr="00B729B8">
        <w:rPr>
          <w:lang w:val="fr-FR"/>
        </w:rPr>
        <w:tab/>
      </w:r>
      <w:bookmarkEnd w:id="9"/>
      <w:r w:rsidR="00FC525E" w:rsidRPr="00B729B8">
        <w:rPr>
          <w:lang w:val="fr-FR"/>
        </w:rPr>
        <w:t xml:space="preserve">Jankowski M, Krzystanek M, Zejda JE, et al. </w:t>
      </w:r>
      <w:r w:rsidR="00FC525E" w:rsidRPr="00B729B8">
        <w:t xml:space="preserve">E-Cigarettes are More Addictive than Traditional Cigarettes-A Study in Highly Educated Young People. </w:t>
      </w:r>
      <w:r w:rsidR="00FC525E" w:rsidRPr="00B729B8">
        <w:rPr>
          <w:i/>
          <w:lang w:val="fr-FR"/>
        </w:rPr>
        <w:t xml:space="preserve">Int J Environ Res Public Health. </w:t>
      </w:r>
      <w:r w:rsidR="00FC525E" w:rsidRPr="00B729B8">
        <w:rPr>
          <w:lang w:val="fr-FR"/>
        </w:rPr>
        <w:t>2019;16(13).</w:t>
      </w:r>
    </w:p>
    <w:p w14:paraId="2810CFCA" w14:textId="5726916F" w:rsidR="009E5839" w:rsidRPr="00B729B8" w:rsidRDefault="009E5839" w:rsidP="0004163C">
      <w:pPr>
        <w:pStyle w:val="EndNoteBibliography"/>
        <w:spacing w:after="0"/>
        <w:ind w:left="720" w:hanging="720"/>
      </w:pPr>
      <w:bookmarkStart w:id="10" w:name="_ENREF_13"/>
      <w:r w:rsidRPr="00B729B8">
        <w:rPr>
          <w:lang w:val="fr-FR"/>
        </w:rPr>
        <w:t>13.</w:t>
      </w:r>
      <w:r w:rsidRPr="00B729B8">
        <w:rPr>
          <w:lang w:val="fr-FR"/>
        </w:rPr>
        <w:tab/>
      </w:r>
      <w:bookmarkEnd w:id="10"/>
      <w:r w:rsidR="00FC525E" w:rsidRPr="00B729B8">
        <w:rPr>
          <w:lang w:val="fr-FR"/>
        </w:rPr>
        <w:t xml:space="preserve">Martinez U, Martinez-Loredo V, Simmons VN, et al. </w:t>
      </w:r>
      <w:r w:rsidR="00FC525E" w:rsidRPr="00B729B8">
        <w:t xml:space="preserve">How Does Smoking and Nicotine Dependence Change After Onset of Vaping? A Retrospective Analysis of Dual Users. </w:t>
      </w:r>
      <w:r w:rsidR="00FC525E" w:rsidRPr="00B729B8">
        <w:rPr>
          <w:i/>
        </w:rPr>
        <w:t xml:space="preserve">Nicotine Tob Res. </w:t>
      </w:r>
      <w:r w:rsidR="00FC525E" w:rsidRPr="00B729B8">
        <w:t>2020;22(5):764-770.</w:t>
      </w:r>
    </w:p>
    <w:p w14:paraId="280040EA" w14:textId="1463F777" w:rsidR="009E5839" w:rsidRPr="00B729B8" w:rsidRDefault="009E5839" w:rsidP="0004163C">
      <w:pPr>
        <w:pStyle w:val="EndNoteBibliography"/>
        <w:spacing w:after="0"/>
        <w:ind w:left="720" w:hanging="720"/>
      </w:pPr>
      <w:bookmarkStart w:id="11" w:name="_ENREF_14"/>
      <w:r w:rsidRPr="00B729B8">
        <w:t>14.</w:t>
      </w:r>
      <w:r w:rsidRPr="00B729B8">
        <w:tab/>
      </w:r>
      <w:bookmarkEnd w:id="11"/>
      <w:r w:rsidR="00FC525E" w:rsidRPr="00B729B8">
        <w:t xml:space="preserve">Cassidy RN, Tidey JW, Colby SM. Exclusive e-cigarette users report lower levels of respiratory symptoms relative to dual e-cigarette and cigarette users. </w:t>
      </w:r>
      <w:r w:rsidR="00FC525E" w:rsidRPr="00B729B8">
        <w:rPr>
          <w:i/>
        </w:rPr>
        <w:t xml:space="preserve">Nicotine Tob Res. </w:t>
      </w:r>
      <w:r w:rsidR="00FC525E" w:rsidRPr="00B729B8">
        <w:t>2020;22(S1):S54-S60.</w:t>
      </w:r>
    </w:p>
    <w:p w14:paraId="2CC72441" w14:textId="03F1CC0A" w:rsidR="009E5839" w:rsidRPr="00B729B8" w:rsidRDefault="009E5839" w:rsidP="0004163C">
      <w:pPr>
        <w:pStyle w:val="EndNoteBibliography"/>
        <w:spacing w:after="0"/>
        <w:ind w:left="720" w:hanging="720"/>
      </w:pPr>
      <w:bookmarkStart w:id="12" w:name="_ENREF_15"/>
      <w:r w:rsidRPr="00B729B8">
        <w:t>15.</w:t>
      </w:r>
      <w:r w:rsidRPr="00B729B8">
        <w:tab/>
      </w:r>
      <w:bookmarkEnd w:id="12"/>
      <w:r w:rsidR="00FC525E" w:rsidRPr="00B729B8">
        <w:t xml:space="preserve">Piper ME, Baker TB, Benowitz NL, Kobinsky KH, Jorenby DE. Dual Users Compared to Smokers: Demographics, Dependence, and Biomarkers. </w:t>
      </w:r>
      <w:r w:rsidR="00FC525E" w:rsidRPr="00B729B8">
        <w:rPr>
          <w:i/>
        </w:rPr>
        <w:t xml:space="preserve">Nicotine Tob Res. </w:t>
      </w:r>
      <w:r w:rsidR="00FC525E" w:rsidRPr="00B729B8">
        <w:t>2019;21(9):1279-1284.</w:t>
      </w:r>
    </w:p>
    <w:p w14:paraId="6EC6A3E2" w14:textId="0C0A49B2" w:rsidR="009E5839" w:rsidRPr="00B729B8" w:rsidRDefault="009E5839" w:rsidP="0004163C">
      <w:pPr>
        <w:pStyle w:val="EndNoteBibliography"/>
        <w:spacing w:after="0"/>
        <w:ind w:left="720" w:hanging="720"/>
      </w:pPr>
      <w:bookmarkStart w:id="13" w:name="_ENREF_16"/>
      <w:r w:rsidRPr="00B729B8">
        <w:t>16.</w:t>
      </w:r>
      <w:r w:rsidRPr="00B729B8">
        <w:tab/>
      </w:r>
      <w:bookmarkEnd w:id="13"/>
      <w:r w:rsidR="00FC525E" w:rsidRPr="00B729B8">
        <w:t xml:space="preserve">Piper ME, Baker TB, Benowitz NL, Jorenby DE. Changes in Use Patterns Over 1 Year Among Smokers and Dual Users of Combustible and Electronic Cigarettes. </w:t>
      </w:r>
      <w:r w:rsidR="00FC525E" w:rsidRPr="00B729B8">
        <w:rPr>
          <w:i/>
        </w:rPr>
        <w:t xml:space="preserve">Nicotine Tob Res. </w:t>
      </w:r>
      <w:r w:rsidR="00FC525E" w:rsidRPr="00B729B8">
        <w:t>2020;22(5):672-680.</w:t>
      </w:r>
    </w:p>
    <w:p w14:paraId="5589FFE0" w14:textId="410CA698" w:rsidR="009E5839" w:rsidRPr="00B729B8" w:rsidRDefault="009E5839" w:rsidP="0004163C">
      <w:pPr>
        <w:pStyle w:val="EndNoteBibliography"/>
        <w:spacing w:after="0"/>
        <w:ind w:left="720" w:hanging="720"/>
      </w:pPr>
      <w:bookmarkStart w:id="14" w:name="_ENREF_17"/>
      <w:r w:rsidRPr="00B729B8">
        <w:t>17.</w:t>
      </w:r>
      <w:r w:rsidRPr="00B729B8">
        <w:tab/>
      </w:r>
      <w:bookmarkEnd w:id="14"/>
      <w:r w:rsidR="00FC525E" w:rsidRPr="00B729B8">
        <w:t xml:space="preserve">Khouja JN, Suddell SF, Peters SE, Taylor AE, Munafo MR. Is e-cigarette use in non-smoking young adults associated with later smoking? A systematic review and meta-analysis. </w:t>
      </w:r>
      <w:r w:rsidR="00FC525E" w:rsidRPr="00B729B8">
        <w:rPr>
          <w:i/>
        </w:rPr>
        <w:t xml:space="preserve">Tob Control. </w:t>
      </w:r>
      <w:r w:rsidR="00FC525E" w:rsidRPr="00B729B8">
        <w:t>2020.</w:t>
      </w:r>
    </w:p>
    <w:p w14:paraId="2A2A0812" w14:textId="5BCE20A2" w:rsidR="009E5839" w:rsidRPr="00B729B8" w:rsidRDefault="009E5839" w:rsidP="0004163C">
      <w:pPr>
        <w:pStyle w:val="EndNoteBibliography"/>
        <w:spacing w:after="0"/>
        <w:ind w:left="720" w:hanging="720"/>
      </w:pPr>
      <w:bookmarkStart w:id="15" w:name="_ENREF_18"/>
      <w:r w:rsidRPr="00B729B8">
        <w:t>18.</w:t>
      </w:r>
      <w:r w:rsidRPr="00B729B8">
        <w:tab/>
      </w:r>
      <w:bookmarkEnd w:id="15"/>
      <w:r w:rsidR="00FC525E" w:rsidRPr="00B729B8">
        <w:t xml:space="preserve">Flacco ME, Ferrante M, Fiore M, et al. Cohort study of electronic cigarette use: safety and effectiveness after 4 years of follow-up. </w:t>
      </w:r>
      <w:r w:rsidR="00FC525E" w:rsidRPr="00B729B8">
        <w:rPr>
          <w:i/>
        </w:rPr>
        <w:t xml:space="preserve">Eur Rev Med Pharmacol Sci. </w:t>
      </w:r>
      <w:r w:rsidR="00FC525E" w:rsidRPr="00B729B8">
        <w:t>2019;23(1):402-412.</w:t>
      </w:r>
    </w:p>
    <w:p w14:paraId="29847042" w14:textId="4D8B625D" w:rsidR="009E5839" w:rsidRPr="00B729B8" w:rsidRDefault="009E5839" w:rsidP="0004163C">
      <w:pPr>
        <w:pStyle w:val="EndNoteBibliography"/>
        <w:spacing w:after="0"/>
        <w:ind w:left="720" w:hanging="720"/>
      </w:pPr>
      <w:bookmarkStart w:id="16" w:name="_ENREF_19"/>
      <w:r w:rsidRPr="00B729B8">
        <w:t>19.</w:t>
      </w:r>
      <w:r w:rsidRPr="00B729B8">
        <w:tab/>
      </w:r>
      <w:bookmarkEnd w:id="16"/>
      <w:r w:rsidR="00FC525E" w:rsidRPr="00B729B8">
        <w:t xml:space="preserve">Hajek P, Phillips-Waller A, Przulj D, et al. A Randomized Trial of E-Cigarettes versus Nicotine-Replacement Therapy. </w:t>
      </w:r>
      <w:r w:rsidR="00FC525E" w:rsidRPr="00B729B8">
        <w:rPr>
          <w:i/>
        </w:rPr>
        <w:t xml:space="preserve">N Eng J Med. </w:t>
      </w:r>
      <w:r w:rsidR="00FC525E" w:rsidRPr="00B729B8">
        <w:t>2019;380(7):629-637.</w:t>
      </w:r>
    </w:p>
    <w:p w14:paraId="58D36606" w14:textId="175BA51A" w:rsidR="009E5839" w:rsidRPr="00B729B8" w:rsidRDefault="009E5839" w:rsidP="0004163C">
      <w:pPr>
        <w:pStyle w:val="EndNoteBibliography"/>
        <w:spacing w:after="0"/>
        <w:ind w:left="720" w:hanging="720"/>
      </w:pPr>
      <w:bookmarkStart w:id="17" w:name="_ENREF_20"/>
      <w:r w:rsidRPr="00B729B8">
        <w:t>20.</w:t>
      </w:r>
      <w:r w:rsidRPr="00B729B8">
        <w:tab/>
      </w:r>
      <w:bookmarkEnd w:id="17"/>
      <w:r w:rsidR="00FC525E" w:rsidRPr="00B729B8">
        <w:t xml:space="preserve">Vogel EA, Prochaska JJ, Ramo DE, Andres J, Rubinstein ML. Adolescents' E-Cigarette Use: Increases in Frequency, Dependence, and Nicotine Exposure Over 12 Months. </w:t>
      </w:r>
      <w:r w:rsidR="00FC525E" w:rsidRPr="00B729B8">
        <w:rPr>
          <w:i/>
        </w:rPr>
        <w:t xml:space="preserve">J Adolesc Health. </w:t>
      </w:r>
      <w:r w:rsidR="00FC525E" w:rsidRPr="00B729B8">
        <w:t>2019;64(6):770-775.</w:t>
      </w:r>
    </w:p>
    <w:p w14:paraId="40FDCA0C" w14:textId="3B15747C" w:rsidR="009E5839" w:rsidRPr="00B729B8" w:rsidRDefault="009E5839" w:rsidP="0004163C">
      <w:pPr>
        <w:pStyle w:val="EndNoteBibliography"/>
        <w:spacing w:after="0"/>
        <w:ind w:left="720" w:hanging="720"/>
      </w:pPr>
      <w:bookmarkStart w:id="18" w:name="_ENREF_21"/>
      <w:r w:rsidRPr="00B729B8">
        <w:t>21.</w:t>
      </w:r>
      <w:r w:rsidRPr="00B729B8">
        <w:tab/>
      </w:r>
      <w:bookmarkEnd w:id="18"/>
      <w:r w:rsidR="00FC525E" w:rsidRPr="00B729B8">
        <w:t xml:space="preserve">Johnston LD, Miech, R. A., O’Malley, P. M., Bachman, J. G., Schulenberg, J. E., &amp; Patrick, . </w:t>
      </w:r>
      <w:r w:rsidR="00FC525E" w:rsidRPr="00B729B8">
        <w:rPr>
          <w:i/>
        </w:rPr>
        <w:t xml:space="preserve">Monitoring the Future national survey results on drug use 1975-2020: Overview, key findings on adolescent drug use. </w:t>
      </w:r>
      <w:r w:rsidR="00FC525E" w:rsidRPr="00B729B8">
        <w:t>M. E. Ann Arbor:: Institute for Social Research, University of Michigan.;2021.</w:t>
      </w:r>
    </w:p>
    <w:p w14:paraId="633D0E57" w14:textId="53B47208" w:rsidR="009E5839" w:rsidRPr="00B729B8" w:rsidRDefault="009E5839" w:rsidP="0004163C">
      <w:pPr>
        <w:pStyle w:val="EndNoteBibliography"/>
        <w:spacing w:after="0"/>
        <w:ind w:left="720" w:hanging="720"/>
      </w:pPr>
      <w:bookmarkStart w:id="19" w:name="_ENREF_22"/>
      <w:r w:rsidRPr="00B729B8">
        <w:t>22.</w:t>
      </w:r>
      <w:r w:rsidRPr="00B729B8">
        <w:tab/>
      </w:r>
      <w:bookmarkEnd w:id="19"/>
      <w:r w:rsidR="00FC525E" w:rsidRPr="00B729B8">
        <w:t xml:space="preserve">Schulenberg JE, Johnston, L. D., O’Malley, P. M., Bachman, J. G., Miech, R. A. &amp; Patrick, M. E. </w:t>
      </w:r>
      <w:r w:rsidR="00FC525E" w:rsidRPr="00B729B8">
        <w:rPr>
          <w:i/>
        </w:rPr>
        <w:t xml:space="preserve">Monitoring the Future national survey results on drug use, 1975–2019: Volume II, College students and adults ages 19–60. </w:t>
      </w:r>
      <w:r w:rsidR="00FC525E" w:rsidRPr="00B729B8">
        <w:t>Ann Arbor: Institute for Social Research, The University of Michigan;2020.</w:t>
      </w:r>
    </w:p>
    <w:p w14:paraId="385C1398" w14:textId="299A4707" w:rsidR="009E5839" w:rsidRPr="00B729B8" w:rsidRDefault="009E5839" w:rsidP="0004163C">
      <w:pPr>
        <w:pStyle w:val="EndNoteBibliography"/>
        <w:spacing w:after="0"/>
        <w:ind w:left="720" w:hanging="720"/>
      </w:pPr>
      <w:bookmarkStart w:id="20" w:name="_ENREF_23"/>
      <w:r w:rsidRPr="00B729B8">
        <w:t>23.</w:t>
      </w:r>
      <w:r w:rsidRPr="00B729B8">
        <w:tab/>
      </w:r>
      <w:bookmarkEnd w:id="20"/>
      <w:r w:rsidR="00FC525E" w:rsidRPr="00B729B8">
        <w:t xml:space="preserve">Doran N, Brikmanis K, Petersen A, et al. Does e-cigarette use predict cigarette escalation? A longitudinal study of young adult non-daily smokers. </w:t>
      </w:r>
      <w:r w:rsidR="00FC525E" w:rsidRPr="00B729B8">
        <w:rPr>
          <w:i/>
        </w:rPr>
        <w:t xml:space="preserve">Prev Med. </w:t>
      </w:r>
      <w:r w:rsidR="00FC525E" w:rsidRPr="00B729B8">
        <w:t>2017;100:279-284.</w:t>
      </w:r>
    </w:p>
    <w:p w14:paraId="3F688EF4" w14:textId="6508B728" w:rsidR="009E5839" w:rsidRPr="00B729B8" w:rsidRDefault="009E5839" w:rsidP="0004163C">
      <w:pPr>
        <w:pStyle w:val="EndNoteBibliography"/>
        <w:spacing w:after="0"/>
        <w:ind w:left="720" w:hanging="720"/>
      </w:pPr>
      <w:bookmarkStart w:id="21" w:name="_ENREF_24"/>
      <w:r w:rsidRPr="00B729B8">
        <w:rPr>
          <w:lang w:val="fr-FR"/>
        </w:rPr>
        <w:t>24.</w:t>
      </w:r>
      <w:r w:rsidRPr="00B729B8">
        <w:rPr>
          <w:lang w:val="fr-FR"/>
        </w:rPr>
        <w:tab/>
      </w:r>
      <w:bookmarkEnd w:id="21"/>
      <w:r w:rsidR="00FC525E" w:rsidRPr="00B729B8">
        <w:rPr>
          <w:lang w:val="fr-FR"/>
        </w:rPr>
        <w:t xml:space="preserve">Hair EC, Romberg AR, Niaura R, et al. </w:t>
      </w:r>
      <w:r w:rsidR="00FC525E" w:rsidRPr="00B729B8">
        <w:t xml:space="preserve">Longitudinal Tobacco Use Transitions Among Adolescents and Young Adults: 2014-2016. </w:t>
      </w:r>
      <w:r w:rsidR="00FC525E" w:rsidRPr="00B729B8">
        <w:rPr>
          <w:i/>
        </w:rPr>
        <w:t xml:space="preserve">Nicotine Tob Res. </w:t>
      </w:r>
      <w:r w:rsidR="00FC525E" w:rsidRPr="00B729B8">
        <w:t>2019;21(4):458-468.</w:t>
      </w:r>
    </w:p>
    <w:p w14:paraId="2940ED3A" w14:textId="58AD24C0" w:rsidR="009E5839" w:rsidRPr="00B729B8" w:rsidRDefault="009E5839" w:rsidP="0004163C">
      <w:pPr>
        <w:pStyle w:val="EndNoteBibliography"/>
        <w:spacing w:after="0"/>
        <w:ind w:left="720" w:hanging="720"/>
      </w:pPr>
      <w:bookmarkStart w:id="22" w:name="_ENREF_25"/>
      <w:r w:rsidRPr="00B729B8">
        <w:t>25.</w:t>
      </w:r>
      <w:r w:rsidRPr="00B729B8">
        <w:tab/>
      </w:r>
      <w:bookmarkEnd w:id="22"/>
      <w:r w:rsidR="00FC525E" w:rsidRPr="00B729B8">
        <w:t xml:space="preserve">Substance Abuse and Mental Health Services Administration. </w:t>
      </w:r>
      <w:r w:rsidR="00FC525E" w:rsidRPr="00B729B8">
        <w:rPr>
          <w:i/>
        </w:rPr>
        <w:t xml:space="preserve">Key substance use and mental health indicators in the United States: Results from the 2018 National Survey on Drug Use and Health. </w:t>
      </w:r>
      <w:r w:rsidR="00FC525E" w:rsidRPr="00B729B8">
        <w:t>Rockville, MD: Center for Behavioral Health Statistics and Quality, Substance Abuse and Mental Health Services Administration;2019.</w:t>
      </w:r>
    </w:p>
    <w:p w14:paraId="3AD98198" w14:textId="69E3D2D2" w:rsidR="009E5839" w:rsidRPr="00B729B8" w:rsidRDefault="009E5839" w:rsidP="0004163C">
      <w:pPr>
        <w:pStyle w:val="EndNoteBibliography"/>
        <w:spacing w:after="0"/>
        <w:ind w:left="720" w:hanging="720"/>
      </w:pPr>
      <w:bookmarkStart w:id="23" w:name="_ENREF_26"/>
      <w:r w:rsidRPr="00B729B8">
        <w:rPr>
          <w:lang w:val="es-ES"/>
        </w:rPr>
        <w:t>26.</w:t>
      </w:r>
      <w:r w:rsidRPr="00B729B8">
        <w:rPr>
          <w:lang w:val="es-ES"/>
        </w:rPr>
        <w:tab/>
      </w:r>
      <w:bookmarkEnd w:id="23"/>
      <w:r w:rsidR="00FC525E" w:rsidRPr="00B729B8">
        <w:rPr>
          <w:lang w:val="es-ES"/>
        </w:rPr>
        <w:t xml:space="preserve">Gubner NR, Delucchi KL, Ramo DE. </w:t>
      </w:r>
      <w:r w:rsidR="00FC525E" w:rsidRPr="00B729B8">
        <w:t xml:space="preserve">Associations between binge drinking frequency and tobacco use among young adults. </w:t>
      </w:r>
      <w:r w:rsidR="00FC525E" w:rsidRPr="00B729B8">
        <w:rPr>
          <w:i/>
        </w:rPr>
        <w:t xml:space="preserve">Addict Behav. </w:t>
      </w:r>
      <w:r w:rsidR="00FC525E" w:rsidRPr="00B729B8">
        <w:t>2016;60:191-196.</w:t>
      </w:r>
    </w:p>
    <w:p w14:paraId="454D6E8C" w14:textId="64C49359" w:rsidR="009E5839" w:rsidRPr="00B729B8" w:rsidRDefault="009E5839" w:rsidP="0004163C">
      <w:pPr>
        <w:pStyle w:val="EndNoteBibliography"/>
        <w:spacing w:after="0"/>
        <w:ind w:left="720" w:hanging="720"/>
      </w:pPr>
      <w:bookmarkStart w:id="24" w:name="_ENREF_27"/>
      <w:r w:rsidRPr="00B729B8">
        <w:t>27.</w:t>
      </w:r>
      <w:r w:rsidRPr="00B729B8">
        <w:tab/>
      </w:r>
      <w:bookmarkEnd w:id="24"/>
      <w:r w:rsidR="00FC525E" w:rsidRPr="00B729B8">
        <w:t xml:space="preserve">Wang Q. High-intensity binge drinking is associated with cigarette smoking and e-cigarette use among US adults aged 40-64 years: Findings from the 2017 BRFSS survey. </w:t>
      </w:r>
      <w:r w:rsidR="00FC525E" w:rsidRPr="00B729B8">
        <w:rPr>
          <w:i/>
        </w:rPr>
        <w:t>Tob Induc Dis</w:t>
      </w:r>
      <w:r w:rsidR="00FC525E" w:rsidRPr="00B729B8">
        <w:t>. 2020;18:54.</w:t>
      </w:r>
    </w:p>
    <w:p w14:paraId="4696D1E4" w14:textId="4EF49606" w:rsidR="009E5839" w:rsidRPr="00B729B8" w:rsidRDefault="009E5839" w:rsidP="0004163C">
      <w:pPr>
        <w:pStyle w:val="EndNoteBibliography"/>
        <w:spacing w:after="0"/>
        <w:ind w:left="720" w:hanging="720"/>
      </w:pPr>
      <w:bookmarkStart w:id="25" w:name="_ENREF_28"/>
      <w:r w:rsidRPr="00B729B8">
        <w:t>28.</w:t>
      </w:r>
      <w:r w:rsidRPr="00B729B8">
        <w:tab/>
      </w:r>
      <w:bookmarkEnd w:id="25"/>
      <w:r w:rsidR="00FC525E" w:rsidRPr="00B729B8">
        <w:t xml:space="preserve">Rothrock AN, Andris H, Swetland SB, et al. Association of E-cigarettes with adolescent alcohol use and binge drinking-drunkenness: A systematic review and meta-analysis. </w:t>
      </w:r>
      <w:r w:rsidR="00FC525E" w:rsidRPr="00B729B8">
        <w:rPr>
          <w:i/>
        </w:rPr>
        <w:t xml:space="preserve">Am J Drug Alcohol Abuse. </w:t>
      </w:r>
      <w:r w:rsidR="00FC525E" w:rsidRPr="00B729B8">
        <w:t>2020;46(6):684-698.</w:t>
      </w:r>
    </w:p>
    <w:p w14:paraId="22FEFA49" w14:textId="0B3FADE6" w:rsidR="009E5839" w:rsidRPr="00B729B8" w:rsidRDefault="009E5839" w:rsidP="0004163C">
      <w:pPr>
        <w:pStyle w:val="EndNoteBibliography"/>
        <w:spacing w:after="0"/>
        <w:ind w:left="720" w:hanging="720"/>
      </w:pPr>
      <w:bookmarkStart w:id="26" w:name="_ENREF_29"/>
      <w:r w:rsidRPr="00B729B8">
        <w:t>29.</w:t>
      </w:r>
      <w:r w:rsidRPr="00B729B8">
        <w:tab/>
      </w:r>
      <w:bookmarkEnd w:id="26"/>
      <w:r w:rsidR="005050C0" w:rsidRPr="00B729B8">
        <w:t xml:space="preserve">Pelucchi C, Gallus S, Garavello W, Bosetti C, La Vecchia C. Cancer risk associated with alcohol and tobacco use: focus on upper aero-digestive tract and liver. </w:t>
      </w:r>
      <w:r w:rsidR="005050C0" w:rsidRPr="00B729B8">
        <w:rPr>
          <w:i/>
        </w:rPr>
        <w:t xml:space="preserve">Alcohol Res Health. </w:t>
      </w:r>
      <w:r w:rsidR="005050C0" w:rsidRPr="00B729B8">
        <w:t>2006;29(3):193-198.</w:t>
      </w:r>
    </w:p>
    <w:p w14:paraId="2AD48FEC" w14:textId="7080BF84" w:rsidR="009E5839" w:rsidRPr="00B729B8" w:rsidRDefault="009E5839" w:rsidP="0004163C">
      <w:pPr>
        <w:pStyle w:val="EndNoteBibliography"/>
        <w:spacing w:after="0"/>
        <w:ind w:left="720" w:hanging="720"/>
      </w:pPr>
      <w:bookmarkStart w:id="27" w:name="_ENREF_30"/>
      <w:r w:rsidRPr="00B729B8">
        <w:t>30.</w:t>
      </w:r>
      <w:r w:rsidRPr="00B729B8">
        <w:tab/>
      </w:r>
      <w:bookmarkEnd w:id="27"/>
      <w:r w:rsidR="005050C0" w:rsidRPr="00B729B8">
        <w:t xml:space="preserve">Coleman B, Rostron B, Johnson SE, et al. Transitions in electronic cigarette use among adults in the Population Assessment of Tobacco and Health (PATH) Study, Waves 1 and 2 (2013-2015). </w:t>
      </w:r>
      <w:r w:rsidR="005050C0" w:rsidRPr="00B729B8">
        <w:rPr>
          <w:i/>
        </w:rPr>
        <w:t xml:space="preserve">Tob Control. </w:t>
      </w:r>
      <w:r w:rsidR="005050C0" w:rsidRPr="00B729B8">
        <w:t>2019;28(1):50-59.</w:t>
      </w:r>
    </w:p>
    <w:p w14:paraId="37A21C90" w14:textId="63C63B7E" w:rsidR="009E5839" w:rsidRPr="00B729B8" w:rsidRDefault="009E5839" w:rsidP="0004163C">
      <w:pPr>
        <w:pStyle w:val="EndNoteBibliography"/>
        <w:spacing w:after="0"/>
        <w:ind w:left="720" w:hanging="720"/>
      </w:pPr>
      <w:bookmarkStart w:id="28" w:name="_ENREF_31"/>
      <w:r w:rsidRPr="00B729B8">
        <w:t>31.</w:t>
      </w:r>
      <w:r w:rsidRPr="00B729B8">
        <w:tab/>
      </w:r>
      <w:bookmarkEnd w:id="28"/>
      <w:r w:rsidR="005050C0" w:rsidRPr="00B729B8">
        <w:t xml:space="preserve">Clendennen SL, Loukas A, Creamer MR, Pasch KE, Perry CL. Longitudinal Patterns of Multiple Tobacco and Nicotine Product Use Among Texas College Students: a Latent Transition Analysis. </w:t>
      </w:r>
      <w:r w:rsidR="005050C0" w:rsidRPr="00B729B8">
        <w:rPr>
          <w:i/>
        </w:rPr>
        <w:t xml:space="preserve">Prev Sci. </w:t>
      </w:r>
      <w:r w:rsidR="005050C0" w:rsidRPr="00B729B8">
        <w:t>2019;20(7):1031-1042.</w:t>
      </w:r>
    </w:p>
    <w:p w14:paraId="612E9342" w14:textId="5B9A50C7" w:rsidR="009E5839" w:rsidRPr="00B729B8" w:rsidRDefault="009E5839" w:rsidP="0004163C">
      <w:pPr>
        <w:pStyle w:val="EndNoteBibliography"/>
        <w:spacing w:after="0"/>
        <w:ind w:left="720" w:hanging="720"/>
      </w:pPr>
      <w:bookmarkStart w:id="29" w:name="_ENREF_32"/>
      <w:r w:rsidRPr="00B729B8">
        <w:t>32.</w:t>
      </w:r>
      <w:r w:rsidRPr="00B729B8">
        <w:tab/>
      </w:r>
      <w:bookmarkEnd w:id="29"/>
      <w:r w:rsidR="005050C0" w:rsidRPr="00B729B8">
        <w:t xml:space="preserve">Heatherton TF, Kozlowski LT, Frecker RC, Fagerstrom KO. The Fagerstrom Test for Nicotine Dependence: a revision of the Fagerstrom Tolerance Questionnaire. </w:t>
      </w:r>
      <w:r w:rsidR="005050C0" w:rsidRPr="00B729B8">
        <w:rPr>
          <w:i/>
        </w:rPr>
        <w:t xml:space="preserve">Br J Addict. </w:t>
      </w:r>
      <w:r w:rsidR="005050C0" w:rsidRPr="00B729B8">
        <w:t>1991;86(9):1119-1127.</w:t>
      </w:r>
    </w:p>
    <w:p w14:paraId="52D427BD" w14:textId="7E51FEC9" w:rsidR="009E5839" w:rsidRPr="00B729B8" w:rsidRDefault="009E5839" w:rsidP="0004163C">
      <w:pPr>
        <w:pStyle w:val="EndNoteBibliography"/>
        <w:spacing w:after="0"/>
        <w:ind w:left="720" w:hanging="720"/>
      </w:pPr>
      <w:bookmarkStart w:id="30" w:name="_ENREF_33"/>
      <w:r w:rsidRPr="00B729B8">
        <w:t>33.</w:t>
      </w:r>
      <w:r w:rsidRPr="00B729B8">
        <w:tab/>
      </w:r>
      <w:bookmarkEnd w:id="30"/>
      <w:r w:rsidR="005050C0" w:rsidRPr="00B729B8">
        <w:t xml:space="preserve">Read JP, Kahler CW, Strong DR, Colder CR. Development and preliminary validation of the young adult alcohol consequences questionnaire. </w:t>
      </w:r>
      <w:r w:rsidR="005050C0" w:rsidRPr="00B729B8">
        <w:rPr>
          <w:i/>
        </w:rPr>
        <w:t xml:space="preserve">J Stud Alcohol. </w:t>
      </w:r>
      <w:r w:rsidR="005050C0" w:rsidRPr="00B729B8">
        <w:t>2006;67(1):169-177.</w:t>
      </w:r>
    </w:p>
    <w:p w14:paraId="3005528E" w14:textId="0603DB7B" w:rsidR="009E5839" w:rsidRPr="00B729B8" w:rsidRDefault="009E5839" w:rsidP="0004163C">
      <w:pPr>
        <w:pStyle w:val="EndNoteBibliography"/>
        <w:spacing w:after="0"/>
        <w:ind w:left="720" w:hanging="720"/>
      </w:pPr>
      <w:bookmarkStart w:id="31" w:name="_ENREF_34"/>
      <w:r w:rsidRPr="00B729B8">
        <w:t>34.</w:t>
      </w:r>
      <w:r w:rsidRPr="00B729B8">
        <w:tab/>
      </w:r>
      <w:bookmarkEnd w:id="31"/>
      <w:r w:rsidR="005050C0" w:rsidRPr="00B729B8">
        <w:t xml:space="preserve">Read JP, Haas AL, Radomski S, Wickham RE, Borish SE. Identification of hazardous drinking with the Young Adult Alcohol Consequences Questionnaire: Relative operating characteristics as a function of gender. </w:t>
      </w:r>
      <w:r w:rsidR="005050C0" w:rsidRPr="00B729B8">
        <w:rPr>
          <w:i/>
        </w:rPr>
        <w:t xml:space="preserve">Psychol Assess. </w:t>
      </w:r>
      <w:r w:rsidR="005050C0" w:rsidRPr="00B729B8">
        <w:t>2016;28(10):1276-1289.</w:t>
      </w:r>
    </w:p>
    <w:p w14:paraId="573CE3B5" w14:textId="16D11097" w:rsidR="009E5839" w:rsidRPr="00B729B8" w:rsidRDefault="009E5839" w:rsidP="0004163C">
      <w:pPr>
        <w:pStyle w:val="EndNoteBibliography"/>
        <w:spacing w:after="0"/>
        <w:ind w:left="720" w:hanging="720"/>
      </w:pPr>
      <w:bookmarkStart w:id="32" w:name="_ENREF_35"/>
      <w:r w:rsidRPr="00B729B8">
        <w:t>35.</w:t>
      </w:r>
      <w:r w:rsidRPr="00B729B8">
        <w:tab/>
      </w:r>
      <w:bookmarkEnd w:id="32"/>
      <w:r w:rsidR="005050C0" w:rsidRPr="00B729B8">
        <w:t>Lanza ST, Dziak, J. J., Huang, L., Wagner, A. T., &amp; Collins, L. M. Proc LCA &amp; Proc LTA users' guide (Version 1.3.2). In: The Methodology Center, Penn State: University Park; 2015: methodology.psu.edu.</w:t>
      </w:r>
    </w:p>
    <w:p w14:paraId="55F87397" w14:textId="64FC7253" w:rsidR="009E5839" w:rsidRPr="00B729B8" w:rsidRDefault="009E5839" w:rsidP="0004163C">
      <w:pPr>
        <w:pStyle w:val="EndNoteBibliography"/>
        <w:spacing w:after="0"/>
        <w:ind w:left="720" w:hanging="720"/>
      </w:pPr>
      <w:bookmarkStart w:id="33" w:name="_ENREF_36"/>
      <w:r w:rsidRPr="00B729B8">
        <w:t>36.</w:t>
      </w:r>
      <w:r w:rsidRPr="00B729B8">
        <w:tab/>
      </w:r>
      <w:bookmarkEnd w:id="33"/>
      <w:r w:rsidR="00DB70A7" w:rsidRPr="00B729B8">
        <w:t xml:space="preserve">Johnson AL, Collins LK, Villanti AC, Pearson JL, Niaura RS. Patterns of Nicotine and Tobacco Product Use in Youth and Young Adults in the United States, 2011-2015. </w:t>
      </w:r>
      <w:r w:rsidR="00DB70A7" w:rsidRPr="00B729B8">
        <w:rPr>
          <w:i/>
        </w:rPr>
        <w:t xml:space="preserve">Nicotine Tob Res. </w:t>
      </w:r>
      <w:r w:rsidR="00DB70A7" w:rsidRPr="00B729B8">
        <w:t>2018;20 suppl 1:S48-S54.</w:t>
      </w:r>
    </w:p>
    <w:p w14:paraId="756DB7D7" w14:textId="5B3DBCAF" w:rsidR="009E5839" w:rsidRPr="00B729B8" w:rsidRDefault="009E5839" w:rsidP="00DB70A7">
      <w:pPr>
        <w:pStyle w:val="EndNoteBibliography"/>
        <w:spacing w:after="0"/>
        <w:ind w:left="720" w:hanging="720"/>
      </w:pPr>
      <w:bookmarkStart w:id="34" w:name="_ENREF_37"/>
      <w:r w:rsidRPr="00B729B8">
        <w:t>37.</w:t>
      </w:r>
      <w:r w:rsidRPr="00B729B8">
        <w:tab/>
      </w:r>
      <w:bookmarkEnd w:id="34"/>
      <w:r w:rsidR="00DB70A7" w:rsidRPr="00B729B8">
        <w:t xml:space="preserve">Oakly A, Martin G. Dual use of electronic cigarettes and tobacco in New Zealand from a nationally representative sample. </w:t>
      </w:r>
      <w:r w:rsidR="00DB70A7" w:rsidRPr="00B729B8">
        <w:rPr>
          <w:i/>
        </w:rPr>
        <w:t xml:space="preserve">Aust N Z J Public Health. </w:t>
      </w:r>
      <w:r w:rsidR="00DB70A7" w:rsidRPr="00B729B8">
        <w:t>2019;43(2):103-107.</w:t>
      </w:r>
    </w:p>
    <w:p w14:paraId="0D32B6AF" w14:textId="44368B35" w:rsidR="009E5839" w:rsidRPr="00B729B8" w:rsidRDefault="009E5839" w:rsidP="0004163C">
      <w:pPr>
        <w:pStyle w:val="EndNoteBibliography"/>
        <w:spacing w:after="0"/>
        <w:ind w:left="720" w:hanging="720"/>
        <w:rPr>
          <w:lang w:val="fr-FR"/>
        </w:rPr>
      </w:pPr>
      <w:bookmarkStart w:id="35" w:name="_ENREF_39"/>
      <w:r w:rsidRPr="00B729B8">
        <w:t>3</w:t>
      </w:r>
      <w:r w:rsidR="00DB70A7" w:rsidRPr="00B729B8">
        <w:t>8</w:t>
      </w:r>
      <w:r w:rsidRPr="00B729B8">
        <w:t>.</w:t>
      </w:r>
      <w:r w:rsidRPr="00B729B8">
        <w:tab/>
      </w:r>
      <w:bookmarkEnd w:id="35"/>
      <w:r w:rsidR="0025624D" w:rsidRPr="00B729B8">
        <w:t xml:space="preserve">Berg CJ, Haardorfer R, Lanier A, et al. Tobacco Use Trajectories in Young Adults: Analyses of Predictors Across Systems Levels. </w:t>
      </w:r>
      <w:r w:rsidR="0025624D" w:rsidRPr="00B729B8">
        <w:rPr>
          <w:i/>
          <w:lang w:val="fr-FR"/>
        </w:rPr>
        <w:t xml:space="preserve">Nicotine Tob Res. </w:t>
      </w:r>
      <w:r w:rsidR="0025624D" w:rsidRPr="00B729B8">
        <w:rPr>
          <w:lang w:val="fr-FR"/>
        </w:rPr>
        <w:t>2020;22(11):2075-2084.</w:t>
      </w:r>
    </w:p>
    <w:p w14:paraId="6D97098D" w14:textId="12DE6D9D" w:rsidR="009E5839" w:rsidRPr="00B729B8" w:rsidRDefault="00DB70A7" w:rsidP="0004163C">
      <w:pPr>
        <w:pStyle w:val="EndNoteBibliography"/>
        <w:spacing w:after="0"/>
        <w:ind w:left="720" w:hanging="720"/>
      </w:pPr>
      <w:bookmarkStart w:id="36" w:name="_ENREF_40"/>
      <w:r w:rsidRPr="00B729B8">
        <w:rPr>
          <w:lang w:val="fr-FR"/>
        </w:rPr>
        <w:t>39</w:t>
      </w:r>
      <w:r w:rsidR="009E5839" w:rsidRPr="00B729B8">
        <w:rPr>
          <w:lang w:val="fr-FR"/>
        </w:rPr>
        <w:t>.</w:t>
      </w:r>
      <w:r w:rsidR="009E5839" w:rsidRPr="00B729B8">
        <w:rPr>
          <w:lang w:val="fr-FR"/>
        </w:rPr>
        <w:tab/>
      </w:r>
      <w:bookmarkEnd w:id="36"/>
      <w:r w:rsidR="0025624D" w:rsidRPr="00B729B8">
        <w:rPr>
          <w:lang w:val="fr-FR"/>
        </w:rPr>
        <w:t xml:space="preserve">Benmarhnia T, Pierce JP, Leas E, et al. </w:t>
      </w:r>
      <w:r w:rsidR="0025624D" w:rsidRPr="00B729B8">
        <w:t xml:space="preserve">Can E-Cigarettes and Pharmaceutical Aids Increase Smoking Cessation and Reduce Cigarette Consumption? Findings From a Nationally Representative Cohort of American Smokers. </w:t>
      </w:r>
      <w:r w:rsidR="0025624D" w:rsidRPr="00B729B8">
        <w:rPr>
          <w:i/>
        </w:rPr>
        <w:t xml:space="preserve">Am J Epidemiol. </w:t>
      </w:r>
      <w:r w:rsidR="0025624D" w:rsidRPr="00B729B8">
        <w:t>2018;187(11):2397-2404.</w:t>
      </w:r>
    </w:p>
    <w:p w14:paraId="565645FB" w14:textId="346EFE54" w:rsidR="009E5839" w:rsidRPr="00B729B8" w:rsidRDefault="00DB70A7" w:rsidP="0004163C">
      <w:pPr>
        <w:pStyle w:val="EndNoteBibliography"/>
        <w:spacing w:after="0"/>
        <w:ind w:left="720" w:hanging="720"/>
      </w:pPr>
      <w:bookmarkStart w:id="37" w:name="_ENREF_41"/>
      <w:r w:rsidRPr="00B729B8">
        <w:t>40</w:t>
      </w:r>
      <w:r w:rsidR="009E5839" w:rsidRPr="00B729B8">
        <w:t>.</w:t>
      </w:r>
      <w:r w:rsidR="009E5839" w:rsidRPr="00B729B8">
        <w:tab/>
      </w:r>
      <w:bookmarkEnd w:id="37"/>
      <w:r w:rsidR="0025624D" w:rsidRPr="00B729B8">
        <w:t xml:space="preserve">Zhu SH, Zhuang YL, Wong S, Cummins SE, Tedeschi GJ. E-cigarette use and associated changes in population smoking cessation: evidence from US current population surveys. </w:t>
      </w:r>
      <w:r w:rsidR="0025624D" w:rsidRPr="00B729B8">
        <w:rPr>
          <w:i/>
        </w:rPr>
        <w:t xml:space="preserve">BMJ. </w:t>
      </w:r>
      <w:r w:rsidR="0025624D" w:rsidRPr="00B729B8">
        <w:t>2017;358:j3262.</w:t>
      </w:r>
    </w:p>
    <w:p w14:paraId="46C78D6B" w14:textId="576D20B2" w:rsidR="009E5839" w:rsidRPr="00B729B8" w:rsidRDefault="00DB70A7" w:rsidP="0004163C">
      <w:pPr>
        <w:pStyle w:val="EndNoteBibliography"/>
        <w:spacing w:after="0"/>
        <w:ind w:left="720" w:hanging="720"/>
      </w:pPr>
      <w:bookmarkStart w:id="38" w:name="_ENREF_42"/>
      <w:r w:rsidRPr="00B729B8">
        <w:t>41</w:t>
      </w:r>
      <w:r w:rsidR="009E5839" w:rsidRPr="00B729B8">
        <w:t>.</w:t>
      </w:r>
      <w:r w:rsidR="009E5839" w:rsidRPr="00B729B8">
        <w:tab/>
      </w:r>
      <w:bookmarkEnd w:id="38"/>
      <w:r w:rsidR="0025624D" w:rsidRPr="00B729B8">
        <w:t xml:space="preserve">Persoskie A, O'Brien EK, Poonai K. Perceived relative harm of using e-cigarettes predicts future product switching among US adult cigarette and e-cigarette dual users. </w:t>
      </w:r>
      <w:r w:rsidR="0025624D" w:rsidRPr="00B729B8">
        <w:rPr>
          <w:i/>
        </w:rPr>
        <w:t xml:space="preserve">Addiction. </w:t>
      </w:r>
      <w:r w:rsidR="0025624D" w:rsidRPr="00B729B8">
        <w:t>2019;114(12):2197-2205.</w:t>
      </w:r>
    </w:p>
    <w:p w14:paraId="7089168A" w14:textId="6F120D7A" w:rsidR="009E5839" w:rsidRPr="00B729B8" w:rsidRDefault="00DB70A7" w:rsidP="0004163C">
      <w:pPr>
        <w:pStyle w:val="EndNoteBibliography"/>
        <w:spacing w:after="0"/>
        <w:ind w:left="720" w:hanging="720"/>
      </w:pPr>
      <w:bookmarkStart w:id="39" w:name="_ENREF_43"/>
      <w:r w:rsidRPr="00B729B8">
        <w:t>42</w:t>
      </w:r>
      <w:r w:rsidR="009E5839" w:rsidRPr="00B729B8">
        <w:t>.</w:t>
      </w:r>
      <w:r w:rsidR="009E5839" w:rsidRPr="00B729B8">
        <w:tab/>
      </w:r>
      <w:bookmarkEnd w:id="39"/>
      <w:r w:rsidR="0025624D" w:rsidRPr="00B729B8">
        <w:t xml:space="preserve">Harlow AF, Stokes A, Brooks DR. Socioeconomic and Racial/Ethnic Differences in E-Cigarette Uptake Among Cigarette Smokers: Longitudinal Analysis of the Population Assessment of Tobacco and Health (PATH) Study. </w:t>
      </w:r>
      <w:r w:rsidR="0025624D" w:rsidRPr="00B729B8">
        <w:rPr>
          <w:i/>
        </w:rPr>
        <w:t xml:space="preserve">Nicotine Tob Res. </w:t>
      </w:r>
      <w:r w:rsidR="0025624D" w:rsidRPr="00B729B8">
        <w:t>2019;21(10):1385-1393.</w:t>
      </w:r>
    </w:p>
    <w:p w14:paraId="56328FB6" w14:textId="5358616E" w:rsidR="009E5839" w:rsidRPr="00B729B8" w:rsidRDefault="00DB70A7" w:rsidP="0004163C">
      <w:pPr>
        <w:pStyle w:val="EndNoteBibliography"/>
        <w:spacing w:after="0"/>
        <w:ind w:left="720" w:hanging="720"/>
      </w:pPr>
      <w:bookmarkStart w:id="40" w:name="_ENREF_44"/>
      <w:r w:rsidRPr="00B729B8">
        <w:t>43</w:t>
      </w:r>
      <w:r w:rsidR="009E5839" w:rsidRPr="00B729B8">
        <w:t>.</w:t>
      </w:r>
      <w:r w:rsidR="009E5839" w:rsidRPr="00B729B8">
        <w:tab/>
      </w:r>
      <w:bookmarkEnd w:id="40"/>
      <w:r w:rsidR="0025624D" w:rsidRPr="00B729B8">
        <w:t xml:space="preserve">Hartwell G, Thomas S, Egan M, Gilmore A, Petticrew M. E-cigarettes and equity: a systematic review of differences in awareness and use between sociodemographic groups. </w:t>
      </w:r>
      <w:r w:rsidR="0025624D" w:rsidRPr="00B729B8">
        <w:rPr>
          <w:i/>
        </w:rPr>
        <w:t xml:space="preserve">Tob Control. </w:t>
      </w:r>
      <w:r w:rsidR="0025624D" w:rsidRPr="00B729B8">
        <w:t>2017;26(e2):e85-e91.</w:t>
      </w:r>
    </w:p>
    <w:p w14:paraId="6CC02264" w14:textId="5EF9AE11" w:rsidR="009E5839" w:rsidRPr="00B729B8" w:rsidRDefault="00DB70A7" w:rsidP="0004163C">
      <w:pPr>
        <w:pStyle w:val="EndNoteBibliography"/>
        <w:spacing w:after="0"/>
        <w:ind w:left="720" w:hanging="720"/>
      </w:pPr>
      <w:bookmarkStart w:id="41" w:name="_ENREF_45"/>
      <w:r w:rsidRPr="00B729B8">
        <w:t>44</w:t>
      </w:r>
      <w:r w:rsidR="009E5839" w:rsidRPr="00B729B8">
        <w:t>.</w:t>
      </w:r>
      <w:r w:rsidR="009E5839" w:rsidRPr="00B729B8">
        <w:tab/>
      </w:r>
      <w:bookmarkEnd w:id="41"/>
      <w:r w:rsidR="0025624D" w:rsidRPr="00B729B8">
        <w:t xml:space="preserve">Roberts W, Moore KE, Peltier MR, et al. Electronic Cigarette Use and Risk of Harmful Alcohol Consumption in the U.S. Population. </w:t>
      </w:r>
      <w:r w:rsidR="0025624D" w:rsidRPr="00B729B8">
        <w:rPr>
          <w:i/>
        </w:rPr>
        <w:t xml:space="preserve">Alcohol Clin Exp Res. </w:t>
      </w:r>
      <w:r w:rsidR="0025624D" w:rsidRPr="00B729B8">
        <w:t>2018;42(12):2385-2393.</w:t>
      </w:r>
    </w:p>
    <w:p w14:paraId="21F43809" w14:textId="71F00698" w:rsidR="009E5839" w:rsidRPr="00B729B8" w:rsidRDefault="00DB70A7" w:rsidP="0004163C">
      <w:pPr>
        <w:pStyle w:val="EndNoteBibliography"/>
        <w:spacing w:after="0"/>
        <w:ind w:left="720" w:hanging="720"/>
      </w:pPr>
      <w:bookmarkStart w:id="42" w:name="_ENREF_46"/>
      <w:r w:rsidRPr="00B729B8">
        <w:t>45</w:t>
      </w:r>
      <w:r w:rsidR="009E5839" w:rsidRPr="00B729B8">
        <w:t>.</w:t>
      </w:r>
      <w:r w:rsidR="009E5839" w:rsidRPr="00B729B8">
        <w:tab/>
      </w:r>
      <w:bookmarkEnd w:id="42"/>
      <w:r w:rsidR="0025624D" w:rsidRPr="00B729B8">
        <w:t xml:space="preserve">Thrul J, Gubner NR, Tice CL, Lisha NE, Ling PM. Young adults report increased pleasure from using e-cigarettes and smoking tobacco cigarettes when drinking alcohol. </w:t>
      </w:r>
      <w:r w:rsidR="0025624D" w:rsidRPr="00B729B8">
        <w:rPr>
          <w:i/>
        </w:rPr>
        <w:t xml:space="preserve">Addict Behav. </w:t>
      </w:r>
      <w:r w:rsidR="0025624D" w:rsidRPr="00B729B8">
        <w:t>2019;93:135-140.</w:t>
      </w:r>
    </w:p>
    <w:p w14:paraId="311685B7" w14:textId="6B29FABD" w:rsidR="009E5839" w:rsidRPr="00B729B8" w:rsidRDefault="00DB70A7" w:rsidP="0004163C">
      <w:pPr>
        <w:pStyle w:val="EndNoteBibliography"/>
        <w:spacing w:after="0"/>
        <w:ind w:left="720" w:hanging="720"/>
      </w:pPr>
      <w:bookmarkStart w:id="43" w:name="_ENREF_47"/>
      <w:r w:rsidRPr="00B729B8">
        <w:t>46</w:t>
      </w:r>
      <w:r w:rsidR="009E5839" w:rsidRPr="00B729B8">
        <w:t>.</w:t>
      </w:r>
      <w:r w:rsidR="009E5839" w:rsidRPr="00B729B8">
        <w:tab/>
      </w:r>
      <w:bookmarkEnd w:id="43"/>
      <w:r w:rsidR="0025624D" w:rsidRPr="00B729B8">
        <w:t xml:space="preserve">Dunbar MS, Davis JP, Rodriguez A, Tucker JS, Seelam R, D'Amico EJ. Disentangling Within- and Between-Person Effects of Shared Risk Factors on E-cigarette and Cigarette Use Trajectories From Late Adolescence to Young Adulthood. </w:t>
      </w:r>
      <w:r w:rsidR="0025624D" w:rsidRPr="00B729B8">
        <w:rPr>
          <w:i/>
        </w:rPr>
        <w:t xml:space="preserve">Nicotine Tob Res. </w:t>
      </w:r>
      <w:r w:rsidR="0025624D" w:rsidRPr="00B729B8">
        <w:t>2019;21(10):1414-1422.</w:t>
      </w:r>
    </w:p>
    <w:p w14:paraId="48148C28" w14:textId="3E075C1B" w:rsidR="009E5839" w:rsidRPr="00B729B8" w:rsidRDefault="00DB70A7" w:rsidP="0004163C">
      <w:pPr>
        <w:pStyle w:val="EndNoteBibliography"/>
        <w:spacing w:after="0"/>
        <w:ind w:left="720" w:hanging="720"/>
      </w:pPr>
      <w:bookmarkStart w:id="44" w:name="_ENREF_48"/>
      <w:r w:rsidRPr="00B729B8">
        <w:t>47</w:t>
      </w:r>
      <w:r w:rsidR="009E5839" w:rsidRPr="00B729B8">
        <w:t>.</w:t>
      </w:r>
      <w:r w:rsidR="009E5839" w:rsidRPr="00B729B8">
        <w:tab/>
      </w:r>
      <w:bookmarkEnd w:id="44"/>
      <w:r w:rsidR="0025624D" w:rsidRPr="00B729B8">
        <w:t xml:space="preserve">Martinez-Loredo V, Fernandez-Hermida JR, De La Torre-Luque A, Fernandez-Artamendi S. Trajectories of impulsivity by sex predict substance use and heavy drinking. </w:t>
      </w:r>
      <w:r w:rsidR="0025624D" w:rsidRPr="00B729B8">
        <w:rPr>
          <w:i/>
        </w:rPr>
        <w:t>Addictive behaviors</w:t>
      </w:r>
      <w:r w:rsidR="0025624D" w:rsidRPr="00B729B8">
        <w:t>. 2018;85:164-72.</w:t>
      </w:r>
    </w:p>
    <w:p w14:paraId="7334CBD9" w14:textId="280D9907" w:rsidR="0025624D" w:rsidRPr="00B729B8" w:rsidRDefault="00DB70A7" w:rsidP="0004163C">
      <w:pPr>
        <w:pStyle w:val="EndNoteBibliography"/>
        <w:ind w:left="720" w:hanging="720"/>
      </w:pPr>
      <w:bookmarkStart w:id="45" w:name="_ENREF_50"/>
      <w:r w:rsidRPr="00B729B8">
        <w:t>4</w:t>
      </w:r>
      <w:r w:rsidR="0092133E" w:rsidRPr="00B729B8">
        <w:t>8</w:t>
      </w:r>
      <w:r w:rsidR="009E5839" w:rsidRPr="00B729B8">
        <w:t>.</w:t>
      </w:r>
      <w:r w:rsidR="009E5839" w:rsidRPr="00B729B8">
        <w:tab/>
      </w:r>
      <w:r w:rsidR="0025624D" w:rsidRPr="00B729B8">
        <w:t xml:space="preserve">Hefner KR, Sollazzo A, Mullaney S, Coker KL, Sofuoglu M. E-cigarettes, alcohol use, and mental health: Use and perceptions of e-cigarettes among college students, by alcohol use and mental health status. </w:t>
      </w:r>
      <w:r w:rsidR="0025624D" w:rsidRPr="00B729B8">
        <w:rPr>
          <w:i/>
        </w:rPr>
        <w:t>Addictive behaviors.</w:t>
      </w:r>
      <w:r w:rsidR="0025624D" w:rsidRPr="00B729B8">
        <w:t xml:space="preserve"> 2019;91:12-20.</w:t>
      </w:r>
    </w:p>
    <w:bookmarkEnd w:id="45"/>
    <w:p w14:paraId="416B83A7" w14:textId="2B090360" w:rsidR="0025624D" w:rsidRPr="00B729B8" w:rsidRDefault="0092133E" w:rsidP="0025624D">
      <w:pPr>
        <w:pStyle w:val="EndNoteBibliography"/>
        <w:ind w:left="720" w:hanging="720"/>
      </w:pPr>
      <w:r w:rsidRPr="00B729B8">
        <w:t>49</w:t>
      </w:r>
      <w:r w:rsidR="0025624D" w:rsidRPr="00B729B8">
        <w:t>.</w:t>
      </w:r>
      <w:r w:rsidR="0025624D" w:rsidRPr="00B729B8">
        <w:tab/>
        <w:t xml:space="preserve">Etter JF, Duc TV, Perneger TV. Validity of the Fagerstrom test for nicotine dependence and of the Heaviness of Smoking Index among relatively light smokers. </w:t>
      </w:r>
      <w:r w:rsidR="0025624D" w:rsidRPr="00B729B8">
        <w:rPr>
          <w:i/>
        </w:rPr>
        <w:t xml:space="preserve">Addiction. </w:t>
      </w:r>
      <w:r w:rsidR="0025624D" w:rsidRPr="00B729B8">
        <w:t>1999;94 2:269-281.</w:t>
      </w:r>
    </w:p>
    <w:p w14:paraId="79F791FC" w14:textId="77777777" w:rsidR="009E5839" w:rsidRPr="00B729B8" w:rsidRDefault="009E5839" w:rsidP="0004163C">
      <w:pPr>
        <w:spacing w:after="0" w:line="240" w:lineRule="auto"/>
        <w:rPr>
          <w:rFonts w:ascii="Times New Roman" w:hAnsi="Times New Roman" w:cs="Times New Roman"/>
          <w:b/>
          <w:sz w:val="24"/>
          <w:szCs w:val="24"/>
          <w:lang w:val="en-US"/>
        </w:rPr>
      </w:pPr>
    </w:p>
    <w:p w14:paraId="29A87CBD" w14:textId="77777777" w:rsidR="009E5839" w:rsidRPr="00B729B8" w:rsidRDefault="009E5839" w:rsidP="0004163C">
      <w:pPr>
        <w:rPr>
          <w:rFonts w:ascii="Times New Roman" w:hAnsi="Times New Roman" w:cs="Times New Roman"/>
          <w:b/>
          <w:sz w:val="24"/>
          <w:szCs w:val="24"/>
          <w:lang w:val="en-US"/>
        </w:rPr>
      </w:pPr>
      <w:r w:rsidRPr="00B729B8">
        <w:rPr>
          <w:rFonts w:ascii="Times New Roman" w:hAnsi="Times New Roman" w:cs="Times New Roman"/>
          <w:b/>
          <w:sz w:val="24"/>
          <w:szCs w:val="24"/>
          <w:lang w:val="en-US"/>
        </w:rPr>
        <w:br w:type="page"/>
      </w:r>
    </w:p>
    <w:tbl>
      <w:tblPr>
        <w:tblpPr w:leftFromText="180" w:rightFromText="180" w:vertAnchor="text" w:horzAnchor="margin" w:tblpY="174"/>
        <w:tblW w:w="9374" w:type="dxa"/>
        <w:tblLook w:val="04A0" w:firstRow="1" w:lastRow="0" w:firstColumn="1" w:lastColumn="0" w:noHBand="0" w:noVBand="1"/>
      </w:tblPr>
      <w:tblGrid>
        <w:gridCol w:w="2552"/>
        <w:gridCol w:w="1719"/>
        <w:gridCol w:w="1701"/>
        <w:gridCol w:w="1701"/>
        <w:gridCol w:w="1701"/>
      </w:tblGrid>
      <w:tr w:rsidR="009E5839" w:rsidRPr="00B729B8" w14:paraId="2AC5F9AF" w14:textId="77777777" w:rsidTr="00951CE2">
        <w:tc>
          <w:tcPr>
            <w:tcW w:w="9374" w:type="dxa"/>
            <w:gridSpan w:val="5"/>
            <w:tcBorders>
              <w:top w:val="nil"/>
              <w:left w:val="nil"/>
              <w:bottom w:val="single" w:sz="4" w:space="0" w:color="auto"/>
              <w:right w:val="nil"/>
            </w:tcBorders>
          </w:tcPr>
          <w:p w14:paraId="3FC632CE" w14:textId="77777777" w:rsidR="009E5839" w:rsidRPr="00B729B8" w:rsidRDefault="009E5839" w:rsidP="0004163C">
            <w:pPr>
              <w:spacing w:after="0" w:line="276" w:lineRule="auto"/>
              <w:rPr>
                <w:rFonts w:ascii="Times New Roman" w:hAnsi="Times New Roman" w:cs="Times New Roman"/>
                <w:sz w:val="24"/>
                <w:szCs w:val="24"/>
                <w:lang w:val="en-US"/>
              </w:rPr>
            </w:pPr>
            <w:r w:rsidRPr="00B729B8">
              <w:rPr>
                <w:rFonts w:ascii="Times New Roman" w:hAnsi="Times New Roman" w:cs="Times New Roman"/>
                <w:sz w:val="24"/>
                <w:szCs w:val="24"/>
                <w:lang w:val="en-US"/>
              </w:rPr>
              <w:br w:type="page"/>
            </w:r>
            <w:r w:rsidRPr="00B729B8">
              <w:rPr>
                <w:rFonts w:ascii="Times New Roman" w:hAnsi="Times New Roman" w:cs="Times New Roman"/>
                <w:sz w:val="24"/>
                <w:szCs w:val="24"/>
                <w:lang w:val="en-US"/>
              </w:rPr>
              <w:br w:type="page"/>
              <w:t>Table 1</w:t>
            </w:r>
          </w:p>
          <w:p w14:paraId="3197E200" w14:textId="77777777" w:rsidR="009E5839" w:rsidRPr="00B729B8" w:rsidRDefault="009E5839" w:rsidP="0004163C">
            <w:pPr>
              <w:spacing w:after="0" w:line="276" w:lineRule="auto"/>
              <w:rPr>
                <w:rFonts w:ascii="Times New Roman" w:hAnsi="Times New Roman" w:cs="Times New Roman"/>
                <w:i/>
                <w:sz w:val="24"/>
                <w:szCs w:val="24"/>
                <w:lang w:val="en-US"/>
              </w:rPr>
            </w:pPr>
            <w:r w:rsidRPr="00B729B8">
              <w:rPr>
                <w:rFonts w:ascii="Times New Roman" w:hAnsi="Times New Roman" w:cs="Times New Roman"/>
                <w:i/>
                <w:sz w:val="24"/>
                <w:szCs w:val="24"/>
                <w:lang w:val="en-US"/>
              </w:rPr>
              <w:t>Descriptive statistics</w:t>
            </w:r>
          </w:p>
        </w:tc>
      </w:tr>
      <w:tr w:rsidR="009E5839" w:rsidRPr="00B729B8" w14:paraId="38968180" w14:textId="77777777" w:rsidTr="00951CE2">
        <w:trPr>
          <w:trHeight w:val="379"/>
        </w:trPr>
        <w:tc>
          <w:tcPr>
            <w:tcW w:w="2552" w:type="dxa"/>
            <w:tcBorders>
              <w:top w:val="single" w:sz="4" w:space="0" w:color="auto"/>
              <w:left w:val="nil"/>
              <w:bottom w:val="single" w:sz="4" w:space="0" w:color="auto"/>
              <w:right w:val="nil"/>
            </w:tcBorders>
          </w:tcPr>
          <w:p w14:paraId="080886B2" w14:textId="77777777" w:rsidR="009E5839" w:rsidRPr="00B729B8" w:rsidRDefault="009E5839" w:rsidP="0004163C">
            <w:pPr>
              <w:spacing w:after="0" w:line="276" w:lineRule="auto"/>
              <w:jc w:val="center"/>
              <w:rPr>
                <w:rFonts w:ascii="Times New Roman" w:hAnsi="Times New Roman" w:cs="Times New Roman"/>
                <w:sz w:val="24"/>
                <w:szCs w:val="24"/>
                <w:lang w:val="en-US"/>
              </w:rPr>
            </w:pPr>
          </w:p>
        </w:tc>
        <w:tc>
          <w:tcPr>
            <w:tcW w:w="1719" w:type="dxa"/>
            <w:tcBorders>
              <w:top w:val="single" w:sz="4" w:space="0" w:color="auto"/>
              <w:left w:val="nil"/>
              <w:bottom w:val="single" w:sz="4" w:space="0" w:color="auto"/>
              <w:right w:val="nil"/>
            </w:tcBorders>
            <w:vAlign w:val="center"/>
          </w:tcPr>
          <w:p w14:paraId="4A23FF27"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Baseline</w:t>
            </w:r>
          </w:p>
          <w:p w14:paraId="6200669D"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(n = 1,002)</w:t>
            </w:r>
          </w:p>
        </w:tc>
        <w:tc>
          <w:tcPr>
            <w:tcW w:w="1701" w:type="dxa"/>
            <w:tcBorders>
              <w:top w:val="single" w:sz="4" w:space="0" w:color="auto"/>
              <w:left w:val="nil"/>
              <w:bottom w:val="single" w:sz="4" w:space="0" w:color="auto"/>
              <w:right w:val="nil"/>
            </w:tcBorders>
            <w:vAlign w:val="center"/>
          </w:tcPr>
          <w:p w14:paraId="446D8102"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8-months</w:t>
            </w:r>
          </w:p>
          <w:p w14:paraId="37FAF9C0"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(n = 901)</w:t>
            </w:r>
          </w:p>
        </w:tc>
        <w:tc>
          <w:tcPr>
            <w:tcW w:w="1701" w:type="dxa"/>
            <w:tcBorders>
              <w:top w:val="single" w:sz="4" w:space="0" w:color="auto"/>
              <w:left w:val="nil"/>
              <w:bottom w:val="single" w:sz="4" w:space="0" w:color="auto"/>
              <w:right w:val="nil"/>
            </w:tcBorders>
            <w:vAlign w:val="center"/>
          </w:tcPr>
          <w:p w14:paraId="324C144A"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16-months</w:t>
            </w:r>
          </w:p>
          <w:p w14:paraId="2BB3370C"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(n = 895)</w:t>
            </w:r>
          </w:p>
        </w:tc>
        <w:tc>
          <w:tcPr>
            <w:tcW w:w="1701" w:type="dxa"/>
            <w:tcBorders>
              <w:top w:val="single" w:sz="4" w:space="0" w:color="auto"/>
              <w:left w:val="nil"/>
              <w:bottom w:val="single" w:sz="4" w:space="0" w:color="auto"/>
              <w:right w:val="nil"/>
            </w:tcBorders>
          </w:tcPr>
          <w:p w14:paraId="15538ADF"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24-months</w:t>
            </w:r>
          </w:p>
          <w:p w14:paraId="410359BD"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(n = 730)</w:t>
            </w:r>
          </w:p>
        </w:tc>
      </w:tr>
      <w:tr w:rsidR="009E5839" w:rsidRPr="00B729B8" w14:paraId="5F725EAF" w14:textId="77777777" w:rsidTr="00951CE2">
        <w:tc>
          <w:tcPr>
            <w:tcW w:w="2552" w:type="dxa"/>
            <w:vAlign w:val="center"/>
          </w:tcPr>
          <w:p w14:paraId="00F2DD2D" w14:textId="77777777" w:rsidR="009E5839" w:rsidRPr="00B729B8" w:rsidRDefault="009E5839" w:rsidP="0004163C">
            <w:pPr>
              <w:spacing w:after="0" w:line="276" w:lineRule="auto"/>
              <w:ind w:firstLine="34"/>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Sex</w:t>
            </w:r>
            <w:r w:rsidRPr="00B729B8">
              <w:rPr>
                <w:rFonts w:ascii="Times New Roman" w:eastAsia="Times New Roman" w:hAnsi="Times New Roman" w:cs="Times New Roman"/>
                <w:color w:val="000000"/>
                <w:sz w:val="24"/>
                <w:szCs w:val="24"/>
                <w:vertAlign w:val="superscript"/>
                <w:lang w:eastAsia="es-ES"/>
              </w:rPr>
              <w:t xml:space="preserve">a </w:t>
            </w:r>
            <w:r w:rsidRPr="00B729B8">
              <w:rPr>
                <w:rFonts w:ascii="Times New Roman" w:eastAsia="Times New Roman" w:hAnsi="Times New Roman" w:cs="Times New Roman"/>
                <w:color w:val="000000"/>
                <w:sz w:val="24"/>
                <w:szCs w:val="24"/>
                <w:lang w:eastAsia="es-ES"/>
              </w:rPr>
              <w:t>(female)</w:t>
            </w:r>
          </w:p>
        </w:tc>
        <w:tc>
          <w:tcPr>
            <w:tcW w:w="1719" w:type="dxa"/>
          </w:tcPr>
          <w:p w14:paraId="001BBA61"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eastAsia="es-ES"/>
              </w:rPr>
            </w:pPr>
            <w:r w:rsidRPr="00B729B8">
              <w:rPr>
                <w:rFonts w:ascii="Times New Roman" w:eastAsia="Times New Roman" w:hAnsi="Times New Roman" w:cs="Times New Roman"/>
                <w:bCs/>
                <w:color w:val="000000"/>
                <w:sz w:val="24"/>
                <w:szCs w:val="24"/>
                <w:lang w:eastAsia="es-ES"/>
              </w:rPr>
              <w:t>572 (57.1)</w:t>
            </w:r>
          </w:p>
        </w:tc>
        <w:tc>
          <w:tcPr>
            <w:tcW w:w="1701" w:type="dxa"/>
          </w:tcPr>
          <w:p w14:paraId="42C9C31A"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520 (57.7)</w:t>
            </w:r>
          </w:p>
        </w:tc>
        <w:tc>
          <w:tcPr>
            <w:tcW w:w="1701" w:type="dxa"/>
            <w:vAlign w:val="center"/>
          </w:tcPr>
          <w:p w14:paraId="514E93B2"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eastAsia="es-ES"/>
              </w:rPr>
            </w:pPr>
            <w:r w:rsidRPr="00B729B8">
              <w:rPr>
                <w:rFonts w:ascii="Times New Roman" w:eastAsia="Times New Roman" w:hAnsi="Times New Roman" w:cs="Times New Roman"/>
                <w:bCs/>
                <w:color w:val="000000"/>
                <w:sz w:val="24"/>
                <w:szCs w:val="24"/>
                <w:lang w:eastAsia="es-ES"/>
              </w:rPr>
              <w:t>517 (59.2)</w:t>
            </w:r>
          </w:p>
        </w:tc>
        <w:tc>
          <w:tcPr>
            <w:tcW w:w="1701" w:type="dxa"/>
          </w:tcPr>
          <w:p w14:paraId="4E850089"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eastAsia="es-ES"/>
              </w:rPr>
            </w:pPr>
            <w:r w:rsidRPr="00B729B8">
              <w:rPr>
                <w:rFonts w:ascii="Times New Roman" w:eastAsia="Times New Roman" w:hAnsi="Times New Roman" w:cs="Times New Roman"/>
                <w:bCs/>
                <w:color w:val="000000"/>
                <w:sz w:val="24"/>
                <w:szCs w:val="24"/>
                <w:lang w:eastAsia="es-ES"/>
              </w:rPr>
              <w:t>433 (60.1)</w:t>
            </w:r>
          </w:p>
        </w:tc>
      </w:tr>
      <w:tr w:rsidR="009E5839" w:rsidRPr="00B729B8" w14:paraId="33300A75" w14:textId="77777777" w:rsidTr="00951CE2">
        <w:tc>
          <w:tcPr>
            <w:tcW w:w="2552" w:type="dxa"/>
            <w:vAlign w:val="center"/>
          </w:tcPr>
          <w:p w14:paraId="41A75463" w14:textId="77777777" w:rsidR="009E5839" w:rsidRPr="00B729B8" w:rsidRDefault="009E5839" w:rsidP="0004163C">
            <w:pPr>
              <w:spacing w:after="0" w:line="276" w:lineRule="auto"/>
              <w:ind w:firstLine="34"/>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Ethnicity</w:t>
            </w:r>
            <w:r w:rsidRPr="00B729B8">
              <w:rPr>
                <w:rFonts w:ascii="Times New Roman" w:eastAsia="Times New Roman" w:hAnsi="Times New Roman" w:cs="Times New Roman"/>
                <w:color w:val="000000"/>
                <w:sz w:val="24"/>
                <w:szCs w:val="24"/>
                <w:vertAlign w:val="superscript"/>
                <w:lang w:eastAsia="es-ES"/>
              </w:rPr>
              <w:t>a</w:t>
            </w:r>
            <w:r w:rsidRPr="00B729B8">
              <w:rPr>
                <w:rFonts w:ascii="Times New Roman" w:eastAsia="Times New Roman" w:hAnsi="Times New Roman" w:cs="Times New Roman"/>
                <w:color w:val="000000"/>
                <w:sz w:val="24"/>
                <w:szCs w:val="24"/>
                <w:lang w:eastAsia="es-ES"/>
              </w:rPr>
              <w:t xml:space="preserve"> (White)</w:t>
            </w:r>
          </w:p>
        </w:tc>
        <w:tc>
          <w:tcPr>
            <w:tcW w:w="1719" w:type="dxa"/>
          </w:tcPr>
          <w:p w14:paraId="4B5D3A9F"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572 (57.1)</w:t>
            </w:r>
          </w:p>
        </w:tc>
        <w:tc>
          <w:tcPr>
            <w:tcW w:w="1701" w:type="dxa"/>
          </w:tcPr>
          <w:p w14:paraId="529ECBBD"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521 (57.9)</w:t>
            </w:r>
          </w:p>
        </w:tc>
        <w:tc>
          <w:tcPr>
            <w:tcW w:w="1701" w:type="dxa"/>
            <w:vAlign w:val="center"/>
          </w:tcPr>
          <w:p w14:paraId="30FAF3AB"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508 (58.1)</w:t>
            </w:r>
          </w:p>
        </w:tc>
        <w:tc>
          <w:tcPr>
            <w:tcW w:w="1701" w:type="dxa"/>
          </w:tcPr>
          <w:p w14:paraId="2662B114"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448 (62.2)</w:t>
            </w:r>
          </w:p>
        </w:tc>
      </w:tr>
      <w:tr w:rsidR="009E5839" w:rsidRPr="00B729B8" w14:paraId="319AB7E4" w14:textId="77777777" w:rsidTr="00951CE2">
        <w:tc>
          <w:tcPr>
            <w:tcW w:w="2552" w:type="dxa"/>
          </w:tcPr>
          <w:p w14:paraId="550DFB33" w14:textId="77777777" w:rsidR="009E5839" w:rsidRPr="00B729B8" w:rsidRDefault="009E5839" w:rsidP="0004163C">
            <w:pPr>
              <w:spacing w:after="0" w:line="276" w:lineRule="auto"/>
              <w:ind w:firstLine="34"/>
              <w:rPr>
                <w:rFonts w:ascii="Times New Roman" w:eastAsia="Times New Roman" w:hAnsi="Times New Roman" w:cs="Times New Roman"/>
                <w:b/>
                <w:bCs/>
                <w:color w:val="000000"/>
                <w:sz w:val="24"/>
                <w:szCs w:val="24"/>
                <w:lang w:eastAsia="es-ES"/>
              </w:rPr>
            </w:pPr>
            <w:r w:rsidRPr="00B729B8">
              <w:rPr>
                <w:rFonts w:ascii="Times New Roman" w:eastAsia="Times New Roman" w:hAnsi="Times New Roman" w:cs="Times New Roman"/>
                <w:color w:val="000000"/>
                <w:sz w:val="24"/>
                <w:szCs w:val="24"/>
                <w:lang w:eastAsia="es-ES"/>
              </w:rPr>
              <w:t>Age</w:t>
            </w:r>
            <w:r w:rsidRPr="00B729B8">
              <w:rPr>
                <w:rFonts w:ascii="Times New Roman" w:eastAsia="Times New Roman" w:hAnsi="Times New Roman" w:cs="Times New Roman"/>
                <w:color w:val="000000"/>
                <w:sz w:val="24"/>
                <w:szCs w:val="24"/>
                <w:vertAlign w:val="superscript"/>
                <w:lang w:eastAsia="es-ES"/>
              </w:rPr>
              <w:t>b</w:t>
            </w:r>
          </w:p>
        </w:tc>
        <w:tc>
          <w:tcPr>
            <w:tcW w:w="1719" w:type="dxa"/>
          </w:tcPr>
          <w:p w14:paraId="146AC56C"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eastAsia="es-ES"/>
              </w:rPr>
            </w:pPr>
            <w:r w:rsidRPr="00B729B8">
              <w:rPr>
                <w:rFonts w:ascii="Times New Roman" w:eastAsia="Times New Roman" w:hAnsi="Times New Roman" w:cs="Times New Roman"/>
                <w:bCs/>
                <w:color w:val="000000"/>
                <w:sz w:val="24"/>
                <w:szCs w:val="24"/>
                <w:lang w:eastAsia="es-ES"/>
              </w:rPr>
              <w:t>22.14 (1.26)</w:t>
            </w:r>
          </w:p>
        </w:tc>
        <w:tc>
          <w:tcPr>
            <w:tcW w:w="1701" w:type="dxa"/>
          </w:tcPr>
          <w:p w14:paraId="5F24774E"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eastAsia="es-ES"/>
              </w:rPr>
            </w:pPr>
            <w:r w:rsidRPr="00B729B8">
              <w:rPr>
                <w:rFonts w:ascii="Times New Roman" w:eastAsia="Times New Roman" w:hAnsi="Times New Roman" w:cs="Times New Roman"/>
                <w:bCs/>
                <w:color w:val="000000"/>
                <w:sz w:val="24"/>
                <w:szCs w:val="24"/>
                <w:lang w:eastAsia="es-ES"/>
              </w:rPr>
              <w:t>22.79 (1.32)</w:t>
            </w:r>
          </w:p>
        </w:tc>
        <w:tc>
          <w:tcPr>
            <w:tcW w:w="1701" w:type="dxa"/>
            <w:vAlign w:val="center"/>
          </w:tcPr>
          <w:p w14:paraId="1501D896"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eastAsia="es-ES"/>
              </w:rPr>
            </w:pPr>
            <w:r w:rsidRPr="00B729B8">
              <w:rPr>
                <w:rFonts w:ascii="Times New Roman" w:eastAsia="Times New Roman" w:hAnsi="Times New Roman" w:cs="Times New Roman"/>
                <w:bCs/>
                <w:color w:val="000000"/>
                <w:sz w:val="24"/>
                <w:szCs w:val="24"/>
                <w:lang w:eastAsia="es-ES"/>
              </w:rPr>
              <w:t>23.40 (1.48)</w:t>
            </w:r>
          </w:p>
        </w:tc>
        <w:tc>
          <w:tcPr>
            <w:tcW w:w="1701" w:type="dxa"/>
          </w:tcPr>
          <w:p w14:paraId="02DE9F87"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eastAsia="es-ES"/>
              </w:rPr>
            </w:pPr>
            <w:r w:rsidRPr="00B729B8">
              <w:rPr>
                <w:rFonts w:ascii="Times New Roman" w:eastAsia="Times New Roman" w:hAnsi="Times New Roman" w:cs="Times New Roman"/>
                <w:bCs/>
                <w:color w:val="000000"/>
                <w:sz w:val="24"/>
                <w:szCs w:val="24"/>
                <w:lang w:eastAsia="es-ES"/>
              </w:rPr>
              <w:t>24.02 (1.79)</w:t>
            </w:r>
          </w:p>
        </w:tc>
      </w:tr>
      <w:tr w:rsidR="009E5839" w:rsidRPr="00B729B8" w14:paraId="5D777452" w14:textId="77777777" w:rsidTr="00951CE2">
        <w:tc>
          <w:tcPr>
            <w:tcW w:w="2552" w:type="dxa"/>
          </w:tcPr>
          <w:p w14:paraId="178D6200" w14:textId="77777777" w:rsidR="009E5839" w:rsidRPr="00B729B8" w:rsidRDefault="009E5839" w:rsidP="0004163C">
            <w:pPr>
              <w:spacing w:after="0" w:line="276" w:lineRule="auto"/>
              <w:ind w:firstLine="34"/>
              <w:rPr>
                <w:rFonts w:ascii="Times New Roman" w:eastAsia="Times New Roman" w:hAnsi="Times New Roman" w:cs="Times New Roman"/>
                <w:color w:val="000000"/>
                <w:sz w:val="24"/>
                <w:szCs w:val="24"/>
                <w:vertAlign w:val="superscript"/>
                <w:lang w:val="en-US" w:eastAsia="es-ES"/>
              </w:rPr>
            </w:pPr>
            <w:r w:rsidRPr="00B729B8">
              <w:rPr>
                <w:rFonts w:ascii="Times New Roman" w:eastAsia="Times New Roman" w:hAnsi="Times New Roman" w:cs="Times New Roman"/>
                <w:color w:val="000000"/>
                <w:sz w:val="24"/>
                <w:szCs w:val="24"/>
                <w:lang w:val="en-US" w:eastAsia="es-ES"/>
              </w:rPr>
              <w:t>Cigarette use</w:t>
            </w:r>
            <w:r w:rsidRPr="00B729B8">
              <w:rPr>
                <w:rFonts w:ascii="Times New Roman" w:eastAsia="Times New Roman" w:hAnsi="Times New Roman" w:cs="Times New Roman"/>
                <w:color w:val="000000"/>
                <w:sz w:val="24"/>
                <w:szCs w:val="24"/>
                <w:vertAlign w:val="superscript"/>
                <w:lang w:val="en-US" w:eastAsia="es-ES"/>
              </w:rPr>
              <w:t>a</w:t>
            </w:r>
          </w:p>
          <w:p w14:paraId="25F55F03" w14:textId="77777777" w:rsidR="009E5839" w:rsidRPr="00B729B8" w:rsidRDefault="009E5839" w:rsidP="0004163C">
            <w:pPr>
              <w:spacing w:after="0" w:line="276" w:lineRule="auto"/>
              <w:ind w:firstLine="318"/>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val="en-US" w:eastAsia="es-ES"/>
              </w:rPr>
              <w:t>None</w:t>
            </w:r>
          </w:p>
          <w:p w14:paraId="514AB4BB" w14:textId="77777777" w:rsidR="009E5839" w:rsidRPr="00B729B8" w:rsidRDefault="009E5839" w:rsidP="0004163C">
            <w:pPr>
              <w:spacing w:after="0" w:line="276" w:lineRule="auto"/>
              <w:ind w:firstLine="318"/>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val="en-US" w:eastAsia="es-ES"/>
              </w:rPr>
              <w:t>Monthly or more</w:t>
            </w:r>
          </w:p>
        </w:tc>
        <w:tc>
          <w:tcPr>
            <w:tcW w:w="1719" w:type="dxa"/>
          </w:tcPr>
          <w:p w14:paraId="3A043E14"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p>
          <w:p w14:paraId="4FCE5E6E"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color w:val="000000"/>
                <w:sz w:val="24"/>
                <w:szCs w:val="24"/>
                <w:lang w:val="en-US" w:eastAsia="es-ES"/>
              </w:rPr>
              <w:t>712 (71.2)</w:t>
            </w:r>
          </w:p>
          <w:p w14:paraId="3B0981A5"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color w:val="000000"/>
                <w:sz w:val="24"/>
                <w:szCs w:val="24"/>
                <w:lang w:val="en-US" w:eastAsia="es-ES"/>
              </w:rPr>
              <w:t>288 (28.8)</w:t>
            </w:r>
          </w:p>
        </w:tc>
        <w:tc>
          <w:tcPr>
            <w:tcW w:w="1701" w:type="dxa"/>
          </w:tcPr>
          <w:p w14:paraId="76BF6F0E"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val="en-US" w:eastAsia="es-ES"/>
              </w:rPr>
            </w:pPr>
          </w:p>
          <w:p w14:paraId="29145D4E"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val="en-US" w:eastAsia="es-ES"/>
              </w:rPr>
              <w:t>749 (83.1)</w:t>
            </w:r>
          </w:p>
          <w:p w14:paraId="0D4C3E80"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val="en-US" w:eastAsia="es-ES"/>
              </w:rPr>
              <w:t>152 (16.9)</w:t>
            </w:r>
          </w:p>
        </w:tc>
        <w:tc>
          <w:tcPr>
            <w:tcW w:w="1701" w:type="dxa"/>
            <w:vAlign w:val="center"/>
          </w:tcPr>
          <w:p w14:paraId="41065AB7"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val="en-US" w:eastAsia="es-ES"/>
              </w:rPr>
            </w:pPr>
          </w:p>
          <w:p w14:paraId="2BD2EA62"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val="en-US" w:eastAsia="es-ES"/>
              </w:rPr>
              <w:t>761 (87.0)</w:t>
            </w:r>
          </w:p>
          <w:p w14:paraId="55768B84"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color w:val="000000"/>
                <w:sz w:val="24"/>
                <w:szCs w:val="24"/>
                <w:lang w:val="en-US" w:eastAsia="es-ES"/>
              </w:rPr>
              <w:t>114 (13)</w:t>
            </w:r>
          </w:p>
        </w:tc>
        <w:tc>
          <w:tcPr>
            <w:tcW w:w="1701" w:type="dxa"/>
          </w:tcPr>
          <w:p w14:paraId="3FD31F98"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p>
          <w:p w14:paraId="216FDF7D"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color w:val="000000"/>
                <w:sz w:val="24"/>
                <w:szCs w:val="24"/>
                <w:lang w:val="en-US" w:eastAsia="es-ES"/>
              </w:rPr>
              <w:t>640 (88.9)</w:t>
            </w:r>
          </w:p>
          <w:p w14:paraId="5BDD8D02"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color w:val="000000"/>
                <w:sz w:val="24"/>
                <w:szCs w:val="24"/>
                <w:lang w:val="en-US" w:eastAsia="es-ES"/>
              </w:rPr>
              <w:t>80 (11.2)</w:t>
            </w:r>
          </w:p>
        </w:tc>
      </w:tr>
      <w:tr w:rsidR="009E5839" w:rsidRPr="00B729B8" w14:paraId="29EA1844" w14:textId="77777777" w:rsidTr="00951CE2">
        <w:tc>
          <w:tcPr>
            <w:tcW w:w="2552" w:type="dxa"/>
          </w:tcPr>
          <w:p w14:paraId="4AB64B86" w14:textId="77777777" w:rsidR="009E5839" w:rsidRPr="00B729B8" w:rsidRDefault="009E5839" w:rsidP="0004163C">
            <w:pPr>
              <w:spacing w:after="0" w:line="276" w:lineRule="auto"/>
              <w:ind w:firstLine="34"/>
              <w:rPr>
                <w:rFonts w:ascii="Times New Roman" w:eastAsia="Times New Roman" w:hAnsi="Times New Roman" w:cs="Times New Roman"/>
                <w:b/>
                <w:color w:val="000000"/>
                <w:sz w:val="24"/>
                <w:szCs w:val="24"/>
                <w:lang w:eastAsia="es-ES"/>
              </w:rPr>
            </w:pPr>
            <w:r w:rsidRPr="00B729B8">
              <w:rPr>
                <w:rFonts w:ascii="Times New Roman" w:eastAsia="Times New Roman" w:hAnsi="Times New Roman" w:cs="Times New Roman"/>
                <w:color w:val="000000"/>
                <w:sz w:val="24"/>
                <w:szCs w:val="24"/>
                <w:lang w:eastAsia="es-ES"/>
              </w:rPr>
              <w:t>FTCD</w:t>
            </w:r>
            <w:r w:rsidRPr="00B729B8">
              <w:rPr>
                <w:rFonts w:ascii="Times New Roman" w:eastAsia="Times New Roman" w:hAnsi="Times New Roman" w:cs="Times New Roman"/>
                <w:color w:val="000000"/>
                <w:sz w:val="24"/>
                <w:szCs w:val="24"/>
                <w:vertAlign w:val="superscript"/>
                <w:lang w:eastAsia="es-ES"/>
              </w:rPr>
              <w:t>b</w:t>
            </w:r>
          </w:p>
        </w:tc>
        <w:tc>
          <w:tcPr>
            <w:tcW w:w="1719" w:type="dxa"/>
          </w:tcPr>
          <w:p w14:paraId="4E7C366F"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eastAsia="es-ES"/>
              </w:rPr>
            </w:pPr>
            <w:r w:rsidRPr="00B729B8">
              <w:rPr>
                <w:rFonts w:ascii="Times New Roman" w:eastAsia="Times New Roman" w:hAnsi="Times New Roman" w:cs="Times New Roman"/>
                <w:bCs/>
                <w:color w:val="000000"/>
                <w:sz w:val="24"/>
                <w:szCs w:val="24"/>
                <w:lang w:val="en-US" w:eastAsia="es-ES"/>
              </w:rPr>
              <w:t>2.</w:t>
            </w:r>
            <w:r w:rsidRPr="00B729B8">
              <w:rPr>
                <w:rFonts w:ascii="Times New Roman" w:eastAsia="Times New Roman" w:hAnsi="Times New Roman" w:cs="Times New Roman"/>
                <w:bCs/>
                <w:color w:val="000000"/>
                <w:sz w:val="24"/>
                <w:szCs w:val="24"/>
                <w:lang w:eastAsia="es-ES"/>
              </w:rPr>
              <w:t>93 (1.70)</w:t>
            </w:r>
            <w:r w:rsidRPr="00B729B8">
              <w:rPr>
                <w:rFonts w:ascii="Times New Roman" w:eastAsia="Times New Roman" w:hAnsi="Times New Roman" w:cs="Times New Roman"/>
                <w:color w:val="000000"/>
                <w:sz w:val="24"/>
                <w:szCs w:val="24"/>
                <w:vertAlign w:val="superscript"/>
                <w:lang w:eastAsia="es-ES"/>
              </w:rPr>
              <w:t>†</w:t>
            </w:r>
          </w:p>
        </w:tc>
        <w:tc>
          <w:tcPr>
            <w:tcW w:w="1701" w:type="dxa"/>
          </w:tcPr>
          <w:p w14:paraId="0E41299A"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val="en-US" w:eastAsia="es-ES"/>
              </w:rPr>
              <w:t>2.56 (1.62)</w:t>
            </w:r>
            <w:r w:rsidRPr="00B729B8">
              <w:rPr>
                <w:rFonts w:ascii="Times New Roman" w:eastAsia="Times New Roman" w:hAnsi="Times New Roman" w:cs="Times New Roman"/>
                <w:color w:val="000000"/>
                <w:sz w:val="24"/>
                <w:szCs w:val="24"/>
                <w:vertAlign w:val="superscript"/>
                <w:lang w:val="en-US" w:eastAsia="es-ES"/>
              </w:rPr>
              <w:t>†</w:t>
            </w:r>
          </w:p>
        </w:tc>
        <w:tc>
          <w:tcPr>
            <w:tcW w:w="1701" w:type="dxa"/>
            <w:vAlign w:val="center"/>
          </w:tcPr>
          <w:p w14:paraId="74E5B449"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color w:val="000000"/>
                <w:sz w:val="24"/>
                <w:szCs w:val="24"/>
                <w:lang w:val="en-US" w:eastAsia="es-ES"/>
              </w:rPr>
              <w:t>2.84 (1.47)</w:t>
            </w:r>
            <w:r w:rsidRPr="00B729B8">
              <w:rPr>
                <w:rFonts w:ascii="Times New Roman" w:eastAsia="Times New Roman" w:hAnsi="Times New Roman" w:cs="Times New Roman"/>
                <w:color w:val="000000"/>
                <w:sz w:val="24"/>
                <w:szCs w:val="24"/>
                <w:vertAlign w:val="superscript"/>
                <w:lang w:val="en-US" w:eastAsia="es-ES"/>
              </w:rPr>
              <w:t>†</w:t>
            </w:r>
          </w:p>
        </w:tc>
        <w:tc>
          <w:tcPr>
            <w:tcW w:w="1701" w:type="dxa"/>
          </w:tcPr>
          <w:p w14:paraId="2B424F54"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color w:val="000000"/>
                <w:sz w:val="24"/>
                <w:szCs w:val="24"/>
                <w:lang w:val="en-US" w:eastAsia="es-ES"/>
              </w:rPr>
              <w:t>2.85 (1.46)</w:t>
            </w:r>
            <w:r w:rsidRPr="00B729B8">
              <w:rPr>
                <w:rFonts w:ascii="Times New Roman" w:eastAsia="Times New Roman" w:hAnsi="Times New Roman" w:cs="Times New Roman"/>
                <w:color w:val="000000"/>
                <w:sz w:val="24"/>
                <w:szCs w:val="24"/>
                <w:vertAlign w:val="superscript"/>
                <w:lang w:val="en-US" w:eastAsia="es-ES"/>
              </w:rPr>
              <w:t>†</w:t>
            </w:r>
          </w:p>
        </w:tc>
      </w:tr>
      <w:tr w:rsidR="009E5839" w:rsidRPr="00B729B8" w14:paraId="676249DC" w14:textId="77777777" w:rsidTr="00951CE2">
        <w:tc>
          <w:tcPr>
            <w:tcW w:w="2552" w:type="dxa"/>
            <w:tcBorders>
              <w:bottom w:val="single" w:sz="4" w:space="0" w:color="auto"/>
            </w:tcBorders>
          </w:tcPr>
          <w:p w14:paraId="14B1BEE0" w14:textId="77777777" w:rsidR="009E5839" w:rsidRPr="00B729B8" w:rsidRDefault="009E5839" w:rsidP="0004163C">
            <w:pPr>
              <w:spacing w:after="0" w:line="276" w:lineRule="auto"/>
              <w:ind w:firstLine="34"/>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val="en-US" w:eastAsia="es-ES"/>
              </w:rPr>
              <w:t>E-cigarette use</w:t>
            </w:r>
            <w:r w:rsidRPr="00B729B8">
              <w:rPr>
                <w:rFonts w:ascii="Times New Roman" w:eastAsia="Times New Roman" w:hAnsi="Times New Roman" w:cs="Times New Roman"/>
                <w:color w:val="000000"/>
                <w:sz w:val="24"/>
                <w:szCs w:val="24"/>
                <w:vertAlign w:val="superscript"/>
                <w:lang w:val="en-US" w:eastAsia="es-ES"/>
              </w:rPr>
              <w:t>a</w:t>
            </w:r>
          </w:p>
          <w:p w14:paraId="01F44682" w14:textId="77777777" w:rsidR="009E5839" w:rsidRPr="00B729B8" w:rsidRDefault="009E5839" w:rsidP="0004163C">
            <w:pPr>
              <w:spacing w:after="0" w:line="276" w:lineRule="auto"/>
              <w:ind w:firstLine="318"/>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val="en-US" w:eastAsia="es-ES"/>
              </w:rPr>
              <w:t>None</w:t>
            </w:r>
          </w:p>
          <w:p w14:paraId="1341A65F" w14:textId="77777777" w:rsidR="009E5839" w:rsidRPr="00B729B8" w:rsidRDefault="009E5839" w:rsidP="0004163C">
            <w:pPr>
              <w:spacing w:after="0" w:line="276" w:lineRule="auto"/>
              <w:ind w:firstLine="318"/>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val="en-US" w:eastAsia="es-ES"/>
              </w:rPr>
              <w:t>Monthly or more</w:t>
            </w:r>
          </w:p>
        </w:tc>
        <w:tc>
          <w:tcPr>
            <w:tcW w:w="1719" w:type="dxa"/>
            <w:tcBorders>
              <w:bottom w:val="single" w:sz="4" w:space="0" w:color="auto"/>
            </w:tcBorders>
          </w:tcPr>
          <w:p w14:paraId="58984661" w14:textId="77777777" w:rsidR="009E5839" w:rsidRPr="00B729B8" w:rsidRDefault="009E5839" w:rsidP="0004163C">
            <w:pPr>
              <w:tabs>
                <w:tab w:val="left" w:pos="1230"/>
              </w:tabs>
              <w:spacing w:after="0" w:line="276" w:lineRule="auto"/>
              <w:jc w:val="center"/>
              <w:rPr>
                <w:rFonts w:ascii="Times New Roman" w:hAnsi="Times New Roman" w:cs="Times New Roman"/>
                <w:sz w:val="24"/>
                <w:szCs w:val="24"/>
                <w:lang w:val="en-US"/>
              </w:rPr>
            </w:pPr>
          </w:p>
          <w:p w14:paraId="64D0ED19" w14:textId="77777777" w:rsidR="009E5839" w:rsidRPr="00B729B8" w:rsidRDefault="009E5839" w:rsidP="0004163C">
            <w:pPr>
              <w:tabs>
                <w:tab w:val="left" w:pos="1230"/>
              </w:tabs>
              <w:spacing w:after="0" w:line="276" w:lineRule="auto"/>
              <w:jc w:val="center"/>
              <w:rPr>
                <w:rFonts w:ascii="Times New Roman" w:hAnsi="Times New Roman" w:cs="Times New Roman"/>
                <w:sz w:val="24"/>
                <w:szCs w:val="24"/>
              </w:rPr>
            </w:pPr>
            <w:r w:rsidRPr="00B729B8">
              <w:rPr>
                <w:rFonts w:ascii="Times New Roman" w:hAnsi="Times New Roman" w:cs="Times New Roman"/>
                <w:sz w:val="24"/>
                <w:szCs w:val="24"/>
              </w:rPr>
              <w:t>833 (83.3)</w:t>
            </w:r>
          </w:p>
          <w:p w14:paraId="3E24CD92" w14:textId="77777777" w:rsidR="009E5839" w:rsidRPr="00B729B8" w:rsidRDefault="009E5839" w:rsidP="0004163C">
            <w:pPr>
              <w:tabs>
                <w:tab w:val="left" w:pos="1230"/>
              </w:tabs>
              <w:spacing w:after="0" w:line="276" w:lineRule="auto"/>
              <w:jc w:val="center"/>
              <w:rPr>
                <w:rFonts w:ascii="Times New Roman" w:hAnsi="Times New Roman" w:cs="Times New Roman"/>
                <w:sz w:val="24"/>
                <w:szCs w:val="24"/>
              </w:rPr>
            </w:pPr>
            <w:r w:rsidRPr="00B729B8">
              <w:rPr>
                <w:rFonts w:ascii="Times New Roman" w:hAnsi="Times New Roman" w:cs="Times New Roman"/>
                <w:sz w:val="24"/>
                <w:szCs w:val="24"/>
              </w:rPr>
              <w:t>167 (16.7)</w:t>
            </w:r>
          </w:p>
        </w:tc>
        <w:tc>
          <w:tcPr>
            <w:tcW w:w="1701" w:type="dxa"/>
            <w:tcBorders>
              <w:bottom w:val="single" w:sz="4" w:space="0" w:color="auto"/>
            </w:tcBorders>
          </w:tcPr>
          <w:p w14:paraId="24EF2CB0" w14:textId="77777777" w:rsidR="009E5839" w:rsidRPr="00B729B8" w:rsidRDefault="009E5839" w:rsidP="0004163C">
            <w:pPr>
              <w:spacing w:after="0" w:line="276" w:lineRule="auto"/>
              <w:jc w:val="center"/>
              <w:rPr>
                <w:rFonts w:ascii="Times New Roman" w:hAnsi="Times New Roman" w:cs="Times New Roman"/>
                <w:sz w:val="24"/>
                <w:szCs w:val="24"/>
              </w:rPr>
            </w:pPr>
          </w:p>
          <w:p w14:paraId="06921CD4" w14:textId="77777777" w:rsidR="009E5839" w:rsidRPr="00B729B8" w:rsidRDefault="009E5839" w:rsidP="0004163C">
            <w:pPr>
              <w:spacing w:after="0" w:line="276" w:lineRule="auto"/>
              <w:jc w:val="center"/>
              <w:rPr>
                <w:rFonts w:ascii="Times New Roman" w:hAnsi="Times New Roman" w:cs="Times New Roman"/>
                <w:sz w:val="24"/>
                <w:szCs w:val="24"/>
              </w:rPr>
            </w:pPr>
            <w:r w:rsidRPr="00B729B8">
              <w:rPr>
                <w:rFonts w:ascii="Times New Roman" w:hAnsi="Times New Roman" w:cs="Times New Roman"/>
                <w:sz w:val="24"/>
                <w:szCs w:val="24"/>
              </w:rPr>
              <w:t>759 (86.2)</w:t>
            </w:r>
          </w:p>
          <w:p w14:paraId="2E68B008" w14:textId="77777777" w:rsidR="009E5839" w:rsidRPr="00B729B8" w:rsidRDefault="009E5839" w:rsidP="0004163C">
            <w:pPr>
              <w:spacing w:after="0" w:line="276" w:lineRule="auto"/>
              <w:jc w:val="center"/>
              <w:rPr>
                <w:rFonts w:ascii="Times New Roman" w:hAnsi="Times New Roman" w:cs="Times New Roman"/>
                <w:sz w:val="24"/>
                <w:szCs w:val="24"/>
              </w:rPr>
            </w:pPr>
            <w:r w:rsidRPr="00B729B8">
              <w:rPr>
                <w:rFonts w:ascii="Times New Roman" w:hAnsi="Times New Roman" w:cs="Times New Roman"/>
                <w:sz w:val="24"/>
                <w:szCs w:val="24"/>
              </w:rPr>
              <w:t>122 (13.8)</w:t>
            </w:r>
          </w:p>
        </w:tc>
        <w:tc>
          <w:tcPr>
            <w:tcW w:w="1701" w:type="dxa"/>
            <w:tcBorders>
              <w:bottom w:val="single" w:sz="4" w:space="0" w:color="auto"/>
            </w:tcBorders>
            <w:vAlign w:val="center"/>
          </w:tcPr>
          <w:p w14:paraId="0135F389" w14:textId="77777777" w:rsidR="009E5839" w:rsidRPr="00B729B8" w:rsidRDefault="009E5839" w:rsidP="0004163C">
            <w:pPr>
              <w:spacing w:after="0" w:line="276" w:lineRule="auto"/>
              <w:jc w:val="center"/>
              <w:rPr>
                <w:rFonts w:ascii="Times New Roman" w:hAnsi="Times New Roman" w:cs="Times New Roman"/>
                <w:sz w:val="24"/>
                <w:szCs w:val="24"/>
              </w:rPr>
            </w:pPr>
          </w:p>
          <w:p w14:paraId="0DCC6CF8" w14:textId="77777777" w:rsidR="009E5839" w:rsidRPr="00B729B8" w:rsidRDefault="009E5839" w:rsidP="0004163C">
            <w:pPr>
              <w:spacing w:after="0" w:line="276" w:lineRule="auto"/>
              <w:jc w:val="center"/>
              <w:rPr>
                <w:rFonts w:ascii="Times New Roman" w:hAnsi="Times New Roman" w:cs="Times New Roman"/>
                <w:sz w:val="24"/>
                <w:szCs w:val="24"/>
              </w:rPr>
            </w:pPr>
            <w:r w:rsidRPr="00B729B8">
              <w:rPr>
                <w:rFonts w:ascii="Times New Roman" w:hAnsi="Times New Roman" w:cs="Times New Roman"/>
                <w:sz w:val="24"/>
                <w:szCs w:val="24"/>
              </w:rPr>
              <w:t>740 (85.6)</w:t>
            </w:r>
          </w:p>
          <w:p w14:paraId="767D2149" w14:textId="77777777" w:rsidR="009E5839" w:rsidRPr="00B729B8" w:rsidRDefault="009E5839" w:rsidP="0004163C">
            <w:pPr>
              <w:spacing w:after="0" w:line="276" w:lineRule="auto"/>
              <w:jc w:val="center"/>
              <w:rPr>
                <w:rFonts w:ascii="Times New Roman" w:hAnsi="Times New Roman" w:cs="Times New Roman"/>
                <w:sz w:val="24"/>
                <w:szCs w:val="24"/>
              </w:rPr>
            </w:pPr>
            <w:r w:rsidRPr="00B729B8">
              <w:rPr>
                <w:rFonts w:ascii="Times New Roman" w:hAnsi="Times New Roman" w:cs="Times New Roman"/>
                <w:sz w:val="24"/>
                <w:szCs w:val="24"/>
              </w:rPr>
              <w:t>124 (14.4)</w:t>
            </w:r>
          </w:p>
        </w:tc>
        <w:tc>
          <w:tcPr>
            <w:tcW w:w="1701" w:type="dxa"/>
            <w:tcBorders>
              <w:bottom w:val="single" w:sz="4" w:space="0" w:color="auto"/>
            </w:tcBorders>
          </w:tcPr>
          <w:p w14:paraId="3972E5E4"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eastAsia="es-ES"/>
              </w:rPr>
            </w:pPr>
          </w:p>
          <w:p w14:paraId="07EA4182"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eastAsia="es-ES"/>
              </w:rPr>
            </w:pPr>
            <w:r w:rsidRPr="00B729B8">
              <w:rPr>
                <w:rFonts w:ascii="Times New Roman" w:eastAsia="Times New Roman" w:hAnsi="Times New Roman" w:cs="Times New Roman"/>
                <w:bCs/>
                <w:color w:val="000000"/>
                <w:sz w:val="24"/>
                <w:szCs w:val="24"/>
                <w:lang w:eastAsia="es-ES"/>
              </w:rPr>
              <w:t>524 (89.3)</w:t>
            </w:r>
          </w:p>
          <w:p w14:paraId="40DFDE5C"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color w:val="000000"/>
                <w:sz w:val="24"/>
                <w:szCs w:val="24"/>
                <w:lang w:eastAsia="es-ES"/>
              </w:rPr>
              <w:t>63 (10.7)</w:t>
            </w:r>
          </w:p>
        </w:tc>
      </w:tr>
      <w:tr w:rsidR="009E5839" w:rsidRPr="00B729B8" w14:paraId="59F2CE59" w14:textId="77777777" w:rsidTr="00951CE2">
        <w:tc>
          <w:tcPr>
            <w:tcW w:w="9374" w:type="dxa"/>
            <w:gridSpan w:val="5"/>
            <w:tcBorders>
              <w:top w:val="single" w:sz="4" w:space="0" w:color="auto"/>
            </w:tcBorders>
          </w:tcPr>
          <w:p w14:paraId="40B85FFA" w14:textId="77777777" w:rsidR="009E5839" w:rsidRPr="00B729B8" w:rsidRDefault="009E5839" w:rsidP="0004163C">
            <w:pPr>
              <w:spacing w:after="0" w:line="276" w:lineRule="auto"/>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i/>
                <w:color w:val="000000"/>
                <w:sz w:val="24"/>
                <w:szCs w:val="24"/>
                <w:lang w:val="en-US" w:eastAsia="es-ES"/>
              </w:rPr>
              <w:t>Notes.</w:t>
            </w:r>
            <w:r w:rsidRPr="00B729B8">
              <w:rPr>
                <w:rFonts w:ascii="Times New Roman" w:eastAsia="Times New Roman" w:hAnsi="Times New Roman" w:cs="Times New Roman"/>
                <w:color w:val="000000"/>
                <w:sz w:val="24"/>
                <w:szCs w:val="24"/>
                <w:vertAlign w:val="superscript"/>
                <w:lang w:val="en-US" w:eastAsia="es-ES"/>
              </w:rPr>
              <w:t xml:space="preserve"> </w:t>
            </w:r>
            <w:r w:rsidRPr="00B729B8">
              <w:rPr>
                <w:rFonts w:ascii="Times New Roman" w:eastAsia="Times New Roman" w:hAnsi="Times New Roman" w:cs="Times New Roman"/>
                <w:b/>
                <w:bCs/>
                <w:i/>
                <w:color w:val="000000"/>
                <w:sz w:val="24"/>
                <w:szCs w:val="24"/>
                <w:lang w:val="en-US" w:eastAsia="es-ES"/>
              </w:rPr>
              <w:t xml:space="preserve"> </w:t>
            </w:r>
            <w:r w:rsidRPr="00B729B8">
              <w:rPr>
                <w:rFonts w:ascii="Times New Roman" w:eastAsia="Times New Roman" w:hAnsi="Times New Roman" w:cs="Times New Roman"/>
                <w:bCs/>
                <w:color w:val="000000"/>
                <w:sz w:val="24"/>
                <w:szCs w:val="24"/>
                <w:vertAlign w:val="superscript"/>
                <w:lang w:val="en-US" w:eastAsia="es-ES"/>
              </w:rPr>
              <w:t xml:space="preserve">a </w:t>
            </w:r>
            <w:r w:rsidRPr="00B729B8">
              <w:rPr>
                <w:rFonts w:ascii="Times New Roman" w:eastAsia="Times New Roman" w:hAnsi="Times New Roman" w:cs="Times New Roman"/>
                <w:bCs/>
                <w:color w:val="000000"/>
                <w:sz w:val="24"/>
                <w:szCs w:val="24"/>
                <w:lang w:val="en-US" w:eastAsia="es-ES"/>
              </w:rPr>
              <w:t xml:space="preserve">n (%) </w:t>
            </w:r>
            <w:r w:rsidRPr="00B729B8">
              <w:rPr>
                <w:rFonts w:ascii="Times New Roman" w:eastAsia="Times New Roman" w:hAnsi="Times New Roman" w:cs="Times New Roman"/>
                <w:bCs/>
                <w:color w:val="000000"/>
                <w:sz w:val="24"/>
                <w:szCs w:val="24"/>
                <w:vertAlign w:val="superscript"/>
                <w:lang w:val="en-US" w:eastAsia="es-ES"/>
              </w:rPr>
              <w:t>b</w:t>
            </w:r>
            <w:r w:rsidRPr="00B729B8">
              <w:rPr>
                <w:rFonts w:ascii="Times New Roman" w:eastAsia="Times New Roman" w:hAnsi="Times New Roman" w:cs="Times New Roman"/>
                <w:bCs/>
                <w:color w:val="000000"/>
                <w:sz w:val="24"/>
                <w:szCs w:val="24"/>
                <w:lang w:val="en-US" w:eastAsia="es-ES"/>
              </w:rPr>
              <w:t xml:space="preserve"> </w:t>
            </w:r>
            <w:r w:rsidRPr="00B729B8">
              <w:rPr>
                <w:rFonts w:ascii="Times New Roman" w:eastAsia="Times New Roman" w:hAnsi="Times New Roman" w:cs="Times New Roman"/>
                <w:bCs/>
                <w:i/>
                <w:color w:val="000000"/>
                <w:sz w:val="24"/>
                <w:szCs w:val="24"/>
                <w:lang w:val="en-US" w:eastAsia="es-ES"/>
              </w:rPr>
              <w:t>M</w:t>
            </w:r>
            <w:r w:rsidRPr="00B729B8">
              <w:rPr>
                <w:rFonts w:ascii="Times New Roman" w:eastAsia="Times New Roman" w:hAnsi="Times New Roman" w:cs="Times New Roman"/>
                <w:bCs/>
                <w:color w:val="000000"/>
                <w:sz w:val="24"/>
                <w:szCs w:val="24"/>
                <w:lang w:val="en-US" w:eastAsia="es-ES"/>
              </w:rPr>
              <w:t xml:space="preserve"> (</w:t>
            </w:r>
            <w:r w:rsidRPr="00B729B8">
              <w:rPr>
                <w:rFonts w:ascii="Times New Roman" w:eastAsia="Times New Roman" w:hAnsi="Times New Roman" w:cs="Times New Roman"/>
                <w:bCs/>
                <w:i/>
                <w:color w:val="000000"/>
                <w:sz w:val="24"/>
                <w:szCs w:val="24"/>
                <w:lang w:val="en-US" w:eastAsia="es-ES"/>
              </w:rPr>
              <w:t>SD</w:t>
            </w:r>
            <w:r w:rsidRPr="00B729B8">
              <w:rPr>
                <w:rFonts w:ascii="Times New Roman" w:eastAsia="Times New Roman" w:hAnsi="Times New Roman" w:cs="Times New Roman"/>
                <w:bCs/>
                <w:color w:val="000000"/>
                <w:sz w:val="24"/>
                <w:szCs w:val="24"/>
                <w:lang w:val="en-US" w:eastAsia="es-ES"/>
              </w:rPr>
              <w:t>)</w:t>
            </w:r>
          </w:p>
          <w:p w14:paraId="7C46D89A" w14:textId="77777777" w:rsidR="009E5839" w:rsidRPr="00B729B8" w:rsidRDefault="009E5839" w:rsidP="0004163C">
            <w:pPr>
              <w:spacing w:after="0" w:line="276" w:lineRule="auto"/>
              <w:rPr>
                <w:rFonts w:ascii="Times New Roman" w:eastAsia="Times New Roman" w:hAnsi="Times New Roman" w:cs="Times New Roman"/>
                <w:color w:val="000000"/>
                <w:sz w:val="24"/>
                <w:szCs w:val="24"/>
                <w:vertAlign w:val="superscript"/>
                <w:lang w:val="en-US" w:eastAsia="es-ES"/>
              </w:rPr>
            </w:pPr>
            <w:r w:rsidRPr="00B729B8">
              <w:rPr>
                <w:rFonts w:ascii="Times New Roman" w:eastAsia="Times New Roman" w:hAnsi="Times New Roman" w:cs="Times New Roman"/>
                <w:bCs/>
                <w:color w:val="000000"/>
                <w:sz w:val="24"/>
                <w:szCs w:val="24"/>
                <w:lang w:val="en-US" w:eastAsia="es-ES"/>
              </w:rPr>
              <w:t>FTCD: Fagerström Test of Cigarette Dependence</w:t>
            </w:r>
          </w:p>
          <w:p w14:paraId="44F08388" w14:textId="77777777" w:rsidR="009E5839" w:rsidRPr="00B729B8" w:rsidRDefault="009E5839" w:rsidP="0004163C">
            <w:pPr>
              <w:spacing w:after="0" w:line="276" w:lineRule="auto"/>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color w:val="000000"/>
                <w:sz w:val="24"/>
                <w:szCs w:val="24"/>
                <w:vertAlign w:val="superscript"/>
                <w:lang w:val="en-US" w:eastAsia="es-ES"/>
              </w:rPr>
              <w:t>†</w:t>
            </w:r>
            <w:r w:rsidRPr="00B729B8">
              <w:rPr>
                <w:rFonts w:ascii="Times New Roman" w:eastAsia="Times New Roman" w:hAnsi="Times New Roman" w:cs="Times New Roman"/>
                <w:color w:val="000000"/>
                <w:sz w:val="24"/>
                <w:szCs w:val="24"/>
                <w:lang w:val="en-US" w:eastAsia="es-ES"/>
              </w:rPr>
              <w:t xml:space="preserve"> combustible smokers, </w:t>
            </w:r>
            <w:r w:rsidRPr="00B729B8">
              <w:rPr>
                <w:rFonts w:ascii="Times New Roman" w:eastAsia="Times New Roman" w:hAnsi="Times New Roman" w:cs="Times New Roman"/>
                <w:i/>
                <w:iCs/>
                <w:color w:val="000000"/>
                <w:sz w:val="24"/>
                <w:szCs w:val="24"/>
                <w:lang w:val="en-US" w:eastAsia="es-ES"/>
              </w:rPr>
              <w:t>n</w:t>
            </w:r>
            <w:r w:rsidRPr="00B729B8">
              <w:rPr>
                <w:rFonts w:ascii="Times New Roman" w:eastAsia="Times New Roman" w:hAnsi="Times New Roman" w:cs="Times New Roman"/>
                <w:color w:val="000000"/>
                <w:sz w:val="24"/>
                <w:szCs w:val="24"/>
                <w:lang w:val="en-US" w:eastAsia="es-ES"/>
              </w:rPr>
              <w:t xml:space="preserve"> = 287 (Baseline), 167 (8-months), 114 (16-months) and 80 (24-months) </w:t>
            </w:r>
          </w:p>
        </w:tc>
      </w:tr>
    </w:tbl>
    <w:p w14:paraId="52E31348" w14:textId="77777777" w:rsidR="009E5839" w:rsidRPr="00B729B8" w:rsidRDefault="009E5839" w:rsidP="0004163C">
      <w:pPr>
        <w:rPr>
          <w:rFonts w:ascii="Times New Roman" w:hAnsi="Times New Roman" w:cs="Times New Roman"/>
          <w:b/>
          <w:sz w:val="24"/>
          <w:szCs w:val="24"/>
          <w:lang w:val="en-US"/>
        </w:rPr>
      </w:pPr>
    </w:p>
    <w:p w14:paraId="6C67A106" w14:textId="77777777" w:rsidR="009E5839" w:rsidRPr="00B729B8" w:rsidRDefault="009E5839" w:rsidP="0004163C">
      <w:pPr>
        <w:rPr>
          <w:rFonts w:ascii="Times New Roman" w:hAnsi="Times New Roman" w:cs="Times New Roman"/>
          <w:b/>
          <w:sz w:val="24"/>
          <w:szCs w:val="24"/>
          <w:lang w:val="en-US"/>
        </w:rPr>
      </w:pPr>
      <w:r w:rsidRPr="00B729B8">
        <w:rPr>
          <w:rFonts w:ascii="Times New Roman" w:hAnsi="Times New Roman" w:cs="Times New Roman"/>
          <w:b/>
          <w:sz w:val="24"/>
          <w:szCs w:val="24"/>
          <w:lang w:val="en-US"/>
        </w:rPr>
        <w:br w:type="page"/>
      </w:r>
    </w:p>
    <w:p w14:paraId="5E994449" w14:textId="77777777" w:rsidR="009E5839" w:rsidRPr="00B729B8" w:rsidRDefault="009E5839" w:rsidP="0004163C">
      <w:pPr>
        <w:rPr>
          <w:rFonts w:ascii="Times New Roman" w:hAnsi="Times New Roman" w:cs="Times New Roman"/>
          <w:b/>
          <w:sz w:val="24"/>
          <w:szCs w:val="24"/>
          <w:lang w:val="en-US"/>
        </w:rPr>
      </w:pPr>
    </w:p>
    <w:tbl>
      <w:tblPr>
        <w:tblpPr w:leftFromText="180" w:rightFromText="180" w:vertAnchor="text" w:horzAnchor="margin" w:tblpY="174"/>
        <w:tblW w:w="0" w:type="auto"/>
        <w:tblLook w:val="04A0" w:firstRow="1" w:lastRow="0" w:firstColumn="1" w:lastColumn="0" w:noHBand="0" w:noVBand="1"/>
      </w:tblPr>
      <w:tblGrid>
        <w:gridCol w:w="1843"/>
        <w:gridCol w:w="1276"/>
        <w:gridCol w:w="1701"/>
        <w:gridCol w:w="1559"/>
        <w:gridCol w:w="1418"/>
      </w:tblGrid>
      <w:tr w:rsidR="009E5839" w:rsidRPr="00B729B8" w14:paraId="2DE0B85E" w14:textId="77777777" w:rsidTr="00951CE2">
        <w:tc>
          <w:tcPr>
            <w:tcW w:w="7797" w:type="dxa"/>
            <w:gridSpan w:val="5"/>
            <w:tcBorders>
              <w:top w:val="nil"/>
              <w:left w:val="nil"/>
              <w:bottom w:val="single" w:sz="4" w:space="0" w:color="auto"/>
              <w:right w:val="nil"/>
            </w:tcBorders>
          </w:tcPr>
          <w:p w14:paraId="38DD8DF2" w14:textId="77777777" w:rsidR="009E5839" w:rsidRPr="00B729B8" w:rsidRDefault="009E5839" w:rsidP="0004163C">
            <w:pPr>
              <w:spacing w:after="0" w:line="276" w:lineRule="auto"/>
              <w:rPr>
                <w:rFonts w:ascii="Times New Roman" w:hAnsi="Times New Roman" w:cs="Times New Roman"/>
                <w:sz w:val="24"/>
                <w:szCs w:val="24"/>
                <w:lang w:val="en-US"/>
              </w:rPr>
            </w:pPr>
            <w:r w:rsidRPr="00B729B8">
              <w:rPr>
                <w:rFonts w:ascii="Times New Roman" w:hAnsi="Times New Roman" w:cs="Times New Roman"/>
                <w:sz w:val="24"/>
                <w:szCs w:val="24"/>
                <w:lang w:val="en-US"/>
              </w:rPr>
              <w:br w:type="page"/>
            </w:r>
            <w:r w:rsidRPr="00B729B8">
              <w:rPr>
                <w:rFonts w:ascii="Times New Roman" w:hAnsi="Times New Roman" w:cs="Times New Roman"/>
                <w:sz w:val="24"/>
                <w:szCs w:val="24"/>
                <w:lang w:val="en-US"/>
              </w:rPr>
              <w:br w:type="page"/>
              <w:t>Table 2</w:t>
            </w:r>
          </w:p>
          <w:p w14:paraId="269B4632" w14:textId="77777777" w:rsidR="009E5839" w:rsidRPr="00B729B8" w:rsidRDefault="009E5839" w:rsidP="0004163C">
            <w:pPr>
              <w:spacing w:after="0" w:line="276" w:lineRule="auto"/>
              <w:rPr>
                <w:rFonts w:ascii="Times New Roman" w:hAnsi="Times New Roman" w:cs="Times New Roman"/>
                <w:i/>
                <w:sz w:val="24"/>
                <w:szCs w:val="24"/>
                <w:lang w:val="en-US"/>
              </w:rPr>
            </w:pPr>
            <w:r w:rsidRPr="00B729B8">
              <w:rPr>
                <w:rFonts w:ascii="Times New Roman" w:hAnsi="Times New Roman" w:cs="Times New Roman"/>
                <w:i/>
                <w:sz w:val="24"/>
                <w:szCs w:val="24"/>
                <w:lang w:val="en-US"/>
              </w:rPr>
              <w:t xml:space="preserve">Item-response probabilities and class membership probabilities across time and </w:t>
            </w:r>
            <w:r w:rsidRPr="00B729B8">
              <w:rPr>
                <w:rFonts w:ascii="Times New Roman" w:hAnsi="Times New Roman" w:cs="Times New Roman"/>
                <w:i/>
                <w:sz w:val="24"/>
                <w:szCs w:val="24"/>
                <w:lang w:val="en-CA"/>
              </w:rPr>
              <w:t>tau estimates (transition probabilities)</w:t>
            </w:r>
          </w:p>
        </w:tc>
      </w:tr>
      <w:tr w:rsidR="009E5839" w:rsidRPr="00B729B8" w14:paraId="4F6B00E9" w14:textId="77777777" w:rsidTr="00951CE2">
        <w:trPr>
          <w:trHeight w:val="379"/>
        </w:trPr>
        <w:tc>
          <w:tcPr>
            <w:tcW w:w="1843" w:type="dxa"/>
            <w:tcBorders>
              <w:top w:val="single" w:sz="4" w:space="0" w:color="auto"/>
              <w:left w:val="nil"/>
              <w:bottom w:val="single" w:sz="4" w:space="0" w:color="auto"/>
              <w:right w:val="nil"/>
            </w:tcBorders>
          </w:tcPr>
          <w:p w14:paraId="210DBD93" w14:textId="77777777" w:rsidR="009E5839" w:rsidRPr="00B729B8" w:rsidRDefault="009E5839" w:rsidP="0004163C">
            <w:pPr>
              <w:spacing w:after="0" w:line="276" w:lineRule="auto"/>
              <w:jc w:val="center"/>
              <w:rPr>
                <w:rFonts w:ascii="Times New Roman" w:hAnsi="Times New Roman" w:cs="Times New Roman"/>
                <w:sz w:val="24"/>
                <w:szCs w:val="24"/>
                <w:lang w:val="en-US"/>
              </w:rPr>
            </w:pPr>
          </w:p>
        </w:tc>
        <w:tc>
          <w:tcPr>
            <w:tcW w:w="1276" w:type="dxa"/>
            <w:tcBorders>
              <w:top w:val="single" w:sz="4" w:space="0" w:color="auto"/>
              <w:left w:val="nil"/>
              <w:bottom w:val="single" w:sz="4" w:space="0" w:color="auto"/>
              <w:right w:val="nil"/>
            </w:tcBorders>
            <w:vAlign w:val="center"/>
          </w:tcPr>
          <w:p w14:paraId="272E788F"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val="en-US" w:eastAsia="es-ES"/>
              </w:rPr>
              <w:t>Class 1</w:t>
            </w:r>
          </w:p>
          <w:p w14:paraId="3CD3DCB7"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val="en-US" w:eastAsia="es-ES"/>
              </w:rPr>
              <w:t>(exclusive e-cig users)</w:t>
            </w:r>
          </w:p>
        </w:tc>
        <w:tc>
          <w:tcPr>
            <w:tcW w:w="1701" w:type="dxa"/>
            <w:tcBorders>
              <w:top w:val="single" w:sz="4" w:space="0" w:color="auto"/>
              <w:left w:val="nil"/>
              <w:bottom w:val="single" w:sz="4" w:space="0" w:color="auto"/>
              <w:right w:val="nil"/>
            </w:tcBorders>
            <w:vAlign w:val="center"/>
          </w:tcPr>
          <w:p w14:paraId="26C73F5C"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Class 2</w:t>
            </w:r>
          </w:p>
          <w:p w14:paraId="44D66EF5"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(dual users)</w:t>
            </w:r>
          </w:p>
        </w:tc>
        <w:tc>
          <w:tcPr>
            <w:tcW w:w="1559" w:type="dxa"/>
            <w:tcBorders>
              <w:top w:val="single" w:sz="4" w:space="0" w:color="auto"/>
              <w:left w:val="nil"/>
              <w:bottom w:val="single" w:sz="4" w:space="0" w:color="auto"/>
              <w:right w:val="nil"/>
            </w:tcBorders>
            <w:vAlign w:val="center"/>
          </w:tcPr>
          <w:p w14:paraId="716B923B"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Class 3</w:t>
            </w:r>
          </w:p>
          <w:p w14:paraId="46D5CA7C"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(non users)</w:t>
            </w:r>
          </w:p>
        </w:tc>
        <w:tc>
          <w:tcPr>
            <w:tcW w:w="1418" w:type="dxa"/>
            <w:tcBorders>
              <w:top w:val="single" w:sz="4" w:space="0" w:color="auto"/>
              <w:left w:val="nil"/>
              <w:bottom w:val="single" w:sz="4" w:space="0" w:color="auto"/>
              <w:right w:val="nil"/>
            </w:tcBorders>
          </w:tcPr>
          <w:p w14:paraId="12C5C400"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Class 4</w:t>
            </w:r>
          </w:p>
          <w:p w14:paraId="47FCFC61" w14:textId="77777777" w:rsidR="009E5839" w:rsidRPr="00B729B8" w:rsidRDefault="009E5839" w:rsidP="0004163C">
            <w:pPr>
              <w:spacing w:after="0" w:line="276" w:lineRule="auto"/>
              <w:jc w:val="center"/>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(exclusive cigarette users)</w:t>
            </w:r>
          </w:p>
        </w:tc>
      </w:tr>
      <w:tr w:rsidR="009E5839" w:rsidRPr="00B729B8" w14:paraId="7F0DBE42" w14:textId="77777777" w:rsidTr="00951CE2">
        <w:tc>
          <w:tcPr>
            <w:tcW w:w="1843" w:type="dxa"/>
            <w:vAlign w:val="center"/>
          </w:tcPr>
          <w:p w14:paraId="570EC528" w14:textId="77777777" w:rsidR="009E5839" w:rsidRPr="00B729B8" w:rsidRDefault="009E5839" w:rsidP="0004163C">
            <w:pPr>
              <w:spacing w:after="0" w:line="276" w:lineRule="auto"/>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Cigarette use</w:t>
            </w:r>
          </w:p>
          <w:p w14:paraId="6CAE798D" w14:textId="77777777" w:rsidR="009E5839" w:rsidRPr="00B729B8" w:rsidRDefault="009E5839" w:rsidP="0004163C">
            <w:pPr>
              <w:spacing w:after="0" w:line="276" w:lineRule="auto"/>
              <w:ind w:firstLine="176"/>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No</w:t>
            </w:r>
          </w:p>
          <w:p w14:paraId="7C7A173F" w14:textId="77777777" w:rsidR="009E5839" w:rsidRPr="00B729B8" w:rsidRDefault="009E5839" w:rsidP="0004163C">
            <w:pPr>
              <w:spacing w:after="0" w:line="276" w:lineRule="auto"/>
              <w:ind w:firstLine="176"/>
              <w:rPr>
                <w:rFonts w:ascii="Times New Roman" w:eastAsia="Times New Roman" w:hAnsi="Times New Roman" w:cs="Times New Roman"/>
                <w:color w:val="000000"/>
                <w:sz w:val="24"/>
                <w:szCs w:val="24"/>
                <w:lang w:eastAsia="es-ES"/>
              </w:rPr>
            </w:pPr>
            <w:r w:rsidRPr="00B729B8">
              <w:rPr>
                <w:rFonts w:ascii="Times New Roman" w:eastAsia="Times New Roman" w:hAnsi="Times New Roman" w:cs="Times New Roman"/>
                <w:color w:val="000000"/>
                <w:sz w:val="24"/>
                <w:szCs w:val="24"/>
                <w:lang w:eastAsia="es-ES"/>
              </w:rPr>
              <w:t>Yes</w:t>
            </w:r>
          </w:p>
        </w:tc>
        <w:tc>
          <w:tcPr>
            <w:tcW w:w="1276" w:type="dxa"/>
          </w:tcPr>
          <w:p w14:paraId="72DAC3FE"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eastAsia="es-ES"/>
              </w:rPr>
            </w:pPr>
          </w:p>
          <w:p w14:paraId="4D9DEE12" w14:textId="77777777" w:rsidR="009E5839" w:rsidRPr="00B729B8" w:rsidRDefault="009E5839" w:rsidP="0004163C">
            <w:pPr>
              <w:spacing w:after="0" w:line="276" w:lineRule="auto"/>
              <w:jc w:val="center"/>
              <w:rPr>
                <w:rFonts w:ascii="Times New Roman" w:eastAsia="Times New Roman" w:hAnsi="Times New Roman" w:cs="Times New Roman"/>
                <w:b/>
                <w:color w:val="000000"/>
                <w:sz w:val="24"/>
                <w:szCs w:val="24"/>
                <w:lang w:eastAsia="es-ES"/>
              </w:rPr>
            </w:pPr>
            <w:r w:rsidRPr="00B729B8">
              <w:rPr>
                <w:rFonts w:ascii="Times New Roman" w:eastAsia="Times New Roman" w:hAnsi="Times New Roman" w:cs="Times New Roman"/>
                <w:b/>
                <w:color w:val="000000"/>
                <w:sz w:val="24"/>
                <w:szCs w:val="24"/>
                <w:lang w:eastAsia="es-ES"/>
              </w:rPr>
              <w:t>.976</w:t>
            </w:r>
          </w:p>
          <w:p w14:paraId="3EC2F9B0"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eastAsia="es-ES"/>
              </w:rPr>
            </w:pPr>
            <w:r w:rsidRPr="00B729B8">
              <w:rPr>
                <w:rFonts w:ascii="Times New Roman" w:eastAsia="Times New Roman" w:hAnsi="Times New Roman" w:cs="Times New Roman"/>
                <w:bCs/>
                <w:color w:val="000000"/>
                <w:sz w:val="24"/>
                <w:szCs w:val="24"/>
                <w:lang w:eastAsia="es-ES"/>
              </w:rPr>
              <w:t>.024</w:t>
            </w:r>
          </w:p>
        </w:tc>
        <w:tc>
          <w:tcPr>
            <w:tcW w:w="1701" w:type="dxa"/>
          </w:tcPr>
          <w:p w14:paraId="58F1A3E9"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eastAsia="es-ES"/>
              </w:rPr>
            </w:pPr>
          </w:p>
          <w:p w14:paraId="492A0CB8"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eastAsia="es-ES"/>
              </w:rPr>
            </w:pPr>
            <w:r w:rsidRPr="00B729B8">
              <w:rPr>
                <w:rFonts w:ascii="Times New Roman" w:eastAsia="Times New Roman" w:hAnsi="Times New Roman" w:cs="Times New Roman"/>
                <w:bCs/>
                <w:color w:val="000000"/>
                <w:sz w:val="24"/>
                <w:szCs w:val="24"/>
                <w:lang w:eastAsia="es-ES"/>
              </w:rPr>
              <w:t>.000</w:t>
            </w:r>
          </w:p>
          <w:p w14:paraId="6D36B7F9" w14:textId="77777777" w:rsidR="009E5839" w:rsidRPr="00B729B8" w:rsidRDefault="009E5839" w:rsidP="0004163C">
            <w:pPr>
              <w:spacing w:after="0" w:line="276" w:lineRule="auto"/>
              <w:jc w:val="center"/>
              <w:rPr>
                <w:rFonts w:ascii="Times New Roman" w:eastAsia="Times New Roman" w:hAnsi="Times New Roman" w:cs="Times New Roman"/>
                <w:b/>
                <w:color w:val="000000"/>
                <w:sz w:val="24"/>
                <w:szCs w:val="24"/>
                <w:lang w:eastAsia="es-ES"/>
              </w:rPr>
            </w:pPr>
            <w:r w:rsidRPr="00B729B8">
              <w:rPr>
                <w:rFonts w:ascii="Times New Roman" w:eastAsia="Times New Roman" w:hAnsi="Times New Roman" w:cs="Times New Roman"/>
                <w:b/>
                <w:color w:val="000000"/>
                <w:sz w:val="24"/>
                <w:szCs w:val="24"/>
                <w:lang w:eastAsia="es-ES"/>
              </w:rPr>
              <w:t>1.000</w:t>
            </w:r>
          </w:p>
        </w:tc>
        <w:tc>
          <w:tcPr>
            <w:tcW w:w="1559" w:type="dxa"/>
            <w:vAlign w:val="center"/>
          </w:tcPr>
          <w:p w14:paraId="673CB015"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eastAsia="es-ES"/>
              </w:rPr>
            </w:pPr>
          </w:p>
          <w:p w14:paraId="1E3C13BC" w14:textId="77777777" w:rsidR="009E5839" w:rsidRPr="00B729B8" w:rsidRDefault="009E5839" w:rsidP="0004163C">
            <w:pPr>
              <w:spacing w:after="0" w:line="276" w:lineRule="auto"/>
              <w:jc w:val="center"/>
              <w:rPr>
                <w:rFonts w:ascii="Times New Roman" w:eastAsia="Times New Roman" w:hAnsi="Times New Roman" w:cs="Times New Roman"/>
                <w:b/>
                <w:color w:val="000000"/>
                <w:sz w:val="24"/>
                <w:szCs w:val="24"/>
                <w:lang w:eastAsia="es-ES"/>
              </w:rPr>
            </w:pPr>
            <w:r w:rsidRPr="00B729B8">
              <w:rPr>
                <w:rFonts w:ascii="Times New Roman" w:eastAsia="Times New Roman" w:hAnsi="Times New Roman" w:cs="Times New Roman"/>
                <w:b/>
                <w:color w:val="000000"/>
                <w:sz w:val="24"/>
                <w:szCs w:val="24"/>
                <w:lang w:eastAsia="es-ES"/>
              </w:rPr>
              <w:t>.981</w:t>
            </w:r>
          </w:p>
          <w:p w14:paraId="01CDE1AD"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eastAsia="es-ES"/>
              </w:rPr>
            </w:pPr>
            <w:r w:rsidRPr="00B729B8">
              <w:rPr>
                <w:rFonts w:ascii="Times New Roman" w:eastAsia="Times New Roman" w:hAnsi="Times New Roman" w:cs="Times New Roman"/>
                <w:bCs/>
                <w:color w:val="000000"/>
                <w:sz w:val="24"/>
                <w:szCs w:val="24"/>
                <w:lang w:eastAsia="es-ES"/>
              </w:rPr>
              <w:t>.019</w:t>
            </w:r>
          </w:p>
        </w:tc>
        <w:tc>
          <w:tcPr>
            <w:tcW w:w="1418" w:type="dxa"/>
          </w:tcPr>
          <w:p w14:paraId="52575D2C"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p>
          <w:p w14:paraId="7C9E4B15"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color w:val="000000"/>
                <w:sz w:val="24"/>
                <w:szCs w:val="24"/>
                <w:lang w:val="en-US" w:eastAsia="es-ES"/>
              </w:rPr>
              <w:t>.163</w:t>
            </w:r>
          </w:p>
          <w:p w14:paraId="5FB35D43" w14:textId="77777777" w:rsidR="009E5839" w:rsidRPr="00B729B8" w:rsidRDefault="009E5839" w:rsidP="0004163C">
            <w:pPr>
              <w:spacing w:after="0" w:line="276" w:lineRule="auto"/>
              <w:jc w:val="center"/>
              <w:rPr>
                <w:rFonts w:ascii="Times New Roman" w:eastAsia="Times New Roman" w:hAnsi="Times New Roman" w:cs="Times New Roman"/>
                <w:b/>
                <w:color w:val="000000"/>
                <w:sz w:val="24"/>
                <w:szCs w:val="24"/>
                <w:lang w:val="en-US" w:eastAsia="es-ES"/>
              </w:rPr>
            </w:pPr>
            <w:r w:rsidRPr="00B729B8">
              <w:rPr>
                <w:rFonts w:ascii="Times New Roman" w:eastAsia="Times New Roman" w:hAnsi="Times New Roman" w:cs="Times New Roman"/>
                <w:b/>
                <w:color w:val="000000"/>
                <w:sz w:val="24"/>
                <w:szCs w:val="24"/>
                <w:lang w:val="en-US" w:eastAsia="es-ES"/>
              </w:rPr>
              <w:t>.837</w:t>
            </w:r>
          </w:p>
        </w:tc>
      </w:tr>
      <w:tr w:rsidR="009E5839" w:rsidRPr="00B729B8" w14:paraId="7EFD2435" w14:textId="77777777" w:rsidTr="00951CE2">
        <w:tc>
          <w:tcPr>
            <w:tcW w:w="1843" w:type="dxa"/>
            <w:vAlign w:val="center"/>
          </w:tcPr>
          <w:p w14:paraId="4D48F1E5" w14:textId="77777777" w:rsidR="009E5839" w:rsidRPr="00B729B8" w:rsidRDefault="009E5839" w:rsidP="0004163C">
            <w:pPr>
              <w:spacing w:after="0" w:line="276" w:lineRule="auto"/>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val="en-US" w:eastAsia="es-ES"/>
              </w:rPr>
              <w:t>E-cigarettes use</w:t>
            </w:r>
          </w:p>
          <w:p w14:paraId="0274CB37" w14:textId="77777777" w:rsidR="009E5839" w:rsidRPr="00B729B8" w:rsidRDefault="009E5839" w:rsidP="0004163C">
            <w:pPr>
              <w:spacing w:after="0" w:line="276" w:lineRule="auto"/>
              <w:ind w:firstLine="176"/>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val="en-US" w:eastAsia="es-ES"/>
              </w:rPr>
              <w:t>No</w:t>
            </w:r>
          </w:p>
          <w:p w14:paraId="55A4BB78" w14:textId="77777777" w:rsidR="009E5839" w:rsidRPr="00B729B8" w:rsidRDefault="009E5839" w:rsidP="0004163C">
            <w:pPr>
              <w:spacing w:after="0" w:line="276" w:lineRule="auto"/>
              <w:ind w:firstLine="176"/>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val="en-US" w:eastAsia="es-ES"/>
              </w:rPr>
              <w:t>Yes</w:t>
            </w:r>
          </w:p>
        </w:tc>
        <w:tc>
          <w:tcPr>
            <w:tcW w:w="1276" w:type="dxa"/>
          </w:tcPr>
          <w:p w14:paraId="2BB8D72B"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p>
          <w:p w14:paraId="6D235EAA"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color w:val="000000"/>
                <w:sz w:val="24"/>
                <w:szCs w:val="24"/>
                <w:lang w:val="en-US" w:eastAsia="es-ES"/>
              </w:rPr>
              <w:t>.219</w:t>
            </w:r>
          </w:p>
          <w:p w14:paraId="00F39BFE" w14:textId="77777777" w:rsidR="009E5839" w:rsidRPr="00B729B8" w:rsidRDefault="009E5839" w:rsidP="0004163C">
            <w:pPr>
              <w:tabs>
                <w:tab w:val="left" w:pos="1230"/>
              </w:tabs>
              <w:spacing w:after="0" w:line="276" w:lineRule="auto"/>
              <w:jc w:val="center"/>
              <w:rPr>
                <w:rFonts w:ascii="Times New Roman" w:hAnsi="Times New Roman" w:cs="Times New Roman"/>
                <w:b/>
                <w:sz w:val="24"/>
                <w:szCs w:val="24"/>
                <w:lang w:val="en-US"/>
              </w:rPr>
            </w:pPr>
            <w:r w:rsidRPr="00B729B8">
              <w:rPr>
                <w:rFonts w:ascii="Times New Roman" w:eastAsia="Times New Roman" w:hAnsi="Times New Roman" w:cs="Times New Roman"/>
                <w:b/>
                <w:color w:val="000000"/>
                <w:sz w:val="24"/>
                <w:szCs w:val="24"/>
                <w:lang w:val="en-US" w:eastAsia="es-ES"/>
              </w:rPr>
              <w:t>.781</w:t>
            </w:r>
          </w:p>
        </w:tc>
        <w:tc>
          <w:tcPr>
            <w:tcW w:w="1701" w:type="dxa"/>
          </w:tcPr>
          <w:p w14:paraId="1CB4190C"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p>
          <w:p w14:paraId="4431968F"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color w:val="000000"/>
                <w:sz w:val="24"/>
                <w:szCs w:val="24"/>
                <w:lang w:val="en-US" w:eastAsia="es-ES"/>
              </w:rPr>
              <w:t>.055</w:t>
            </w:r>
          </w:p>
          <w:p w14:paraId="3D69CFF1" w14:textId="77777777" w:rsidR="009E5839" w:rsidRPr="00B729B8" w:rsidRDefault="009E5839" w:rsidP="0004163C">
            <w:pPr>
              <w:spacing w:after="0" w:line="276" w:lineRule="auto"/>
              <w:jc w:val="center"/>
              <w:rPr>
                <w:rFonts w:ascii="Times New Roman" w:hAnsi="Times New Roman" w:cs="Times New Roman"/>
                <w:b/>
                <w:sz w:val="24"/>
                <w:szCs w:val="24"/>
                <w:lang w:val="en-US"/>
              </w:rPr>
            </w:pPr>
            <w:r w:rsidRPr="00B729B8">
              <w:rPr>
                <w:rFonts w:ascii="Times New Roman" w:eastAsia="Times New Roman" w:hAnsi="Times New Roman" w:cs="Times New Roman"/>
                <w:b/>
                <w:color w:val="000000"/>
                <w:sz w:val="24"/>
                <w:szCs w:val="24"/>
                <w:lang w:val="en-US" w:eastAsia="es-ES"/>
              </w:rPr>
              <w:t>.945</w:t>
            </w:r>
          </w:p>
        </w:tc>
        <w:tc>
          <w:tcPr>
            <w:tcW w:w="1559" w:type="dxa"/>
            <w:vAlign w:val="center"/>
          </w:tcPr>
          <w:p w14:paraId="1F5B2692"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p>
          <w:p w14:paraId="06E37699" w14:textId="77777777" w:rsidR="009E5839" w:rsidRPr="00B729B8" w:rsidRDefault="009E5839" w:rsidP="0004163C">
            <w:pPr>
              <w:spacing w:after="0" w:line="276" w:lineRule="auto"/>
              <w:jc w:val="center"/>
              <w:rPr>
                <w:rFonts w:ascii="Times New Roman" w:eastAsia="Times New Roman" w:hAnsi="Times New Roman" w:cs="Times New Roman"/>
                <w:b/>
                <w:color w:val="000000"/>
                <w:sz w:val="24"/>
                <w:szCs w:val="24"/>
                <w:lang w:val="en-US" w:eastAsia="es-ES"/>
              </w:rPr>
            </w:pPr>
            <w:r w:rsidRPr="00B729B8">
              <w:rPr>
                <w:rFonts w:ascii="Times New Roman" w:eastAsia="Times New Roman" w:hAnsi="Times New Roman" w:cs="Times New Roman"/>
                <w:b/>
                <w:color w:val="000000"/>
                <w:sz w:val="24"/>
                <w:szCs w:val="24"/>
                <w:lang w:val="en-US" w:eastAsia="es-ES"/>
              </w:rPr>
              <w:t>.978</w:t>
            </w:r>
          </w:p>
          <w:p w14:paraId="5F4990F7" w14:textId="77777777" w:rsidR="009E5839" w:rsidRPr="00B729B8" w:rsidRDefault="009E5839" w:rsidP="0004163C">
            <w:pPr>
              <w:spacing w:after="0" w:line="276" w:lineRule="auto"/>
              <w:jc w:val="center"/>
              <w:rPr>
                <w:rFonts w:ascii="Times New Roman" w:hAnsi="Times New Roman" w:cs="Times New Roman"/>
                <w:bCs/>
                <w:sz w:val="24"/>
                <w:szCs w:val="24"/>
                <w:lang w:val="en-US"/>
              </w:rPr>
            </w:pPr>
            <w:r w:rsidRPr="00B729B8">
              <w:rPr>
                <w:rFonts w:ascii="Times New Roman" w:eastAsia="Times New Roman" w:hAnsi="Times New Roman" w:cs="Times New Roman"/>
                <w:bCs/>
                <w:color w:val="000000"/>
                <w:sz w:val="24"/>
                <w:szCs w:val="24"/>
                <w:lang w:val="en-US" w:eastAsia="es-ES"/>
              </w:rPr>
              <w:t>.022</w:t>
            </w:r>
          </w:p>
        </w:tc>
        <w:tc>
          <w:tcPr>
            <w:tcW w:w="1418" w:type="dxa"/>
          </w:tcPr>
          <w:p w14:paraId="244B3537"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p>
          <w:p w14:paraId="74453E84" w14:textId="77777777" w:rsidR="009E5839" w:rsidRPr="00B729B8" w:rsidRDefault="009E5839" w:rsidP="0004163C">
            <w:pPr>
              <w:spacing w:after="0" w:line="276" w:lineRule="auto"/>
              <w:jc w:val="center"/>
              <w:rPr>
                <w:rFonts w:ascii="Times New Roman" w:eastAsia="Times New Roman" w:hAnsi="Times New Roman" w:cs="Times New Roman"/>
                <w:b/>
                <w:color w:val="000000"/>
                <w:sz w:val="24"/>
                <w:szCs w:val="24"/>
                <w:lang w:val="en-US" w:eastAsia="es-ES"/>
              </w:rPr>
            </w:pPr>
            <w:r w:rsidRPr="00B729B8">
              <w:rPr>
                <w:rFonts w:ascii="Times New Roman" w:eastAsia="Times New Roman" w:hAnsi="Times New Roman" w:cs="Times New Roman"/>
                <w:b/>
                <w:color w:val="000000"/>
                <w:sz w:val="24"/>
                <w:szCs w:val="24"/>
                <w:lang w:val="en-US" w:eastAsia="es-ES"/>
              </w:rPr>
              <w:t>.999</w:t>
            </w:r>
          </w:p>
          <w:p w14:paraId="1F7C4F5B"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color w:val="000000"/>
                <w:sz w:val="24"/>
                <w:szCs w:val="24"/>
                <w:lang w:val="en-US" w:eastAsia="es-ES"/>
              </w:rPr>
              <w:t>.001</w:t>
            </w:r>
          </w:p>
        </w:tc>
      </w:tr>
      <w:tr w:rsidR="009E5839" w:rsidRPr="00B729B8" w14:paraId="5D1F0047" w14:textId="77777777" w:rsidTr="00951CE2">
        <w:tc>
          <w:tcPr>
            <w:tcW w:w="1843" w:type="dxa"/>
            <w:vAlign w:val="center"/>
          </w:tcPr>
          <w:p w14:paraId="5062F067" w14:textId="77777777" w:rsidR="009E5839" w:rsidRPr="00B729B8" w:rsidRDefault="009E5839" w:rsidP="0004163C">
            <w:pPr>
              <w:spacing w:after="0" w:line="276" w:lineRule="auto"/>
              <w:rPr>
                <w:rFonts w:ascii="Times New Roman" w:eastAsia="Times New Roman" w:hAnsi="Times New Roman" w:cs="Times New Roman"/>
                <w:color w:val="000000"/>
                <w:sz w:val="24"/>
                <w:szCs w:val="24"/>
                <w:lang w:val="en-US" w:eastAsia="es-ES"/>
              </w:rPr>
            </w:pPr>
          </w:p>
        </w:tc>
        <w:tc>
          <w:tcPr>
            <w:tcW w:w="1276" w:type="dxa"/>
          </w:tcPr>
          <w:p w14:paraId="7EAD6FAA"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p>
        </w:tc>
        <w:tc>
          <w:tcPr>
            <w:tcW w:w="1701" w:type="dxa"/>
          </w:tcPr>
          <w:p w14:paraId="5EA1BB33"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p>
        </w:tc>
        <w:tc>
          <w:tcPr>
            <w:tcW w:w="1559" w:type="dxa"/>
            <w:vAlign w:val="center"/>
          </w:tcPr>
          <w:p w14:paraId="7D9789D6"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p>
        </w:tc>
        <w:tc>
          <w:tcPr>
            <w:tcW w:w="1418" w:type="dxa"/>
          </w:tcPr>
          <w:p w14:paraId="398FCFAD"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p>
        </w:tc>
      </w:tr>
      <w:tr w:rsidR="009E5839" w:rsidRPr="00B729B8" w14:paraId="364A782D" w14:textId="77777777" w:rsidTr="00951CE2">
        <w:tc>
          <w:tcPr>
            <w:tcW w:w="1843" w:type="dxa"/>
            <w:vAlign w:val="center"/>
          </w:tcPr>
          <w:p w14:paraId="095A9B3B" w14:textId="77777777" w:rsidR="009E5839" w:rsidRPr="00B729B8" w:rsidRDefault="009E5839" w:rsidP="0004163C">
            <w:pPr>
              <w:spacing w:after="0" w:line="276" w:lineRule="auto"/>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val="en-US" w:eastAsia="es-ES"/>
              </w:rPr>
              <w:t>Baseline</w:t>
            </w:r>
          </w:p>
        </w:tc>
        <w:tc>
          <w:tcPr>
            <w:tcW w:w="1276" w:type="dxa"/>
          </w:tcPr>
          <w:p w14:paraId="7401EE70"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color w:val="000000"/>
                <w:sz w:val="24"/>
                <w:szCs w:val="24"/>
                <w:lang w:val="en-US" w:eastAsia="es-ES"/>
              </w:rPr>
              <w:t>7.75 %</w:t>
            </w:r>
          </w:p>
        </w:tc>
        <w:tc>
          <w:tcPr>
            <w:tcW w:w="1701" w:type="dxa"/>
          </w:tcPr>
          <w:p w14:paraId="09252DE2"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color w:val="000000"/>
                <w:sz w:val="24"/>
                <w:szCs w:val="24"/>
                <w:lang w:val="en-US" w:eastAsia="es-ES"/>
              </w:rPr>
              <w:t>9.89 %</w:t>
            </w:r>
          </w:p>
        </w:tc>
        <w:tc>
          <w:tcPr>
            <w:tcW w:w="1559" w:type="dxa"/>
            <w:vAlign w:val="center"/>
          </w:tcPr>
          <w:p w14:paraId="725DFFDB"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color w:val="000000"/>
                <w:sz w:val="24"/>
                <w:szCs w:val="24"/>
                <w:lang w:val="en-US" w:eastAsia="es-ES"/>
              </w:rPr>
              <w:t>61.66 %</w:t>
            </w:r>
          </w:p>
        </w:tc>
        <w:tc>
          <w:tcPr>
            <w:tcW w:w="1418" w:type="dxa"/>
          </w:tcPr>
          <w:p w14:paraId="1B2D5CB6"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eastAsia="es-ES"/>
              </w:rPr>
            </w:pPr>
            <w:r w:rsidRPr="00B729B8">
              <w:rPr>
                <w:rFonts w:ascii="Times New Roman" w:eastAsia="Times New Roman" w:hAnsi="Times New Roman" w:cs="Times New Roman"/>
                <w:bCs/>
                <w:color w:val="000000"/>
                <w:sz w:val="24"/>
                <w:szCs w:val="24"/>
                <w:lang w:val="en-US" w:eastAsia="es-ES"/>
              </w:rPr>
              <w:t>20.</w:t>
            </w:r>
            <w:r w:rsidRPr="00B729B8">
              <w:rPr>
                <w:rFonts w:ascii="Times New Roman" w:eastAsia="Times New Roman" w:hAnsi="Times New Roman" w:cs="Times New Roman"/>
                <w:bCs/>
                <w:color w:val="000000"/>
                <w:sz w:val="24"/>
                <w:szCs w:val="24"/>
                <w:lang w:eastAsia="es-ES"/>
              </w:rPr>
              <w:t>70 %</w:t>
            </w:r>
          </w:p>
        </w:tc>
      </w:tr>
      <w:tr w:rsidR="009E5839" w:rsidRPr="00B729B8" w14:paraId="0FB49A66" w14:textId="77777777" w:rsidTr="00951CE2">
        <w:tc>
          <w:tcPr>
            <w:tcW w:w="1843" w:type="dxa"/>
            <w:vAlign w:val="center"/>
          </w:tcPr>
          <w:p w14:paraId="61F129D1" w14:textId="77777777" w:rsidR="009E5839" w:rsidRPr="00B729B8" w:rsidRDefault="009E5839" w:rsidP="0004163C">
            <w:pPr>
              <w:spacing w:after="0" w:line="276" w:lineRule="auto"/>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eastAsia="es-ES"/>
              </w:rPr>
              <w:t>8-Months</w:t>
            </w:r>
          </w:p>
        </w:tc>
        <w:tc>
          <w:tcPr>
            <w:tcW w:w="1276" w:type="dxa"/>
          </w:tcPr>
          <w:p w14:paraId="7BDE1E19"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color w:val="000000"/>
                <w:sz w:val="24"/>
                <w:szCs w:val="24"/>
                <w:lang w:eastAsia="es-ES"/>
              </w:rPr>
              <w:t>8.13 %</w:t>
            </w:r>
          </w:p>
        </w:tc>
        <w:tc>
          <w:tcPr>
            <w:tcW w:w="1701" w:type="dxa"/>
          </w:tcPr>
          <w:p w14:paraId="1335A9DC"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eastAsia="es-ES"/>
              </w:rPr>
            </w:pPr>
            <w:r w:rsidRPr="00B729B8">
              <w:rPr>
                <w:rFonts w:ascii="Times New Roman" w:eastAsia="Times New Roman" w:hAnsi="Times New Roman" w:cs="Times New Roman"/>
                <w:color w:val="000000"/>
                <w:sz w:val="24"/>
                <w:szCs w:val="24"/>
                <w:lang w:eastAsia="es-ES"/>
              </w:rPr>
              <w:t>6.39 %</w:t>
            </w:r>
          </w:p>
        </w:tc>
        <w:tc>
          <w:tcPr>
            <w:tcW w:w="1559" w:type="dxa"/>
            <w:vAlign w:val="center"/>
          </w:tcPr>
          <w:p w14:paraId="0CC20B4E"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eastAsia="es-ES"/>
              </w:rPr>
            </w:pPr>
            <w:r w:rsidRPr="00B729B8">
              <w:rPr>
                <w:rFonts w:ascii="Times New Roman" w:eastAsia="Times New Roman" w:hAnsi="Times New Roman" w:cs="Times New Roman"/>
                <w:color w:val="000000"/>
                <w:sz w:val="24"/>
                <w:szCs w:val="24"/>
                <w:lang w:eastAsia="es-ES"/>
              </w:rPr>
              <w:t>72.28 %</w:t>
            </w:r>
          </w:p>
        </w:tc>
        <w:tc>
          <w:tcPr>
            <w:tcW w:w="1418" w:type="dxa"/>
          </w:tcPr>
          <w:p w14:paraId="0B387386"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eastAsia="es-ES"/>
              </w:rPr>
            </w:pPr>
            <w:r w:rsidRPr="00B729B8">
              <w:rPr>
                <w:rFonts w:ascii="Times New Roman" w:eastAsia="Times New Roman" w:hAnsi="Times New Roman" w:cs="Times New Roman"/>
                <w:color w:val="000000"/>
                <w:sz w:val="24"/>
                <w:szCs w:val="24"/>
                <w:lang w:eastAsia="es-ES"/>
              </w:rPr>
              <w:t>13.20 %</w:t>
            </w:r>
          </w:p>
        </w:tc>
      </w:tr>
      <w:tr w:rsidR="009E5839" w:rsidRPr="00B729B8" w14:paraId="46B625D2" w14:textId="77777777" w:rsidTr="00951CE2">
        <w:tc>
          <w:tcPr>
            <w:tcW w:w="1843" w:type="dxa"/>
          </w:tcPr>
          <w:p w14:paraId="1E93EFCE" w14:textId="77777777" w:rsidR="009E5839" w:rsidRPr="00B729B8" w:rsidRDefault="009E5839" w:rsidP="0004163C">
            <w:pPr>
              <w:spacing w:after="0" w:line="276" w:lineRule="auto"/>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eastAsia="es-ES"/>
              </w:rPr>
              <w:t>16-Months</w:t>
            </w:r>
          </w:p>
        </w:tc>
        <w:tc>
          <w:tcPr>
            <w:tcW w:w="1276" w:type="dxa"/>
          </w:tcPr>
          <w:p w14:paraId="2C6386E2"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color w:val="000000"/>
                <w:sz w:val="24"/>
                <w:szCs w:val="24"/>
                <w:lang w:eastAsia="es-ES"/>
              </w:rPr>
              <w:t>10.10 %</w:t>
            </w:r>
          </w:p>
        </w:tc>
        <w:tc>
          <w:tcPr>
            <w:tcW w:w="1701" w:type="dxa"/>
          </w:tcPr>
          <w:p w14:paraId="013A45CD"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color w:val="000000"/>
                <w:sz w:val="24"/>
                <w:szCs w:val="24"/>
                <w:lang w:val="en-US" w:eastAsia="es-ES"/>
              </w:rPr>
              <w:t>5.34 %</w:t>
            </w:r>
          </w:p>
        </w:tc>
        <w:tc>
          <w:tcPr>
            <w:tcW w:w="1559" w:type="dxa"/>
            <w:vAlign w:val="center"/>
          </w:tcPr>
          <w:p w14:paraId="339477B4"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color w:val="000000"/>
                <w:sz w:val="24"/>
                <w:szCs w:val="24"/>
                <w:lang w:val="en-US" w:eastAsia="es-ES"/>
              </w:rPr>
              <w:t>76.44 %</w:t>
            </w:r>
          </w:p>
        </w:tc>
        <w:tc>
          <w:tcPr>
            <w:tcW w:w="1418" w:type="dxa"/>
          </w:tcPr>
          <w:p w14:paraId="61C11100"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color w:val="000000"/>
                <w:sz w:val="24"/>
                <w:szCs w:val="24"/>
                <w:lang w:val="en-US" w:eastAsia="es-ES"/>
              </w:rPr>
              <w:t>8.12 %</w:t>
            </w:r>
          </w:p>
        </w:tc>
      </w:tr>
      <w:tr w:rsidR="009E5839" w:rsidRPr="00B729B8" w14:paraId="4D15C482" w14:textId="77777777" w:rsidTr="00951CE2">
        <w:tc>
          <w:tcPr>
            <w:tcW w:w="1843" w:type="dxa"/>
            <w:tcBorders>
              <w:bottom w:val="single" w:sz="4" w:space="0" w:color="auto"/>
            </w:tcBorders>
          </w:tcPr>
          <w:p w14:paraId="54D5D256" w14:textId="77777777" w:rsidR="009E5839" w:rsidRPr="00B729B8" w:rsidRDefault="009E5839" w:rsidP="0004163C">
            <w:pPr>
              <w:spacing w:after="0" w:line="276" w:lineRule="auto"/>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val="en-US" w:eastAsia="es-ES"/>
              </w:rPr>
              <w:t>24-Months</w:t>
            </w:r>
          </w:p>
        </w:tc>
        <w:tc>
          <w:tcPr>
            <w:tcW w:w="1276" w:type="dxa"/>
            <w:tcBorders>
              <w:bottom w:val="single" w:sz="4" w:space="0" w:color="auto"/>
            </w:tcBorders>
          </w:tcPr>
          <w:p w14:paraId="29F32069"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hAnsi="Times New Roman" w:cs="Times New Roman"/>
                <w:sz w:val="24"/>
                <w:szCs w:val="24"/>
                <w:lang w:val="en-US"/>
              </w:rPr>
              <w:t>8.93 %</w:t>
            </w:r>
          </w:p>
        </w:tc>
        <w:tc>
          <w:tcPr>
            <w:tcW w:w="1701" w:type="dxa"/>
            <w:tcBorders>
              <w:bottom w:val="single" w:sz="4" w:space="0" w:color="auto"/>
            </w:tcBorders>
          </w:tcPr>
          <w:p w14:paraId="6F2F1696"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hAnsi="Times New Roman" w:cs="Times New Roman"/>
                <w:sz w:val="24"/>
                <w:szCs w:val="24"/>
                <w:lang w:val="en-US"/>
              </w:rPr>
              <w:t>2.61 %</w:t>
            </w:r>
          </w:p>
        </w:tc>
        <w:tc>
          <w:tcPr>
            <w:tcW w:w="1559" w:type="dxa"/>
            <w:tcBorders>
              <w:bottom w:val="single" w:sz="4" w:space="0" w:color="auto"/>
            </w:tcBorders>
            <w:vAlign w:val="center"/>
          </w:tcPr>
          <w:p w14:paraId="7C826C67"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hAnsi="Times New Roman" w:cs="Times New Roman"/>
                <w:sz w:val="24"/>
                <w:szCs w:val="24"/>
                <w:lang w:val="en-US"/>
              </w:rPr>
              <w:t>80.06 %</w:t>
            </w:r>
          </w:p>
        </w:tc>
        <w:tc>
          <w:tcPr>
            <w:tcW w:w="1418" w:type="dxa"/>
            <w:tcBorders>
              <w:bottom w:val="single" w:sz="4" w:space="0" w:color="auto"/>
            </w:tcBorders>
          </w:tcPr>
          <w:p w14:paraId="3285AB9F"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color w:val="000000"/>
                <w:sz w:val="24"/>
                <w:szCs w:val="24"/>
                <w:lang w:val="en-US" w:eastAsia="es-ES"/>
              </w:rPr>
              <w:t>8.40 %</w:t>
            </w:r>
          </w:p>
        </w:tc>
      </w:tr>
      <w:tr w:rsidR="009E5839" w:rsidRPr="00B729B8" w14:paraId="0072129C" w14:textId="77777777" w:rsidTr="00951CE2">
        <w:tc>
          <w:tcPr>
            <w:tcW w:w="1843" w:type="dxa"/>
            <w:tcBorders>
              <w:top w:val="single" w:sz="4" w:space="0" w:color="auto"/>
            </w:tcBorders>
          </w:tcPr>
          <w:p w14:paraId="57208F95" w14:textId="77777777" w:rsidR="009E5839" w:rsidRPr="00B729B8" w:rsidRDefault="009E5839" w:rsidP="0004163C">
            <w:pPr>
              <w:spacing w:after="0" w:line="276" w:lineRule="auto"/>
              <w:rPr>
                <w:rFonts w:ascii="Times New Roman" w:eastAsia="Times New Roman" w:hAnsi="Times New Roman" w:cs="Times New Roman"/>
                <w:color w:val="000000"/>
                <w:sz w:val="24"/>
                <w:szCs w:val="24"/>
                <w:lang w:val="en-US" w:eastAsia="es-ES"/>
              </w:rPr>
            </w:pPr>
            <w:r w:rsidRPr="00B729B8">
              <w:rPr>
                <w:rFonts w:ascii="Times New Roman" w:hAnsi="Times New Roman" w:cs="Times New Roman"/>
                <w:sz w:val="24"/>
                <w:szCs w:val="24"/>
                <w:lang w:val="en-US"/>
              </w:rPr>
              <w:t>Time 1 / Time 3</w:t>
            </w:r>
          </w:p>
        </w:tc>
        <w:tc>
          <w:tcPr>
            <w:tcW w:w="1276" w:type="dxa"/>
            <w:tcBorders>
              <w:top w:val="single" w:sz="4" w:space="0" w:color="auto"/>
            </w:tcBorders>
            <w:vAlign w:val="center"/>
          </w:tcPr>
          <w:p w14:paraId="17313799" w14:textId="77777777" w:rsidR="009E5839" w:rsidRPr="00B729B8" w:rsidRDefault="009E5839" w:rsidP="0004163C">
            <w:pPr>
              <w:spacing w:after="0" w:line="276" w:lineRule="auto"/>
              <w:jc w:val="center"/>
              <w:rPr>
                <w:rFonts w:ascii="Times New Roman" w:hAnsi="Times New Roman" w:cs="Times New Roman"/>
                <w:sz w:val="24"/>
                <w:szCs w:val="24"/>
                <w:lang w:val="en-US"/>
              </w:rPr>
            </w:pPr>
          </w:p>
        </w:tc>
        <w:tc>
          <w:tcPr>
            <w:tcW w:w="1701" w:type="dxa"/>
            <w:tcBorders>
              <w:top w:val="single" w:sz="4" w:space="0" w:color="auto"/>
            </w:tcBorders>
            <w:vAlign w:val="center"/>
          </w:tcPr>
          <w:p w14:paraId="562EB4B5" w14:textId="77777777" w:rsidR="009E5839" w:rsidRPr="00B729B8" w:rsidRDefault="009E5839" w:rsidP="0004163C">
            <w:pPr>
              <w:spacing w:after="0" w:line="276" w:lineRule="auto"/>
              <w:jc w:val="center"/>
              <w:rPr>
                <w:rFonts w:ascii="Times New Roman" w:hAnsi="Times New Roman" w:cs="Times New Roman"/>
                <w:sz w:val="24"/>
                <w:szCs w:val="24"/>
                <w:lang w:val="en-US"/>
              </w:rPr>
            </w:pPr>
          </w:p>
        </w:tc>
        <w:tc>
          <w:tcPr>
            <w:tcW w:w="1559" w:type="dxa"/>
            <w:tcBorders>
              <w:top w:val="single" w:sz="4" w:space="0" w:color="auto"/>
            </w:tcBorders>
            <w:vAlign w:val="center"/>
          </w:tcPr>
          <w:p w14:paraId="58D77292" w14:textId="77777777" w:rsidR="009E5839" w:rsidRPr="00B729B8" w:rsidRDefault="009E5839" w:rsidP="0004163C">
            <w:pPr>
              <w:spacing w:after="0" w:line="276" w:lineRule="auto"/>
              <w:jc w:val="center"/>
              <w:rPr>
                <w:rFonts w:ascii="Times New Roman" w:hAnsi="Times New Roman" w:cs="Times New Roman"/>
                <w:sz w:val="24"/>
                <w:szCs w:val="24"/>
                <w:lang w:val="en-US"/>
              </w:rPr>
            </w:pPr>
          </w:p>
        </w:tc>
        <w:tc>
          <w:tcPr>
            <w:tcW w:w="1418" w:type="dxa"/>
            <w:tcBorders>
              <w:top w:val="single" w:sz="4" w:space="0" w:color="auto"/>
            </w:tcBorders>
          </w:tcPr>
          <w:p w14:paraId="5C533DAE"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p>
        </w:tc>
      </w:tr>
      <w:tr w:rsidR="009E5839" w:rsidRPr="00B729B8" w14:paraId="1F071A97" w14:textId="77777777" w:rsidTr="00951CE2">
        <w:tc>
          <w:tcPr>
            <w:tcW w:w="1843" w:type="dxa"/>
            <w:vAlign w:val="center"/>
          </w:tcPr>
          <w:p w14:paraId="33408858" w14:textId="77777777" w:rsidR="009E5839" w:rsidRPr="00B729B8" w:rsidRDefault="009E5839" w:rsidP="0004163C">
            <w:pPr>
              <w:spacing w:after="0" w:line="276" w:lineRule="auto"/>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eastAsia="es-ES"/>
              </w:rPr>
              <w:t>Class 1</w:t>
            </w:r>
          </w:p>
        </w:tc>
        <w:tc>
          <w:tcPr>
            <w:tcW w:w="1276" w:type="dxa"/>
          </w:tcPr>
          <w:p w14:paraId="4DBB6F1C"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
                <w:color w:val="000000"/>
                <w:sz w:val="24"/>
                <w:szCs w:val="24"/>
                <w:lang w:eastAsia="es-ES"/>
              </w:rPr>
              <w:t>.456</w:t>
            </w:r>
          </w:p>
        </w:tc>
        <w:tc>
          <w:tcPr>
            <w:tcW w:w="1701" w:type="dxa"/>
          </w:tcPr>
          <w:p w14:paraId="2AA27408"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.000</w:t>
            </w:r>
          </w:p>
        </w:tc>
        <w:tc>
          <w:tcPr>
            <w:tcW w:w="1559" w:type="dxa"/>
            <w:vAlign w:val="center"/>
          </w:tcPr>
          <w:p w14:paraId="354A1373"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.544</w:t>
            </w:r>
          </w:p>
        </w:tc>
        <w:tc>
          <w:tcPr>
            <w:tcW w:w="1418" w:type="dxa"/>
          </w:tcPr>
          <w:p w14:paraId="75D8F39F"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color w:val="000000"/>
                <w:sz w:val="24"/>
                <w:szCs w:val="24"/>
                <w:lang w:eastAsia="es-ES"/>
              </w:rPr>
              <w:t>.000</w:t>
            </w:r>
          </w:p>
        </w:tc>
      </w:tr>
      <w:tr w:rsidR="009E5839" w:rsidRPr="00B729B8" w14:paraId="7FBDBFCF" w14:textId="77777777" w:rsidTr="00951CE2">
        <w:tc>
          <w:tcPr>
            <w:tcW w:w="1843" w:type="dxa"/>
            <w:vAlign w:val="center"/>
          </w:tcPr>
          <w:p w14:paraId="6E93E832" w14:textId="77777777" w:rsidR="009E5839" w:rsidRPr="00B729B8" w:rsidRDefault="009E5839" w:rsidP="0004163C">
            <w:pPr>
              <w:spacing w:after="0" w:line="276" w:lineRule="auto"/>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eastAsia="es-ES"/>
              </w:rPr>
              <w:t>Class 2</w:t>
            </w:r>
          </w:p>
        </w:tc>
        <w:tc>
          <w:tcPr>
            <w:tcW w:w="1276" w:type="dxa"/>
          </w:tcPr>
          <w:p w14:paraId="3B3FC219"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.283</w:t>
            </w:r>
          </w:p>
        </w:tc>
        <w:tc>
          <w:tcPr>
            <w:tcW w:w="1701" w:type="dxa"/>
          </w:tcPr>
          <w:p w14:paraId="1805FD58"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
                <w:color w:val="000000"/>
                <w:sz w:val="24"/>
                <w:szCs w:val="24"/>
                <w:lang w:eastAsia="es-ES"/>
              </w:rPr>
              <w:t>.316</w:t>
            </w:r>
          </w:p>
        </w:tc>
        <w:tc>
          <w:tcPr>
            <w:tcW w:w="1559" w:type="dxa"/>
            <w:vAlign w:val="center"/>
          </w:tcPr>
          <w:p w14:paraId="38D4DEA7"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.155</w:t>
            </w:r>
          </w:p>
        </w:tc>
        <w:tc>
          <w:tcPr>
            <w:tcW w:w="1418" w:type="dxa"/>
          </w:tcPr>
          <w:p w14:paraId="596E83A9"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color w:val="000000"/>
                <w:sz w:val="24"/>
                <w:szCs w:val="24"/>
                <w:lang w:eastAsia="es-ES"/>
              </w:rPr>
              <w:t>.246</w:t>
            </w:r>
          </w:p>
        </w:tc>
      </w:tr>
      <w:tr w:rsidR="009E5839" w:rsidRPr="00B729B8" w14:paraId="40D0805C" w14:textId="77777777" w:rsidTr="00951CE2">
        <w:tc>
          <w:tcPr>
            <w:tcW w:w="1843" w:type="dxa"/>
            <w:vAlign w:val="center"/>
          </w:tcPr>
          <w:p w14:paraId="2D746B1A" w14:textId="77777777" w:rsidR="009E5839" w:rsidRPr="00B729B8" w:rsidRDefault="009E5839" w:rsidP="0004163C">
            <w:pPr>
              <w:spacing w:after="0" w:line="276" w:lineRule="auto"/>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eastAsia="es-ES"/>
              </w:rPr>
              <w:t>Class 3</w:t>
            </w:r>
          </w:p>
        </w:tc>
        <w:tc>
          <w:tcPr>
            <w:tcW w:w="1276" w:type="dxa"/>
          </w:tcPr>
          <w:p w14:paraId="663D8482"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.024</w:t>
            </w:r>
          </w:p>
        </w:tc>
        <w:tc>
          <w:tcPr>
            <w:tcW w:w="1701" w:type="dxa"/>
          </w:tcPr>
          <w:p w14:paraId="611154AE"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.006</w:t>
            </w:r>
          </w:p>
        </w:tc>
        <w:tc>
          <w:tcPr>
            <w:tcW w:w="1559" w:type="dxa"/>
            <w:vAlign w:val="center"/>
          </w:tcPr>
          <w:p w14:paraId="70EA6ECD"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
                <w:color w:val="000000"/>
                <w:sz w:val="24"/>
                <w:szCs w:val="24"/>
                <w:lang w:eastAsia="es-ES"/>
              </w:rPr>
              <w:t>.970</w:t>
            </w:r>
          </w:p>
        </w:tc>
        <w:tc>
          <w:tcPr>
            <w:tcW w:w="1418" w:type="dxa"/>
          </w:tcPr>
          <w:p w14:paraId="6CA99546"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color w:val="000000"/>
                <w:sz w:val="24"/>
                <w:szCs w:val="24"/>
                <w:lang w:eastAsia="es-ES"/>
              </w:rPr>
              <w:t>.000</w:t>
            </w:r>
          </w:p>
        </w:tc>
      </w:tr>
      <w:tr w:rsidR="009E5839" w:rsidRPr="00B729B8" w14:paraId="0EE72A93" w14:textId="77777777" w:rsidTr="00951CE2">
        <w:tc>
          <w:tcPr>
            <w:tcW w:w="1843" w:type="dxa"/>
            <w:vAlign w:val="center"/>
          </w:tcPr>
          <w:p w14:paraId="19D932D9" w14:textId="77777777" w:rsidR="009E5839" w:rsidRPr="00B729B8" w:rsidRDefault="009E5839" w:rsidP="0004163C">
            <w:pPr>
              <w:spacing w:after="0" w:line="276" w:lineRule="auto"/>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eastAsia="es-ES"/>
              </w:rPr>
              <w:t>Class 4</w:t>
            </w:r>
          </w:p>
        </w:tc>
        <w:tc>
          <w:tcPr>
            <w:tcW w:w="1276" w:type="dxa"/>
          </w:tcPr>
          <w:p w14:paraId="3C80781D"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.015</w:t>
            </w:r>
          </w:p>
        </w:tc>
        <w:tc>
          <w:tcPr>
            <w:tcW w:w="1701" w:type="dxa"/>
          </w:tcPr>
          <w:p w14:paraId="278CBCBD"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.141</w:t>
            </w:r>
          </w:p>
        </w:tc>
        <w:tc>
          <w:tcPr>
            <w:tcW w:w="1559" w:type="dxa"/>
            <w:vAlign w:val="center"/>
          </w:tcPr>
          <w:p w14:paraId="5D316E15"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.324</w:t>
            </w:r>
          </w:p>
        </w:tc>
        <w:tc>
          <w:tcPr>
            <w:tcW w:w="1418" w:type="dxa"/>
          </w:tcPr>
          <w:p w14:paraId="4C590A26"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
                <w:color w:val="000000"/>
                <w:sz w:val="24"/>
                <w:szCs w:val="24"/>
                <w:lang w:eastAsia="es-ES"/>
              </w:rPr>
              <w:t>.520</w:t>
            </w:r>
          </w:p>
        </w:tc>
      </w:tr>
      <w:tr w:rsidR="009E5839" w:rsidRPr="00B729B8" w14:paraId="71E2C706" w14:textId="77777777" w:rsidTr="00951CE2">
        <w:tc>
          <w:tcPr>
            <w:tcW w:w="1843" w:type="dxa"/>
            <w:vAlign w:val="center"/>
          </w:tcPr>
          <w:p w14:paraId="555909EA" w14:textId="77777777" w:rsidR="009E5839" w:rsidRPr="00B729B8" w:rsidRDefault="009E5839" w:rsidP="0004163C">
            <w:pPr>
              <w:spacing w:after="0" w:line="276" w:lineRule="auto"/>
              <w:rPr>
                <w:rFonts w:ascii="Times New Roman" w:eastAsia="Times New Roman" w:hAnsi="Times New Roman" w:cs="Times New Roman"/>
                <w:color w:val="000000"/>
                <w:sz w:val="24"/>
                <w:szCs w:val="24"/>
                <w:lang w:val="en-US" w:eastAsia="es-ES"/>
              </w:rPr>
            </w:pPr>
            <w:r w:rsidRPr="00B729B8">
              <w:rPr>
                <w:rFonts w:ascii="Times New Roman" w:hAnsi="Times New Roman" w:cs="Times New Roman"/>
                <w:sz w:val="24"/>
                <w:szCs w:val="24"/>
                <w:lang w:val="en-US"/>
              </w:rPr>
              <w:t>Time 3 / Time 5</w:t>
            </w:r>
          </w:p>
        </w:tc>
        <w:tc>
          <w:tcPr>
            <w:tcW w:w="1276" w:type="dxa"/>
          </w:tcPr>
          <w:p w14:paraId="53DE3EE8" w14:textId="77777777" w:rsidR="009E5839" w:rsidRPr="00B729B8" w:rsidRDefault="009E5839" w:rsidP="0004163C">
            <w:pPr>
              <w:spacing w:after="0" w:line="276" w:lineRule="auto"/>
              <w:jc w:val="center"/>
              <w:rPr>
                <w:rFonts w:ascii="Times New Roman" w:hAnsi="Times New Roman" w:cs="Times New Roman"/>
                <w:sz w:val="24"/>
                <w:szCs w:val="24"/>
                <w:lang w:val="en-US"/>
              </w:rPr>
            </w:pPr>
          </w:p>
        </w:tc>
        <w:tc>
          <w:tcPr>
            <w:tcW w:w="1701" w:type="dxa"/>
          </w:tcPr>
          <w:p w14:paraId="10202F83" w14:textId="77777777" w:rsidR="009E5839" w:rsidRPr="00B729B8" w:rsidRDefault="009E5839" w:rsidP="0004163C">
            <w:pPr>
              <w:spacing w:after="0" w:line="276" w:lineRule="auto"/>
              <w:jc w:val="center"/>
              <w:rPr>
                <w:rFonts w:ascii="Times New Roman" w:hAnsi="Times New Roman" w:cs="Times New Roman"/>
                <w:sz w:val="24"/>
                <w:szCs w:val="24"/>
                <w:lang w:val="en-US"/>
              </w:rPr>
            </w:pPr>
          </w:p>
        </w:tc>
        <w:tc>
          <w:tcPr>
            <w:tcW w:w="1559" w:type="dxa"/>
            <w:vAlign w:val="center"/>
          </w:tcPr>
          <w:p w14:paraId="3DCB7747" w14:textId="77777777" w:rsidR="009E5839" w:rsidRPr="00B729B8" w:rsidRDefault="009E5839" w:rsidP="0004163C">
            <w:pPr>
              <w:spacing w:after="0" w:line="276" w:lineRule="auto"/>
              <w:jc w:val="center"/>
              <w:rPr>
                <w:rFonts w:ascii="Times New Roman" w:hAnsi="Times New Roman" w:cs="Times New Roman"/>
                <w:sz w:val="24"/>
                <w:szCs w:val="24"/>
                <w:lang w:val="en-US"/>
              </w:rPr>
            </w:pPr>
          </w:p>
        </w:tc>
        <w:tc>
          <w:tcPr>
            <w:tcW w:w="1418" w:type="dxa"/>
          </w:tcPr>
          <w:p w14:paraId="41ABAB98"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p>
        </w:tc>
      </w:tr>
      <w:tr w:rsidR="009E5839" w:rsidRPr="00B729B8" w14:paraId="7FF99F71" w14:textId="77777777" w:rsidTr="00951CE2">
        <w:tc>
          <w:tcPr>
            <w:tcW w:w="1843" w:type="dxa"/>
            <w:vAlign w:val="center"/>
          </w:tcPr>
          <w:p w14:paraId="23FA2519" w14:textId="77777777" w:rsidR="009E5839" w:rsidRPr="00B729B8" w:rsidRDefault="009E5839" w:rsidP="0004163C">
            <w:pPr>
              <w:spacing w:after="0" w:line="276" w:lineRule="auto"/>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eastAsia="es-ES"/>
              </w:rPr>
              <w:t>Class 1</w:t>
            </w:r>
          </w:p>
        </w:tc>
        <w:tc>
          <w:tcPr>
            <w:tcW w:w="1276" w:type="dxa"/>
          </w:tcPr>
          <w:p w14:paraId="4E6DE38F"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
                <w:color w:val="000000"/>
                <w:sz w:val="24"/>
                <w:szCs w:val="24"/>
                <w:lang w:eastAsia="es-ES"/>
              </w:rPr>
              <w:t>.924</w:t>
            </w:r>
          </w:p>
        </w:tc>
        <w:tc>
          <w:tcPr>
            <w:tcW w:w="1701" w:type="dxa"/>
          </w:tcPr>
          <w:p w14:paraId="68BFB69E"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.037</w:t>
            </w:r>
          </w:p>
        </w:tc>
        <w:tc>
          <w:tcPr>
            <w:tcW w:w="1559" w:type="dxa"/>
            <w:vAlign w:val="center"/>
          </w:tcPr>
          <w:p w14:paraId="1DCDCB27"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.040</w:t>
            </w:r>
          </w:p>
        </w:tc>
        <w:tc>
          <w:tcPr>
            <w:tcW w:w="1418" w:type="dxa"/>
          </w:tcPr>
          <w:p w14:paraId="7AF76564"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color w:val="000000"/>
                <w:sz w:val="24"/>
                <w:szCs w:val="24"/>
                <w:lang w:eastAsia="es-ES"/>
              </w:rPr>
              <w:t>.000</w:t>
            </w:r>
          </w:p>
        </w:tc>
      </w:tr>
      <w:tr w:rsidR="009E5839" w:rsidRPr="00B729B8" w14:paraId="7BA577C3" w14:textId="77777777" w:rsidTr="00951CE2">
        <w:tc>
          <w:tcPr>
            <w:tcW w:w="1843" w:type="dxa"/>
            <w:vAlign w:val="center"/>
          </w:tcPr>
          <w:p w14:paraId="2666A478" w14:textId="77777777" w:rsidR="009E5839" w:rsidRPr="00B729B8" w:rsidRDefault="009E5839" w:rsidP="0004163C">
            <w:pPr>
              <w:spacing w:after="0" w:line="276" w:lineRule="auto"/>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eastAsia="es-ES"/>
              </w:rPr>
              <w:t>Class 2</w:t>
            </w:r>
          </w:p>
        </w:tc>
        <w:tc>
          <w:tcPr>
            <w:tcW w:w="1276" w:type="dxa"/>
          </w:tcPr>
          <w:p w14:paraId="4AC05128"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.307</w:t>
            </w:r>
          </w:p>
        </w:tc>
        <w:tc>
          <w:tcPr>
            <w:tcW w:w="1701" w:type="dxa"/>
          </w:tcPr>
          <w:p w14:paraId="4EF642E6"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
                <w:color w:val="000000"/>
                <w:sz w:val="24"/>
                <w:szCs w:val="24"/>
                <w:lang w:eastAsia="es-ES"/>
              </w:rPr>
              <w:t>.485</w:t>
            </w:r>
          </w:p>
        </w:tc>
        <w:tc>
          <w:tcPr>
            <w:tcW w:w="1559" w:type="dxa"/>
            <w:vAlign w:val="center"/>
          </w:tcPr>
          <w:p w14:paraId="58714373"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.078</w:t>
            </w:r>
          </w:p>
        </w:tc>
        <w:tc>
          <w:tcPr>
            <w:tcW w:w="1418" w:type="dxa"/>
          </w:tcPr>
          <w:p w14:paraId="0C358113"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color w:val="000000"/>
                <w:sz w:val="24"/>
                <w:szCs w:val="24"/>
                <w:lang w:eastAsia="es-ES"/>
              </w:rPr>
              <w:t>.130</w:t>
            </w:r>
          </w:p>
        </w:tc>
      </w:tr>
      <w:tr w:rsidR="009E5839" w:rsidRPr="00B729B8" w14:paraId="0CCFEF1E" w14:textId="77777777" w:rsidTr="00951CE2">
        <w:tc>
          <w:tcPr>
            <w:tcW w:w="1843" w:type="dxa"/>
            <w:vAlign w:val="center"/>
          </w:tcPr>
          <w:p w14:paraId="15F06715" w14:textId="77777777" w:rsidR="009E5839" w:rsidRPr="00B729B8" w:rsidRDefault="009E5839" w:rsidP="0004163C">
            <w:pPr>
              <w:spacing w:after="0" w:line="276" w:lineRule="auto"/>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eastAsia="es-ES"/>
              </w:rPr>
              <w:t>Class 3</w:t>
            </w:r>
          </w:p>
        </w:tc>
        <w:tc>
          <w:tcPr>
            <w:tcW w:w="1276" w:type="dxa"/>
          </w:tcPr>
          <w:p w14:paraId="42AF5231"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.000</w:t>
            </w:r>
          </w:p>
        </w:tc>
        <w:tc>
          <w:tcPr>
            <w:tcW w:w="1701" w:type="dxa"/>
          </w:tcPr>
          <w:p w14:paraId="5AF0F92A"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.005</w:t>
            </w:r>
          </w:p>
        </w:tc>
        <w:tc>
          <w:tcPr>
            <w:tcW w:w="1559" w:type="dxa"/>
            <w:vAlign w:val="center"/>
          </w:tcPr>
          <w:p w14:paraId="6993B884"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
                <w:color w:val="000000"/>
                <w:sz w:val="24"/>
                <w:szCs w:val="24"/>
                <w:lang w:eastAsia="es-ES"/>
              </w:rPr>
              <w:t>.992</w:t>
            </w:r>
          </w:p>
        </w:tc>
        <w:tc>
          <w:tcPr>
            <w:tcW w:w="1418" w:type="dxa"/>
          </w:tcPr>
          <w:p w14:paraId="631A8E3F"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color w:val="000000"/>
                <w:sz w:val="24"/>
                <w:szCs w:val="24"/>
                <w:lang w:eastAsia="es-ES"/>
              </w:rPr>
              <w:t>.003</w:t>
            </w:r>
          </w:p>
        </w:tc>
      </w:tr>
      <w:tr w:rsidR="009E5839" w:rsidRPr="00B729B8" w14:paraId="1AE93811" w14:textId="77777777" w:rsidTr="00951CE2">
        <w:tc>
          <w:tcPr>
            <w:tcW w:w="1843" w:type="dxa"/>
            <w:vAlign w:val="center"/>
          </w:tcPr>
          <w:p w14:paraId="2014F86A" w14:textId="77777777" w:rsidR="009E5839" w:rsidRPr="00B729B8" w:rsidRDefault="009E5839" w:rsidP="0004163C">
            <w:pPr>
              <w:spacing w:after="0" w:line="276" w:lineRule="auto"/>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eastAsia="es-ES"/>
              </w:rPr>
              <w:t>Class 4</w:t>
            </w:r>
          </w:p>
        </w:tc>
        <w:tc>
          <w:tcPr>
            <w:tcW w:w="1276" w:type="dxa"/>
          </w:tcPr>
          <w:p w14:paraId="5F8ABBEB"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.048</w:t>
            </w:r>
          </w:p>
        </w:tc>
        <w:tc>
          <w:tcPr>
            <w:tcW w:w="1701" w:type="dxa"/>
          </w:tcPr>
          <w:p w14:paraId="68581629"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.119</w:t>
            </w:r>
          </w:p>
        </w:tc>
        <w:tc>
          <w:tcPr>
            <w:tcW w:w="1559" w:type="dxa"/>
            <w:vAlign w:val="center"/>
          </w:tcPr>
          <w:p w14:paraId="16572366"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.296</w:t>
            </w:r>
          </w:p>
        </w:tc>
        <w:tc>
          <w:tcPr>
            <w:tcW w:w="1418" w:type="dxa"/>
          </w:tcPr>
          <w:p w14:paraId="27F5C73D"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
                <w:color w:val="000000"/>
                <w:sz w:val="24"/>
                <w:szCs w:val="24"/>
                <w:lang w:eastAsia="es-ES"/>
              </w:rPr>
              <w:t>.538</w:t>
            </w:r>
          </w:p>
        </w:tc>
      </w:tr>
      <w:tr w:rsidR="009E5839" w:rsidRPr="00B729B8" w14:paraId="02A8CE71" w14:textId="77777777" w:rsidTr="00951CE2">
        <w:tc>
          <w:tcPr>
            <w:tcW w:w="1843" w:type="dxa"/>
            <w:vAlign w:val="center"/>
          </w:tcPr>
          <w:p w14:paraId="0018B3E7" w14:textId="77777777" w:rsidR="009E5839" w:rsidRPr="00B729B8" w:rsidRDefault="009E5839" w:rsidP="0004163C">
            <w:pPr>
              <w:spacing w:after="0" w:line="276" w:lineRule="auto"/>
              <w:rPr>
                <w:rFonts w:ascii="Times New Roman" w:eastAsia="Times New Roman" w:hAnsi="Times New Roman" w:cs="Times New Roman"/>
                <w:color w:val="000000"/>
                <w:sz w:val="24"/>
                <w:szCs w:val="24"/>
                <w:lang w:val="en-US" w:eastAsia="es-ES"/>
              </w:rPr>
            </w:pPr>
            <w:r w:rsidRPr="00B729B8">
              <w:rPr>
                <w:rFonts w:ascii="Times New Roman" w:hAnsi="Times New Roman" w:cs="Times New Roman"/>
                <w:sz w:val="24"/>
                <w:szCs w:val="24"/>
                <w:lang w:val="en-US"/>
              </w:rPr>
              <w:t>Time 5 / Time 7</w:t>
            </w:r>
          </w:p>
        </w:tc>
        <w:tc>
          <w:tcPr>
            <w:tcW w:w="1276" w:type="dxa"/>
          </w:tcPr>
          <w:p w14:paraId="4EBA6295" w14:textId="77777777" w:rsidR="009E5839" w:rsidRPr="00B729B8" w:rsidRDefault="009E5839" w:rsidP="0004163C">
            <w:pPr>
              <w:spacing w:after="0" w:line="276" w:lineRule="auto"/>
              <w:jc w:val="center"/>
              <w:rPr>
                <w:rFonts w:ascii="Times New Roman" w:hAnsi="Times New Roman" w:cs="Times New Roman"/>
                <w:sz w:val="24"/>
                <w:szCs w:val="24"/>
                <w:lang w:val="en-US"/>
              </w:rPr>
            </w:pPr>
          </w:p>
        </w:tc>
        <w:tc>
          <w:tcPr>
            <w:tcW w:w="1701" w:type="dxa"/>
          </w:tcPr>
          <w:p w14:paraId="5F64DAC6" w14:textId="77777777" w:rsidR="009E5839" w:rsidRPr="00B729B8" w:rsidRDefault="009E5839" w:rsidP="0004163C">
            <w:pPr>
              <w:spacing w:after="0" w:line="276" w:lineRule="auto"/>
              <w:jc w:val="center"/>
              <w:rPr>
                <w:rFonts w:ascii="Times New Roman" w:hAnsi="Times New Roman" w:cs="Times New Roman"/>
                <w:sz w:val="24"/>
                <w:szCs w:val="24"/>
                <w:lang w:val="en-US"/>
              </w:rPr>
            </w:pPr>
          </w:p>
        </w:tc>
        <w:tc>
          <w:tcPr>
            <w:tcW w:w="1559" w:type="dxa"/>
            <w:vAlign w:val="center"/>
          </w:tcPr>
          <w:p w14:paraId="3B29D3F1" w14:textId="77777777" w:rsidR="009E5839" w:rsidRPr="00B729B8" w:rsidRDefault="009E5839" w:rsidP="0004163C">
            <w:pPr>
              <w:spacing w:after="0" w:line="276" w:lineRule="auto"/>
              <w:jc w:val="center"/>
              <w:rPr>
                <w:rFonts w:ascii="Times New Roman" w:hAnsi="Times New Roman" w:cs="Times New Roman"/>
                <w:sz w:val="24"/>
                <w:szCs w:val="24"/>
                <w:lang w:val="en-US"/>
              </w:rPr>
            </w:pPr>
          </w:p>
        </w:tc>
        <w:tc>
          <w:tcPr>
            <w:tcW w:w="1418" w:type="dxa"/>
          </w:tcPr>
          <w:p w14:paraId="4EB4A19C"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p>
        </w:tc>
      </w:tr>
      <w:tr w:rsidR="009E5839" w:rsidRPr="00B729B8" w14:paraId="51C8418D" w14:textId="77777777" w:rsidTr="00951CE2">
        <w:tc>
          <w:tcPr>
            <w:tcW w:w="1843" w:type="dxa"/>
            <w:vAlign w:val="center"/>
          </w:tcPr>
          <w:p w14:paraId="210486B1" w14:textId="77777777" w:rsidR="009E5839" w:rsidRPr="00B729B8" w:rsidRDefault="009E5839" w:rsidP="0004163C">
            <w:pPr>
              <w:spacing w:after="0" w:line="276" w:lineRule="auto"/>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eastAsia="es-ES"/>
              </w:rPr>
              <w:t>Class 1</w:t>
            </w:r>
          </w:p>
        </w:tc>
        <w:tc>
          <w:tcPr>
            <w:tcW w:w="1276" w:type="dxa"/>
          </w:tcPr>
          <w:p w14:paraId="45AFEC46"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
                <w:color w:val="000000"/>
                <w:sz w:val="24"/>
                <w:szCs w:val="24"/>
                <w:lang w:eastAsia="es-ES"/>
              </w:rPr>
              <w:t>.625</w:t>
            </w:r>
          </w:p>
        </w:tc>
        <w:tc>
          <w:tcPr>
            <w:tcW w:w="1701" w:type="dxa"/>
          </w:tcPr>
          <w:p w14:paraId="09081E36"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.033</w:t>
            </w:r>
          </w:p>
        </w:tc>
        <w:tc>
          <w:tcPr>
            <w:tcW w:w="1559" w:type="dxa"/>
            <w:vAlign w:val="center"/>
          </w:tcPr>
          <w:p w14:paraId="177BBCDC"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.342</w:t>
            </w:r>
          </w:p>
        </w:tc>
        <w:tc>
          <w:tcPr>
            <w:tcW w:w="1418" w:type="dxa"/>
          </w:tcPr>
          <w:p w14:paraId="01090317"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color w:val="000000"/>
                <w:sz w:val="24"/>
                <w:szCs w:val="24"/>
                <w:lang w:eastAsia="es-ES"/>
              </w:rPr>
              <w:t>.000</w:t>
            </w:r>
          </w:p>
        </w:tc>
      </w:tr>
      <w:tr w:rsidR="009E5839" w:rsidRPr="00B729B8" w14:paraId="70B30A61" w14:textId="77777777" w:rsidTr="00951CE2">
        <w:tc>
          <w:tcPr>
            <w:tcW w:w="1843" w:type="dxa"/>
            <w:vAlign w:val="center"/>
          </w:tcPr>
          <w:p w14:paraId="0A87A0E8" w14:textId="77777777" w:rsidR="009E5839" w:rsidRPr="00B729B8" w:rsidRDefault="009E5839" w:rsidP="0004163C">
            <w:pPr>
              <w:spacing w:after="0" w:line="276" w:lineRule="auto"/>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eastAsia="es-ES"/>
              </w:rPr>
              <w:t>Class 2</w:t>
            </w:r>
          </w:p>
        </w:tc>
        <w:tc>
          <w:tcPr>
            <w:tcW w:w="1276" w:type="dxa"/>
          </w:tcPr>
          <w:p w14:paraId="1034ABB1"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.244</w:t>
            </w:r>
          </w:p>
        </w:tc>
        <w:tc>
          <w:tcPr>
            <w:tcW w:w="1701" w:type="dxa"/>
          </w:tcPr>
          <w:p w14:paraId="4FAB5CBF"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
                <w:color w:val="000000"/>
                <w:sz w:val="24"/>
                <w:szCs w:val="24"/>
                <w:lang w:eastAsia="es-ES"/>
              </w:rPr>
              <w:t>.343</w:t>
            </w:r>
          </w:p>
        </w:tc>
        <w:tc>
          <w:tcPr>
            <w:tcW w:w="1559" w:type="dxa"/>
            <w:vAlign w:val="center"/>
          </w:tcPr>
          <w:p w14:paraId="7C11F51B"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.234</w:t>
            </w:r>
          </w:p>
        </w:tc>
        <w:tc>
          <w:tcPr>
            <w:tcW w:w="1418" w:type="dxa"/>
          </w:tcPr>
          <w:p w14:paraId="57F51853"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color w:val="000000"/>
                <w:sz w:val="24"/>
                <w:szCs w:val="24"/>
                <w:lang w:eastAsia="es-ES"/>
              </w:rPr>
              <w:t>.179</w:t>
            </w:r>
          </w:p>
        </w:tc>
      </w:tr>
      <w:tr w:rsidR="009E5839" w:rsidRPr="00B729B8" w14:paraId="76385A16" w14:textId="77777777" w:rsidTr="00951CE2">
        <w:tc>
          <w:tcPr>
            <w:tcW w:w="1843" w:type="dxa"/>
            <w:vAlign w:val="center"/>
          </w:tcPr>
          <w:p w14:paraId="1FA23077" w14:textId="77777777" w:rsidR="009E5839" w:rsidRPr="00B729B8" w:rsidRDefault="009E5839" w:rsidP="0004163C">
            <w:pPr>
              <w:spacing w:after="0" w:line="276" w:lineRule="auto"/>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eastAsia="es-ES"/>
              </w:rPr>
              <w:t>Class 3</w:t>
            </w:r>
          </w:p>
        </w:tc>
        <w:tc>
          <w:tcPr>
            <w:tcW w:w="1276" w:type="dxa"/>
          </w:tcPr>
          <w:p w14:paraId="2C29F736"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.004</w:t>
            </w:r>
          </w:p>
        </w:tc>
        <w:tc>
          <w:tcPr>
            <w:tcW w:w="1701" w:type="dxa"/>
          </w:tcPr>
          <w:p w14:paraId="60FD8C03"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.001</w:t>
            </w:r>
          </w:p>
        </w:tc>
        <w:tc>
          <w:tcPr>
            <w:tcW w:w="1559" w:type="dxa"/>
            <w:vAlign w:val="center"/>
          </w:tcPr>
          <w:p w14:paraId="79F12E2C"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
                <w:color w:val="000000"/>
                <w:sz w:val="24"/>
                <w:szCs w:val="24"/>
                <w:lang w:eastAsia="es-ES"/>
              </w:rPr>
              <w:t>.982</w:t>
            </w:r>
          </w:p>
        </w:tc>
        <w:tc>
          <w:tcPr>
            <w:tcW w:w="1418" w:type="dxa"/>
          </w:tcPr>
          <w:p w14:paraId="34853B15"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Cs/>
                <w:color w:val="000000"/>
                <w:sz w:val="24"/>
                <w:szCs w:val="24"/>
                <w:lang w:eastAsia="es-ES"/>
              </w:rPr>
              <w:t>.013</w:t>
            </w:r>
          </w:p>
        </w:tc>
      </w:tr>
      <w:tr w:rsidR="009E5839" w:rsidRPr="00B729B8" w14:paraId="5FF126F7" w14:textId="77777777" w:rsidTr="00951CE2">
        <w:tc>
          <w:tcPr>
            <w:tcW w:w="1843" w:type="dxa"/>
            <w:tcBorders>
              <w:bottom w:val="single" w:sz="4" w:space="0" w:color="auto"/>
            </w:tcBorders>
            <w:vAlign w:val="center"/>
          </w:tcPr>
          <w:p w14:paraId="6AE4E671" w14:textId="77777777" w:rsidR="009E5839" w:rsidRPr="00B729B8" w:rsidRDefault="009E5839" w:rsidP="0004163C">
            <w:pPr>
              <w:spacing w:after="0" w:line="276" w:lineRule="auto"/>
              <w:rPr>
                <w:rFonts w:ascii="Times New Roman" w:eastAsia="Times New Roman" w:hAnsi="Times New Roman" w:cs="Times New Roman"/>
                <w:color w:val="000000"/>
                <w:sz w:val="24"/>
                <w:szCs w:val="24"/>
                <w:lang w:val="en-US" w:eastAsia="es-ES"/>
              </w:rPr>
            </w:pPr>
            <w:r w:rsidRPr="00B729B8">
              <w:rPr>
                <w:rFonts w:ascii="Times New Roman" w:eastAsia="Times New Roman" w:hAnsi="Times New Roman" w:cs="Times New Roman"/>
                <w:color w:val="000000"/>
                <w:sz w:val="24"/>
                <w:szCs w:val="24"/>
                <w:lang w:eastAsia="es-ES"/>
              </w:rPr>
              <w:t>Class 4</w:t>
            </w:r>
          </w:p>
        </w:tc>
        <w:tc>
          <w:tcPr>
            <w:tcW w:w="1276" w:type="dxa"/>
            <w:tcBorders>
              <w:bottom w:val="single" w:sz="4" w:space="0" w:color="auto"/>
            </w:tcBorders>
          </w:tcPr>
          <w:p w14:paraId="6A695EFB"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.124</w:t>
            </w:r>
          </w:p>
        </w:tc>
        <w:tc>
          <w:tcPr>
            <w:tcW w:w="1701" w:type="dxa"/>
            <w:tcBorders>
              <w:bottom w:val="single" w:sz="4" w:space="0" w:color="auto"/>
            </w:tcBorders>
          </w:tcPr>
          <w:p w14:paraId="676DAC9B"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.047</w:t>
            </w:r>
          </w:p>
        </w:tc>
        <w:tc>
          <w:tcPr>
            <w:tcW w:w="1559" w:type="dxa"/>
            <w:tcBorders>
              <w:bottom w:val="single" w:sz="4" w:space="0" w:color="auto"/>
            </w:tcBorders>
            <w:vAlign w:val="center"/>
          </w:tcPr>
          <w:p w14:paraId="7583A5F3" w14:textId="77777777" w:rsidR="009E5839" w:rsidRPr="00B729B8" w:rsidRDefault="009E5839" w:rsidP="0004163C">
            <w:pPr>
              <w:spacing w:after="0" w:line="276" w:lineRule="auto"/>
              <w:jc w:val="center"/>
              <w:rPr>
                <w:rFonts w:ascii="Times New Roman" w:hAnsi="Times New Roman" w:cs="Times New Roman"/>
                <w:sz w:val="24"/>
                <w:szCs w:val="24"/>
                <w:lang w:val="en-US"/>
              </w:rPr>
            </w:pPr>
            <w:r w:rsidRPr="00B729B8">
              <w:rPr>
                <w:rFonts w:ascii="Times New Roman" w:eastAsia="Times New Roman" w:hAnsi="Times New Roman" w:cs="Times New Roman"/>
                <w:bCs/>
                <w:color w:val="000000"/>
                <w:sz w:val="24"/>
                <w:szCs w:val="24"/>
                <w:lang w:eastAsia="es-ES"/>
              </w:rPr>
              <w:t>.033</w:t>
            </w:r>
          </w:p>
        </w:tc>
        <w:tc>
          <w:tcPr>
            <w:tcW w:w="1418" w:type="dxa"/>
            <w:tcBorders>
              <w:bottom w:val="single" w:sz="4" w:space="0" w:color="auto"/>
            </w:tcBorders>
          </w:tcPr>
          <w:p w14:paraId="56824DD7" w14:textId="77777777" w:rsidR="009E5839" w:rsidRPr="00B729B8" w:rsidRDefault="009E5839" w:rsidP="0004163C">
            <w:pPr>
              <w:spacing w:after="0" w:line="276" w:lineRule="auto"/>
              <w:jc w:val="center"/>
              <w:rPr>
                <w:rFonts w:ascii="Times New Roman" w:eastAsia="Times New Roman" w:hAnsi="Times New Roman" w:cs="Times New Roman"/>
                <w:bCs/>
                <w:color w:val="000000"/>
                <w:sz w:val="24"/>
                <w:szCs w:val="24"/>
                <w:lang w:val="en-US" w:eastAsia="es-ES"/>
              </w:rPr>
            </w:pPr>
            <w:r w:rsidRPr="00B729B8">
              <w:rPr>
                <w:rFonts w:ascii="Times New Roman" w:eastAsia="Times New Roman" w:hAnsi="Times New Roman" w:cs="Times New Roman"/>
                <w:b/>
                <w:color w:val="000000"/>
                <w:sz w:val="24"/>
                <w:szCs w:val="24"/>
                <w:lang w:eastAsia="es-ES"/>
              </w:rPr>
              <w:t>.796</w:t>
            </w:r>
          </w:p>
        </w:tc>
      </w:tr>
      <w:tr w:rsidR="009E5839" w:rsidRPr="00B729B8" w14:paraId="1E9781FE" w14:textId="77777777" w:rsidTr="00951CE2">
        <w:tc>
          <w:tcPr>
            <w:tcW w:w="7797" w:type="dxa"/>
            <w:gridSpan w:val="5"/>
            <w:tcBorders>
              <w:top w:val="single" w:sz="4" w:space="0" w:color="auto"/>
            </w:tcBorders>
            <w:vAlign w:val="center"/>
          </w:tcPr>
          <w:p w14:paraId="4170C738" w14:textId="77777777" w:rsidR="009E5839" w:rsidRPr="00B729B8" w:rsidRDefault="009E5839" w:rsidP="0004163C">
            <w:pPr>
              <w:spacing w:after="0" w:line="276" w:lineRule="auto"/>
              <w:rPr>
                <w:rFonts w:ascii="Times New Roman" w:eastAsia="Times New Roman" w:hAnsi="Times New Roman" w:cs="Times New Roman"/>
                <w:b/>
                <w:color w:val="000000"/>
                <w:sz w:val="24"/>
                <w:szCs w:val="24"/>
                <w:lang w:val="en-US" w:eastAsia="es-ES"/>
              </w:rPr>
            </w:pPr>
            <w:r w:rsidRPr="00B729B8">
              <w:rPr>
                <w:rFonts w:ascii="Times New Roman" w:eastAsia="Times New Roman" w:hAnsi="Times New Roman" w:cs="Times New Roman"/>
                <w:bCs/>
                <w:i/>
                <w:iCs/>
                <w:color w:val="000000"/>
                <w:sz w:val="24"/>
                <w:szCs w:val="24"/>
                <w:lang w:val="en-US" w:eastAsia="es-ES"/>
              </w:rPr>
              <w:t>Note.</w:t>
            </w:r>
            <w:r w:rsidRPr="00B729B8">
              <w:rPr>
                <w:rFonts w:ascii="Times New Roman" w:eastAsia="Times New Roman" w:hAnsi="Times New Roman" w:cs="Times New Roman"/>
                <w:b/>
                <w:i/>
                <w:iCs/>
                <w:color w:val="000000"/>
                <w:sz w:val="24"/>
                <w:szCs w:val="24"/>
                <w:lang w:val="en-US" w:eastAsia="es-ES"/>
              </w:rPr>
              <w:t xml:space="preserve"> </w:t>
            </w:r>
            <w:r w:rsidRPr="00B729B8">
              <w:rPr>
                <w:rFonts w:ascii="Times New Roman" w:eastAsia="Times New Roman" w:hAnsi="Times New Roman" w:cs="Times New Roman"/>
                <w:bCs/>
                <w:color w:val="000000"/>
                <w:sz w:val="24"/>
                <w:szCs w:val="24"/>
                <w:lang w:val="en-US" w:eastAsia="es-ES"/>
              </w:rPr>
              <w:t xml:space="preserve">Cells in </w:t>
            </w:r>
            <w:r w:rsidRPr="00B729B8">
              <w:rPr>
                <w:rFonts w:ascii="Times New Roman" w:eastAsia="Times New Roman" w:hAnsi="Times New Roman" w:cs="Times New Roman"/>
                <w:b/>
                <w:color w:val="000000"/>
                <w:sz w:val="24"/>
                <w:szCs w:val="24"/>
                <w:lang w:val="en-US" w:eastAsia="es-ES"/>
              </w:rPr>
              <w:t>bold</w:t>
            </w:r>
            <w:r w:rsidRPr="00B729B8">
              <w:rPr>
                <w:rFonts w:ascii="Times New Roman" w:eastAsia="Times New Roman" w:hAnsi="Times New Roman" w:cs="Times New Roman"/>
                <w:bCs/>
                <w:color w:val="000000"/>
                <w:sz w:val="24"/>
                <w:szCs w:val="24"/>
                <w:lang w:val="en-US" w:eastAsia="es-ES"/>
              </w:rPr>
              <w:t xml:space="preserve"> within the lower part of the table denotes stability</w:t>
            </w:r>
            <w:r w:rsidRPr="00B729B8">
              <w:rPr>
                <w:rFonts w:ascii="Times New Roman" w:hAnsi="Times New Roman" w:cs="Times New Roman"/>
                <w:sz w:val="24"/>
                <w:szCs w:val="24"/>
                <w:lang w:val="en-US"/>
              </w:rPr>
              <w:t xml:space="preserve"> parameters </w:t>
            </w:r>
            <w:r w:rsidRPr="00B729B8">
              <w:rPr>
                <w:rFonts w:ascii="Times New Roman" w:eastAsia="Times New Roman" w:hAnsi="Times New Roman" w:cs="Times New Roman"/>
                <w:bCs/>
                <w:color w:val="000000"/>
                <w:sz w:val="24"/>
                <w:szCs w:val="24"/>
                <w:lang w:val="en-US" w:eastAsia="es-ES"/>
              </w:rPr>
              <w:t xml:space="preserve">of class membership across time. </w:t>
            </w:r>
          </w:p>
        </w:tc>
      </w:tr>
    </w:tbl>
    <w:p w14:paraId="3562AE2A" w14:textId="77777777" w:rsidR="009E5839" w:rsidRDefault="009E5839" w:rsidP="0004163C">
      <w:pPr>
        <w:rPr>
          <w:rFonts w:ascii="Times New Roman" w:hAnsi="Times New Roman" w:cs="Times New Roman"/>
          <w:b/>
          <w:sz w:val="24"/>
          <w:szCs w:val="24"/>
          <w:lang w:val="en-US"/>
        </w:rPr>
      </w:pPr>
      <w:r w:rsidRPr="00B729B8">
        <w:rPr>
          <w:rFonts w:ascii="Times New Roman" w:hAnsi="Times New Roman" w:cs="Times New Roman"/>
          <w:b/>
          <w:sz w:val="24"/>
          <w:szCs w:val="24"/>
          <w:lang w:val="en-US"/>
        </w:rPr>
        <w:t xml:space="preserve"> </w:t>
      </w:r>
      <w:r w:rsidRPr="00B729B8">
        <w:rPr>
          <w:rFonts w:ascii="Times New Roman" w:hAnsi="Times New Roman" w:cs="Times New Roman"/>
          <w:b/>
          <w:sz w:val="24"/>
          <w:szCs w:val="24"/>
          <w:lang w:val="en-US"/>
        </w:rPr>
        <w:fldChar w:fldCharType="begin"/>
      </w:r>
      <w:r w:rsidRPr="00B729B8">
        <w:rPr>
          <w:rFonts w:ascii="Times New Roman" w:hAnsi="Times New Roman" w:cs="Times New Roman"/>
          <w:b/>
          <w:sz w:val="24"/>
          <w:szCs w:val="24"/>
          <w:lang w:val="en-US"/>
        </w:rPr>
        <w:instrText xml:space="preserve"> QUOTE </w:instrText>
      </w:r>
      <w:r w:rsidRPr="00B729B8">
        <w:rPr>
          <w:rFonts w:ascii="Times New Roman" w:hAnsi="Times New Roman" w:cs="Times New Roman"/>
          <w:b/>
          <w:sz w:val="24"/>
          <w:szCs w:val="24"/>
          <w:lang w:val="en-US"/>
        </w:rPr>
        <w:fldChar w:fldCharType="end"/>
      </w:r>
    </w:p>
    <w:p w14:paraId="25C04046" w14:textId="0EFB761F" w:rsidR="009D25AA" w:rsidRPr="00AC1192" w:rsidRDefault="009D25AA">
      <w:pPr>
        <w:rPr>
          <w:lang w:val="en-US"/>
        </w:rPr>
      </w:pPr>
    </w:p>
    <w:sectPr w:rsidR="009D25AA" w:rsidRPr="00AC1192" w:rsidSect="000C107D">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188B8D" w16cid:durableId="25AFBBA4"/>
  <w16cid:commentId w16cid:paraId="4D85D6AD" w16cid:durableId="25AFBB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673A7" w14:textId="77777777" w:rsidR="001E1CAF" w:rsidRDefault="001E1CAF">
      <w:pPr>
        <w:spacing w:after="0" w:line="240" w:lineRule="auto"/>
      </w:pPr>
      <w:r>
        <w:separator/>
      </w:r>
    </w:p>
  </w:endnote>
  <w:endnote w:type="continuationSeparator" w:id="0">
    <w:p w14:paraId="43F92AF3" w14:textId="77777777" w:rsidR="001E1CAF" w:rsidRDefault="001E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0C6A0" w14:textId="77777777" w:rsidR="001E1CAF" w:rsidRDefault="001E1CAF">
      <w:pPr>
        <w:spacing w:after="0" w:line="240" w:lineRule="auto"/>
      </w:pPr>
      <w:r>
        <w:separator/>
      </w:r>
    </w:p>
  </w:footnote>
  <w:footnote w:type="continuationSeparator" w:id="0">
    <w:p w14:paraId="0CADCD0C" w14:textId="77777777" w:rsidR="001E1CAF" w:rsidRDefault="001E1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805055"/>
      <w:docPartObj>
        <w:docPartGallery w:val="Page Numbers (Top of Page)"/>
        <w:docPartUnique/>
      </w:docPartObj>
    </w:sdtPr>
    <w:sdtEndPr/>
    <w:sdtContent>
      <w:p w14:paraId="7C81A53F" w14:textId="5B791403" w:rsidR="0092133E" w:rsidRDefault="0092133E">
        <w:pPr>
          <w:pStyle w:val="Encabezado"/>
        </w:pPr>
        <w:r>
          <w:fldChar w:fldCharType="begin"/>
        </w:r>
        <w:r>
          <w:instrText>PAGE   \* MERGEFORMAT</w:instrText>
        </w:r>
        <w:r>
          <w:fldChar w:fldCharType="separate"/>
        </w:r>
        <w:r w:rsidR="001E1CAF">
          <w:rPr>
            <w:noProof/>
          </w:rPr>
          <w:t>1</w:t>
        </w:r>
        <w:r>
          <w:fldChar w:fldCharType="end"/>
        </w:r>
      </w:p>
    </w:sdtContent>
  </w:sdt>
  <w:p w14:paraId="2FFA6254" w14:textId="77225E1E" w:rsidR="00951CE2" w:rsidRPr="002A63D4" w:rsidRDefault="001E1CAF" w:rsidP="00951CE2">
    <w:pPr>
      <w:spacing w:line="360" w:lineRule="auto"/>
      <w:jc w:val="right"/>
      <w:rPr>
        <w:rFonts w:ascii="Times New Roman" w:hAnsi="Times New Roman" w:cs="Times New Roman"/>
        <w:bCs/>
        <w:i/>
        <w:iCs/>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617E8"/>
    <w:multiLevelType w:val="hybridMultilevel"/>
    <w:tmpl w:val="338CEE96"/>
    <w:lvl w:ilvl="0" w:tplc="9CAE493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9D5428"/>
    <w:multiLevelType w:val="hybridMultilevel"/>
    <w:tmpl w:val="C92ADF1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E5839"/>
    <w:rsid w:val="0000261B"/>
    <w:rsid w:val="00082CDD"/>
    <w:rsid w:val="000861E5"/>
    <w:rsid w:val="000910EB"/>
    <w:rsid w:val="00096F7F"/>
    <w:rsid w:val="000B56D7"/>
    <w:rsid w:val="000E2A98"/>
    <w:rsid w:val="000E56C7"/>
    <w:rsid w:val="001358AA"/>
    <w:rsid w:val="00155D7B"/>
    <w:rsid w:val="00160945"/>
    <w:rsid w:val="00191E8C"/>
    <w:rsid w:val="001A164F"/>
    <w:rsid w:val="001A6021"/>
    <w:rsid w:val="001E1CAF"/>
    <w:rsid w:val="001F7349"/>
    <w:rsid w:val="002078B3"/>
    <w:rsid w:val="00254010"/>
    <w:rsid w:val="0025624D"/>
    <w:rsid w:val="002619AB"/>
    <w:rsid w:val="00276674"/>
    <w:rsid w:val="002C225A"/>
    <w:rsid w:val="003214DC"/>
    <w:rsid w:val="00331FC0"/>
    <w:rsid w:val="00332E68"/>
    <w:rsid w:val="00371C53"/>
    <w:rsid w:val="00372C1C"/>
    <w:rsid w:val="003C07A1"/>
    <w:rsid w:val="003E1177"/>
    <w:rsid w:val="003E72FC"/>
    <w:rsid w:val="00411CF6"/>
    <w:rsid w:val="00433932"/>
    <w:rsid w:val="0046303B"/>
    <w:rsid w:val="004E56FF"/>
    <w:rsid w:val="004F2F56"/>
    <w:rsid w:val="005050C0"/>
    <w:rsid w:val="005317A1"/>
    <w:rsid w:val="00554BAA"/>
    <w:rsid w:val="00561A49"/>
    <w:rsid w:val="00590B26"/>
    <w:rsid w:val="005B54E3"/>
    <w:rsid w:val="005C5400"/>
    <w:rsid w:val="005D448F"/>
    <w:rsid w:val="005E400C"/>
    <w:rsid w:val="006100FB"/>
    <w:rsid w:val="00611C33"/>
    <w:rsid w:val="00660608"/>
    <w:rsid w:val="00665B02"/>
    <w:rsid w:val="0069530F"/>
    <w:rsid w:val="006A198E"/>
    <w:rsid w:val="006A323F"/>
    <w:rsid w:val="006B76E1"/>
    <w:rsid w:val="006C0A3C"/>
    <w:rsid w:val="006D469F"/>
    <w:rsid w:val="006D50AD"/>
    <w:rsid w:val="007336D4"/>
    <w:rsid w:val="00735AEC"/>
    <w:rsid w:val="00735BDA"/>
    <w:rsid w:val="00742585"/>
    <w:rsid w:val="00744CC0"/>
    <w:rsid w:val="00747875"/>
    <w:rsid w:val="00787669"/>
    <w:rsid w:val="007B384F"/>
    <w:rsid w:val="007E2BA6"/>
    <w:rsid w:val="008045FA"/>
    <w:rsid w:val="00822F69"/>
    <w:rsid w:val="0083424F"/>
    <w:rsid w:val="00846DAC"/>
    <w:rsid w:val="0086587C"/>
    <w:rsid w:val="00881478"/>
    <w:rsid w:val="008B71D4"/>
    <w:rsid w:val="008C5BC9"/>
    <w:rsid w:val="008D1650"/>
    <w:rsid w:val="008E4DB5"/>
    <w:rsid w:val="00906B31"/>
    <w:rsid w:val="0092012A"/>
    <w:rsid w:val="0092133E"/>
    <w:rsid w:val="00963524"/>
    <w:rsid w:val="00974339"/>
    <w:rsid w:val="009D25AA"/>
    <w:rsid w:val="009E3A88"/>
    <w:rsid w:val="009E5839"/>
    <w:rsid w:val="00A127F7"/>
    <w:rsid w:val="00A174A6"/>
    <w:rsid w:val="00A211AF"/>
    <w:rsid w:val="00A23F15"/>
    <w:rsid w:val="00A351B4"/>
    <w:rsid w:val="00A84C1D"/>
    <w:rsid w:val="00A9723D"/>
    <w:rsid w:val="00AC1192"/>
    <w:rsid w:val="00AD1FB7"/>
    <w:rsid w:val="00B34BFB"/>
    <w:rsid w:val="00B4214A"/>
    <w:rsid w:val="00B44780"/>
    <w:rsid w:val="00B729B8"/>
    <w:rsid w:val="00B91C73"/>
    <w:rsid w:val="00BB3887"/>
    <w:rsid w:val="00BB75D4"/>
    <w:rsid w:val="00BC7540"/>
    <w:rsid w:val="00BD765B"/>
    <w:rsid w:val="00BE027D"/>
    <w:rsid w:val="00C05BBB"/>
    <w:rsid w:val="00C25FD3"/>
    <w:rsid w:val="00C73512"/>
    <w:rsid w:val="00CB4312"/>
    <w:rsid w:val="00CB700E"/>
    <w:rsid w:val="00CC32DF"/>
    <w:rsid w:val="00D57C12"/>
    <w:rsid w:val="00DB70A7"/>
    <w:rsid w:val="00DC4CE8"/>
    <w:rsid w:val="00DE1E1E"/>
    <w:rsid w:val="00E24960"/>
    <w:rsid w:val="00E803FB"/>
    <w:rsid w:val="00EC78AD"/>
    <w:rsid w:val="00EE5296"/>
    <w:rsid w:val="00F12F97"/>
    <w:rsid w:val="00F24F54"/>
    <w:rsid w:val="00F27FC7"/>
    <w:rsid w:val="00F86643"/>
    <w:rsid w:val="00FC0DEF"/>
    <w:rsid w:val="00FC44DE"/>
    <w:rsid w:val="00FC525E"/>
    <w:rsid w:val="00FD5E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ECC1E"/>
  <w15:chartTrackingRefBased/>
  <w15:docId w15:val="{27B273EE-DFD9-4B67-BA06-5FC14211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839"/>
  </w:style>
  <w:style w:type="paragraph" w:styleId="Ttulo1">
    <w:name w:val="heading 1"/>
    <w:basedOn w:val="Normal"/>
    <w:link w:val="Ttulo1Car"/>
    <w:uiPriority w:val="9"/>
    <w:qFormat/>
    <w:rsid w:val="009E58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5839"/>
    <w:rPr>
      <w:rFonts w:ascii="Times New Roman" w:eastAsia="Times New Roman" w:hAnsi="Times New Roman" w:cs="Times New Roman"/>
      <w:b/>
      <w:bCs/>
      <w:kern w:val="36"/>
      <w:sz w:val="48"/>
      <w:szCs w:val="48"/>
      <w:lang w:eastAsia="es-ES"/>
    </w:rPr>
  </w:style>
  <w:style w:type="character" w:styleId="Refdecomentario">
    <w:name w:val="annotation reference"/>
    <w:basedOn w:val="Fuentedeprrafopredeter"/>
    <w:uiPriority w:val="99"/>
    <w:semiHidden/>
    <w:unhideWhenUsed/>
    <w:rsid w:val="009E5839"/>
    <w:rPr>
      <w:sz w:val="16"/>
      <w:szCs w:val="16"/>
    </w:rPr>
  </w:style>
  <w:style w:type="paragraph" w:styleId="Textocomentario">
    <w:name w:val="annotation text"/>
    <w:basedOn w:val="Normal"/>
    <w:link w:val="TextocomentarioCar"/>
    <w:uiPriority w:val="99"/>
    <w:semiHidden/>
    <w:unhideWhenUsed/>
    <w:rsid w:val="009E58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5839"/>
    <w:rPr>
      <w:sz w:val="20"/>
      <w:szCs w:val="20"/>
    </w:rPr>
  </w:style>
  <w:style w:type="paragraph" w:styleId="Asuntodelcomentario">
    <w:name w:val="annotation subject"/>
    <w:basedOn w:val="Textocomentario"/>
    <w:next w:val="Textocomentario"/>
    <w:link w:val="AsuntodelcomentarioCar"/>
    <w:uiPriority w:val="99"/>
    <w:semiHidden/>
    <w:unhideWhenUsed/>
    <w:rsid w:val="009E5839"/>
    <w:rPr>
      <w:b/>
      <w:bCs/>
    </w:rPr>
  </w:style>
  <w:style w:type="character" w:customStyle="1" w:styleId="AsuntodelcomentarioCar">
    <w:name w:val="Asunto del comentario Car"/>
    <w:basedOn w:val="TextocomentarioCar"/>
    <w:link w:val="Asuntodelcomentario"/>
    <w:uiPriority w:val="99"/>
    <w:semiHidden/>
    <w:rsid w:val="009E5839"/>
    <w:rPr>
      <w:b/>
      <w:bCs/>
      <w:sz w:val="20"/>
      <w:szCs w:val="20"/>
    </w:rPr>
  </w:style>
  <w:style w:type="paragraph" w:styleId="Textodeglobo">
    <w:name w:val="Balloon Text"/>
    <w:basedOn w:val="Normal"/>
    <w:link w:val="TextodegloboCar"/>
    <w:uiPriority w:val="99"/>
    <w:semiHidden/>
    <w:unhideWhenUsed/>
    <w:rsid w:val="009E58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839"/>
    <w:rPr>
      <w:rFonts w:ascii="Segoe UI" w:hAnsi="Segoe UI" w:cs="Segoe UI"/>
      <w:sz w:val="18"/>
      <w:szCs w:val="18"/>
    </w:rPr>
  </w:style>
  <w:style w:type="character" w:styleId="Hipervnculo">
    <w:name w:val="Hyperlink"/>
    <w:basedOn w:val="Fuentedeprrafopredeter"/>
    <w:uiPriority w:val="99"/>
    <w:unhideWhenUsed/>
    <w:rsid w:val="009E5839"/>
    <w:rPr>
      <w:color w:val="0000FF"/>
      <w:u w:val="single"/>
    </w:rPr>
  </w:style>
  <w:style w:type="paragraph" w:customStyle="1" w:styleId="EndNoteBibliographyTitle">
    <w:name w:val="EndNote Bibliography Title"/>
    <w:basedOn w:val="Normal"/>
    <w:link w:val="EndNoteBibliographyTitleCar"/>
    <w:rsid w:val="009E5839"/>
    <w:pPr>
      <w:spacing w:after="0"/>
      <w:jc w:val="center"/>
    </w:pPr>
    <w:rPr>
      <w:rFonts w:ascii="Times New Roman" w:hAnsi="Times New Roman" w:cs="Times New Roman"/>
      <w:noProof/>
      <w:sz w:val="24"/>
      <w:lang w:val="en-US"/>
    </w:rPr>
  </w:style>
  <w:style w:type="character" w:customStyle="1" w:styleId="EndNoteBibliographyTitleCar">
    <w:name w:val="EndNote Bibliography Title Car"/>
    <w:basedOn w:val="Fuentedeprrafopredeter"/>
    <w:link w:val="EndNoteBibliographyTitle"/>
    <w:rsid w:val="009E5839"/>
    <w:rPr>
      <w:rFonts w:ascii="Times New Roman" w:hAnsi="Times New Roman" w:cs="Times New Roman"/>
      <w:noProof/>
      <w:sz w:val="24"/>
      <w:lang w:val="en-US"/>
    </w:rPr>
  </w:style>
  <w:style w:type="paragraph" w:customStyle="1" w:styleId="EndNoteBibliography">
    <w:name w:val="EndNote Bibliography"/>
    <w:basedOn w:val="Normal"/>
    <w:link w:val="EndNoteBibliographyCar"/>
    <w:rsid w:val="009E5839"/>
    <w:pPr>
      <w:spacing w:line="480" w:lineRule="auto"/>
    </w:pPr>
    <w:rPr>
      <w:rFonts w:ascii="Times New Roman" w:hAnsi="Times New Roman" w:cs="Times New Roman"/>
      <w:noProof/>
      <w:sz w:val="24"/>
      <w:lang w:val="en-US"/>
    </w:rPr>
  </w:style>
  <w:style w:type="character" w:customStyle="1" w:styleId="EndNoteBibliographyCar">
    <w:name w:val="EndNote Bibliography Car"/>
    <w:basedOn w:val="Fuentedeprrafopredeter"/>
    <w:link w:val="EndNoteBibliography"/>
    <w:rsid w:val="009E5839"/>
    <w:rPr>
      <w:rFonts w:ascii="Times New Roman" w:hAnsi="Times New Roman" w:cs="Times New Roman"/>
      <w:noProof/>
      <w:sz w:val="24"/>
      <w:lang w:val="en-US"/>
    </w:rPr>
  </w:style>
  <w:style w:type="paragraph" w:styleId="Revisin">
    <w:name w:val="Revision"/>
    <w:hidden/>
    <w:uiPriority w:val="99"/>
    <w:semiHidden/>
    <w:rsid w:val="009E5839"/>
    <w:pPr>
      <w:spacing w:after="0" w:line="240" w:lineRule="auto"/>
    </w:pPr>
  </w:style>
  <w:style w:type="paragraph" w:styleId="Encabezado">
    <w:name w:val="header"/>
    <w:basedOn w:val="Normal"/>
    <w:link w:val="EncabezadoCar"/>
    <w:uiPriority w:val="99"/>
    <w:unhideWhenUsed/>
    <w:rsid w:val="009E5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5839"/>
  </w:style>
  <w:style w:type="paragraph" w:styleId="Piedepgina">
    <w:name w:val="footer"/>
    <w:basedOn w:val="Normal"/>
    <w:link w:val="PiedepginaCar"/>
    <w:uiPriority w:val="99"/>
    <w:unhideWhenUsed/>
    <w:rsid w:val="009E5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5839"/>
  </w:style>
  <w:style w:type="paragraph" w:customStyle="1" w:styleId="Default">
    <w:name w:val="Default"/>
    <w:rsid w:val="009E5839"/>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9E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5839"/>
    <w:pPr>
      <w:ind w:left="720"/>
      <w:contextualSpacing/>
    </w:pPr>
  </w:style>
  <w:style w:type="character" w:styleId="Hipervnculovisitado">
    <w:name w:val="FollowedHyperlink"/>
    <w:basedOn w:val="Fuentedeprrafopredeter"/>
    <w:uiPriority w:val="99"/>
    <w:semiHidden/>
    <w:unhideWhenUsed/>
    <w:rsid w:val="009E5839"/>
    <w:rPr>
      <w:color w:val="954F72" w:themeColor="followedHyperlink"/>
      <w:u w:val="single"/>
    </w:rPr>
  </w:style>
  <w:style w:type="character" w:customStyle="1" w:styleId="title-text">
    <w:name w:val="title-text"/>
    <w:basedOn w:val="Fuentedeprrafopredeter"/>
    <w:rsid w:val="009E5839"/>
  </w:style>
  <w:style w:type="character" w:styleId="nfasis">
    <w:name w:val="Emphasis"/>
    <w:basedOn w:val="Fuentedeprrafopredeter"/>
    <w:uiPriority w:val="20"/>
    <w:qFormat/>
    <w:rsid w:val="009E5839"/>
    <w:rPr>
      <w:i/>
      <w:iCs/>
    </w:rPr>
  </w:style>
  <w:style w:type="character" w:customStyle="1" w:styleId="accordion-tabbedtab-mobile">
    <w:name w:val="accordion-tabbed__tab-mobile"/>
    <w:basedOn w:val="Fuentedeprrafopredeter"/>
    <w:rsid w:val="009E5839"/>
  </w:style>
  <w:style w:type="character" w:customStyle="1" w:styleId="comma-separator">
    <w:name w:val="comma-separator"/>
    <w:basedOn w:val="Fuentedeprrafopredeter"/>
    <w:rsid w:val="009E5839"/>
  </w:style>
  <w:style w:type="character" w:customStyle="1" w:styleId="epub-state">
    <w:name w:val="epub-state"/>
    <w:basedOn w:val="Fuentedeprrafopredeter"/>
    <w:rsid w:val="009E5839"/>
  </w:style>
  <w:style w:type="character" w:customStyle="1" w:styleId="epub-date">
    <w:name w:val="epub-date"/>
    <w:basedOn w:val="Fuentedeprrafopredeter"/>
    <w:rsid w:val="009E5839"/>
  </w:style>
  <w:style w:type="character" w:customStyle="1" w:styleId="openurl">
    <w:name w:val="openurl"/>
    <w:basedOn w:val="Fuentedeprrafopredeter"/>
    <w:rsid w:val="009E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14AA7-52BE-4144-92B7-64643164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6319</Words>
  <Characters>36023</Characters>
  <Application>Microsoft Office Word</Application>
  <DocSecurity>0</DocSecurity>
  <Lines>300</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Martínez-Loredo</dc:creator>
  <cp:keywords/>
  <dc:description/>
  <cp:lastModifiedBy>Victor Martinez-Loredo</cp:lastModifiedBy>
  <cp:revision>6</cp:revision>
  <dcterms:created xsi:type="dcterms:W3CDTF">2022-02-10T21:29:00Z</dcterms:created>
  <dcterms:modified xsi:type="dcterms:W3CDTF">2022-02-22T14:48:00Z</dcterms:modified>
</cp:coreProperties>
</file>