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EFE0F" w14:textId="5A5A8CD5" w:rsidR="00F23DB7" w:rsidRDefault="00346626" w:rsidP="00991193">
      <w:pPr>
        <w:pStyle w:val="Title"/>
      </w:pPr>
      <w:r>
        <w:t xml:space="preserve">Valuing </w:t>
      </w:r>
      <w:r w:rsidRPr="00AF0B25">
        <w:rPr>
          <w:i/>
        </w:rPr>
        <w:t>complex</w:t>
      </w:r>
      <w:r>
        <w:t xml:space="preserve"> Thi</w:t>
      </w:r>
      <w:bookmarkStart w:id="0" w:name="_GoBack"/>
      <w:bookmarkEnd w:id="0"/>
      <w:r>
        <w:t>rd Sector Organisations</w:t>
      </w:r>
    </w:p>
    <w:p w14:paraId="6F5E3F2F" w14:textId="6F3F45A9" w:rsidR="004F1E60" w:rsidRPr="004F1E60" w:rsidRDefault="004F1E60" w:rsidP="004F1E60">
      <w:pPr>
        <w:pStyle w:val="Subtitle"/>
      </w:pPr>
      <w:r w:rsidRPr="004F1E60">
        <w:t>Max Weaver</w:t>
      </w:r>
    </w:p>
    <w:p w14:paraId="0DAADF25" w14:textId="74658A36" w:rsidR="004F1E60" w:rsidRPr="004F1E60" w:rsidRDefault="004F1E60" w:rsidP="004F1E60">
      <w:pPr>
        <w:pStyle w:val="Subtitle"/>
      </w:pPr>
      <w:r w:rsidRPr="004F1E60">
        <w:t>Senior Visiting Research Fellow, Centre for Social Justice and Change, University of East London Visiting Professor, Law Department, London South Bank University</w:t>
      </w:r>
    </w:p>
    <w:p w14:paraId="586EFE10" w14:textId="77777777" w:rsidR="00991193" w:rsidRDefault="00991193" w:rsidP="00991193">
      <w:pPr>
        <w:pStyle w:val="Heading1"/>
      </w:pPr>
      <w:r>
        <w:t>The political climate</w:t>
      </w:r>
    </w:p>
    <w:p w14:paraId="586EFE15" w14:textId="5734254B" w:rsidR="00991193" w:rsidRDefault="00313FFA" w:rsidP="00991193">
      <w:r>
        <w:t>Here are some commonplace slogans or popular themes: a</w:t>
      </w:r>
      <w:r w:rsidR="00991193">
        <w:t xml:space="preserve"> hand up, not a hand out</w:t>
      </w:r>
      <w:r>
        <w:t>; a</w:t>
      </w:r>
      <w:r w:rsidR="00991193">
        <w:t>lways something for something</w:t>
      </w:r>
      <w:r>
        <w:t>; sort the deserving from the u</w:t>
      </w:r>
      <w:r w:rsidR="00991193">
        <w:t>ndeserving</w:t>
      </w:r>
      <w:r>
        <w:t>; something must be done</w:t>
      </w:r>
      <w:r w:rsidR="006231EF">
        <w:t>; and, of course, payments by results</w:t>
      </w:r>
      <w:r>
        <w:t>.</w:t>
      </w:r>
      <w:r w:rsidR="00BF4E07">
        <w:t xml:space="preserve"> The </w:t>
      </w:r>
      <w:r w:rsidR="00CB1476">
        <w:t>demand</w:t>
      </w:r>
      <w:r>
        <w:t xml:space="preserve"> </w:t>
      </w:r>
      <w:r w:rsidR="00BF4E07">
        <w:t xml:space="preserve">is for </w:t>
      </w:r>
      <w:r>
        <w:t>simp</w:t>
      </w:r>
      <w:r w:rsidR="00BB595A">
        <w:t>le answers</w:t>
      </w:r>
      <w:r w:rsidR="00BF4E07">
        <w:t xml:space="preserve"> to complex questions</w:t>
      </w:r>
      <w:r w:rsidR="00BB595A">
        <w:t>. Hence the plethora of</w:t>
      </w:r>
      <w:r>
        <w:t xml:space="preserve"> sound bites </w:t>
      </w:r>
      <w:r w:rsidR="00BB595A">
        <w:t>and</w:t>
      </w:r>
      <w:r>
        <w:t xml:space="preserve"> political initiatives</w:t>
      </w:r>
      <w:r w:rsidR="00BB595A">
        <w:t>, calculated to</w:t>
      </w:r>
      <w:r>
        <w:t xml:space="preserve"> please the</w:t>
      </w:r>
      <w:r w:rsidR="00991193">
        <w:t xml:space="preserve"> </w:t>
      </w:r>
      <w:r w:rsidR="00991193" w:rsidRPr="00991193">
        <w:rPr>
          <w:i/>
        </w:rPr>
        <w:t xml:space="preserve">Daily Mail </w:t>
      </w:r>
      <w:r>
        <w:t xml:space="preserve">and </w:t>
      </w:r>
      <w:r w:rsidR="00BB595A">
        <w:t xml:space="preserve">to </w:t>
      </w:r>
      <w:r>
        <w:t>further th</w:t>
      </w:r>
      <w:r w:rsidR="00BB595A">
        <w:t xml:space="preserve">eir initiators’ careers within </w:t>
      </w:r>
      <w:r>
        <w:t>time frame</w:t>
      </w:r>
      <w:r w:rsidR="00BB595A">
        <w:t>s</w:t>
      </w:r>
      <w:r>
        <w:t xml:space="preserve"> too short for </w:t>
      </w:r>
      <w:r w:rsidR="00B33071">
        <w:t>any</w:t>
      </w:r>
      <w:r>
        <w:t xml:space="preserve"> results of the initiative</w:t>
      </w:r>
      <w:r w:rsidR="00BB595A">
        <w:t>s</w:t>
      </w:r>
      <w:r>
        <w:t xml:space="preserve"> to be known.</w:t>
      </w:r>
    </w:p>
    <w:p w14:paraId="6E029A64" w14:textId="30291364" w:rsidR="006A774C" w:rsidRDefault="00BF4E07" w:rsidP="006A774C">
      <w:r>
        <w:t>Supporting a third sector organisation (</w:t>
      </w:r>
      <w:proofErr w:type="spellStart"/>
      <w:r>
        <w:t>TSO</w:t>
      </w:r>
      <w:proofErr w:type="spellEnd"/>
      <w:r>
        <w:t xml:space="preserve">) because it is worthy, trying hard and might just do some good is right out of fashion. The demand is for </w:t>
      </w:r>
      <w:r w:rsidR="00B33071">
        <w:t xml:space="preserve">tangible </w:t>
      </w:r>
      <w:r w:rsidR="006A774C" w:rsidRPr="00A341DB">
        <w:rPr>
          <w:i/>
        </w:rPr>
        <w:t>outcome</w:t>
      </w:r>
      <w:r>
        <w:rPr>
          <w:i/>
        </w:rPr>
        <w:t>s</w:t>
      </w:r>
      <w:r w:rsidR="006A774C" w:rsidRPr="00A341DB">
        <w:rPr>
          <w:i/>
        </w:rPr>
        <w:t xml:space="preserve"> </w:t>
      </w:r>
      <w:r w:rsidR="006A774C">
        <w:t>or</w:t>
      </w:r>
      <w:r w:rsidR="006A774C" w:rsidRPr="0093677C">
        <w:rPr>
          <w:rFonts w:ascii="Calibri" w:hAnsi="Calibri"/>
        </w:rPr>
        <w:t>—</w:t>
      </w:r>
      <w:r>
        <w:t>adding some</w:t>
      </w:r>
      <w:r w:rsidR="006A774C" w:rsidRPr="004012B4">
        <w:t xml:space="preserve"> rhetorical force but </w:t>
      </w:r>
      <w:r>
        <w:t xml:space="preserve">little </w:t>
      </w:r>
      <w:r w:rsidR="006A774C" w:rsidRPr="004012B4">
        <w:t>meaning—</w:t>
      </w:r>
      <w:r w:rsidR="006A774C" w:rsidRPr="00B33071">
        <w:rPr>
          <w:i/>
        </w:rPr>
        <w:t>impact</w:t>
      </w:r>
      <w:r w:rsidR="006A774C">
        <w:t xml:space="preserve">. </w:t>
      </w:r>
    </w:p>
    <w:p w14:paraId="17116F80" w14:textId="3ECFFACA" w:rsidR="00A3349B" w:rsidRDefault="00B50EF5" w:rsidP="00991193">
      <w:r>
        <w:t xml:space="preserve">To survive in this world, </w:t>
      </w:r>
      <w:proofErr w:type="spellStart"/>
      <w:r>
        <w:t>TSO</w:t>
      </w:r>
      <w:r w:rsidR="006A774C">
        <w:t>s</w:t>
      </w:r>
      <w:proofErr w:type="spellEnd"/>
      <w:r w:rsidR="004012B4">
        <w:t xml:space="preserve"> </w:t>
      </w:r>
      <w:r>
        <w:t xml:space="preserve">must be able to convince policy makers, funders and actual and potential service-users of the </w:t>
      </w:r>
      <w:r w:rsidRPr="00111DC1">
        <w:rPr>
          <w:i/>
        </w:rPr>
        <w:t>value</w:t>
      </w:r>
      <w:r>
        <w:t xml:space="preserve"> that they add. </w:t>
      </w:r>
      <w:r w:rsidR="00BF4E07">
        <w:t>Th</w:t>
      </w:r>
      <w:r w:rsidR="00346626">
        <w:t>is fundamental issue has</w:t>
      </w:r>
      <w:r>
        <w:t xml:space="preserve"> two </w:t>
      </w:r>
      <w:r w:rsidR="004F1E60">
        <w:t xml:space="preserve">analytically distinct but operationally connected </w:t>
      </w:r>
      <w:r>
        <w:t xml:space="preserve">components: </w:t>
      </w:r>
    </w:p>
    <w:p w14:paraId="7F5CDAA4" w14:textId="613959E6" w:rsidR="00A3349B" w:rsidRDefault="00111DC1" w:rsidP="00A3349B">
      <w:pPr>
        <w:pStyle w:val="ListParagraph"/>
        <w:numPr>
          <w:ilvl w:val="0"/>
          <w:numId w:val="4"/>
        </w:numPr>
        <w:ind w:hanging="720"/>
        <w:contextualSpacing w:val="0"/>
      </w:pPr>
      <w:r>
        <w:t xml:space="preserve">what counts as </w:t>
      </w:r>
      <w:r w:rsidR="00B50EF5" w:rsidRPr="00111DC1">
        <w:rPr>
          <w:i/>
        </w:rPr>
        <w:t>value</w:t>
      </w:r>
      <w:r w:rsidR="00B50EF5">
        <w:t>?</w:t>
      </w:r>
      <w:r w:rsidR="004012B4">
        <w:t xml:space="preserve"> </w:t>
      </w:r>
    </w:p>
    <w:p w14:paraId="3F6DD08A" w14:textId="77777777" w:rsidR="00A3349B" w:rsidRDefault="00B50EF5" w:rsidP="00A3349B">
      <w:pPr>
        <w:pStyle w:val="ListParagraph"/>
        <w:numPr>
          <w:ilvl w:val="0"/>
          <w:numId w:val="4"/>
        </w:numPr>
        <w:ind w:hanging="720"/>
      </w:pPr>
      <w:r>
        <w:t xml:space="preserve">was it the </w:t>
      </w:r>
      <w:proofErr w:type="spellStart"/>
      <w:r>
        <w:t>TSOs</w:t>
      </w:r>
      <w:proofErr w:type="spellEnd"/>
      <w:r>
        <w:t xml:space="preserve"> actions that added it?</w:t>
      </w:r>
    </w:p>
    <w:p w14:paraId="4F2A0AAF" w14:textId="4BD4FFE8" w:rsidR="00313FFA" w:rsidRPr="00D245D8" w:rsidRDefault="004012B4" w:rsidP="00991193">
      <w:r>
        <w:t>The first goes to our conception</w:t>
      </w:r>
      <w:r w:rsidR="00CE303E">
        <w:t>s</w:t>
      </w:r>
      <w:r w:rsidR="00B33071">
        <w:t xml:space="preserve"> of </w:t>
      </w:r>
      <w:r w:rsidRPr="00B33071">
        <w:rPr>
          <w:i/>
        </w:rPr>
        <w:t>val</w:t>
      </w:r>
      <w:r w:rsidR="00B33071" w:rsidRPr="00B33071">
        <w:rPr>
          <w:i/>
        </w:rPr>
        <w:t>ue</w:t>
      </w:r>
      <w:r w:rsidRPr="0093677C">
        <w:rPr>
          <w:rFonts w:ascii="Calibri" w:hAnsi="Calibri"/>
        </w:rPr>
        <w:t>—</w:t>
      </w:r>
      <w:r w:rsidRPr="004012B4">
        <w:t>a philosophi</w:t>
      </w:r>
      <w:r>
        <w:t>cal matter. T</w:t>
      </w:r>
      <w:r w:rsidRPr="004012B4">
        <w:t xml:space="preserve">he second, </w:t>
      </w:r>
      <w:r>
        <w:t xml:space="preserve">goes </w:t>
      </w:r>
      <w:r w:rsidRPr="004012B4">
        <w:t xml:space="preserve">to </w:t>
      </w:r>
      <w:r w:rsidRPr="00B33071">
        <w:rPr>
          <w:i/>
        </w:rPr>
        <w:t>causation</w:t>
      </w:r>
      <w:r w:rsidRPr="004012B4">
        <w:t xml:space="preserve">—a matter </w:t>
      </w:r>
      <w:r w:rsidR="00B33071">
        <w:t>that mixes</w:t>
      </w:r>
      <w:r w:rsidR="00B33071" w:rsidRPr="00AE7E60">
        <w:rPr>
          <w:i/>
        </w:rPr>
        <w:t xml:space="preserve"> factual</w:t>
      </w:r>
      <w:r w:rsidR="00B33071">
        <w:t xml:space="preserve"> inquiry with</w:t>
      </w:r>
      <w:r w:rsidRPr="004012B4">
        <w:t xml:space="preserve"> </w:t>
      </w:r>
      <w:r w:rsidR="004D6081" w:rsidRPr="00AE7E60">
        <w:rPr>
          <w:i/>
        </w:rPr>
        <w:t>value</w:t>
      </w:r>
      <w:r w:rsidR="004D6081">
        <w:t xml:space="preserve">-based </w:t>
      </w:r>
      <w:r w:rsidRPr="004012B4">
        <w:t>judgement.</w:t>
      </w:r>
      <w:r>
        <w:t xml:space="preserve"> </w:t>
      </w:r>
      <w:r w:rsidR="00BF4E07">
        <w:t>Both involve choices and judgements that require careful thought rather than simple slogans. The</w:t>
      </w:r>
      <w:r w:rsidR="00AE7E60">
        <w:t>se</w:t>
      </w:r>
      <w:r w:rsidR="00BF4E07">
        <w:t xml:space="preserve"> issues are particularly acute when we consider Community Anchors, locally-based multi-functional organisations that exist to respond to multifarious and changing local needs.</w:t>
      </w:r>
    </w:p>
    <w:p w14:paraId="586EFE17" w14:textId="609944B7" w:rsidR="00991193" w:rsidRDefault="006A774C" w:rsidP="00991193">
      <w:pPr>
        <w:pStyle w:val="Heading1"/>
      </w:pPr>
      <w:r>
        <w:t>Conceptions of ‘value’</w:t>
      </w:r>
    </w:p>
    <w:p w14:paraId="586EFE19" w14:textId="4EAE5C70" w:rsidR="00E3303E" w:rsidRDefault="00E3303E" w:rsidP="00E3303E">
      <w:r>
        <w:t xml:space="preserve">We </w:t>
      </w:r>
      <w:r w:rsidR="0016714D">
        <w:t xml:space="preserve">often </w:t>
      </w:r>
      <w:r>
        <w:t xml:space="preserve">agree that ‘valuable’ work should be supported. </w:t>
      </w:r>
      <w:r w:rsidR="00CE303E">
        <w:t xml:space="preserve">Given </w:t>
      </w:r>
      <w:r w:rsidR="0081351D">
        <w:t>the level of abstraction of this proposition—</w:t>
      </w:r>
      <w:r>
        <w:t>higher t</w:t>
      </w:r>
      <w:r w:rsidR="0081351D">
        <w:t>han ‘motherhood’ or ‘apple pie’—</w:t>
      </w:r>
      <w:r>
        <w:t>it is difficult to disagree. The proposition is almost tautologically true.</w:t>
      </w:r>
      <w:r w:rsidR="004D6081">
        <w:t xml:space="preserve"> However, </w:t>
      </w:r>
      <w:r w:rsidR="00B33071" w:rsidRPr="00B33071">
        <w:rPr>
          <w:i/>
        </w:rPr>
        <w:t>value</w:t>
      </w:r>
      <w:r>
        <w:t xml:space="preserve"> is a complex and contested concept—in Ronald Dworkin’s terms, ‘interpretive’</w:t>
      </w:r>
      <w:r w:rsidR="00CB1476">
        <w:t xml:space="preserve"> (Dworkin, 2011, 123-156)</w:t>
      </w:r>
      <w:r w:rsidR="0016714D">
        <w:t xml:space="preserve">. </w:t>
      </w:r>
      <w:r>
        <w:t>A</w:t>
      </w:r>
      <w:r w:rsidR="00B33071">
        <w:t xml:space="preserve"> and B might warmly agree that </w:t>
      </w:r>
      <w:r w:rsidRPr="00B33071">
        <w:rPr>
          <w:i/>
        </w:rPr>
        <w:t>valuable</w:t>
      </w:r>
      <w:r>
        <w:t xml:space="preserve"> work should be supported. </w:t>
      </w:r>
      <w:r w:rsidR="00CE303E">
        <w:t xml:space="preserve">If their conceptions of </w:t>
      </w:r>
      <w:r w:rsidR="00CE303E" w:rsidRPr="00B33071">
        <w:rPr>
          <w:i/>
        </w:rPr>
        <w:t>value</w:t>
      </w:r>
      <w:r w:rsidR="00CE303E">
        <w:t xml:space="preserve"> are strongly similar, their agreement </w:t>
      </w:r>
      <w:r w:rsidR="004D6081">
        <w:t>will be</w:t>
      </w:r>
      <w:r w:rsidR="00CE303E">
        <w:t xml:space="preserve"> real and </w:t>
      </w:r>
      <w:r w:rsidR="00BF4E07">
        <w:t xml:space="preserve">will </w:t>
      </w:r>
      <w:r w:rsidR="00CE303E">
        <w:t xml:space="preserve">provide a solid basis for collaboration by way of contract or partnership. But </w:t>
      </w:r>
      <w:r w:rsidR="00BF4E07">
        <w:t>if A and B</w:t>
      </w:r>
      <w:r w:rsidR="0016714D">
        <w:t xml:space="preserve"> have different conceptions of </w:t>
      </w:r>
      <w:r w:rsidR="0016714D" w:rsidRPr="00B33071">
        <w:rPr>
          <w:i/>
        </w:rPr>
        <w:t>value</w:t>
      </w:r>
      <w:r w:rsidR="00BF4E07">
        <w:t xml:space="preserve">, </w:t>
      </w:r>
      <w:r w:rsidR="0016714D">
        <w:t xml:space="preserve">they </w:t>
      </w:r>
      <w:r w:rsidR="00BF4E07">
        <w:t>will be</w:t>
      </w:r>
      <w:r w:rsidR="0016714D">
        <w:t xml:space="preserve"> simply ‘talking past each other’. T</w:t>
      </w:r>
      <w:r w:rsidR="004D6081">
        <w:t xml:space="preserve">here </w:t>
      </w:r>
      <w:r w:rsidR="00BF4E07">
        <w:t xml:space="preserve">will be no meeting of the minds. </w:t>
      </w:r>
      <w:r w:rsidR="00AE7E60">
        <w:t xml:space="preserve">Their </w:t>
      </w:r>
      <w:r w:rsidR="00BF4E07">
        <w:t>agreement will be</w:t>
      </w:r>
      <w:r w:rsidR="0016714D">
        <w:t xml:space="preserve"> apparent but not real</w:t>
      </w:r>
      <w:r w:rsidR="004D6081">
        <w:t>. Consequently</w:t>
      </w:r>
      <w:r w:rsidR="00BF4E07">
        <w:t>,</w:t>
      </w:r>
      <w:r w:rsidR="004D6081">
        <w:t xml:space="preserve"> there is a substantial risk that these </w:t>
      </w:r>
      <w:r w:rsidR="00AE7E60">
        <w:t>underlying</w:t>
      </w:r>
      <w:r w:rsidR="004D6081">
        <w:t xml:space="preserve"> disagreements will </w:t>
      </w:r>
      <w:r w:rsidR="00B33071">
        <w:t xml:space="preserve">later </w:t>
      </w:r>
      <w:r w:rsidR="00BF4E07">
        <w:t>surface</w:t>
      </w:r>
      <w:r w:rsidR="004D6081">
        <w:t xml:space="preserve"> and undermine </w:t>
      </w:r>
      <w:r w:rsidR="00B33071">
        <w:t xml:space="preserve">the </w:t>
      </w:r>
      <w:r w:rsidR="004D6081">
        <w:t>effective</w:t>
      </w:r>
      <w:r w:rsidR="00B33071">
        <w:t>ness of any</w:t>
      </w:r>
      <w:r w:rsidR="004D6081">
        <w:t xml:space="preserve"> cont</w:t>
      </w:r>
      <w:r w:rsidR="00B33071">
        <w:t>ract</w:t>
      </w:r>
      <w:r w:rsidR="004D6081">
        <w:t xml:space="preserve"> or partnership</w:t>
      </w:r>
      <w:r w:rsidR="00B33071">
        <w:t xml:space="preserve"> in which—in the flush of seeming agreement—they might </w:t>
      </w:r>
      <w:r w:rsidR="00BF4E07">
        <w:t xml:space="preserve">have </w:t>
      </w:r>
      <w:r w:rsidR="00B33071">
        <w:t>engage</w:t>
      </w:r>
      <w:r w:rsidR="00BF4E07">
        <w:t>d</w:t>
      </w:r>
      <w:r w:rsidR="0016714D">
        <w:t>.</w:t>
      </w:r>
    </w:p>
    <w:p w14:paraId="5101325C" w14:textId="3471E545" w:rsidR="00DB76D6" w:rsidRDefault="00DB76D6" w:rsidP="00E3303E">
      <w:r>
        <w:lastRenderedPageBreak/>
        <w:t xml:space="preserve">Several different </w:t>
      </w:r>
      <w:r w:rsidRPr="00BF4E07">
        <w:rPr>
          <w:i/>
        </w:rPr>
        <w:t xml:space="preserve">conceptions </w:t>
      </w:r>
      <w:r>
        <w:t>of value are now explored briefly. The first f</w:t>
      </w:r>
      <w:r w:rsidR="00B33071">
        <w:t xml:space="preserve">ew are easily expressed in monetary terms. </w:t>
      </w:r>
      <w:r w:rsidR="00BF4E07">
        <w:t>Some of the o</w:t>
      </w:r>
      <w:r w:rsidR="00B33071">
        <w:t>ther</w:t>
      </w:r>
      <w:r>
        <w:t xml:space="preserve"> conceptions are difficult to monetise</w:t>
      </w:r>
      <w:r w:rsidR="00B33071">
        <w:t>, but it</w:t>
      </w:r>
      <w:r>
        <w:t xml:space="preserve"> does not follow that they are </w:t>
      </w:r>
      <w:r w:rsidR="00B33071">
        <w:t xml:space="preserve">therefore </w:t>
      </w:r>
      <w:r w:rsidR="0084664B">
        <w:rPr>
          <w:i/>
        </w:rPr>
        <w:t>valu</w:t>
      </w:r>
      <w:r w:rsidR="0084664B" w:rsidRPr="00B33071">
        <w:rPr>
          <w:i/>
        </w:rPr>
        <w:t>e</w:t>
      </w:r>
      <w:r w:rsidR="0084664B">
        <w:rPr>
          <w:i/>
        </w:rPr>
        <w:t>d</w:t>
      </w:r>
      <w:r w:rsidR="0084664B">
        <w:t xml:space="preserve"> </w:t>
      </w:r>
      <w:r>
        <w:t>less. It is possible, but not certain, that the</w:t>
      </w:r>
      <w:r w:rsidR="0084664B">
        <w:t xml:space="preserve"> </w:t>
      </w:r>
      <w:r>
        <w:t>value</w:t>
      </w:r>
      <w:r w:rsidR="0084664B">
        <w:t xml:space="preserve"> they capture</w:t>
      </w:r>
      <w:r>
        <w:t xml:space="preserve"> is </w:t>
      </w:r>
      <w:r w:rsidR="00B33071">
        <w:t>simply</w:t>
      </w:r>
      <w:r>
        <w:t xml:space="preserve"> more difficult to quantify and express in a way that will appeal in the current climate. Money sums seem to spare us </w:t>
      </w:r>
      <w:r w:rsidR="00B33071">
        <w:t xml:space="preserve">the trouble of </w:t>
      </w:r>
      <w:r>
        <w:t xml:space="preserve">moral judgements or </w:t>
      </w:r>
      <w:r w:rsidR="00BF4E07">
        <w:t>thinking hard about</w:t>
      </w:r>
      <w:r>
        <w:t xml:space="preserve"> the causal mechanisms by which outcomes can be achieved</w:t>
      </w:r>
      <w:r w:rsidR="00B33071">
        <w:t>. B</w:t>
      </w:r>
      <w:r>
        <w:t xml:space="preserve">ut there is no reason to assume that money is necessarily the prime </w:t>
      </w:r>
      <w:r w:rsidR="00B33071">
        <w:t xml:space="preserve">or </w:t>
      </w:r>
      <w:r w:rsidR="00BF4E07">
        <w:t xml:space="preserve">a </w:t>
      </w:r>
      <w:r w:rsidR="00B33071">
        <w:t>sufficiently comprehensive</w:t>
      </w:r>
      <w:r w:rsidR="00B33071" w:rsidRPr="00B33071">
        <w:t xml:space="preserve"> </w:t>
      </w:r>
      <w:r w:rsidR="00B33071">
        <w:t xml:space="preserve">means </w:t>
      </w:r>
      <w:r>
        <w:t>of capturing and expressing value.</w:t>
      </w:r>
    </w:p>
    <w:p w14:paraId="505AC839" w14:textId="219FFB47" w:rsidR="00086BBA" w:rsidRDefault="0081351D" w:rsidP="00086BBA">
      <w:r>
        <w:t>Commerce, e</w:t>
      </w:r>
      <w:r w:rsidR="00086BBA" w:rsidRPr="004D6081">
        <w:t>conomics, surveying and accountancy</w:t>
      </w:r>
      <w:r w:rsidR="00086BBA">
        <w:t xml:space="preserve"> are dominated by </w:t>
      </w:r>
      <w:r w:rsidR="00086BBA" w:rsidRPr="0075411A">
        <w:rPr>
          <w:i/>
        </w:rPr>
        <w:t>exchange-based</w:t>
      </w:r>
      <w:r w:rsidR="00086BBA">
        <w:t xml:space="preserve"> market values—the willingness of a buyer and seller to exchange goods, services or options at a price. A willing buyer might be prepared to pay £z to for a four week</w:t>
      </w:r>
      <w:r w:rsidR="00086BBA" w:rsidRPr="00AE7E60">
        <w:t xml:space="preserve"> option</w:t>
      </w:r>
      <w:r w:rsidR="00086BBA">
        <w:t xml:space="preserve"> to purchase</w:t>
      </w:r>
      <w:r>
        <w:t xml:space="preserve"> </w:t>
      </w:r>
      <w:proofErr w:type="spellStart"/>
      <w:r w:rsidRPr="0084664B">
        <w:t>Greenacre</w:t>
      </w:r>
      <w:proofErr w:type="spellEnd"/>
      <w:r w:rsidR="00086BBA">
        <w:t xml:space="preserve">, locking out all other prospective purchasers for four weeks. A seller might or might not be willing to grant that option </w:t>
      </w:r>
      <w:r>
        <w:t xml:space="preserve">in exchange for </w:t>
      </w:r>
      <w:r w:rsidR="00086BBA">
        <w:t xml:space="preserve">£z. </w:t>
      </w:r>
    </w:p>
    <w:p w14:paraId="48BC8E95" w14:textId="2BCB2DFB" w:rsidR="00086BBA" w:rsidRDefault="00086BBA" w:rsidP="00086BBA">
      <w:r w:rsidRPr="0075411A">
        <w:rPr>
          <w:i/>
        </w:rPr>
        <w:t>Development value</w:t>
      </w:r>
      <w:r>
        <w:t xml:space="preserve"> is the price a buyer would pay for land (or a patent) that can be exploited more </w:t>
      </w:r>
      <w:r w:rsidR="00B33071">
        <w:t xml:space="preserve">fully </w:t>
      </w:r>
      <w:r w:rsidR="00BF4E07">
        <w:t xml:space="preserve">than it is presently. </w:t>
      </w:r>
      <w:r w:rsidR="00DB76D6">
        <w:t>I</w:t>
      </w:r>
      <w:r>
        <w:t>f there is planning permission for</w:t>
      </w:r>
      <w:r w:rsidR="00DB76D6">
        <w:t xml:space="preserve"> a</w:t>
      </w:r>
      <w:r>
        <w:t xml:space="preserve"> high-rise, high-quality residential development, the development value of </w:t>
      </w:r>
      <w:proofErr w:type="spellStart"/>
      <w:r w:rsidR="0084664B">
        <w:t>Greenacre</w:t>
      </w:r>
      <w:proofErr w:type="spellEnd"/>
      <w:r>
        <w:t xml:space="preserve"> will be greater than if only </w:t>
      </w:r>
      <w:r w:rsidR="00BF4E07">
        <w:t>two-</w:t>
      </w:r>
      <w:r>
        <w:t xml:space="preserve">storey affordable housing is permitted. </w:t>
      </w:r>
      <w:r w:rsidR="00CB1476">
        <w:t>I</w:t>
      </w:r>
      <w:r>
        <w:t>ntelligent vendors and purchasers</w:t>
      </w:r>
      <w:r w:rsidR="00CB1476">
        <w:t xml:space="preserve"> arrive at development value by</w:t>
      </w:r>
      <w:r>
        <w:t xml:space="preserve"> estimating</w:t>
      </w:r>
      <w:r w:rsidR="00B33071">
        <w:t xml:space="preserve"> (a)</w:t>
      </w:r>
      <w:r>
        <w:t xml:space="preserve"> the </w:t>
      </w:r>
      <w:r w:rsidR="00CB1476">
        <w:t xml:space="preserve">building’s </w:t>
      </w:r>
      <w:r>
        <w:t xml:space="preserve">cost and </w:t>
      </w:r>
      <w:r w:rsidR="00B33071">
        <w:t xml:space="preserve">(b) </w:t>
      </w:r>
      <w:proofErr w:type="spellStart"/>
      <w:r>
        <w:t>its</w:t>
      </w:r>
      <w:proofErr w:type="spellEnd"/>
      <w:r>
        <w:t xml:space="preserve"> likely value in the market place for sale or rent. The latter </w:t>
      </w:r>
      <w:r w:rsidR="00B33071">
        <w:t xml:space="preserve">[(b)] </w:t>
      </w:r>
      <w:r>
        <w:t>will take account of accessibility, prominence, present and foreseeable demand and might also factor in architectural merit or beautiful views. The market price is a function of willingness to pay, which is itself a function of many factors—some hard and some soft, some permanent (e.g. the size of the plot) and some variable (e.g. changing local demand for that kind of space; the return on alternative investments, say, in gilts; or on architectural fashion).</w:t>
      </w:r>
    </w:p>
    <w:p w14:paraId="1D71E6A1" w14:textId="717AD887" w:rsidR="004D6081" w:rsidRDefault="00111DC1" w:rsidP="004D6081">
      <w:r>
        <w:t>Sometimes we</w:t>
      </w:r>
      <w:r w:rsidR="00F80D28">
        <w:t xml:space="preserve"> relate</w:t>
      </w:r>
      <w:r>
        <w:t xml:space="preserve"> value</w:t>
      </w:r>
      <w:r w:rsidR="00F80D28">
        <w:t xml:space="preserve"> to </w:t>
      </w:r>
      <w:r w:rsidR="00F80D28" w:rsidRPr="00BF4E07">
        <w:rPr>
          <w:i/>
        </w:rPr>
        <w:t>cost</w:t>
      </w:r>
      <w:r w:rsidR="00F80D28">
        <w:t xml:space="preserve"> (or to </w:t>
      </w:r>
      <w:r w:rsidR="00F80D28" w:rsidRPr="00BF4E07">
        <w:rPr>
          <w:i/>
        </w:rPr>
        <w:t>inputs</w:t>
      </w:r>
      <w:r w:rsidR="00F80D28">
        <w:t>)</w:t>
      </w:r>
      <w:r w:rsidR="004D6081">
        <w:t>. A</w:t>
      </w:r>
      <w:r w:rsidR="00BF4E07">
        <w:t xml:space="preserve"> </w:t>
      </w:r>
      <w:proofErr w:type="spellStart"/>
      <w:r w:rsidR="00BF4E07">
        <w:t>TSO</w:t>
      </w:r>
      <w:proofErr w:type="spellEnd"/>
      <w:r w:rsidR="004D6081">
        <w:t xml:space="preserve"> </w:t>
      </w:r>
      <w:r w:rsidR="00086BBA">
        <w:t xml:space="preserve">has </w:t>
      </w:r>
      <w:r w:rsidR="004D6081">
        <w:t>raise</w:t>
      </w:r>
      <w:r w:rsidR="00086BBA">
        <w:t>d</w:t>
      </w:r>
      <w:r w:rsidR="004D6081">
        <w:t xml:space="preserve"> fund</w:t>
      </w:r>
      <w:r w:rsidR="00086BBA">
        <w:t>s and built</w:t>
      </w:r>
      <w:r w:rsidR="004D6081">
        <w:t xml:space="preserve"> a new </w:t>
      </w:r>
      <w:r w:rsidR="0081351D">
        <w:t>building</w:t>
      </w:r>
      <w:r w:rsidR="004D6081">
        <w:t xml:space="preserve"> that </w:t>
      </w:r>
      <w:r w:rsidR="00086BBA">
        <w:t xml:space="preserve">has </w:t>
      </w:r>
      <w:r w:rsidR="004D6081">
        <w:t xml:space="preserve">become part of that organisation’s net worth or wealth. </w:t>
      </w:r>
      <w:r w:rsidR="00BF4E07">
        <w:t>In so doing, the</w:t>
      </w:r>
      <w:r w:rsidR="0081351D">
        <w:t xml:space="preserve"> </w:t>
      </w:r>
      <w:proofErr w:type="spellStart"/>
      <w:r w:rsidR="0081351D">
        <w:t>TSO</w:t>
      </w:r>
      <w:proofErr w:type="spellEnd"/>
      <w:r w:rsidR="0081351D">
        <w:t xml:space="preserve"> </w:t>
      </w:r>
      <w:r w:rsidR="0081351D" w:rsidRPr="004D6081">
        <w:rPr>
          <w:i/>
        </w:rPr>
        <w:t>exchanged</w:t>
      </w:r>
      <w:r w:rsidR="0081351D">
        <w:t xml:space="preserve"> £x for the design, material</w:t>
      </w:r>
      <w:r w:rsidR="00DB76D6">
        <w:t>s</w:t>
      </w:r>
      <w:r w:rsidR="0081351D">
        <w:t xml:space="preserve"> and labour. </w:t>
      </w:r>
      <w:r w:rsidR="0084664B">
        <w:t>If freehold, t</w:t>
      </w:r>
      <w:r w:rsidR="0081351D">
        <w:t>he building</w:t>
      </w:r>
      <w:r w:rsidR="004D6081">
        <w:t xml:space="preserve"> will be entered on the balance sheet at</w:t>
      </w:r>
      <w:r w:rsidR="0081351D">
        <w:t xml:space="preserve"> £x—its</w:t>
      </w:r>
      <w:r w:rsidR="004D6081">
        <w:t xml:space="preserve"> </w:t>
      </w:r>
      <w:r w:rsidR="004D6081" w:rsidRPr="005F4967">
        <w:rPr>
          <w:i/>
        </w:rPr>
        <w:t>historic cost</w:t>
      </w:r>
      <w:r w:rsidR="004D6081">
        <w:t xml:space="preserve">. These capital values are sometimes neglected, especially by </w:t>
      </w:r>
      <w:proofErr w:type="spellStart"/>
      <w:r w:rsidR="004D6081">
        <w:t>TSOs</w:t>
      </w:r>
      <w:proofErr w:type="spellEnd"/>
      <w:r w:rsidR="004D6081">
        <w:t xml:space="preserve"> that are dominated by </w:t>
      </w:r>
      <w:r w:rsidR="00190AD6">
        <w:t xml:space="preserve">the revenue budget and the perpetual effort to </w:t>
      </w:r>
      <w:r w:rsidR="004D6081">
        <w:t>secure enough income to pay the st</w:t>
      </w:r>
      <w:r w:rsidR="00190AD6">
        <w:t>aff and keep the services going</w:t>
      </w:r>
      <w:r w:rsidR="00BF4E07">
        <w:t>. Furthermore—</w:t>
      </w:r>
      <w:r w:rsidR="004D6081">
        <w:t>because there are few prospective purchasers that w</w:t>
      </w:r>
      <w:r w:rsidR="0081351D">
        <w:t xml:space="preserve">ould want its bespoke features that </w:t>
      </w:r>
      <w:r w:rsidR="00BF4E07">
        <w:t>might be expensive to remove—</w:t>
      </w:r>
      <w:r w:rsidR="004D6081">
        <w:t xml:space="preserve">a bespoke facility might have high </w:t>
      </w:r>
      <w:r w:rsidR="004D6081" w:rsidRPr="00DB76D6">
        <w:rPr>
          <w:i/>
        </w:rPr>
        <w:t xml:space="preserve">use </w:t>
      </w:r>
      <w:r w:rsidR="004D6081">
        <w:t xml:space="preserve">value to </w:t>
      </w:r>
      <w:r w:rsidR="00BF4E07">
        <w:t xml:space="preserve">one particular </w:t>
      </w:r>
      <w:r w:rsidR="004D6081">
        <w:t xml:space="preserve">organisation but low </w:t>
      </w:r>
      <w:r w:rsidR="004D6081" w:rsidRPr="00DB76D6">
        <w:rPr>
          <w:i/>
        </w:rPr>
        <w:t>market</w:t>
      </w:r>
      <w:r w:rsidR="004D6081">
        <w:t xml:space="preserve"> value. Following such principles, </w:t>
      </w:r>
      <w:r w:rsidR="0065431A">
        <w:t xml:space="preserve">even negative value can arise—a </w:t>
      </w:r>
      <w:r w:rsidR="00BF4E07">
        <w:t>‘</w:t>
      </w:r>
      <w:r w:rsidR="0065431A">
        <w:t>purchaser</w:t>
      </w:r>
      <w:r w:rsidR="00BF4E07">
        <w:t>’</w:t>
      </w:r>
      <w:r w:rsidR="0065431A">
        <w:t xml:space="preserve"> might need paying to take on highly bespoke or neglected and dangerous premises and make them commercially useful.</w:t>
      </w:r>
      <w:r w:rsidR="004D6081">
        <w:t xml:space="preserve"> Historic cost is not a good indicator of market, use or development value.</w:t>
      </w:r>
      <w:r w:rsidR="00190AD6">
        <w:t xml:space="preserve"> It </w:t>
      </w:r>
      <w:r w:rsidR="0065431A">
        <w:t>might fit</w:t>
      </w:r>
      <w:r w:rsidR="00190AD6">
        <w:t xml:space="preserve"> with our instincts but often cannot withstand serious examination. </w:t>
      </w:r>
      <w:r w:rsidR="0065431A">
        <w:t>Whilst we are capable of thinking carefully to check and</w:t>
      </w:r>
      <w:r w:rsidR="00BF4E07">
        <w:t>, if necessary,</w:t>
      </w:r>
      <w:r w:rsidR="0065431A">
        <w:t xml:space="preserve"> change our instinctive judgements, we might do this lazily. </w:t>
      </w:r>
      <w:r w:rsidR="00BF4E07">
        <w:t>This kind of t</w:t>
      </w:r>
      <w:r w:rsidR="0065431A">
        <w:t xml:space="preserve">hinking sometimes takes more effort than we want to afford (see </w:t>
      </w:r>
      <w:proofErr w:type="spellStart"/>
      <w:r w:rsidR="00190AD6" w:rsidRPr="0065431A">
        <w:t>Kahneman</w:t>
      </w:r>
      <w:proofErr w:type="spellEnd"/>
      <w:r w:rsidR="0065431A">
        <w:t xml:space="preserve"> 2011,</w:t>
      </w:r>
      <w:r w:rsidR="00DD7E59" w:rsidRPr="0065431A">
        <w:t xml:space="preserve"> </w:t>
      </w:r>
      <w:r w:rsidR="0065431A" w:rsidRPr="0065431A">
        <w:t>31-49</w:t>
      </w:r>
      <w:r w:rsidR="00BF4E07">
        <w:t xml:space="preserve"> on ‘the lazy controller’</w:t>
      </w:r>
      <w:r w:rsidR="00AE7E60">
        <w:t xml:space="preserve"> of human reasoning</w:t>
      </w:r>
      <w:r w:rsidR="0065431A" w:rsidRPr="0065431A">
        <w:t>)</w:t>
      </w:r>
      <w:r w:rsidR="0065431A">
        <w:t>.</w:t>
      </w:r>
      <w:r w:rsidR="00DD7E59">
        <w:t xml:space="preserve"> </w:t>
      </w:r>
    </w:p>
    <w:p w14:paraId="586EFE1F" w14:textId="25F2239E" w:rsidR="00E3303E" w:rsidRDefault="0065431A" w:rsidP="00E3303E">
      <w:r>
        <w:t>Similar</w:t>
      </w:r>
      <w:r w:rsidR="004D6081">
        <w:t>ly, w</w:t>
      </w:r>
      <w:r w:rsidR="00E3303E">
        <w:t>e might regard the price just paid at auction for a painting</w:t>
      </w:r>
      <w:r w:rsidR="00C2725E">
        <w:t xml:space="preserve"> as ‘</w:t>
      </w:r>
      <w:r w:rsidR="0084664B">
        <w:t xml:space="preserve">the </w:t>
      </w:r>
      <w:r w:rsidR="00C2725E">
        <w:t>value’ of the painting</w:t>
      </w:r>
      <w:r w:rsidR="00E3303E">
        <w:t xml:space="preserve">. </w:t>
      </w:r>
      <w:r w:rsidR="0084664B">
        <w:t>It</w:t>
      </w:r>
      <w:r w:rsidR="00E3303E">
        <w:t xml:space="preserve"> was </w:t>
      </w:r>
      <w:r w:rsidR="00E3303E" w:rsidRPr="0016714D">
        <w:rPr>
          <w:i/>
        </w:rPr>
        <w:t>determined</w:t>
      </w:r>
      <w:r w:rsidR="00E3303E">
        <w:t xml:space="preserve"> at the auction and </w:t>
      </w:r>
      <w:r w:rsidR="0016714D">
        <w:t xml:space="preserve">thus </w:t>
      </w:r>
      <w:r w:rsidR="00E3303E">
        <w:t xml:space="preserve">seems </w:t>
      </w:r>
      <w:r w:rsidR="00E3303E" w:rsidRPr="0016714D">
        <w:rPr>
          <w:i/>
        </w:rPr>
        <w:t>certain</w:t>
      </w:r>
      <w:r w:rsidR="00E3303E">
        <w:t xml:space="preserve"> </w:t>
      </w:r>
      <w:r w:rsidR="00CB1476">
        <w:t xml:space="preserve">(Dworkin, 2011, 90-96). </w:t>
      </w:r>
      <w:r w:rsidR="00BF4E07">
        <w:t>But</w:t>
      </w:r>
      <w:r w:rsidR="00E3303E">
        <w:t xml:space="preserve"> the buyer might </w:t>
      </w:r>
      <w:r w:rsidR="00BF4E07">
        <w:t xml:space="preserve">not be </w:t>
      </w:r>
      <w:r w:rsidR="00E3303E">
        <w:t xml:space="preserve">able to sell tomorrow at the same price, </w:t>
      </w:r>
      <w:r w:rsidR="00BF4E07">
        <w:t xml:space="preserve">and will have to accept </w:t>
      </w:r>
      <w:r w:rsidR="00E3303E">
        <w:t>tomorrow’s</w:t>
      </w:r>
      <w:r w:rsidR="00E3303E" w:rsidRPr="004D6081">
        <w:rPr>
          <w:i/>
        </w:rPr>
        <w:t xml:space="preserve"> certain </w:t>
      </w:r>
      <w:r w:rsidR="00E3303E">
        <w:t>price</w:t>
      </w:r>
      <w:r w:rsidR="004D6081">
        <w:t>,</w:t>
      </w:r>
      <w:r w:rsidR="00E3303E">
        <w:t xml:space="preserve"> </w:t>
      </w:r>
      <w:r w:rsidR="00E3303E" w:rsidRPr="004D6081">
        <w:rPr>
          <w:i/>
        </w:rPr>
        <w:t>determined</w:t>
      </w:r>
      <w:r w:rsidR="00E3303E">
        <w:t xml:space="preserve"> at another </w:t>
      </w:r>
      <w:r w:rsidR="0084664B">
        <w:t xml:space="preserve">auction. Our paradigm sense of </w:t>
      </w:r>
      <w:r w:rsidR="0084664B" w:rsidRPr="0084664B">
        <w:rPr>
          <w:i/>
        </w:rPr>
        <w:t>value</w:t>
      </w:r>
      <w:r w:rsidR="00E3303E">
        <w:t xml:space="preserve"> </w:t>
      </w:r>
      <w:r w:rsidR="0016714D">
        <w:t>tends to</w:t>
      </w:r>
      <w:r w:rsidR="00DB76D6">
        <w:t xml:space="preserve"> assume</w:t>
      </w:r>
      <w:r w:rsidR="0016714D">
        <w:t xml:space="preserve"> </w:t>
      </w:r>
      <w:r w:rsidR="0016714D" w:rsidRPr="0016714D">
        <w:rPr>
          <w:i/>
        </w:rPr>
        <w:t>determinability</w:t>
      </w:r>
      <w:r w:rsidR="0016714D">
        <w:t xml:space="preserve"> and </w:t>
      </w:r>
      <w:r w:rsidR="0016714D" w:rsidRPr="0016714D">
        <w:rPr>
          <w:i/>
        </w:rPr>
        <w:t xml:space="preserve">certainty </w:t>
      </w:r>
      <w:r w:rsidR="0016714D">
        <w:t xml:space="preserve">even when we realise that—because markets fluctuate—the latter might be temporary. The value in ten years’ time is presently </w:t>
      </w:r>
      <w:r w:rsidR="0016714D" w:rsidRPr="0016714D">
        <w:rPr>
          <w:i/>
        </w:rPr>
        <w:t>uncertain</w:t>
      </w:r>
      <w:r w:rsidR="0016714D">
        <w:t xml:space="preserve"> but is inherently </w:t>
      </w:r>
      <w:r w:rsidR="0016714D" w:rsidRPr="0016714D">
        <w:rPr>
          <w:i/>
        </w:rPr>
        <w:t>determinable</w:t>
      </w:r>
      <w:r w:rsidR="0016714D">
        <w:t xml:space="preserve"> at an auction in ten years’ time.</w:t>
      </w:r>
    </w:p>
    <w:p w14:paraId="4926D5B5" w14:textId="6431E1EB" w:rsidR="007B2DE1" w:rsidRDefault="0016714D" w:rsidP="00E3303E">
      <w:r>
        <w:t xml:space="preserve">If the painting is a portrait of David Beckham, </w:t>
      </w:r>
      <w:r w:rsidR="00A924C6">
        <w:t xml:space="preserve">its </w:t>
      </w:r>
      <w:r>
        <w:t xml:space="preserve">market price will be affected by his </w:t>
      </w:r>
      <w:r w:rsidR="00DB76D6">
        <w:t xml:space="preserve">current </w:t>
      </w:r>
      <w:r>
        <w:t xml:space="preserve">popularity as a sports personality. </w:t>
      </w:r>
      <w:r w:rsidR="00A924C6">
        <w:t xml:space="preserve">The Beckham factor will add value beyond the artistic. </w:t>
      </w:r>
      <w:r>
        <w:t>The price in today’s market might well exceed that paid for a landscape painted by a young artist</w:t>
      </w:r>
      <w:r w:rsidR="00594633">
        <w:t>,</w:t>
      </w:r>
      <w:r>
        <w:t xml:space="preserve"> whose</w:t>
      </w:r>
      <w:r w:rsidR="0084664B">
        <w:t xml:space="preserve"> exceptional</w:t>
      </w:r>
      <w:r>
        <w:t xml:space="preserve"> work is currently not recognised widely, but </w:t>
      </w:r>
      <w:r w:rsidR="00D7003D">
        <w:t>which</w:t>
      </w:r>
      <w:r>
        <w:t xml:space="preserve"> might be much sought after</w:t>
      </w:r>
      <w:r w:rsidR="00D7003D" w:rsidRPr="00D7003D">
        <w:t xml:space="preserve"> </w:t>
      </w:r>
      <w:r w:rsidR="00D7003D">
        <w:t>in ten years’ time</w:t>
      </w:r>
      <w:r>
        <w:t xml:space="preserve">. The relative market values of the two paintings might well change radically. </w:t>
      </w:r>
      <w:r w:rsidR="00CE1DD0">
        <w:t>I</w:t>
      </w:r>
      <w:r>
        <w:t xml:space="preserve">n ten years’ </w:t>
      </w:r>
      <w:r>
        <w:lastRenderedPageBreak/>
        <w:t>time</w:t>
      </w:r>
      <w:r w:rsidR="006A774C">
        <w:t>,</w:t>
      </w:r>
      <w:r>
        <w:t xml:space="preserve"> it might be more clearly recognised</w:t>
      </w:r>
      <w:r w:rsidR="0084664B">
        <w:t>—under the conventions of art experts—</w:t>
      </w:r>
      <w:r>
        <w:t xml:space="preserve">that the </w:t>
      </w:r>
      <w:r w:rsidRPr="0016714D">
        <w:rPr>
          <w:i/>
        </w:rPr>
        <w:t>aesthetic</w:t>
      </w:r>
      <w:r>
        <w:t xml:space="preserve"> value of the young artist’s work is greater than that of the competent portrait painter’s work. </w:t>
      </w:r>
    </w:p>
    <w:p w14:paraId="586EFE21" w14:textId="6EC78568" w:rsidR="0016714D" w:rsidRDefault="0016714D" w:rsidP="00E3303E">
      <w:r>
        <w:t xml:space="preserve">As our example indicates, </w:t>
      </w:r>
      <w:r w:rsidR="007B2DE1">
        <w:t xml:space="preserve">concentration on the </w:t>
      </w:r>
      <w:r w:rsidR="007B2DE1" w:rsidRPr="0081351D">
        <w:rPr>
          <w:i/>
        </w:rPr>
        <w:t>exchange</w:t>
      </w:r>
      <w:r w:rsidR="007B2DE1">
        <w:t xml:space="preserve"> of money for goods can crowd out more subtle forms of value</w:t>
      </w:r>
      <w:r w:rsidR="0081351D">
        <w:t>—</w:t>
      </w:r>
      <w:r w:rsidR="007B2DE1">
        <w:t xml:space="preserve">such as </w:t>
      </w:r>
      <w:r w:rsidRPr="0016714D">
        <w:rPr>
          <w:i/>
        </w:rPr>
        <w:t>aesthetic</w:t>
      </w:r>
      <w:r>
        <w:t xml:space="preserve"> value. Neither do</w:t>
      </w:r>
      <w:r w:rsidR="0081351D">
        <w:t xml:space="preserve">es </w:t>
      </w:r>
      <w:r w:rsidR="0081351D" w:rsidRPr="0081351D">
        <w:rPr>
          <w:i/>
        </w:rPr>
        <w:t>exchange</w:t>
      </w:r>
      <w:r>
        <w:t xml:space="preserve"> enable us to determine whether a beautiful view should be preserved from </w:t>
      </w:r>
      <w:proofErr w:type="spellStart"/>
      <w:r>
        <w:t>HS2</w:t>
      </w:r>
      <w:proofErr w:type="spellEnd"/>
      <w:r>
        <w:t xml:space="preserve">, </w:t>
      </w:r>
      <w:r w:rsidR="00DB76D6">
        <w:t>n</w:t>
      </w:r>
      <w:r>
        <w:t>or whether bankers’ bonuses have been awarded justly.</w:t>
      </w:r>
      <w:r w:rsidR="007B2DE1">
        <w:t xml:space="preserve"> But</w:t>
      </w:r>
      <w:r w:rsidR="00AE7E60">
        <w:t>,</w:t>
      </w:r>
      <w:r w:rsidR="007B2DE1">
        <w:t xml:space="preserve"> </w:t>
      </w:r>
      <w:r w:rsidR="007B2DE1" w:rsidRPr="00AE7E60">
        <w:rPr>
          <w:i/>
        </w:rPr>
        <w:t>within a particular domain of value</w:t>
      </w:r>
      <w:r w:rsidR="007B2DE1">
        <w:t xml:space="preserve">, there are often </w:t>
      </w:r>
      <w:r w:rsidR="007B2DE1" w:rsidRPr="00AE7E60">
        <w:rPr>
          <w:i/>
        </w:rPr>
        <w:t>substantially shared conceptions</w:t>
      </w:r>
      <w:r w:rsidR="007B2DE1">
        <w:t xml:space="preserve"> of what is good and worth paying for. </w:t>
      </w:r>
      <w:r w:rsidR="005C16A3">
        <w:t>Whilst t</w:t>
      </w:r>
      <w:r w:rsidR="007B2DE1">
        <w:t>hese conceptions ebb and flow with fashion</w:t>
      </w:r>
      <w:r w:rsidR="00AE7E60">
        <w:t>, at any one time</w:t>
      </w:r>
      <w:r w:rsidR="007B2DE1">
        <w:t xml:space="preserve"> there will be a substantial consensus, for example, that </w:t>
      </w:r>
      <w:r w:rsidR="003A77CC">
        <w:t>Coldplay</w:t>
      </w:r>
      <w:r w:rsidR="007B2DE1">
        <w:t xml:space="preserve">’s music is superior to </w:t>
      </w:r>
      <w:r w:rsidR="0065431A">
        <w:t xml:space="preserve">that of </w:t>
      </w:r>
      <w:proofErr w:type="spellStart"/>
      <w:r w:rsidR="003A77CC">
        <w:t>Jedward</w:t>
      </w:r>
      <w:proofErr w:type="spellEnd"/>
      <w:r w:rsidR="007B2DE1">
        <w:t xml:space="preserve">. Judgements within such domains influence </w:t>
      </w:r>
      <w:r w:rsidR="007B2DE1" w:rsidRPr="0065431A">
        <w:rPr>
          <w:i/>
        </w:rPr>
        <w:t xml:space="preserve">exchange </w:t>
      </w:r>
      <w:r w:rsidR="003A77CC">
        <w:t>values—the original drawings for a Coldplay CD cover would</w:t>
      </w:r>
      <w:r w:rsidR="007B2DE1">
        <w:t xml:space="preserve"> </w:t>
      </w:r>
      <w:r w:rsidR="0084664B">
        <w:t>command</w:t>
      </w:r>
      <w:r w:rsidR="007B2DE1">
        <w:t xml:space="preserve"> a higher price than </w:t>
      </w:r>
      <w:r w:rsidR="003A77CC">
        <w:t xml:space="preserve">one for a </w:t>
      </w:r>
      <w:proofErr w:type="spellStart"/>
      <w:r w:rsidR="003A77CC">
        <w:t>Jedward</w:t>
      </w:r>
      <w:proofErr w:type="spellEnd"/>
      <w:r w:rsidR="003A77CC">
        <w:t xml:space="preserve"> production. Nevertheless, it </w:t>
      </w:r>
      <w:r w:rsidR="007B2DE1">
        <w:t xml:space="preserve">might have no greater </w:t>
      </w:r>
      <w:r w:rsidR="007B2DE1" w:rsidRPr="0065431A">
        <w:rPr>
          <w:i/>
        </w:rPr>
        <w:t>use</w:t>
      </w:r>
      <w:r w:rsidR="007B2DE1">
        <w:t xml:space="preserve"> value. The pleasures of </w:t>
      </w:r>
      <w:r w:rsidR="005C16A3">
        <w:t xml:space="preserve">its </w:t>
      </w:r>
      <w:r w:rsidR="007B2DE1">
        <w:t xml:space="preserve">possession </w:t>
      </w:r>
      <w:r w:rsidR="0084664B">
        <w:t>are</w:t>
      </w:r>
      <w:r w:rsidR="007B2DE1">
        <w:t xml:space="preserve"> governed, not by use value but by aesthetics</w:t>
      </w:r>
      <w:r w:rsidR="003A77CC">
        <w:t>,</w:t>
      </w:r>
      <w:r w:rsidR="007B2DE1">
        <w:t xml:space="preserve"> scarcity</w:t>
      </w:r>
      <w:r w:rsidR="003A77CC">
        <w:t xml:space="preserve"> and association with the musical performers</w:t>
      </w:r>
      <w:r w:rsidR="007B2DE1">
        <w:t>. It is these factors that increase willingness to pay and hence market price.</w:t>
      </w:r>
      <w:r w:rsidR="00A3349B">
        <w:t xml:space="preserve"> The </w:t>
      </w:r>
      <w:r w:rsidR="005C16A3">
        <w:t>resulting market</w:t>
      </w:r>
      <w:r w:rsidR="00A3349B">
        <w:t xml:space="preserve"> value does not reflect </w:t>
      </w:r>
      <w:r w:rsidR="00A3349B" w:rsidRPr="005C16A3">
        <w:rPr>
          <w:i/>
        </w:rPr>
        <w:t>utility</w:t>
      </w:r>
      <w:r w:rsidR="00A3349B">
        <w:t xml:space="preserve"> any more than the does the pr</w:t>
      </w:r>
      <w:r w:rsidR="003A77CC">
        <w:t>ice of a designer mineral water that</w:t>
      </w:r>
      <w:r w:rsidR="00A3349B">
        <w:t xml:space="preserve">, in the </w:t>
      </w:r>
      <w:r w:rsidR="00A3349B" w:rsidRPr="003A77CC">
        <w:rPr>
          <w:i/>
        </w:rPr>
        <w:t>functional</w:t>
      </w:r>
      <w:r w:rsidR="00A3349B">
        <w:t xml:space="preserve"> terms of health, </w:t>
      </w:r>
      <w:r w:rsidR="0065431A">
        <w:t>offers</w:t>
      </w:r>
      <w:r w:rsidR="00A3349B">
        <w:t xml:space="preserve"> no advantage over tap water.</w:t>
      </w:r>
    </w:p>
    <w:p w14:paraId="31AED9DF" w14:textId="152EF246" w:rsidR="00A3349B" w:rsidRDefault="00A3349B" w:rsidP="004D6081">
      <w:r>
        <w:t>Early internal combustion engine</w:t>
      </w:r>
      <w:r w:rsidR="00DB76D6">
        <w:t>s were rated in horse power. A 1</w:t>
      </w:r>
      <w:r>
        <w:t xml:space="preserve">2 horsepower engine could do the work of 12 horses. This is not simply a matter of </w:t>
      </w:r>
      <w:r w:rsidRPr="003A77CC">
        <w:rPr>
          <w:i/>
        </w:rPr>
        <w:t>exchange</w:t>
      </w:r>
      <w:r>
        <w:t xml:space="preserve"> but also involves a notion of </w:t>
      </w:r>
      <w:r w:rsidRPr="004D6081">
        <w:rPr>
          <w:i/>
        </w:rPr>
        <w:t>substitution</w:t>
      </w:r>
      <w:r>
        <w:rPr>
          <w:i/>
        </w:rPr>
        <w:t xml:space="preserve">. </w:t>
      </w:r>
      <w:r w:rsidRPr="00A3349B">
        <w:t xml:space="preserve">The </w:t>
      </w:r>
      <w:r>
        <w:t xml:space="preserve">market </w:t>
      </w:r>
      <w:r w:rsidR="00086BBA">
        <w:t xml:space="preserve">(and monetary) </w:t>
      </w:r>
      <w:r w:rsidRPr="00A3349B">
        <w:t xml:space="preserve">value of the engine would be </w:t>
      </w:r>
      <w:r w:rsidR="005C16A3">
        <w:t xml:space="preserve">driven by </w:t>
      </w:r>
      <w:r w:rsidRPr="00A3349B">
        <w:t xml:space="preserve">the cost of twelve horses over the period of the engine’s likely use. </w:t>
      </w:r>
      <w:r w:rsidR="004D6081" w:rsidRPr="00A3349B">
        <w:rPr>
          <w:i/>
        </w:rPr>
        <w:t>Use value</w:t>
      </w:r>
      <w:r w:rsidR="004D6081">
        <w:t xml:space="preserve"> is the cost that would be incurred to </w:t>
      </w:r>
      <w:r w:rsidR="007B2DE1" w:rsidRPr="00E557E5">
        <w:rPr>
          <w:i/>
        </w:rPr>
        <w:t>substitute</w:t>
      </w:r>
      <w:r w:rsidR="004D6081">
        <w:t xml:space="preserve"> the result that the object </w:t>
      </w:r>
      <w:r w:rsidR="003A77CC">
        <w:t>being</w:t>
      </w:r>
      <w:r w:rsidR="0084664B">
        <w:t xml:space="preserve"> valued </w:t>
      </w:r>
      <w:r w:rsidR="004D6081">
        <w:t xml:space="preserve">produces. Your </w:t>
      </w:r>
      <w:r w:rsidR="0084664B">
        <w:t xml:space="preserve">reliable </w:t>
      </w:r>
      <w:r w:rsidR="004D6081">
        <w:t xml:space="preserve">old car might have a market value of only £200 but the cost of the train fares and taxis that you would incur without a car might well exceed that each month. A more expensive car </w:t>
      </w:r>
      <w:r w:rsidR="007B2DE1">
        <w:t>would</w:t>
      </w:r>
      <w:r w:rsidR="004D6081">
        <w:t xml:space="preserve"> have </w:t>
      </w:r>
      <w:r w:rsidR="007B2DE1">
        <w:t xml:space="preserve">higher market value but similar </w:t>
      </w:r>
      <w:r w:rsidR="005C16A3" w:rsidRPr="005C16A3">
        <w:rPr>
          <w:i/>
        </w:rPr>
        <w:t>utility</w:t>
      </w:r>
      <w:r w:rsidR="007B2DE1">
        <w:t xml:space="preserve">—and </w:t>
      </w:r>
      <w:r w:rsidR="004D6081">
        <w:t>might be less reliable</w:t>
      </w:r>
      <w:r w:rsidR="003A77CC">
        <w:t>.</w:t>
      </w:r>
    </w:p>
    <w:p w14:paraId="000E26A2" w14:textId="2CD8C084" w:rsidR="004D6081" w:rsidRDefault="00A3349B" w:rsidP="004D6081">
      <w:r>
        <w:t>A similar</w:t>
      </w:r>
      <w:r w:rsidR="00E557E5" w:rsidRPr="0081351D">
        <w:rPr>
          <w:i/>
        </w:rPr>
        <w:t xml:space="preserve"> substitution </w:t>
      </w:r>
      <w:r w:rsidR="00E557E5">
        <w:t>lies at the core of social return on investment (</w:t>
      </w:r>
      <w:proofErr w:type="spellStart"/>
      <w:r w:rsidR="00E557E5">
        <w:t>SROI</w:t>
      </w:r>
      <w:proofErr w:type="spellEnd"/>
      <w:r w:rsidR="00E557E5">
        <w:t>) methods of valuation. If</w:t>
      </w:r>
      <w:r w:rsidR="0081351D">
        <w:t xml:space="preserve"> the</w:t>
      </w:r>
      <w:r w:rsidR="00E557E5">
        <w:t xml:space="preserve"> cost</w:t>
      </w:r>
      <w:r w:rsidR="0081351D">
        <w:t xml:space="preserve"> of detaining a young offender in an institution is </w:t>
      </w:r>
      <w:r w:rsidR="00E557E5">
        <w:t>£1,000 a week and an intervention reduce</w:t>
      </w:r>
      <w:r>
        <w:t>s</w:t>
      </w:r>
      <w:r w:rsidR="00E557E5">
        <w:t xml:space="preserve"> offending in an area by preventing one offence that would </w:t>
      </w:r>
      <w:r>
        <w:t>have</w:t>
      </w:r>
      <w:r w:rsidR="00E557E5">
        <w:t xml:space="preserve"> result</w:t>
      </w:r>
      <w:r>
        <w:t>ed</w:t>
      </w:r>
      <w:r w:rsidR="00E557E5">
        <w:t xml:space="preserve"> in a custodial sentence of 26 weeks, it is worth paying up to £25,000 for the intervention. The intervention is </w:t>
      </w:r>
      <w:r w:rsidR="00E557E5" w:rsidRPr="00E557E5">
        <w:rPr>
          <w:i/>
        </w:rPr>
        <w:t xml:space="preserve">substituted </w:t>
      </w:r>
      <w:r w:rsidR="00E557E5">
        <w:t>for the offence</w:t>
      </w:r>
      <w:r w:rsidR="00086BBA">
        <w:t xml:space="preserve"> and generates a value—</w:t>
      </w:r>
      <w:r w:rsidR="00E557E5">
        <w:t>and funder’</w:t>
      </w:r>
      <w:r w:rsidR="00086BBA">
        <w:t>s price</w:t>
      </w:r>
      <w:r w:rsidR="0081351D">
        <w:t xml:space="preserve"> for the intervention</w:t>
      </w:r>
      <w:r w:rsidR="00086BBA">
        <w:t>—</w:t>
      </w:r>
      <w:r w:rsidR="00E557E5">
        <w:t xml:space="preserve">that </w:t>
      </w:r>
      <w:r>
        <w:t xml:space="preserve">takes no account of </w:t>
      </w:r>
      <w:r w:rsidR="00E557E5">
        <w:t xml:space="preserve">the cost of the intervention. The </w:t>
      </w:r>
      <w:proofErr w:type="spellStart"/>
      <w:r w:rsidR="00E557E5">
        <w:t>TSO</w:t>
      </w:r>
      <w:proofErr w:type="spellEnd"/>
      <w:r w:rsidR="00E557E5">
        <w:t xml:space="preserve"> providing the intervention might incur costs of £50,000 but</w:t>
      </w:r>
      <w:r w:rsidR="0081351D">
        <w:t>—</w:t>
      </w:r>
      <w:r>
        <w:t>because</w:t>
      </w:r>
      <w:r w:rsidR="00E557E5">
        <w:t xml:space="preserve"> the </w:t>
      </w:r>
      <w:r>
        <w:t xml:space="preserve">only available </w:t>
      </w:r>
      <w:r w:rsidR="00E557E5">
        <w:t>funder impose</w:t>
      </w:r>
      <w:r w:rsidR="0081351D">
        <w:t>s</w:t>
      </w:r>
      <w:r w:rsidR="00E557E5">
        <w:t xml:space="preserve"> a </w:t>
      </w:r>
      <w:r>
        <w:t>ceiling</w:t>
      </w:r>
      <w:r w:rsidR="00E557E5">
        <w:t xml:space="preserve"> of £25,000</w:t>
      </w:r>
      <w:r>
        <w:t>—might</w:t>
      </w:r>
      <w:r w:rsidR="00086BBA">
        <w:t xml:space="preserve"> be tempted</w:t>
      </w:r>
      <w:r>
        <w:t xml:space="preserve"> to take rather than leave the deal</w:t>
      </w:r>
      <w:r w:rsidR="00DB76D6">
        <w:t xml:space="preserve"> and struggle to raise funds for the remainder.</w:t>
      </w:r>
      <w:r w:rsidR="00E557E5">
        <w:t xml:space="preserve"> The </w:t>
      </w:r>
      <w:proofErr w:type="spellStart"/>
      <w:r w:rsidR="00E557E5">
        <w:t>TSO’s</w:t>
      </w:r>
      <w:proofErr w:type="spellEnd"/>
      <w:r w:rsidR="00E557E5">
        <w:t xml:space="preserve"> position improves if the funder </w:t>
      </w:r>
      <w:r w:rsidR="0081351D">
        <w:t xml:space="preserve">agrees to </w:t>
      </w:r>
      <w:r w:rsidR="00E557E5">
        <w:t xml:space="preserve">pay a bonus for </w:t>
      </w:r>
      <w:r>
        <w:t xml:space="preserve">additional performance, but the </w:t>
      </w:r>
      <w:proofErr w:type="spellStart"/>
      <w:r>
        <w:t>TSO</w:t>
      </w:r>
      <w:proofErr w:type="spellEnd"/>
      <w:r>
        <w:t xml:space="preserve"> </w:t>
      </w:r>
      <w:r w:rsidR="00DB76D6">
        <w:t>would</w:t>
      </w:r>
      <w:r>
        <w:t xml:space="preserve"> have to </w:t>
      </w:r>
      <w:r w:rsidR="00346626">
        <w:t>gamble</w:t>
      </w:r>
      <w:r>
        <w:t xml:space="preserve"> </w:t>
      </w:r>
      <w:r w:rsidR="003A77CC">
        <w:t xml:space="preserve">additional </w:t>
      </w:r>
      <w:r w:rsidR="00346626">
        <w:t>expenditure</w:t>
      </w:r>
      <w:r w:rsidR="003A77CC">
        <w:t xml:space="preserve"> (and cash flow burdens) o</w:t>
      </w:r>
      <w:r>
        <w:t>n its own ability to collect such bonuses</w:t>
      </w:r>
      <w:r w:rsidR="003A77CC">
        <w:t xml:space="preserve"> eventually</w:t>
      </w:r>
      <w:r>
        <w:t>.</w:t>
      </w:r>
    </w:p>
    <w:p w14:paraId="7AEFF407" w14:textId="63CEEE4E" w:rsidR="00086BBA" w:rsidRDefault="00086BBA" w:rsidP="00CB1476">
      <w:pPr>
        <w:pStyle w:val="Heading1"/>
      </w:pPr>
      <w:r>
        <w:t>Beyond the exchange paradigm</w:t>
      </w:r>
    </w:p>
    <w:p w14:paraId="586EFE22" w14:textId="5CF7AC51" w:rsidR="0016714D" w:rsidRDefault="0016714D" w:rsidP="00E3303E">
      <w:proofErr w:type="spellStart"/>
      <w:r>
        <w:t>TSOs</w:t>
      </w:r>
      <w:proofErr w:type="spellEnd"/>
      <w:r>
        <w:t xml:space="preserve"> will claim that</w:t>
      </w:r>
      <w:r w:rsidR="00A3349B">
        <w:t xml:space="preserve"> the full value of </w:t>
      </w:r>
      <w:r>
        <w:t xml:space="preserve">their work cannot be evaluated properly by </w:t>
      </w:r>
      <w:r w:rsidR="00A3349B">
        <w:t>any of these</w:t>
      </w:r>
      <w:r>
        <w:t xml:space="preserve"> mechanisms</w:t>
      </w:r>
      <w:r w:rsidR="00A3349B">
        <w:t>.</w:t>
      </w:r>
      <w:r w:rsidR="005C16A3">
        <w:t xml:space="preserve"> </w:t>
      </w:r>
      <w:r>
        <w:t xml:space="preserve">They will </w:t>
      </w:r>
      <w:r w:rsidR="005C16A3">
        <w:t>feel</w:t>
      </w:r>
      <w:r>
        <w:t xml:space="preserve"> that </w:t>
      </w:r>
      <w:r w:rsidR="00B876B0">
        <w:t xml:space="preserve">much of </w:t>
      </w:r>
      <w:r w:rsidR="0084664B">
        <w:t xml:space="preserve">their work is </w:t>
      </w:r>
      <w:r w:rsidR="0084664B" w:rsidRPr="0084664B">
        <w:rPr>
          <w:i/>
        </w:rPr>
        <w:t>invaluable</w:t>
      </w:r>
      <w:r w:rsidR="00B876B0">
        <w:t xml:space="preserve"> or that</w:t>
      </w:r>
      <w:r w:rsidR="0084664B">
        <w:t xml:space="preserve"> it has </w:t>
      </w:r>
      <w:r w:rsidR="00B876B0" w:rsidRPr="0084664B">
        <w:rPr>
          <w:i/>
        </w:rPr>
        <w:t>inherent value</w:t>
      </w:r>
      <w:r w:rsidR="00B876B0">
        <w:t>. Even where the work relieves the public purse of estimable probable expenditure and has few displacement or negative side effects, they will be reluctant to accept—in their hearts of hearts—that social return on investment (</w:t>
      </w:r>
      <w:proofErr w:type="spellStart"/>
      <w:r w:rsidR="00B876B0">
        <w:t>SROI</w:t>
      </w:r>
      <w:proofErr w:type="spellEnd"/>
      <w:r w:rsidR="00B876B0">
        <w:t>) captures all the value that they believe they add.</w:t>
      </w:r>
      <w:r w:rsidR="0075411A">
        <w:t xml:space="preserve"> Some of </w:t>
      </w:r>
      <w:r w:rsidR="005C16A3">
        <w:t>that value</w:t>
      </w:r>
      <w:r w:rsidR="0075411A">
        <w:t xml:space="preserve">, they will </w:t>
      </w:r>
      <w:r w:rsidR="003A77CC">
        <w:t xml:space="preserve">continue to </w:t>
      </w:r>
      <w:r w:rsidR="0075411A">
        <w:t xml:space="preserve">feel, is </w:t>
      </w:r>
      <w:r w:rsidR="0075411A" w:rsidRPr="0075411A">
        <w:rPr>
          <w:i/>
        </w:rPr>
        <w:t>invaluable</w:t>
      </w:r>
      <w:r w:rsidR="0075411A">
        <w:t xml:space="preserve"> or </w:t>
      </w:r>
      <w:r w:rsidR="0075411A" w:rsidRPr="0075411A">
        <w:rPr>
          <w:i/>
        </w:rPr>
        <w:t>inherent</w:t>
      </w:r>
      <w:r w:rsidR="0075411A">
        <w:t xml:space="preserve"> in their very </w:t>
      </w:r>
      <w:r w:rsidR="0075411A" w:rsidRPr="0075411A">
        <w:rPr>
          <w:i/>
        </w:rPr>
        <w:t>existence</w:t>
      </w:r>
      <w:r w:rsidR="0075411A">
        <w:t>.</w:t>
      </w:r>
      <w:r w:rsidR="005C16A3" w:rsidRPr="005C16A3">
        <w:t xml:space="preserve"> </w:t>
      </w:r>
      <w:r w:rsidR="00346626">
        <w:t>Are there</w:t>
      </w:r>
      <w:r w:rsidR="005C16A3">
        <w:t xml:space="preserve"> other conceptions of </w:t>
      </w:r>
      <w:r w:rsidR="005C16A3" w:rsidRPr="0084664B">
        <w:rPr>
          <w:i/>
        </w:rPr>
        <w:t>value</w:t>
      </w:r>
      <w:r w:rsidR="005C16A3">
        <w:t xml:space="preserve"> </w:t>
      </w:r>
      <w:r w:rsidR="00346626">
        <w:t xml:space="preserve">that </w:t>
      </w:r>
      <w:r w:rsidR="005C16A3">
        <w:t>might help their cause?</w:t>
      </w:r>
    </w:p>
    <w:p w14:paraId="3E7AB7BE" w14:textId="466B5573" w:rsidR="008C76DD" w:rsidRDefault="005C16A3" w:rsidP="00991193">
      <w:r>
        <w:t>The civil l</w:t>
      </w:r>
      <w:r w:rsidR="005F4967">
        <w:t xml:space="preserve">aw makes valuations when awarding damages. </w:t>
      </w:r>
      <w:r>
        <w:t>If you negligently damage my car, I can recover from you the cost of repair (or replacement with an equivalent if it is beyond repair). If there is consequential economic loss caused by the unavailability of the car or the disruption, that too is recoverable. Such losses are easily monetis</w:t>
      </w:r>
      <w:r w:rsidR="000B07D3">
        <w:t>ed</w:t>
      </w:r>
      <w:r>
        <w:t xml:space="preserve">. </w:t>
      </w:r>
      <w:r w:rsidR="000B07D3">
        <w:t>But i</w:t>
      </w:r>
      <w:r>
        <w:t xml:space="preserve">f the car is of particular </w:t>
      </w:r>
      <w:r w:rsidRPr="008C76DD">
        <w:rPr>
          <w:i/>
        </w:rPr>
        <w:t>sentimental value</w:t>
      </w:r>
      <w:r>
        <w:t xml:space="preserve"> (it was my grandfather’s) </w:t>
      </w:r>
      <w:r w:rsidR="000B07D3">
        <w:t xml:space="preserve">monetisation is more arbitrary, there being no established market for the surrender of such </w:t>
      </w:r>
      <w:r w:rsidR="00CB1476">
        <w:t xml:space="preserve">non-transferable </w:t>
      </w:r>
      <w:r w:rsidR="000B07D3">
        <w:t>sentiments</w:t>
      </w:r>
      <w:r w:rsidR="008C76DD">
        <w:t xml:space="preserve"> (</w:t>
      </w:r>
      <w:r w:rsidR="00346626">
        <w:t xml:space="preserve">economists describe these as </w:t>
      </w:r>
      <w:r w:rsidR="008C76DD" w:rsidRPr="008C76DD">
        <w:rPr>
          <w:i/>
        </w:rPr>
        <w:t>consumer surpluses</w:t>
      </w:r>
      <w:r w:rsidR="008C76DD">
        <w:t>)</w:t>
      </w:r>
      <w:r w:rsidR="000B07D3">
        <w:t xml:space="preserve">. </w:t>
      </w:r>
    </w:p>
    <w:p w14:paraId="6C16F109" w14:textId="5411D573" w:rsidR="000B07D3" w:rsidRDefault="00CB1476" w:rsidP="00991193">
      <w:r>
        <w:lastRenderedPageBreak/>
        <w:t>I</w:t>
      </w:r>
      <w:r w:rsidR="000B07D3">
        <w:t>f my limb is injured</w:t>
      </w:r>
      <w:r>
        <w:t>,</w:t>
      </w:r>
      <w:r w:rsidR="000B07D3">
        <w:t xml:space="preserve"> causing me to suffer a loss of </w:t>
      </w:r>
      <w:r w:rsidR="000B07D3" w:rsidRPr="00346626">
        <w:rPr>
          <w:i/>
        </w:rPr>
        <w:t>amenity</w:t>
      </w:r>
      <w:r w:rsidR="000B07D3">
        <w:t xml:space="preserve">, there is no relevant market but the courts create a tariff of values for the loss of such amenities. Damages for unlawful detention by the police are </w:t>
      </w:r>
      <w:r>
        <w:t xml:space="preserve">also </w:t>
      </w:r>
      <w:r w:rsidR="000B07D3">
        <w:t>covered by a judicially devised tariff</w:t>
      </w:r>
      <w:r w:rsidR="0084664B">
        <w:t xml:space="preserve"> (Thompson</w:t>
      </w:r>
      <w:r w:rsidR="00740B47">
        <w:t>, 1997)</w:t>
      </w:r>
      <w:r w:rsidR="00DB76D6">
        <w:t>. I</w:t>
      </w:r>
      <w:r w:rsidR="000B07D3">
        <w:t>f the right to limit one’s family size is interfered with by virtue of a negligent and ineffective sterilisation operation, the courts will now make a ‘conventional award’ of £15,000</w:t>
      </w:r>
      <w:r w:rsidR="00740B47">
        <w:t xml:space="preserve"> (Rees, 2003)</w:t>
      </w:r>
      <w:r w:rsidR="000B07D3">
        <w:t xml:space="preserve">. This </w:t>
      </w:r>
      <w:r>
        <w:t xml:space="preserve">award is not compensation for a loss but </w:t>
      </w:r>
      <w:r w:rsidR="008C76DD">
        <w:t xml:space="preserve">simply </w:t>
      </w:r>
      <w:r w:rsidR="000B07D3" w:rsidRPr="00CB1476">
        <w:rPr>
          <w:i/>
        </w:rPr>
        <w:t>marks</w:t>
      </w:r>
      <w:r w:rsidR="000B07D3">
        <w:t xml:space="preserve"> the invasion of the </w:t>
      </w:r>
      <w:r w:rsidR="000B07D3" w:rsidRPr="00CB1476">
        <w:rPr>
          <w:i/>
        </w:rPr>
        <w:t>right</w:t>
      </w:r>
      <w:r w:rsidR="000B07D3">
        <w:t>. It is not compensation for ‘wrongful birth’ since the common law deems every healthy child to be a blessing. As we move further away from the tangible</w:t>
      </w:r>
      <w:r w:rsidR="008C76DD">
        <w:t>, readily substitutable</w:t>
      </w:r>
      <w:r w:rsidR="000B07D3">
        <w:t xml:space="preserve"> and market-related harms, the awards become more </w:t>
      </w:r>
      <w:r w:rsidR="000B07D3" w:rsidRPr="00CB1476">
        <w:rPr>
          <w:i/>
        </w:rPr>
        <w:t>symbolic</w:t>
      </w:r>
      <w:r w:rsidR="000B07D3">
        <w:t xml:space="preserve"> in much the same way as a wedding ring is a symbol of a marriage</w:t>
      </w:r>
      <w:r w:rsidR="000B07D3" w:rsidRPr="000B07D3">
        <w:t xml:space="preserve"> </w:t>
      </w:r>
      <w:r w:rsidR="000B07D3">
        <w:t>(</w:t>
      </w:r>
      <w:proofErr w:type="spellStart"/>
      <w:r w:rsidR="000B07D3">
        <w:t>Dancy</w:t>
      </w:r>
      <w:proofErr w:type="spellEnd"/>
      <w:r w:rsidR="006265C3">
        <w:t xml:space="preserve"> 2004,</w:t>
      </w:r>
      <w:r w:rsidR="000B07D3">
        <w:t xml:space="preserve"> 165)</w:t>
      </w:r>
      <w:r w:rsidR="006265C3">
        <w:t>.</w:t>
      </w:r>
    </w:p>
    <w:p w14:paraId="6E0507EB" w14:textId="1EB9E4F0" w:rsidR="006265C3" w:rsidRDefault="006265C3" w:rsidP="00991193">
      <w:proofErr w:type="spellStart"/>
      <w:r>
        <w:t>TSOs</w:t>
      </w:r>
      <w:proofErr w:type="spellEnd"/>
      <w:r>
        <w:t xml:space="preserve"> face a double problem. First, funders want to pay only for </w:t>
      </w:r>
      <w:r w:rsidRPr="00346626">
        <w:rPr>
          <w:i/>
        </w:rPr>
        <w:t xml:space="preserve">outcomes </w:t>
      </w:r>
      <w:r>
        <w:t>and not to make more speculative unspecific inves</w:t>
      </w:r>
      <w:r w:rsidR="00DB76D6">
        <w:t xml:space="preserve">tments in </w:t>
      </w:r>
      <w:r w:rsidR="00DB76D6" w:rsidRPr="00346626">
        <w:rPr>
          <w:i/>
        </w:rPr>
        <w:t>organisations as such</w:t>
      </w:r>
      <w:r w:rsidR="00DB76D6">
        <w:t>: ‘We do not pay for overheads or administration’.</w:t>
      </w:r>
      <w:r>
        <w:t xml:space="preserve"> Second, to the extent that they cannot meet funders’ expectations of specific outcomes, </w:t>
      </w:r>
      <w:proofErr w:type="spellStart"/>
      <w:r>
        <w:t>TSOs</w:t>
      </w:r>
      <w:proofErr w:type="spellEnd"/>
      <w:r>
        <w:t xml:space="preserve"> </w:t>
      </w:r>
      <w:r w:rsidR="00CB1476">
        <w:t xml:space="preserve">will </w:t>
      </w:r>
      <w:r>
        <w:t xml:space="preserve">need to demonstrate their value </w:t>
      </w:r>
      <w:r w:rsidRPr="006265C3">
        <w:rPr>
          <w:i/>
        </w:rPr>
        <w:t xml:space="preserve">qua </w:t>
      </w:r>
      <w:r>
        <w:t xml:space="preserve">organisations. </w:t>
      </w:r>
      <w:proofErr w:type="spellStart"/>
      <w:r>
        <w:t>TSOs</w:t>
      </w:r>
      <w:proofErr w:type="spellEnd"/>
      <w:r>
        <w:t xml:space="preserve"> will want to argue that their very </w:t>
      </w:r>
      <w:r w:rsidRPr="006265C3">
        <w:rPr>
          <w:i/>
        </w:rPr>
        <w:t>existence</w:t>
      </w:r>
      <w:r>
        <w:t xml:space="preserve"> is a virtue and/or that their existence has </w:t>
      </w:r>
      <w:r w:rsidRPr="006265C3">
        <w:rPr>
          <w:i/>
        </w:rPr>
        <w:t>intrinsic</w:t>
      </w:r>
      <w:r>
        <w:t xml:space="preserve"> value. We shall see that </w:t>
      </w:r>
      <w:r w:rsidR="00346626">
        <w:t xml:space="preserve">the </w:t>
      </w:r>
      <w:r>
        <w:t xml:space="preserve">latter is a challenging task and </w:t>
      </w:r>
      <w:r w:rsidR="00CB1476">
        <w:t xml:space="preserve">that </w:t>
      </w:r>
      <w:r>
        <w:t xml:space="preserve">it may well be that </w:t>
      </w:r>
      <w:proofErr w:type="spellStart"/>
      <w:r>
        <w:t>TSOs</w:t>
      </w:r>
      <w:proofErr w:type="spellEnd"/>
      <w:r>
        <w:t xml:space="preserve"> are best advised to concentrate on demonstrating that investment in them </w:t>
      </w:r>
      <w:r w:rsidRPr="006265C3">
        <w:rPr>
          <w:i/>
        </w:rPr>
        <w:t>qua</w:t>
      </w:r>
      <w:r>
        <w:t xml:space="preserve"> organisations is worthwhile in terms of</w:t>
      </w:r>
      <w:r w:rsidRPr="008C76DD">
        <w:rPr>
          <w:i/>
        </w:rPr>
        <w:t xml:space="preserve"> outcomes</w:t>
      </w:r>
      <w:r w:rsidR="008C76DD">
        <w:t xml:space="preserve"> that relate to their mission and character.</w:t>
      </w:r>
    </w:p>
    <w:p w14:paraId="586EFE2C" w14:textId="7DD15D87" w:rsidR="00991193" w:rsidRDefault="000B07D3" w:rsidP="000B07D3">
      <w:pPr>
        <w:pStyle w:val="Heading1"/>
      </w:pPr>
      <w:r>
        <w:t>Intrinsic value—a chimera?</w:t>
      </w:r>
    </w:p>
    <w:p w14:paraId="72CFA809" w14:textId="193065DA" w:rsidR="0011660F" w:rsidRDefault="000B07D3" w:rsidP="005F4967">
      <w:r>
        <w:t xml:space="preserve">Sometimes people will pay to maintain an </w:t>
      </w:r>
      <w:r w:rsidRPr="00DB76D6">
        <w:rPr>
          <w:i/>
        </w:rPr>
        <w:t>option</w:t>
      </w:r>
      <w:r>
        <w:t xml:space="preserve">. ‘It would be shame if the CAB were to close. I’ve never used it but it’s comforting to know that I could.’ Sometimes they do not pay but would </w:t>
      </w:r>
      <w:r w:rsidR="00346626">
        <w:t xml:space="preserve">nevertheless </w:t>
      </w:r>
      <w:r>
        <w:t xml:space="preserve">have feelings of regret </w:t>
      </w:r>
      <w:r w:rsidR="00CB1476">
        <w:t>were</w:t>
      </w:r>
      <w:r>
        <w:t xml:space="preserve"> it</w:t>
      </w:r>
      <w:r w:rsidR="00CB1476">
        <w:t xml:space="preserve"> to</w:t>
      </w:r>
      <w:r>
        <w:t xml:space="preserve"> close. Such feelings evidence value that is not easily captured in exchange terms. </w:t>
      </w:r>
      <w:r w:rsidR="005F4967">
        <w:t xml:space="preserve">Sometimes people will pay to maintain the </w:t>
      </w:r>
      <w:r w:rsidR="005F4967" w:rsidRPr="00DB76D6">
        <w:rPr>
          <w:i/>
        </w:rPr>
        <w:t xml:space="preserve">existence </w:t>
      </w:r>
      <w:r w:rsidR="005F4967">
        <w:t xml:space="preserve">of someone or something. A donation to Oxfam might save a life in which the donor has no exchange-based interest. </w:t>
      </w:r>
      <w:r w:rsidR="008C76DD">
        <w:t>Nevertheless</w:t>
      </w:r>
      <w:r w:rsidR="00346626">
        <w:t>—</w:t>
      </w:r>
      <w:r w:rsidR="005F4967">
        <w:t>as all ef</w:t>
      </w:r>
      <w:r w:rsidR="00346626">
        <w:t>fective fund-raisers recognise—</w:t>
      </w:r>
      <w:r w:rsidR="005F4967">
        <w:t>the donor probably derives some personal fulfilment or satisfaction from making the donation.</w:t>
      </w:r>
      <w:r>
        <w:t xml:space="preserve"> Lurking beneath the surface is the suggestion that there is something </w:t>
      </w:r>
      <w:r w:rsidRPr="00365EB5">
        <w:rPr>
          <w:i/>
        </w:rPr>
        <w:t>intrinsically valuable</w:t>
      </w:r>
      <w:r>
        <w:t xml:space="preserve"> in the </w:t>
      </w:r>
      <w:r w:rsidRPr="00365EB5">
        <w:rPr>
          <w:i/>
        </w:rPr>
        <w:t>very existence</w:t>
      </w:r>
      <w:r>
        <w:t xml:space="preserve"> of the CAB and Oxfam.</w:t>
      </w:r>
      <w:r w:rsidR="00BE772A">
        <w:t xml:space="preserve"> </w:t>
      </w:r>
      <w:r w:rsidR="00365EB5">
        <w:t xml:space="preserve">It would </w:t>
      </w:r>
      <w:r w:rsidR="00BE772A">
        <w:t xml:space="preserve">certainly </w:t>
      </w:r>
      <w:r w:rsidR="00365EB5">
        <w:t xml:space="preserve">help </w:t>
      </w:r>
      <w:proofErr w:type="spellStart"/>
      <w:r w:rsidR="00365EB5">
        <w:t>TSOs</w:t>
      </w:r>
      <w:proofErr w:type="spellEnd"/>
      <w:r w:rsidR="00365EB5">
        <w:t xml:space="preserve"> if funders and policy-makers were more aware that value varies in its determinability and that seeming certainty is sometimes illusory. But </w:t>
      </w:r>
      <w:r w:rsidR="00DB76D6">
        <w:t>can funders</w:t>
      </w:r>
      <w:r w:rsidR="00365EB5">
        <w:t xml:space="preserve"> be convinced of </w:t>
      </w:r>
      <w:r w:rsidR="00365EB5" w:rsidRPr="00DB76D6">
        <w:rPr>
          <w:i/>
        </w:rPr>
        <w:t>intrinsic value</w:t>
      </w:r>
      <w:r w:rsidR="00365EB5">
        <w:t>?</w:t>
      </w:r>
    </w:p>
    <w:p w14:paraId="6E1D7668" w14:textId="792B9FA2" w:rsidR="00024753" w:rsidRDefault="00CB1476" w:rsidP="005F4967">
      <w:r>
        <w:t xml:space="preserve">Jonathan </w:t>
      </w:r>
      <w:proofErr w:type="spellStart"/>
      <w:r>
        <w:t>Dancy</w:t>
      </w:r>
      <w:proofErr w:type="spellEnd"/>
      <w:r>
        <w:t xml:space="preserve"> </w:t>
      </w:r>
      <w:r w:rsidR="00365EB5">
        <w:t>distinguishes between (</w:t>
      </w:r>
      <w:proofErr w:type="spellStart"/>
      <w:r w:rsidR="00365EB5">
        <w:t>i</w:t>
      </w:r>
      <w:proofErr w:type="spellEnd"/>
      <w:r w:rsidR="00365EB5">
        <w:t xml:space="preserve">) the value of the thing and (ii) the reasons that make it valuable. </w:t>
      </w:r>
      <w:r>
        <w:t>In that sense</w:t>
      </w:r>
      <w:r w:rsidR="008C76DD">
        <w:t>,</w:t>
      </w:r>
      <w:r>
        <w:t xml:space="preserve"> </w:t>
      </w:r>
      <w:r w:rsidRPr="008C76DD">
        <w:rPr>
          <w:i/>
        </w:rPr>
        <w:t>value is a consequence or result of those reasons</w:t>
      </w:r>
      <w:r>
        <w:t xml:space="preserve"> (</w:t>
      </w:r>
      <w:proofErr w:type="spellStart"/>
      <w:r>
        <w:t>Dancy</w:t>
      </w:r>
      <w:proofErr w:type="spellEnd"/>
      <w:r>
        <w:t xml:space="preserve"> 2004, 170-175). </w:t>
      </w:r>
      <w:r w:rsidR="00365EB5">
        <w:t xml:space="preserve">To find that the value of </w:t>
      </w:r>
      <w:r w:rsidR="00346626">
        <w:t>a</w:t>
      </w:r>
      <w:r w:rsidR="00365EB5">
        <w:t xml:space="preserve"> </w:t>
      </w:r>
      <w:proofErr w:type="spellStart"/>
      <w:r w:rsidR="00365EB5">
        <w:t>TSO</w:t>
      </w:r>
      <w:proofErr w:type="spellEnd"/>
      <w:r w:rsidR="00365EB5">
        <w:t xml:space="preserve"> is </w:t>
      </w:r>
      <w:r w:rsidR="00365EB5" w:rsidRPr="00CB1476">
        <w:rPr>
          <w:i/>
        </w:rPr>
        <w:t>intrinsic</w:t>
      </w:r>
      <w:r>
        <w:t>,</w:t>
      </w:r>
      <w:r w:rsidR="00365EB5">
        <w:t xml:space="preserve"> we </w:t>
      </w:r>
      <w:r>
        <w:t>would have to find</w:t>
      </w:r>
      <w:r w:rsidR="00365EB5">
        <w:t xml:space="preserve"> </w:t>
      </w:r>
      <w:r w:rsidR="00365EB5" w:rsidRPr="00CB1476">
        <w:rPr>
          <w:i/>
        </w:rPr>
        <w:t>intrinsic properties</w:t>
      </w:r>
      <w:r w:rsidR="00365EB5">
        <w:t xml:space="preserve"> in</w:t>
      </w:r>
      <w:r w:rsidR="00DB76D6">
        <w:t xml:space="preserve"> th</w:t>
      </w:r>
      <w:r w:rsidR="00346626">
        <w:t>at</w:t>
      </w:r>
      <w:r w:rsidR="00365EB5">
        <w:t xml:space="preserve"> </w:t>
      </w:r>
      <w:proofErr w:type="spellStart"/>
      <w:r w:rsidR="00365EB5">
        <w:t>TSO</w:t>
      </w:r>
      <w:proofErr w:type="spellEnd"/>
      <w:r w:rsidR="00365EB5">
        <w:t xml:space="preserve"> that constitute </w:t>
      </w:r>
      <w:r w:rsidR="00365EB5" w:rsidRPr="00CB1476">
        <w:rPr>
          <w:i/>
        </w:rPr>
        <w:t xml:space="preserve">reasons </w:t>
      </w:r>
      <w:r w:rsidR="00365EB5">
        <w:t xml:space="preserve">that make it valuable. A </w:t>
      </w:r>
      <w:proofErr w:type="spellStart"/>
      <w:r w:rsidR="00365EB5">
        <w:t>TSO</w:t>
      </w:r>
      <w:proofErr w:type="spellEnd"/>
      <w:r w:rsidR="00365EB5">
        <w:t xml:space="preserve"> might argue that it is inherently associative and that association is a virtue. However, a gang of armed robbers or arsonists is </w:t>
      </w:r>
      <w:r w:rsidR="00DB76D6">
        <w:t xml:space="preserve">also </w:t>
      </w:r>
      <w:r w:rsidR="00365EB5">
        <w:t>associative. Do we ascribe to th</w:t>
      </w:r>
      <w:r w:rsidR="0072197D">
        <w:t>em</w:t>
      </w:r>
      <w:r w:rsidR="00365EB5">
        <w:t xml:space="preserve"> the same value that we ascribe to the </w:t>
      </w:r>
      <w:proofErr w:type="spellStart"/>
      <w:r w:rsidR="00365EB5">
        <w:t>TSO</w:t>
      </w:r>
      <w:proofErr w:type="spellEnd"/>
      <w:r w:rsidR="00365EB5">
        <w:t xml:space="preserve">? It seems wrong to focus on ‘association’ </w:t>
      </w:r>
      <w:r w:rsidR="00346626">
        <w:t>and to ignore</w:t>
      </w:r>
      <w:r w:rsidR="00365EB5">
        <w:t xml:space="preserve"> the overall context.</w:t>
      </w:r>
      <w:r w:rsidR="00BE772A">
        <w:t xml:space="preserve"> </w:t>
      </w:r>
    </w:p>
    <w:p w14:paraId="13050BB0" w14:textId="0588EAB9" w:rsidR="0011660F" w:rsidRDefault="00BE772A" w:rsidP="005F4967">
      <w:r>
        <w:t xml:space="preserve">The better strategy is to show that there are extrinsic reasons to value the very existence of the </w:t>
      </w:r>
      <w:proofErr w:type="spellStart"/>
      <w:r>
        <w:t>TSO</w:t>
      </w:r>
      <w:proofErr w:type="spellEnd"/>
      <w:r>
        <w:t xml:space="preserve">. The most promising will be demonstration that the </w:t>
      </w:r>
      <w:proofErr w:type="spellStart"/>
      <w:r>
        <w:t>TSO</w:t>
      </w:r>
      <w:proofErr w:type="spellEnd"/>
      <w:r>
        <w:t xml:space="preserve"> is a </w:t>
      </w:r>
      <w:r w:rsidRPr="00346626">
        <w:rPr>
          <w:i/>
        </w:rPr>
        <w:t>means</w:t>
      </w:r>
      <w:r>
        <w:t xml:space="preserve"> to an </w:t>
      </w:r>
      <w:r w:rsidRPr="00346626">
        <w:rPr>
          <w:i/>
        </w:rPr>
        <w:t>end</w:t>
      </w:r>
      <w:r>
        <w:t xml:space="preserve">, such as the relief of poverty in Downsville. </w:t>
      </w:r>
      <w:r w:rsidR="00DB76D6">
        <w:t xml:space="preserve">That will require some </w:t>
      </w:r>
      <w:r w:rsidR="00DB76D6" w:rsidRPr="00346626">
        <w:rPr>
          <w:i/>
        </w:rPr>
        <w:t>causal</w:t>
      </w:r>
      <w:r w:rsidR="00DB76D6">
        <w:t xml:space="preserve"> explanation (see Cartwright and </w:t>
      </w:r>
      <w:proofErr w:type="spellStart"/>
      <w:r w:rsidR="00DB76D6">
        <w:t>Hardie</w:t>
      </w:r>
      <w:proofErr w:type="spellEnd"/>
      <w:r w:rsidR="00DB76D6">
        <w:t>, 2012</w:t>
      </w:r>
      <w:r w:rsidR="00CB1476">
        <w:t>, generally</w:t>
      </w:r>
      <w:r w:rsidR="00DB76D6">
        <w:t>).</w:t>
      </w:r>
      <w:r w:rsidR="00024753">
        <w:t xml:space="preserve"> After all, the point of </w:t>
      </w:r>
      <w:proofErr w:type="spellStart"/>
      <w:r w:rsidR="00024753">
        <w:t>TSOs</w:t>
      </w:r>
      <w:proofErr w:type="spellEnd"/>
      <w:r w:rsidR="00024753">
        <w:t xml:space="preserve"> is to provide benefits for their beneficiaries. Their value lies in their </w:t>
      </w:r>
      <w:r w:rsidR="00024753" w:rsidRPr="00024753">
        <w:rPr>
          <w:i/>
        </w:rPr>
        <w:t>consequences</w:t>
      </w:r>
      <w:r w:rsidR="00024753">
        <w:t xml:space="preserve"> for others—in </w:t>
      </w:r>
      <w:r w:rsidR="00024753" w:rsidRPr="008C76DD">
        <w:rPr>
          <w:i/>
        </w:rPr>
        <w:t>extrinsic outcomes</w:t>
      </w:r>
      <w:r w:rsidR="00024753">
        <w:t xml:space="preserve">. Their problems are </w:t>
      </w:r>
      <w:r w:rsidR="00346626">
        <w:t xml:space="preserve">(a) </w:t>
      </w:r>
      <w:r w:rsidR="00024753">
        <w:t xml:space="preserve">to capture that value and </w:t>
      </w:r>
      <w:r w:rsidR="00346626">
        <w:t xml:space="preserve">(b) </w:t>
      </w:r>
      <w:r w:rsidR="00024753">
        <w:t xml:space="preserve">to demonstrate their causal connection to it. </w:t>
      </w:r>
      <w:proofErr w:type="spellStart"/>
      <w:r w:rsidR="00346626">
        <w:t>Khaneman’s</w:t>
      </w:r>
      <w:proofErr w:type="spellEnd"/>
      <w:r w:rsidR="00346626">
        <w:t xml:space="preserve"> </w:t>
      </w:r>
      <w:r w:rsidR="00024753">
        <w:t>laz</w:t>
      </w:r>
      <w:r w:rsidR="00346626">
        <w:t>y</w:t>
      </w:r>
      <w:r w:rsidR="00024753">
        <w:t xml:space="preserve"> of thinking about appropriate conceptions of value exacerbates the</w:t>
      </w:r>
      <w:r w:rsidR="00346626">
        <w:t>se</w:t>
      </w:r>
      <w:r w:rsidR="00024753">
        <w:t xml:space="preserve"> problem</w:t>
      </w:r>
      <w:r w:rsidR="00346626">
        <w:t>s</w:t>
      </w:r>
      <w:r w:rsidR="00024753">
        <w:t xml:space="preserve">. So too do the seemingly pervasive tendencies to </w:t>
      </w:r>
      <w:r w:rsidR="00024753" w:rsidRPr="008C76DD">
        <w:rPr>
          <w:i/>
        </w:rPr>
        <w:t>outcome bias</w:t>
      </w:r>
      <w:r w:rsidR="00024753">
        <w:t xml:space="preserve"> </w:t>
      </w:r>
      <w:r w:rsidR="00A56CE9">
        <w:t xml:space="preserve">(Baron and Hershey, 1988) </w:t>
      </w:r>
      <w:r w:rsidR="00024753">
        <w:t xml:space="preserve">and </w:t>
      </w:r>
      <w:r w:rsidR="00024753" w:rsidRPr="008C76DD">
        <w:rPr>
          <w:i/>
        </w:rPr>
        <w:t>hindsight bias</w:t>
      </w:r>
      <w:r w:rsidR="00024753">
        <w:t xml:space="preserve">—to value a process more highly simply because it had a good outcome without ensuring that the outcome was </w:t>
      </w:r>
      <w:r w:rsidR="00024753" w:rsidRPr="00346626">
        <w:rPr>
          <w:i/>
        </w:rPr>
        <w:t>causally connected</w:t>
      </w:r>
      <w:r w:rsidR="00024753">
        <w:t xml:space="preserve"> to the process. </w:t>
      </w:r>
      <w:r w:rsidR="00346626">
        <w:t>Bizarrely, t</w:t>
      </w:r>
      <w:r w:rsidR="00024753">
        <w:t xml:space="preserve">o take a 1 in 10 chance of success and to succeed </w:t>
      </w:r>
      <w:r w:rsidR="00346626">
        <w:t>can be</w:t>
      </w:r>
      <w:r w:rsidR="00024753">
        <w:t xml:space="preserve"> regarded as a </w:t>
      </w:r>
      <w:r w:rsidR="00024753" w:rsidRPr="00346626">
        <w:rPr>
          <w:i/>
        </w:rPr>
        <w:t>good</w:t>
      </w:r>
      <w:r w:rsidR="00024753">
        <w:t xml:space="preserve"> decision. </w:t>
      </w:r>
      <w:r w:rsidR="00346626">
        <w:t>Similarly, t</w:t>
      </w:r>
      <w:r w:rsidR="00024753">
        <w:t>o take 9 in 10 chance of success and to fail</w:t>
      </w:r>
      <w:r w:rsidR="00346626">
        <w:t xml:space="preserve"> can be</w:t>
      </w:r>
      <w:r w:rsidR="00024753">
        <w:t xml:space="preserve"> regarded as a bad decision. Both outcomes lie in Adam Smith’s ‘empire of Fortune’ (Smith, 82</w:t>
      </w:r>
      <w:r w:rsidR="00A56CE9">
        <w:t>)</w:t>
      </w:r>
      <w:r w:rsidR="00024753">
        <w:t xml:space="preserve">. The antidote to these biases is careful </w:t>
      </w:r>
      <w:r w:rsidR="00024753">
        <w:lastRenderedPageBreak/>
        <w:t>examination of causal mechanisms, asking not only ‘did it happen?’ but ‘how did it happen?’</w:t>
      </w:r>
      <w:r w:rsidR="00A56CE9">
        <w:t xml:space="preserve"> and to learn ‘to </w:t>
      </w:r>
      <w:r w:rsidR="00A56CE9" w:rsidRPr="00A56CE9">
        <w:t>discriminate between fortune and wisdom or between misfortune and guilt</w:t>
      </w:r>
      <w:r w:rsidR="00A56CE9">
        <w:t>’ (</w:t>
      </w:r>
      <w:proofErr w:type="spellStart"/>
      <w:r w:rsidR="00A56CE9">
        <w:t>Arnauld</w:t>
      </w:r>
      <w:proofErr w:type="spellEnd"/>
      <w:r w:rsidR="00A56CE9">
        <w:t>, 1662, 285, cited in Baron and Hershey, 1988).</w:t>
      </w:r>
    </w:p>
    <w:p w14:paraId="586EFE33" w14:textId="77777777" w:rsidR="00991193" w:rsidRDefault="00991193" w:rsidP="006265C3">
      <w:pPr>
        <w:pStyle w:val="Heading1"/>
      </w:pPr>
      <w:r>
        <w:t>Complexity</w:t>
      </w:r>
    </w:p>
    <w:p w14:paraId="6B4610EF" w14:textId="2BAF63B1" w:rsidR="006265C3" w:rsidRDefault="0081351D" w:rsidP="00E3303E">
      <w:proofErr w:type="spellStart"/>
      <w:r>
        <w:t>TSOs</w:t>
      </w:r>
      <w:proofErr w:type="spellEnd"/>
      <w:r>
        <w:t xml:space="preserve"> vary in their complexity but community anchors—multi-functional locally responsive organisation</w:t>
      </w:r>
      <w:r w:rsidR="00CB1476">
        <w:t>s</w:t>
      </w:r>
      <w:r>
        <w:t xml:space="preserve"> serving areas of deprivation—are </w:t>
      </w:r>
      <w:r w:rsidRPr="008C76DD">
        <w:rPr>
          <w:i/>
        </w:rPr>
        <w:t>complex</w:t>
      </w:r>
      <w:r>
        <w:t xml:space="preserve"> for the simple reason that the needs to which they have to respond are complex</w:t>
      </w:r>
      <w:r w:rsidR="000B07D3">
        <w:t xml:space="preserve">. If the task is drilling teeth, a dental drill is the best tool. But if the task could </w:t>
      </w:r>
      <w:r w:rsidR="00346626">
        <w:t xml:space="preserve">turn out to </w:t>
      </w:r>
      <w:r w:rsidR="000B07D3">
        <w:t xml:space="preserve">be anything and you can </w:t>
      </w:r>
      <w:r w:rsidR="008C76DD">
        <w:t xml:space="preserve">take </w:t>
      </w:r>
      <w:r w:rsidR="000B07D3">
        <w:t xml:space="preserve">only one tool, you might prefer the </w:t>
      </w:r>
      <w:r>
        <w:t>Swiss Army Knife</w:t>
      </w:r>
      <w:r w:rsidR="000B07D3">
        <w:t xml:space="preserve">, </w:t>
      </w:r>
      <w:r w:rsidR="00CB1476">
        <w:t xml:space="preserve">the standard model </w:t>
      </w:r>
      <w:r w:rsidR="000B07D3">
        <w:t xml:space="preserve">of which </w:t>
      </w:r>
      <w:r w:rsidRPr="0081351D">
        <w:t>feature</w:t>
      </w:r>
      <w:r w:rsidR="000B07D3">
        <w:t>s:</w:t>
      </w:r>
      <w:r w:rsidRPr="0081351D">
        <w:t xml:space="preserve"> </w:t>
      </w:r>
      <w:r w:rsidR="000B07D3">
        <w:t>the main blade; a smaller second blade; tweezers;</w:t>
      </w:r>
      <w:r w:rsidRPr="0081351D">
        <w:t xml:space="preserve"> toothpick</w:t>
      </w:r>
      <w:r w:rsidR="000B07D3">
        <w:t>;</w:t>
      </w:r>
      <w:r w:rsidRPr="0081351D">
        <w:t xml:space="preserve"> corkscrew</w:t>
      </w:r>
      <w:r w:rsidR="000B07D3">
        <w:t>; can opener;</w:t>
      </w:r>
      <w:r w:rsidRPr="0081351D">
        <w:t xml:space="preserve"> bottle opener</w:t>
      </w:r>
      <w:r w:rsidR="000B07D3">
        <w:t>;</w:t>
      </w:r>
      <w:r w:rsidRPr="0081351D">
        <w:t xml:space="preserve"> </w:t>
      </w:r>
      <w:r w:rsidR="000B07D3">
        <w:t>flat</w:t>
      </w:r>
      <w:r w:rsidRPr="0081351D">
        <w:t xml:space="preserve"> screwdriver</w:t>
      </w:r>
      <w:r w:rsidR="000B07D3">
        <w:t>;</w:t>
      </w:r>
      <w:r w:rsidRPr="0081351D">
        <w:t xml:space="preserve"> </w:t>
      </w:r>
      <w:r w:rsidR="000B07D3">
        <w:t>cross-head screwdriver;</w:t>
      </w:r>
      <w:r w:rsidRPr="0081351D">
        <w:t xml:space="preserve"> nail file</w:t>
      </w:r>
      <w:r w:rsidR="000B07D3">
        <w:t>;</w:t>
      </w:r>
      <w:r w:rsidRPr="0081351D">
        <w:t xml:space="preserve"> scissors</w:t>
      </w:r>
      <w:r w:rsidR="000B07D3">
        <w:t>;</w:t>
      </w:r>
      <w:r w:rsidRPr="0081351D">
        <w:t xml:space="preserve"> saw</w:t>
      </w:r>
      <w:r w:rsidR="000B07D3">
        <w:t>;</w:t>
      </w:r>
      <w:r w:rsidRPr="0081351D">
        <w:t xml:space="preserve"> fil</w:t>
      </w:r>
      <w:r w:rsidR="000B07D3">
        <w:t>e;</w:t>
      </w:r>
      <w:r w:rsidRPr="0081351D">
        <w:t xml:space="preserve"> hook</w:t>
      </w:r>
      <w:r w:rsidR="000B07D3">
        <w:t>;</w:t>
      </w:r>
      <w:r w:rsidRPr="0081351D">
        <w:t xml:space="preserve"> magnifying glass</w:t>
      </w:r>
      <w:r w:rsidR="000B07D3">
        <w:t>;</w:t>
      </w:r>
      <w:r w:rsidRPr="0081351D">
        <w:t xml:space="preserve"> ballpoint pen</w:t>
      </w:r>
      <w:r w:rsidR="000B07D3">
        <w:t>;</w:t>
      </w:r>
      <w:r w:rsidRPr="0081351D">
        <w:t xml:space="preserve"> fish scaler</w:t>
      </w:r>
      <w:r w:rsidR="000B07D3">
        <w:t>;</w:t>
      </w:r>
      <w:r w:rsidRPr="0081351D">
        <w:t xml:space="preserve"> hex</w:t>
      </w:r>
      <w:r w:rsidR="000B07D3">
        <w:t>agonal spanner;</w:t>
      </w:r>
      <w:r w:rsidRPr="0081351D">
        <w:t xml:space="preserve"> </w:t>
      </w:r>
      <w:r w:rsidR="000B07D3">
        <w:t>pliers;</w:t>
      </w:r>
      <w:r w:rsidRPr="0081351D">
        <w:t xml:space="preserve"> and key</w:t>
      </w:r>
      <w:r w:rsidR="000B07D3">
        <w:t xml:space="preserve"> </w:t>
      </w:r>
      <w:r w:rsidRPr="0081351D">
        <w:t>ring.</w:t>
      </w:r>
      <w:r w:rsidR="006265C3">
        <w:t xml:space="preserve"> The Swiss Army Knife is not better than a good screw driver for turning screws, but it is much better than a screw driver for scaling fish, reading small print and cutting paper. </w:t>
      </w:r>
      <w:r w:rsidR="009565A1">
        <w:t>We might adapt H L Mencken’s aphorism</w:t>
      </w:r>
      <w:r w:rsidR="00346626">
        <w:t xml:space="preserve"> that ‘for every complex problem there is an answer that is clear, simple, and wrong’ (cited in Cartwright and </w:t>
      </w:r>
      <w:proofErr w:type="spellStart"/>
      <w:r w:rsidR="00346626">
        <w:t>Hardie</w:t>
      </w:r>
      <w:proofErr w:type="spellEnd"/>
      <w:r w:rsidR="00346626">
        <w:t>, 2012, 146)</w:t>
      </w:r>
      <w:r w:rsidR="009565A1">
        <w:t xml:space="preserve"> </w:t>
      </w:r>
      <w:r w:rsidR="00346626">
        <w:t>to read</w:t>
      </w:r>
      <w:r w:rsidR="009565A1">
        <w:t xml:space="preserve">: simple statements about complex </w:t>
      </w:r>
      <w:proofErr w:type="spellStart"/>
      <w:r w:rsidR="009565A1">
        <w:t>TSOs</w:t>
      </w:r>
      <w:proofErr w:type="spellEnd"/>
      <w:r w:rsidR="009565A1">
        <w:t xml:space="preserve"> might </w:t>
      </w:r>
      <w:r w:rsidR="00346626">
        <w:t xml:space="preserve">very well </w:t>
      </w:r>
      <w:r w:rsidR="009565A1">
        <w:t>be clear but are mostly either wrong or too abstract to be useful.</w:t>
      </w:r>
    </w:p>
    <w:p w14:paraId="586EFE37" w14:textId="2A0DF105" w:rsidR="00991193" w:rsidRPr="00991193" w:rsidRDefault="006265C3" w:rsidP="00991193">
      <w:r>
        <w:t>The problem, of course, is that funders specialise</w:t>
      </w:r>
      <w:r w:rsidR="00A56CE9">
        <w:t xml:space="preserve"> and create silos</w:t>
      </w:r>
      <w:r>
        <w:t xml:space="preserve">. They want to fund only the best fish scaler because removing fish scales is their chosen priority. A </w:t>
      </w:r>
      <w:proofErr w:type="spellStart"/>
      <w:r>
        <w:t>TSO</w:t>
      </w:r>
      <w:proofErr w:type="spellEnd"/>
      <w:r>
        <w:t xml:space="preserve"> might have a single purpose—</w:t>
      </w:r>
      <w:r w:rsidR="00991193">
        <w:t>the r</w:t>
      </w:r>
      <w:r>
        <w:t xml:space="preserve">elief of poverty in Downsville—but the achievement of such a purpose is a </w:t>
      </w:r>
      <w:r w:rsidR="00346626">
        <w:t xml:space="preserve">multi-faceted </w:t>
      </w:r>
      <w:r>
        <w:t xml:space="preserve">long haul and Downsville Council is also working on it. </w:t>
      </w:r>
      <w:r w:rsidR="00A56CE9">
        <w:t>Hence, o</w:t>
      </w:r>
      <w:r>
        <w:t xml:space="preserve">utcomes that will convince </w:t>
      </w:r>
      <w:r w:rsidR="00A56CE9">
        <w:t>silo-</w:t>
      </w:r>
      <w:r w:rsidR="00346626">
        <w:t xml:space="preserve">funders are scarce. </w:t>
      </w:r>
      <w:r w:rsidR="00A56CE9">
        <w:t>N</w:t>
      </w:r>
      <w:r w:rsidR="009565A1">
        <w:t xml:space="preserve">evertheless, </w:t>
      </w:r>
      <w:r w:rsidR="00A56CE9">
        <w:t xml:space="preserve">the </w:t>
      </w:r>
      <w:proofErr w:type="spellStart"/>
      <w:r w:rsidR="00A56CE9">
        <w:t>TSO</w:t>
      </w:r>
      <w:proofErr w:type="spellEnd"/>
      <w:r w:rsidR="00A56CE9">
        <w:t xml:space="preserve"> has a case worth supporting </w:t>
      </w:r>
      <w:r>
        <w:t xml:space="preserve">if </w:t>
      </w:r>
      <w:r w:rsidR="00A56CE9">
        <w:t xml:space="preserve">it is </w:t>
      </w:r>
      <w:r w:rsidR="008C76DD">
        <w:t xml:space="preserve">a </w:t>
      </w:r>
      <w:r w:rsidR="00A56CE9">
        <w:t>demonstrably</w:t>
      </w:r>
      <w:r>
        <w:t xml:space="preserve"> stable </w:t>
      </w:r>
      <w:r w:rsidR="009565A1">
        <w:t xml:space="preserve">and responsive local </w:t>
      </w:r>
      <w:r>
        <w:t xml:space="preserve">presence, </w:t>
      </w:r>
      <w:r w:rsidR="00A56CE9">
        <w:t xml:space="preserve">able to </w:t>
      </w:r>
      <w:r>
        <w:t>provide</w:t>
      </w:r>
      <w:r w:rsidR="00365EB5">
        <w:t xml:space="preserve"> services that will further that purpose—</w:t>
      </w:r>
      <w:r w:rsidR="00991193">
        <w:t>legal advice, debt advice, lunch clubs, child care, pre-employment training, housing for the aged.</w:t>
      </w:r>
      <w:r w:rsidR="00365EB5">
        <w:t xml:space="preserve"> In the short run, specialist legal advice providers might perform better on the indicators that legal advice funders utilise. </w:t>
      </w:r>
      <w:r w:rsidR="00CB1476">
        <w:t>Nevertheless, f</w:t>
      </w:r>
      <w:r w:rsidR="00365EB5">
        <w:t>or the long term relief of poverty</w:t>
      </w:r>
      <w:r w:rsidR="009565A1">
        <w:t>,</w:t>
      </w:r>
      <w:r w:rsidR="00365EB5">
        <w:t xml:space="preserve"> </w:t>
      </w:r>
      <w:r w:rsidR="00CB1476">
        <w:t>might</w:t>
      </w:r>
      <w:r w:rsidR="00365EB5">
        <w:t xml:space="preserve"> not the Swiss Army Knife </w:t>
      </w:r>
      <w:r w:rsidR="00CB1476">
        <w:t xml:space="preserve">be </w:t>
      </w:r>
      <w:r w:rsidR="00365EB5">
        <w:t>the better bet?</w:t>
      </w:r>
      <w:r w:rsidR="00A56CE9">
        <w:t xml:space="preserve"> Think of the Swiss Army Knife as the organisation that facilitates the adequate performance of a wide range of functions when required. Then add the virtue that the live organisation can add and subtract functions in response to local need without having to go back to the factory for modification.</w:t>
      </w:r>
    </w:p>
    <w:p w14:paraId="586EFE39" w14:textId="0FCA4EB2" w:rsidR="00991193" w:rsidRDefault="008C76DD" w:rsidP="000B07D3">
      <w:pPr>
        <w:pStyle w:val="Heading1"/>
      </w:pPr>
      <w:r>
        <w:t xml:space="preserve">Factual </w:t>
      </w:r>
      <w:r w:rsidR="009565A1">
        <w:t>explanation and</w:t>
      </w:r>
      <w:r w:rsidR="00991193">
        <w:t xml:space="preserve"> </w:t>
      </w:r>
      <w:r>
        <w:t xml:space="preserve">Normative </w:t>
      </w:r>
      <w:r w:rsidR="00991193">
        <w:t xml:space="preserve">attribution </w:t>
      </w:r>
    </w:p>
    <w:p w14:paraId="67B14432" w14:textId="2A427F94" w:rsidR="008C76DD" w:rsidRDefault="00CB1476" w:rsidP="00991193">
      <w:r>
        <w:t xml:space="preserve">We do not ascribe credit or blame to an agent who has done nothing (or omitted to do </w:t>
      </w:r>
      <w:r w:rsidR="008C76DD">
        <w:t>some</w:t>
      </w:r>
      <w:r>
        <w:t xml:space="preserve">thing) that </w:t>
      </w:r>
      <w:r w:rsidRPr="00CB1476">
        <w:rPr>
          <w:i/>
        </w:rPr>
        <w:t>causes</w:t>
      </w:r>
      <w:r>
        <w:t xml:space="preserve"> a result. </w:t>
      </w:r>
      <w:r w:rsidR="009565A1">
        <w:t xml:space="preserve">Even to </w:t>
      </w:r>
      <w:r w:rsidR="009565A1" w:rsidRPr="009565A1">
        <w:rPr>
          <w:i/>
        </w:rPr>
        <w:t>explain</w:t>
      </w:r>
      <w:r w:rsidR="009565A1">
        <w:t xml:space="preserve"> an occurrence, rather than to </w:t>
      </w:r>
      <w:r w:rsidR="009565A1" w:rsidRPr="009565A1">
        <w:rPr>
          <w:i/>
        </w:rPr>
        <w:t xml:space="preserve">attribute </w:t>
      </w:r>
      <w:r w:rsidR="009565A1">
        <w:t xml:space="preserve">moral or legal </w:t>
      </w:r>
      <w:r w:rsidR="008C76DD">
        <w:t xml:space="preserve">(normative) </w:t>
      </w:r>
      <w:r w:rsidR="009565A1">
        <w:t xml:space="preserve">responsibility for it, we must find its cause or causes. </w:t>
      </w:r>
    </w:p>
    <w:p w14:paraId="517E18DB" w14:textId="5610C2CA" w:rsidR="008C76DD" w:rsidRDefault="009565A1" w:rsidP="00991193">
      <w:r>
        <w:t>I</w:t>
      </w:r>
      <w:r w:rsidR="00CB1476">
        <w:t xml:space="preserve">t is </w:t>
      </w:r>
      <w:r>
        <w:t xml:space="preserve">often </w:t>
      </w:r>
      <w:r w:rsidR="00CB1476">
        <w:t xml:space="preserve">fairly easy to identify </w:t>
      </w:r>
      <w:r w:rsidR="00CB1476" w:rsidRPr="00CB1476">
        <w:rPr>
          <w:i/>
        </w:rPr>
        <w:t>necessary</w:t>
      </w:r>
      <w:r w:rsidR="00CB1476">
        <w:t xml:space="preserve"> conditions—factors without which the result would not have occurred—but the resulting causal </w:t>
      </w:r>
      <w:r w:rsidR="00CB1476" w:rsidRPr="008C76DD">
        <w:rPr>
          <w:i/>
        </w:rPr>
        <w:t xml:space="preserve">nexus </w:t>
      </w:r>
      <w:r w:rsidR="00CB1476">
        <w:t xml:space="preserve">is vast. </w:t>
      </w:r>
      <w:r>
        <w:t xml:space="preserve">S steals my car. We say that he </w:t>
      </w:r>
      <w:r w:rsidRPr="009565A1">
        <w:rPr>
          <w:i/>
        </w:rPr>
        <w:t>caused</w:t>
      </w:r>
      <w:r>
        <w:t xml:space="preserve"> the loss of my car, but he could not have stolen it from me had I not bought it and had the manufacturer not made it, or the internal combustion engine not been invented…..and so on. There is no scientific test by which we can determine that S’s conduct is the main or—in lawyers’ terms—</w:t>
      </w:r>
      <w:r w:rsidRPr="00346626">
        <w:rPr>
          <w:i/>
        </w:rPr>
        <w:t>proximate</w:t>
      </w:r>
      <w:r>
        <w:t xml:space="preserve"> cause. Nevertheless </w:t>
      </w:r>
      <w:r w:rsidR="00A56CE9">
        <w:t>we</w:t>
      </w:r>
      <w:r>
        <w:t xml:space="preserve"> find good reasons for choosing S. We might say that S had choices about </w:t>
      </w:r>
      <w:r w:rsidR="008C76DD">
        <w:t>how to act</w:t>
      </w:r>
      <w:r w:rsidR="00346626">
        <w:t xml:space="preserve"> and that</w:t>
      </w:r>
      <w:r>
        <w:t xml:space="preserve"> singles </w:t>
      </w:r>
      <w:r w:rsidR="00A56CE9">
        <w:t>S’s action</w:t>
      </w:r>
      <w:r>
        <w:t xml:space="preserve"> out as the cause. But that </w:t>
      </w:r>
      <w:r w:rsidRPr="009565A1">
        <w:rPr>
          <w:i/>
        </w:rPr>
        <w:t>seemingly explanatory</w:t>
      </w:r>
      <w:r>
        <w:t xml:space="preserve"> </w:t>
      </w:r>
      <w:r w:rsidR="00A56CE9">
        <w:t xml:space="preserve">(and thus seemingly morally-neutral) </w:t>
      </w:r>
      <w:r>
        <w:t>judgement is</w:t>
      </w:r>
      <w:r w:rsidR="00A56CE9">
        <w:t>,</w:t>
      </w:r>
      <w:r>
        <w:t xml:space="preserve"> in essence</w:t>
      </w:r>
      <w:r w:rsidR="00A56CE9">
        <w:t>,</w:t>
      </w:r>
      <w:r>
        <w:t xml:space="preserve"> a </w:t>
      </w:r>
      <w:r w:rsidRPr="009565A1">
        <w:rPr>
          <w:i/>
        </w:rPr>
        <w:t xml:space="preserve">moral </w:t>
      </w:r>
      <w:r>
        <w:t xml:space="preserve">(and </w:t>
      </w:r>
      <w:r w:rsidRPr="009565A1">
        <w:rPr>
          <w:i/>
        </w:rPr>
        <w:t>attributive</w:t>
      </w:r>
      <w:r>
        <w:t xml:space="preserve">) one, based on </w:t>
      </w:r>
      <w:r w:rsidR="00A56CE9">
        <w:t>our notion</w:t>
      </w:r>
      <w:r>
        <w:t xml:space="preserve"> of individual responsibility. </w:t>
      </w:r>
    </w:p>
    <w:p w14:paraId="586EFE3A" w14:textId="15BFF426" w:rsidR="00991193" w:rsidRDefault="009565A1" w:rsidP="00991193">
      <w:r>
        <w:t>More obviously</w:t>
      </w:r>
      <w:r w:rsidR="008C76DD">
        <w:t xml:space="preserve">, as a matter of </w:t>
      </w:r>
      <w:r w:rsidR="008C76DD" w:rsidRPr="008C76DD">
        <w:rPr>
          <w:i/>
        </w:rPr>
        <w:t>normative</w:t>
      </w:r>
      <w:r w:rsidRPr="008C76DD">
        <w:rPr>
          <w:i/>
        </w:rPr>
        <w:t xml:space="preserve"> </w:t>
      </w:r>
      <w:r w:rsidR="008C76DD">
        <w:rPr>
          <w:i/>
        </w:rPr>
        <w:t>attribution</w:t>
      </w:r>
      <w:r>
        <w:t>, we might say: S showed disrespect for property rights; such conduct should be deterred; if it is ignored people will take the law into their own hands; there will be vigilantes and a threat to social order; the sum total of human happiness has been reduced; theft is a moral wrong…..and so on.</w:t>
      </w:r>
      <w:r w:rsidR="00A56CE9">
        <w:t xml:space="preserve"> S caused the harm</w:t>
      </w:r>
      <w:r w:rsidR="008C76DD">
        <w:t xml:space="preserve"> as a matter of fact</w:t>
      </w:r>
      <w:r w:rsidR="00A56CE9">
        <w:t xml:space="preserve"> and there are good reasons that </w:t>
      </w:r>
      <w:r w:rsidR="008C76DD">
        <w:t xml:space="preserve">S </w:t>
      </w:r>
      <w:r w:rsidR="008C76DD" w:rsidRPr="008C76DD">
        <w:rPr>
          <w:i/>
        </w:rPr>
        <w:t>ought</w:t>
      </w:r>
      <w:r w:rsidR="008C76DD">
        <w:t xml:space="preserve"> to</w:t>
      </w:r>
      <w:r w:rsidR="00A56CE9">
        <w:t xml:space="preserve"> be punished and/or pay compensation for so doing.</w:t>
      </w:r>
    </w:p>
    <w:p w14:paraId="7A104157" w14:textId="714F740A" w:rsidR="009565A1" w:rsidRDefault="009565A1" w:rsidP="00991193">
      <w:r>
        <w:lastRenderedPageBreak/>
        <w:t xml:space="preserve">If a </w:t>
      </w:r>
      <w:proofErr w:type="spellStart"/>
      <w:r>
        <w:t>TSO</w:t>
      </w:r>
      <w:proofErr w:type="spellEnd"/>
      <w:r>
        <w:t xml:space="preserve"> is to claim the credit for the </w:t>
      </w:r>
      <w:r w:rsidRPr="008C76DD">
        <w:rPr>
          <w:i/>
        </w:rPr>
        <w:t>value</w:t>
      </w:r>
      <w:r w:rsidR="000D2E99">
        <w:t xml:space="preserve"> (however conceived)</w:t>
      </w:r>
      <w:r>
        <w:t xml:space="preserve"> that it believes it can add or has added, it must show that it </w:t>
      </w:r>
      <w:r w:rsidRPr="008C76DD">
        <w:rPr>
          <w:i/>
        </w:rPr>
        <w:t>caused</w:t>
      </w:r>
      <w:r>
        <w:t xml:space="preserve"> </w:t>
      </w:r>
      <w:r w:rsidR="000D2E99">
        <w:t xml:space="preserve">the improvement. </w:t>
      </w:r>
      <w:r w:rsidR="00346626">
        <w:t xml:space="preserve">The further away from the readily </w:t>
      </w:r>
      <w:proofErr w:type="spellStart"/>
      <w:r w:rsidR="00346626">
        <w:t>monetisable</w:t>
      </w:r>
      <w:proofErr w:type="spellEnd"/>
      <w:r w:rsidR="00346626">
        <w:t xml:space="preserve">—and hence the more unusual </w:t>
      </w:r>
      <w:r w:rsidR="008C76DD">
        <w:t>to funders</w:t>
      </w:r>
      <w:r w:rsidR="00346626">
        <w:t>—</w:t>
      </w:r>
      <w:r w:rsidR="008C76DD">
        <w:t xml:space="preserve">the </w:t>
      </w:r>
      <w:r w:rsidR="008C76DD" w:rsidRPr="008C76DD">
        <w:rPr>
          <w:i/>
        </w:rPr>
        <w:t>kind of value</w:t>
      </w:r>
      <w:r w:rsidR="008C76DD">
        <w:t xml:space="preserve"> that the </w:t>
      </w:r>
      <w:proofErr w:type="spellStart"/>
      <w:r w:rsidR="008C76DD">
        <w:t>TSO</w:t>
      </w:r>
      <w:proofErr w:type="spellEnd"/>
      <w:r w:rsidR="008C76DD">
        <w:t xml:space="preserve"> claims to add</w:t>
      </w:r>
      <w:r w:rsidR="00346626">
        <w:t>,</w:t>
      </w:r>
      <w:r w:rsidR="00A56CE9">
        <w:t xml:space="preserve"> the greater </w:t>
      </w:r>
      <w:r w:rsidR="008C76DD">
        <w:t xml:space="preserve">will be </w:t>
      </w:r>
      <w:r w:rsidR="00A56CE9">
        <w:t xml:space="preserve">the premium on showing the </w:t>
      </w:r>
      <w:r w:rsidR="00A56CE9" w:rsidRPr="008C76DD">
        <w:rPr>
          <w:i/>
        </w:rPr>
        <w:t>causal mechanism</w:t>
      </w:r>
      <w:r w:rsidR="00A56CE9">
        <w:t xml:space="preserve"> by which it is added. Indeed, it </w:t>
      </w:r>
      <w:r w:rsidR="008C76DD">
        <w:t xml:space="preserve">may be </w:t>
      </w:r>
      <w:r w:rsidR="00A56CE9">
        <w:t xml:space="preserve">only by </w:t>
      </w:r>
      <w:r w:rsidR="00993A5E">
        <w:t xml:space="preserve">uncovering the relevant </w:t>
      </w:r>
      <w:r w:rsidR="00A56CE9">
        <w:t>causal mechanism</w:t>
      </w:r>
      <w:r w:rsidR="00993A5E">
        <w:t>s</w:t>
      </w:r>
      <w:r w:rsidR="00A56CE9">
        <w:t xml:space="preserve"> that </w:t>
      </w:r>
      <w:r w:rsidR="00993A5E">
        <w:t xml:space="preserve">the </w:t>
      </w:r>
      <w:r w:rsidR="008C76DD">
        <w:t>funder or policy-maker</w:t>
      </w:r>
      <w:r w:rsidR="00A56CE9">
        <w:t xml:space="preserve"> can be </w:t>
      </w:r>
      <w:r w:rsidR="00993A5E">
        <w:t xml:space="preserve">persuaded to recognise the </w:t>
      </w:r>
      <w:r w:rsidR="008C76DD">
        <w:t xml:space="preserve">claimed </w:t>
      </w:r>
      <w:r w:rsidR="00993A5E">
        <w:t>value at all</w:t>
      </w:r>
      <w:r w:rsidR="00A56CE9">
        <w:t xml:space="preserve">. </w:t>
      </w:r>
    </w:p>
    <w:p w14:paraId="26CF775C" w14:textId="1023AA6F" w:rsidR="00993A5E" w:rsidRDefault="00993A5E" w:rsidP="00991193">
      <w:proofErr w:type="spellStart"/>
      <w:r>
        <w:t>SROI</w:t>
      </w:r>
      <w:proofErr w:type="spellEnd"/>
      <w:r>
        <w:t xml:space="preserve"> is not always adequate to this task. It can be useful when the </w:t>
      </w:r>
      <w:r w:rsidRPr="008C76DD">
        <w:rPr>
          <w:i/>
        </w:rPr>
        <w:t>causal nexus</w:t>
      </w:r>
      <w:r>
        <w:t xml:space="preserve"> is well defined and controlled for displacement (in our example above, the offenders simply move to another area or another form of crime) and for other causal variables (such as changes in policing policy, economic changes affecting employment levels, the introduction of new home security devices in newly built homes in the area, etc.). But many interventions cannot be controlled in these respects and this is especiall</w:t>
      </w:r>
      <w:r w:rsidR="008C76DD">
        <w:t>y true of the multi-functional—</w:t>
      </w:r>
      <w:r>
        <w:t>there</w:t>
      </w:r>
      <w:r w:rsidR="008C76DD">
        <w:t>-</w:t>
      </w:r>
      <w:r>
        <w:t>for</w:t>
      </w:r>
      <w:r w:rsidR="008C76DD">
        <w:t>-</w:t>
      </w:r>
      <w:r>
        <w:t>the</w:t>
      </w:r>
      <w:r w:rsidR="008C76DD">
        <w:t>-</w:t>
      </w:r>
      <w:r>
        <w:t>long</w:t>
      </w:r>
      <w:r w:rsidR="008C76DD">
        <w:t>-haul—</w:t>
      </w:r>
      <w:r>
        <w:t xml:space="preserve">community anchor when we consider that </w:t>
      </w:r>
      <w:r w:rsidRPr="008C76DD">
        <w:rPr>
          <w:i/>
        </w:rPr>
        <w:t>organisation itself</w:t>
      </w:r>
      <w:r>
        <w:t xml:space="preserve"> as the intervention to be supported.</w:t>
      </w:r>
    </w:p>
    <w:p w14:paraId="255CAE37" w14:textId="722238A4" w:rsidR="00993A5E" w:rsidRDefault="00993A5E" w:rsidP="00991193">
      <w:r>
        <w:t xml:space="preserve">A multi-functional organisation can gather support by demonstrating that its particular projects add value. But it will often be in competition with more specialised providers of that particular service and may not be the silo-funder’s choice. Furthermore, </w:t>
      </w:r>
      <w:r w:rsidR="00346626">
        <w:t>each</w:t>
      </w:r>
      <w:r>
        <w:t xml:space="preserve"> silo-funder funds </w:t>
      </w:r>
      <w:r w:rsidR="00346626">
        <w:t xml:space="preserve">specific </w:t>
      </w:r>
      <w:r>
        <w:t xml:space="preserve">services rather than organisations </w:t>
      </w:r>
      <w:r w:rsidRPr="00993A5E">
        <w:rPr>
          <w:i/>
        </w:rPr>
        <w:t>qua</w:t>
      </w:r>
      <w:r>
        <w:t xml:space="preserve"> organisations and so is </w:t>
      </w:r>
      <w:r w:rsidR="00346626">
        <w:t xml:space="preserve">not </w:t>
      </w:r>
      <w:r>
        <w:t xml:space="preserve">interested in the multi-functional organisation’s </w:t>
      </w:r>
      <w:r w:rsidRPr="00346626">
        <w:rPr>
          <w:i/>
        </w:rPr>
        <w:t>valuabl</w:t>
      </w:r>
      <w:r w:rsidR="008C76DD" w:rsidRPr="00346626">
        <w:rPr>
          <w:i/>
        </w:rPr>
        <w:t xml:space="preserve">e </w:t>
      </w:r>
      <w:r w:rsidR="008C76DD">
        <w:t>ability to perform adequately—</w:t>
      </w:r>
      <w:r>
        <w:t>but not outstandingly</w:t>
      </w:r>
      <w:r w:rsidR="008C76DD">
        <w:t>—</w:t>
      </w:r>
      <w:r>
        <w:t>in several silos at once</w:t>
      </w:r>
      <w:r w:rsidR="00460A15">
        <w:t xml:space="preserve"> (Weaver, 2009)</w:t>
      </w:r>
      <w:r>
        <w:t>.</w:t>
      </w:r>
    </w:p>
    <w:p w14:paraId="350CCD61" w14:textId="5C0BA919" w:rsidR="008033CC" w:rsidRDefault="00993A5E" w:rsidP="00991193">
      <w:r>
        <w:t>Similarly, funders are often most impressed by randomized controlled trials</w:t>
      </w:r>
      <w:r w:rsidR="008033CC">
        <w:t xml:space="preserve"> (</w:t>
      </w:r>
      <w:proofErr w:type="spellStart"/>
      <w:r w:rsidR="008033CC">
        <w:t>RCT</w:t>
      </w:r>
      <w:proofErr w:type="spellEnd"/>
      <w:r w:rsidR="008033CC">
        <w:t>)</w:t>
      </w:r>
      <w:r>
        <w:t xml:space="preserve">. As Cartwright and </w:t>
      </w:r>
      <w:proofErr w:type="spellStart"/>
      <w:r>
        <w:t>Hardie</w:t>
      </w:r>
      <w:proofErr w:type="spellEnd"/>
      <w:r>
        <w:t xml:space="preserve"> </w:t>
      </w:r>
      <w:r w:rsidR="008033CC">
        <w:t xml:space="preserve">(Cartwright and </w:t>
      </w:r>
      <w:proofErr w:type="spellStart"/>
      <w:r w:rsidR="008033CC">
        <w:t>Hardie</w:t>
      </w:r>
      <w:proofErr w:type="spellEnd"/>
      <w:r w:rsidR="008033CC">
        <w:t>, 2012) argue, when the controls are rigorous, such trials are a reliable method of demonstrating that a particular intervention in a particular place is causally connected to a particular outcome. The findings are strengthened by replication in precisely similar circumstances. However, this tells us little about the transferability of the intervention to different circumstances. Effectiveness in</w:t>
      </w:r>
      <w:r w:rsidR="008033CC" w:rsidRPr="008033CC">
        <w:t xml:space="preserve"> </w:t>
      </w:r>
      <w:r w:rsidR="008033CC">
        <w:t xml:space="preserve">circumstances </w:t>
      </w:r>
      <w:proofErr w:type="spellStart"/>
      <w:r w:rsidR="008033CC">
        <w:t>C</w:t>
      </w:r>
      <w:r w:rsidR="008033CC">
        <w:rPr>
          <w:vertAlign w:val="subscript"/>
        </w:rPr>
        <w:t>1</w:t>
      </w:r>
      <w:proofErr w:type="spellEnd"/>
      <w:r w:rsidR="008033CC">
        <w:rPr>
          <w:vertAlign w:val="subscript"/>
        </w:rPr>
        <w:t>-4</w:t>
      </w:r>
      <w:r w:rsidR="008033CC">
        <w:t xml:space="preserve"> is no guarantee of effectiveness in </w:t>
      </w:r>
      <w:proofErr w:type="spellStart"/>
      <w:r w:rsidR="008033CC">
        <w:t>C</w:t>
      </w:r>
      <w:r w:rsidR="008033CC">
        <w:rPr>
          <w:vertAlign w:val="subscript"/>
        </w:rPr>
        <w:t>5</w:t>
      </w:r>
      <w:proofErr w:type="spellEnd"/>
      <w:r w:rsidR="008033CC">
        <w:rPr>
          <w:vertAlign w:val="subscript"/>
        </w:rPr>
        <w:t>-8</w:t>
      </w:r>
      <w:r w:rsidR="008033CC">
        <w:t xml:space="preserve">, or even of effectiveness in </w:t>
      </w:r>
      <w:proofErr w:type="spellStart"/>
      <w:r w:rsidR="008033CC">
        <w:t>C</w:t>
      </w:r>
      <w:r w:rsidR="008033CC">
        <w:rPr>
          <w:vertAlign w:val="subscript"/>
        </w:rPr>
        <w:t>1</w:t>
      </w:r>
      <w:proofErr w:type="spellEnd"/>
      <w:r w:rsidR="008033CC">
        <w:rPr>
          <w:vertAlign w:val="subscript"/>
        </w:rPr>
        <w:t>, 2. 3, 5</w:t>
      </w:r>
      <w:r w:rsidR="008033CC">
        <w:t>. The possible solutions are: (</w:t>
      </w:r>
      <w:proofErr w:type="spellStart"/>
      <w:r w:rsidR="008033CC">
        <w:t>i</w:t>
      </w:r>
      <w:proofErr w:type="spellEnd"/>
      <w:r w:rsidR="008033CC">
        <w:t xml:space="preserve">) the often impractical one of a new </w:t>
      </w:r>
      <w:proofErr w:type="spellStart"/>
      <w:r w:rsidR="008033CC">
        <w:t>RCT</w:t>
      </w:r>
      <w:proofErr w:type="spellEnd"/>
      <w:r w:rsidR="008033CC">
        <w:t xml:space="preserve"> in the different circumstances; and (ii) unpacking the causal mechanism that produced the successful outcome in the original </w:t>
      </w:r>
      <w:proofErr w:type="spellStart"/>
      <w:r w:rsidR="008033CC">
        <w:t>RCTs</w:t>
      </w:r>
      <w:proofErr w:type="spellEnd"/>
      <w:r w:rsidR="008033CC">
        <w:t xml:space="preserve">. </w:t>
      </w:r>
    </w:p>
    <w:p w14:paraId="57609798" w14:textId="31160938" w:rsidR="00993A5E" w:rsidRDefault="008033CC" w:rsidP="00991193">
      <w:r>
        <w:t xml:space="preserve">This </w:t>
      </w:r>
      <w:r w:rsidR="00460A15">
        <w:t xml:space="preserve">causal </w:t>
      </w:r>
      <w:r>
        <w:t>unpacking (in (ii) above) ent</w:t>
      </w:r>
      <w:r w:rsidR="00460A15">
        <w:t xml:space="preserve">ails the identification of the </w:t>
      </w:r>
      <w:r w:rsidRPr="00460A15">
        <w:rPr>
          <w:i/>
        </w:rPr>
        <w:t>support factors</w:t>
      </w:r>
      <w:r>
        <w:t xml:space="preserve"> without which the intervention would have been ineffective. These support factors are </w:t>
      </w:r>
      <w:r w:rsidR="00346626">
        <w:t>similar</w:t>
      </w:r>
      <w:r>
        <w:t xml:space="preserve"> to the factors identified above as part of the causal </w:t>
      </w:r>
      <w:r w:rsidRPr="008033CC">
        <w:rPr>
          <w:i/>
        </w:rPr>
        <w:t>nexus</w:t>
      </w:r>
      <w:r>
        <w:rPr>
          <w:i/>
        </w:rPr>
        <w:t xml:space="preserve">. </w:t>
      </w:r>
      <w:r>
        <w:t xml:space="preserve">They are </w:t>
      </w:r>
      <w:r w:rsidRPr="00346626">
        <w:rPr>
          <w:i/>
        </w:rPr>
        <w:t>necessary</w:t>
      </w:r>
      <w:r>
        <w:t xml:space="preserve"> but not in themselves </w:t>
      </w:r>
      <w:r w:rsidRPr="00346626">
        <w:rPr>
          <w:i/>
        </w:rPr>
        <w:t xml:space="preserve">sufficient </w:t>
      </w:r>
      <w:r>
        <w:t xml:space="preserve">conditions of the intervention’s effectiveness. It is also essential to identify other factors that might contribute in parallel. Our intervention with young potential offenders might be working well but some of the reductions in local crime might be attributable to an independent initiative in the local secondary school. This latter initiative might have </w:t>
      </w:r>
      <w:r w:rsidR="00460A15">
        <w:t>significant</w:t>
      </w:r>
      <w:r>
        <w:t xml:space="preserve"> capability to reduce the crime rate wholly independently of the </w:t>
      </w:r>
      <w:proofErr w:type="spellStart"/>
      <w:r>
        <w:t>TSO’s</w:t>
      </w:r>
      <w:proofErr w:type="spellEnd"/>
      <w:r>
        <w:t xml:space="preserve"> separate intervention.</w:t>
      </w:r>
    </w:p>
    <w:p w14:paraId="066757F7" w14:textId="56255F60" w:rsidR="008033CC" w:rsidRPr="008033CC" w:rsidRDefault="008033CC" w:rsidP="00991193">
      <w:pPr>
        <w:rPr>
          <w:vertAlign w:val="subscript"/>
        </w:rPr>
      </w:pPr>
      <w:r>
        <w:t xml:space="preserve">However, the emphasis on causal explanation is promising for multi-functional </w:t>
      </w:r>
      <w:proofErr w:type="spellStart"/>
      <w:r>
        <w:t>TSOs</w:t>
      </w:r>
      <w:proofErr w:type="spellEnd"/>
      <w:r>
        <w:t xml:space="preserve"> that need to demonstrate their value </w:t>
      </w:r>
      <w:r w:rsidRPr="006265C3">
        <w:rPr>
          <w:i/>
        </w:rPr>
        <w:t>qua</w:t>
      </w:r>
      <w:r>
        <w:t xml:space="preserve"> organisations. They will be swimming against a strong tide but can make headway by demonstrating the mechanisms of their responsiveness. Over and above the effectiveness of any specific intervention (such as starting a youth football club), there are some measurable factors, which will be difficult to monetise but can be shown to have a strongly probably connection with the community benefit</w:t>
      </w:r>
      <w:r w:rsidR="00281DCB">
        <w:t xml:space="preserve"> flowing from the organisation’s wide and flexible range of activities.</w:t>
      </w:r>
    </w:p>
    <w:p w14:paraId="586EFE41" w14:textId="4DCE109F" w:rsidR="00991193" w:rsidRDefault="00281DCB" w:rsidP="00991193">
      <w:r>
        <w:t xml:space="preserve">Alice Sampson and the author have argued elsewhere that a multi-functional organisation’s capacity to </w:t>
      </w:r>
      <w:r w:rsidRPr="00281DCB">
        <w:rPr>
          <w:i/>
        </w:rPr>
        <w:t>attract</w:t>
      </w:r>
      <w:r>
        <w:t xml:space="preserve"> people to come and seek support is a crucial attribute that is </w:t>
      </w:r>
      <w:r w:rsidRPr="00B33071">
        <w:rPr>
          <w:i/>
        </w:rPr>
        <w:t>causally connected</w:t>
      </w:r>
      <w:r>
        <w:t xml:space="preserve"> to its organisational effectiveness—and can be </w:t>
      </w:r>
      <w:r w:rsidRPr="00346626">
        <w:rPr>
          <w:i/>
        </w:rPr>
        <w:t>measured</w:t>
      </w:r>
      <w:r w:rsidR="00460A15">
        <w:t xml:space="preserve"> (Sampson and Weaver, 2010)</w:t>
      </w:r>
      <w:r>
        <w:t>. How many people come? How long do they stay? What help do they seek? Do they come again? For the same kind of help? Do their friends and family members come?</w:t>
      </w:r>
    </w:p>
    <w:p w14:paraId="27406648" w14:textId="4F90F1B0" w:rsidR="00281DCB" w:rsidRDefault="00AE7E60" w:rsidP="00991193">
      <w:r>
        <w:lastRenderedPageBreak/>
        <w:t>W</w:t>
      </w:r>
      <w:r w:rsidR="00281DCB">
        <w:t xml:space="preserve">e </w:t>
      </w:r>
      <w:r w:rsidR="00460A15">
        <w:t xml:space="preserve">also </w:t>
      </w:r>
      <w:r w:rsidR="00281DCB">
        <w:t>argue</w:t>
      </w:r>
      <w:r w:rsidR="00460A15">
        <w:t>d</w:t>
      </w:r>
      <w:r w:rsidR="00281DCB">
        <w:t xml:space="preserve"> that the multi-functional organisation’s capacity to </w:t>
      </w:r>
      <w:r w:rsidR="00281DCB" w:rsidRPr="00B33071">
        <w:rPr>
          <w:i/>
        </w:rPr>
        <w:t>connect</w:t>
      </w:r>
      <w:r w:rsidR="00281DCB">
        <w:t xml:space="preserve"> people constructively is </w:t>
      </w:r>
      <w:r w:rsidR="00281DCB" w:rsidRPr="00B33071">
        <w:rPr>
          <w:i/>
        </w:rPr>
        <w:t>causally connected</w:t>
      </w:r>
      <w:r w:rsidR="00281DCB">
        <w:t xml:space="preserve"> to its organisational effectiveness—and can be measured. Does a visitor get connected to the appropriate service, whether provided by the </w:t>
      </w:r>
      <w:proofErr w:type="spellStart"/>
      <w:r w:rsidR="00281DCB">
        <w:t>TSO</w:t>
      </w:r>
      <w:proofErr w:type="spellEnd"/>
      <w:r w:rsidR="00281DCB">
        <w:t xml:space="preserve"> itself or by others? Do visitors come regularly and form associations with other visitors?</w:t>
      </w:r>
    </w:p>
    <w:p w14:paraId="075A1B1A" w14:textId="62E8E84D" w:rsidR="00B33071" w:rsidRDefault="00281DCB" w:rsidP="00991193">
      <w:r w:rsidRPr="00281DCB">
        <w:rPr>
          <w:i/>
        </w:rPr>
        <w:t xml:space="preserve">Social </w:t>
      </w:r>
      <w:proofErr w:type="spellStart"/>
      <w:r w:rsidR="00991193" w:rsidRPr="00281DCB">
        <w:rPr>
          <w:i/>
        </w:rPr>
        <w:t>bricolage</w:t>
      </w:r>
      <w:proofErr w:type="spellEnd"/>
      <w:r w:rsidRPr="00281DCB">
        <w:rPr>
          <w:i/>
        </w:rPr>
        <w:t xml:space="preserve"> </w:t>
      </w:r>
      <w:r>
        <w:t xml:space="preserve">is also measurable. A multi-functional organisation’s </w:t>
      </w:r>
      <w:r w:rsidR="00B33071">
        <w:t xml:space="preserve">Swiss Army Knife </w:t>
      </w:r>
      <w:r>
        <w:t xml:space="preserve">capacity to </w:t>
      </w:r>
      <w:r w:rsidRPr="00281DCB">
        <w:t>mak</w:t>
      </w:r>
      <w:r>
        <w:t>e</w:t>
      </w:r>
      <w:r w:rsidRPr="00281DCB">
        <w:t xml:space="preserve"> do, </w:t>
      </w:r>
      <w:r>
        <w:t>to refuse</w:t>
      </w:r>
      <w:r w:rsidRPr="00281DCB">
        <w:t xml:space="preserve"> to be constrained by limitations, and </w:t>
      </w:r>
      <w:r>
        <w:t xml:space="preserve">to </w:t>
      </w:r>
      <w:r w:rsidRPr="00281DCB">
        <w:t>improvis</w:t>
      </w:r>
      <w:r>
        <w:t>e (</w:t>
      </w:r>
      <w:r w:rsidR="00B33071">
        <w:t xml:space="preserve">see Di </w:t>
      </w:r>
      <w:proofErr w:type="spellStart"/>
      <w:r w:rsidR="00B33071">
        <w:t>Domenico</w:t>
      </w:r>
      <w:proofErr w:type="spellEnd"/>
      <w:r w:rsidR="00B33071">
        <w:t xml:space="preserve"> </w:t>
      </w:r>
      <w:r w:rsidR="00B33071" w:rsidRPr="00B33071">
        <w:rPr>
          <w:i/>
        </w:rPr>
        <w:t>et al</w:t>
      </w:r>
      <w:r w:rsidR="00B33071">
        <w:t>, 2010)</w:t>
      </w:r>
      <w:r w:rsidR="000B5B1C">
        <w:t xml:space="preserve"> </w:t>
      </w:r>
      <w:r>
        <w:t>is observable</w:t>
      </w:r>
      <w:r w:rsidRPr="00281DCB">
        <w:t xml:space="preserve"> </w:t>
      </w:r>
      <w:r w:rsidR="00460A15">
        <w:t>by non-</w:t>
      </w:r>
      <w:r w:rsidR="00B33071">
        <w:t xml:space="preserve">participants and recordable by participants. Such observations will be beyond normal monetisation but </w:t>
      </w:r>
      <w:r w:rsidR="00AE7E60">
        <w:t xml:space="preserve">nevertheless </w:t>
      </w:r>
      <w:r w:rsidR="00B33071">
        <w:t xml:space="preserve">constitute hard data. </w:t>
      </w:r>
    </w:p>
    <w:p w14:paraId="586EFE42" w14:textId="7F11A1D9" w:rsidR="00991193" w:rsidRDefault="00B33071" w:rsidP="00991193">
      <w:r w:rsidRPr="00880E0D">
        <w:rPr>
          <w:i/>
        </w:rPr>
        <w:t>Connection</w:t>
      </w:r>
      <w:r>
        <w:t xml:space="preserve">, </w:t>
      </w:r>
      <w:r w:rsidRPr="00880E0D">
        <w:rPr>
          <w:i/>
        </w:rPr>
        <w:t>attraction</w:t>
      </w:r>
      <w:r>
        <w:t xml:space="preserve"> and </w:t>
      </w:r>
      <w:proofErr w:type="spellStart"/>
      <w:r w:rsidRPr="00880E0D">
        <w:rPr>
          <w:i/>
        </w:rPr>
        <w:t>bricolage</w:t>
      </w:r>
      <w:proofErr w:type="spellEnd"/>
      <w:r>
        <w:t xml:space="preserve"> are not substitutes for measures of performance within</w:t>
      </w:r>
      <w:r w:rsidR="00281DCB">
        <w:t xml:space="preserve"> </w:t>
      </w:r>
      <w:r>
        <w:t xml:space="preserve">the various silos of service. A funder or policy-maker will not be keen to fund a multi-functional organisation that provides inadequate specific services. But a combination of (a) adequate performance within silos and (b) sound evidence of connection, attraction and </w:t>
      </w:r>
      <w:proofErr w:type="spellStart"/>
      <w:r>
        <w:t>bricolage</w:t>
      </w:r>
      <w:proofErr w:type="spellEnd"/>
      <w:r>
        <w:t xml:space="preserve"> can constitute a strong case</w:t>
      </w:r>
      <w:r w:rsidR="00460A15">
        <w:t xml:space="preserve"> for supporting the organisation as such</w:t>
      </w:r>
      <w:r>
        <w:t xml:space="preserve">. It will challenge the current paradigm that narrows conceptions of value but </w:t>
      </w:r>
      <w:r w:rsidR="002A525F">
        <w:t>is more likely to convince than is</w:t>
      </w:r>
      <w:r>
        <w:t xml:space="preserve"> the </w:t>
      </w:r>
      <w:r w:rsidR="00460A15">
        <w:t>unsupported</w:t>
      </w:r>
      <w:r>
        <w:t xml:space="preserve"> assertion that the whole is greater than the sum of the parts.</w:t>
      </w:r>
    </w:p>
    <w:p w14:paraId="1C24C07F" w14:textId="25922D03" w:rsidR="00AE7E60" w:rsidRDefault="00AE7E60" w:rsidP="00AE7E60">
      <w:pPr>
        <w:pStyle w:val="Heading1"/>
      </w:pPr>
      <w:r>
        <w:t>Conclusion</w:t>
      </w:r>
    </w:p>
    <w:p w14:paraId="4A538802" w14:textId="45523E31" w:rsidR="00AE7E60" w:rsidRDefault="00AE7E60" w:rsidP="00AE7E60">
      <w:r>
        <w:t xml:space="preserve">Demonstrating the value of complex organisations can be </w:t>
      </w:r>
      <w:r w:rsidR="00CB36BF">
        <w:t xml:space="preserve">hard work. It’s rather </w:t>
      </w:r>
      <w:r>
        <w:t xml:space="preserve">like dragging a badly torn sack of bricks up a very steep hill. </w:t>
      </w:r>
    </w:p>
    <w:p w14:paraId="645CA1E3" w14:textId="6AFE9E67" w:rsidR="00AE7E60" w:rsidRDefault="00AE7E60" w:rsidP="00AE7E60">
      <w:r>
        <w:t xml:space="preserve">Narrow exchange-based conceptions of value are so entrenched in the minds of some funders that the only option will be to try to play the game by that funder’s rules, which tend to give specialist providers the edge. Nevertheless attention to causal mechanisms will help to strengthen the </w:t>
      </w:r>
      <w:proofErr w:type="spellStart"/>
      <w:r>
        <w:t>TSO’s</w:t>
      </w:r>
      <w:proofErr w:type="spellEnd"/>
      <w:r>
        <w:t xml:space="preserve"> claim, especially if that supports a </w:t>
      </w:r>
      <w:r w:rsidR="00CB36BF">
        <w:t xml:space="preserve">community anchor’s </w:t>
      </w:r>
      <w:r>
        <w:t>claim to reach the parts that the specialists do not reach so often</w:t>
      </w:r>
      <w:r w:rsidR="00CB36BF">
        <w:t>.</w:t>
      </w:r>
    </w:p>
    <w:p w14:paraId="48F9788A" w14:textId="43D13278" w:rsidR="00AE7E60" w:rsidRPr="00AE7E60" w:rsidRDefault="00CB36BF" w:rsidP="00AE7E60">
      <w:r>
        <w:t>Some o</w:t>
      </w:r>
      <w:r w:rsidR="00AE7E60">
        <w:t xml:space="preserve">ther funders might be sufficiently open-minded to see that there are useful conceptions of value that are not readily </w:t>
      </w:r>
      <w:proofErr w:type="spellStart"/>
      <w:r w:rsidR="00AE7E60">
        <w:t>monetisable</w:t>
      </w:r>
      <w:proofErr w:type="spellEnd"/>
      <w:r w:rsidR="00AE7E60">
        <w:t xml:space="preserve">. They might </w:t>
      </w:r>
      <w:r>
        <w:t xml:space="preserve">even </w:t>
      </w:r>
      <w:r w:rsidR="00AE7E60">
        <w:t xml:space="preserve">be convinced to support a Swiss army knife organisation if the case for support is well-organised and </w:t>
      </w:r>
      <w:r>
        <w:t>backed</w:t>
      </w:r>
      <w:r w:rsidR="00AE7E60">
        <w:t xml:space="preserve"> with hard </w:t>
      </w:r>
      <w:r>
        <w:t xml:space="preserve">evidence </w:t>
      </w:r>
      <w:r w:rsidR="00AE7E60">
        <w:t xml:space="preserve">of successful </w:t>
      </w:r>
      <w:r w:rsidR="00AE7E60" w:rsidRPr="00AE7E60">
        <w:rPr>
          <w:i/>
        </w:rPr>
        <w:t>attraction</w:t>
      </w:r>
      <w:r w:rsidR="00AE7E60">
        <w:t xml:space="preserve">, </w:t>
      </w:r>
      <w:r w:rsidR="00AE7E60" w:rsidRPr="00AE7E60">
        <w:rPr>
          <w:i/>
        </w:rPr>
        <w:t>connection</w:t>
      </w:r>
      <w:r w:rsidR="00AE7E60">
        <w:t xml:space="preserve"> and </w:t>
      </w:r>
      <w:proofErr w:type="spellStart"/>
      <w:r w:rsidR="00AE7E60" w:rsidRPr="00AE7E60">
        <w:rPr>
          <w:i/>
        </w:rPr>
        <w:t>bricolage</w:t>
      </w:r>
      <w:proofErr w:type="spellEnd"/>
      <w:r w:rsidR="00AE7E60">
        <w:t>.</w:t>
      </w:r>
    </w:p>
    <w:p w14:paraId="67B5BDFB" w14:textId="18E5453B" w:rsidR="0081351D" w:rsidRDefault="0081351D" w:rsidP="00B33071">
      <w:pPr>
        <w:pStyle w:val="Heading1"/>
        <w:pageBreakBefore/>
      </w:pPr>
      <w:r>
        <w:lastRenderedPageBreak/>
        <w:t>Bibliography</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520"/>
      </w:tblGrid>
      <w:tr w:rsidR="00A56CE9" w:rsidRPr="00991193" w14:paraId="7F26765E" w14:textId="77777777" w:rsidTr="00515A6D">
        <w:tc>
          <w:tcPr>
            <w:tcW w:w="2802" w:type="dxa"/>
            <w:tcMar>
              <w:top w:w="113" w:type="dxa"/>
              <w:bottom w:w="113" w:type="dxa"/>
            </w:tcMar>
            <w:vAlign w:val="center"/>
          </w:tcPr>
          <w:p w14:paraId="1BF9E65E" w14:textId="2B965EF2" w:rsidR="00A56CE9" w:rsidRDefault="00A56CE9" w:rsidP="00DB76D6">
            <w:pPr>
              <w:ind w:left="2977" w:hanging="2977"/>
            </w:pPr>
            <w:proofErr w:type="spellStart"/>
            <w:r>
              <w:t>Arnauld</w:t>
            </w:r>
            <w:proofErr w:type="spellEnd"/>
            <w:r>
              <w:t>, 1662</w:t>
            </w:r>
          </w:p>
        </w:tc>
        <w:tc>
          <w:tcPr>
            <w:tcW w:w="6520" w:type="dxa"/>
            <w:tcMar>
              <w:top w:w="113" w:type="dxa"/>
              <w:bottom w:w="113" w:type="dxa"/>
            </w:tcMar>
            <w:vAlign w:val="center"/>
          </w:tcPr>
          <w:p w14:paraId="0198019E" w14:textId="39EC6F8A" w:rsidR="00A56CE9" w:rsidRDefault="00A56CE9" w:rsidP="00A56CE9">
            <w:pPr>
              <w:ind w:left="2977" w:hanging="2977"/>
            </w:pPr>
            <w:proofErr w:type="spellStart"/>
            <w:r>
              <w:t>Arnauld</w:t>
            </w:r>
            <w:proofErr w:type="spellEnd"/>
            <w:r>
              <w:t xml:space="preserve">, Antoine, Trans. and eds. J. </w:t>
            </w:r>
            <w:proofErr w:type="spellStart"/>
            <w:r>
              <w:t>Dickoff</w:t>
            </w:r>
            <w:proofErr w:type="spellEnd"/>
            <w:r>
              <w:t xml:space="preserve"> and P. James</w:t>
            </w:r>
          </w:p>
          <w:p w14:paraId="73BB5303" w14:textId="1F661DEA" w:rsidR="00A56CE9" w:rsidRDefault="00A56CE9" w:rsidP="00A56CE9">
            <w:pPr>
              <w:ind w:left="2977" w:hanging="2977"/>
            </w:pPr>
            <w:r w:rsidRPr="00A56CE9">
              <w:rPr>
                <w:i/>
              </w:rPr>
              <w:t>The Art of Thinking: Port Royal Logic</w:t>
            </w:r>
          </w:p>
          <w:p w14:paraId="5D076123" w14:textId="5D0B8E7C" w:rsidR="00A56CE9" w:rsidRDefault="00A56CE9" w:rsidP="00A56CE9">
            <w:pPr>
              <w:ind w:left="2977" w:hanging="2977"/>
            </w:pPr>
            <w:r>
              <w:t xml:space="preserve">New York: </w:t>
            </w:r>
            <w:proofErr w:type="spellStart"/>
            <w:r>
              <w:t>Bobbs</w:t>
            </w:r>
            <w:proofErr w:type="spellEnd"/>
            <w:r>
              <w:t>-Merrill, 1964.</w:t>
            </w:r>
          </w:p>
        </w:tc>
      </w:tr>
      <w:tr w:rsidR="00A56CE9" w:rsidRPr="00991193" w14:paraId="3E62F663" w14:textId="77777777" w:rsidTr="00515A6D">
        <w:tc>
          <w:tcPr>
            <w:tcW w:w="2802" w:type="dxa"/>
            <w:tcMar>
              <w:top w:w="113" w:type="dxa"/>
              <w:bottom w:w="113" w:type="dxa"/>
            </w:tcMar>
            <w:vAlign w:val="center"/>
          </w:tcPr>
          <w:p w14:paraId="5A9B05F8" w14:textId="3F82BB7A" w:rsidR="00A56CE9" w:rsidRDefault="00A56CE9" w:rsidP="00DB76D6">
            <w:pPr>
              <w:ind w:left="2977" w:hanging="2977"/>
            </w:pPr>
            <w:r>
              <w:t>Baron and Hershey, 1988</w:t>
            </w:r>
          </w:p>
        </w:tc>
        <w:tc>
          <w:tcPr>
            <w:tcW w:w="6520" w:type="dxa"/>
            <w:tcMar>
              <w:top w:w="113" w:type="dxa"/>
              <w:bottom w:w="113" w:type="dxa"/>
            </w:tcMar>
            <w:vAlign w:val="center"/>
          </w:tcPr>
          <w:p w14:paraId="120C60C1" w14:textId="77777777" w:rsidR="00A56CE9" w:rsidRDefault="00A56CE9" w:rsidP="00A56CE9">
            <w:pPr>
              <w:ind w:left="2977" w:hanging="2977"/>
            </w:pPr>
            <w:r>
              <w:t xml:space="preserve">Baron, J., &amp; Hershey, J. C., </w:t>
            </w:r>
          </w:p>
          <w:p w14:paraId="61E89E59" w14:textId="77777777" w:rsidR="00A56CE9" w:rsidRDefault="00A56CE9" w:rsidP="00A56CE9">
            <w:pPr>
              <w:ind w:left="2977" w:hanging="2977"/>
            </w:pPr>
            <w:r>
              <w:t>‘Outcome bias in decision evaluation’</w:t>
            </w:r>
          </w:p>
          <w:p w14:paraId="0840F0CF" w14:textId="61F99C9E" w:rsidR="00A56CE9" w:rsidRPr="0081351D" w:rsidRDefault="00A56CE9" w:rsidP="00A56CE9">
            <w:pPr>
              <w:ind w:left="2977" w:hanging="2977"/>
            </w:pPr>
            <w:r>
              <w:t xml:space="preserve">(1988) </w:t>
            </w:r>
            <w:r w:rsidRPr="00A56CE9">
              <w:rPr>
                <w:i/>
              </w:rPr>
              <w:t>Journal of Personality</w:t>
            </w:r>
            <w:r>
              <w:rPr>
                <w:i/>
              </w:rPr>
              <w:t xml:space="preserve"> </w:t>
            </w:r>
            <w:r w:rsidRPr="00A56CE9">
              <w:rPr>
                <w:i/>
              </w:rPr>
              <w:t>and Social Psychology</w:t>
            </w:r>
            <w:r>
              <w:t>, 54, 569-579</w:t>
            </w:r>
          </w:p>
        </w:tc>
      </w:tr>
      <w:tr w:rsidR="0081351D" w:rsidRPr="00991193" w14:paraId="5ACD8B49" w14:textId="77777777" w:rsidTr="00515A6D">
        <w:tc>
          <w:tcPr>
            <w:tcW w:w="2802" w:type="dxa"/>
            <w:tcMar>
              <w:top w:w="113" w:type="dxa"/>
              <w:bottom w:w="113" w:type="dxa"/>
            </w:tcMar>
            <w:vAlign w:val="center"/>
          </w:tcPr>
          <w:p w14:paraId="67240C0E" w14:textId="4F046AFE" w:rsidR="0081351D" w:rsidRPr="0081351D" w:rsidRDefault="0081351D" w:rsidP="00DB76D6">
            <w:pPr>
              <w:ind w:left="2977" w:hanging="2977"/>
            </w:pPr>
            <w:r>
              <w:t xml:space="preserve">Cartwright and </w:t>
            </w:r>
            <w:proofErr w:type="spellStart"/>
            <w:r>
              <w:t>Hardie</w:t>
            </w:r>
            <w:proofErr w:type="spellEnd"/>
            <w:r w:rsidR="00024753">
              <w:t>,</w:t>
            </w:r>
            <w:r>
              <w:t xml:space="preserve"> 20</w:t>
            </w:r>
            <w:r w:rsidR="00DB76D6">
              <w:t>12</w:t>
            </w:r>
          </w:p>
        </w:tc>
        <w:tc>
          <w:tcPr>
            <w:tcW w:w="6520" w:type="dxa"/>
            <w:tcMar>
              <w:top w:w="113" w:type="dxa"/>
              <w:bottom w:w="113" w:type="dxa"/>
            </w:tcMar>
            <w:vAlign w:val="center"/>
          </w:tcPr>
          <w:p w14:paraId="03CA0F21" w14:textId="77777777" w:rsidR="0081351D" w:rsidRDefault="0081351D" w:rsidP="0081351D">
            <w:pPr>
              <w:ind w:left="2977" w:hanging="2977"/>
            </w:pPr>
            <w:r w:rsidRPr="0081351D">
              <w:t>Cartwright, Nanc</w:t>
            </w:r>
            <w:r>
              <w:t xml:space="preserve">y; </w:t>
            </w:r>
            <w:proofErr w:type="spellStart"/>
            <w:r>
              <w:t>Hardie</w:t>
            </w:r>
            <w:proofErr w:type="spellEnd"/>
            <w:r>
              <w:t xml:space="preserve">, Jeremy </w:t>
            </w:r>
          </w:p>
          <w:p w14:paraId="661C69FD" w14:textId="7BAF2423" w:rsidR="0081351D" w:rsidRDefault="0081351D" w:rsidP="0081351D">
            <w:pPr>
              <w:ind w:left="2977" w:hanging="2977"/>
              <w:rPr>
                <w:i/>
              </w:rPr>
            </w:pPr>
            <w:r w:rsidRPr="0081351D">
              <w:rPr>
                <w:i/>
              </w:rPr>
              <w:t>Evidence-Based Policy:</w:t>
            </w:r>
            <w:r>
              <w:rPr>
                <w:i/>
              </w:rPr>
              <w:t xml:space="preserve"> </w:t>
            </w:r>
            <w:r w:rsidRPr="0081351D">
              <w:rPr>
                <w:i/>
              </w:rPr>
              <w:t xml:space="preserve">A Practical Guide to Doing it Better </w:t>
            </w:r>
          </w:p>
          <w:p w14:paraId="0DAA56B8" w14:textId="3413EE71" w:rsidR="0081351D" w:rsidRPr="00991193" w:rsidRDefault="0081351D" w:rsidP="0081351D">
            <w:pPr>
              <w:ind w:left="2977" w:hanging="2977"/>
            </w:pPr>
            <w:r>
              <w:t xml:space="preserve">Oxford: </w:t>
            </w:r>
            <w:r w:rsidRPr="0081351D">
              <w:t>Oxford University Press</w:t>
            </w:r>
            <w:r>
              <w:t>, 2008</w:t>
            </w:r>
          </w:p>
        </w:tc>
      </w:tr>
      <w:tr w:rsidR="000B07D3" w:rsidRPr="00991193" w14:paraId="01ED4DC8" w14:textId="77777777" w:rsidTr="00515A6D">
        <w:tc>
          <w:tcPr>
            <w:tcW w:w="2802" w:type="dxa"/>
            <w:tcMar>
              <w:top w:w="113" w:type="dxa"/>
              <w:bottom w:w="113" w:type="dxa"/>
            </w:tcMar>
            <w:vAlign w:val="center"/>
          </w:tcPr>
          <w:p w14:paraId="046F471A" w14:textId="77898356" w:rsidR="000B07D3" w:rsidRDefault="000B07D3" w:rsidP="0081351D">
            <w:pPr>
              <w:ind w:left="2977" w:hanging="2977"/>
            </w:pPr>
            <w:proofErr w:type="spellStart"/>
            <w:r>
              <w:t>Dancy</w:t>
            </w:r>
            <w:proofErr w:type="spellEnd"/>
            <w:r w:rsidR="00024753">
              <w:t>,</w:t>
            </w:r>
            <w:r w:rsidR="000B5B1C">
              <w:t xml:space="preserve"> 2004</w:t>
            </w:r>
          </w:p>
        </w:tc>
        <w:tc>
          <w:tcPr>
            <w:tcW w:w="6520" w:type="dxa"/>
            <w:tcMar>
              <w:top w:w="113" w:type="dxa"/>
              <w:bottom w:w="113" w:type="dxa"/>
            </w:tcMar>
            <w:vAlign w:val="center"/>
          </w:tcPr>
          <w:p w14:paraId="3540F955" w14:textId="2E3B6AD2" w:rsidR="000B07D3" w:rsidRDefault="000B07D3" w:rsidP="0081351D">
            <w:pPr>
              <w:ind w:left="2977" w:hanging="2977"/>
            </w:pPr>
            <w:proofErr w:type="spellStart"/>
            <w:r>
              <w:t>Dancy</w:t>
            </w:r>
            <w:proofErr w:type="spellEnd"/>
            <w:r>
              <w:t>, Jonathan</w:t>
            </w:r>
          </w:p>
          <w:p w14:paraId="387DBF86" w14:textId="77777777" w:rsidR="000B07D3" w:rsidRDefault="000B07D3" w:rsidP="0081351D">
            <w:pPr>
              <w:ind w:left="2977" w:hanging="2977"/>
              <w:rPr>
                <w:i/>
              </w:rPr>
            </w:pPr>
            <w:r w:rsidRPr="000B07D3">
              <w:rPr>
                <w:i/>
              </w:rPr>
              <w:t>Ethics without Principles</w:t>
            </w:r>
          </w:p>
          <w:p w14:paraId="3C075FA7" w14:textId="5BC2D27F" w:rsidR="000B07D3" w:rsidRPr="000B07D3" w:rsidRDefault="000B07D3" w:rsidP="000B5B1C">
            <w:pPr>
              <w:ind w:left="2977" w:hanging="2977"/>
            </w:pPr>
            <w:r>
              <w:t xml:space="preserve">Oxford: </w:t>
            </w:r>
            <w:r w:rsidR="000B5B1C">
              <w:t>Clarendon</w:t>
            </w:r>
            <w:r w:rsidRPr="0081351D">
              <w:t xml:space="preserve"> Press</w:t>
            </w:r>
            <w:r>
              <w:t>, 2004</w:t>
            </w:r>
          </w:p>
        </w:tc>
      </w:tr>
      <w:tr w:rsidR="00281DCB" w:rsidRPr="00991193" w14:paraId="6BCC139E" w14:textId="77777777" w:rsidTr="00515A6D">
        <w:tc>
          <w:tcPr>
            <w:tcW w:w="2802" w:type="dxa"/>
            <w:tcMar>
              <w:top w:w="113" w:type="dxa"/>
              <w:bottom w:w="113" w:type="dxa"/>
            </w:tcMar>
            <w:vAlign w:val="center"/>
          </w:tcPr>
          <w:p w14:paraId="74723CCA" w14:textId="09E64B3C" w:rsidR="00281DCB" w:rsidRDefault="00281DCB" w:rsidP="0081351D">
            <w:pPr>
              <w:ind w:left="2977" w:hanging="2977"/>
            </w:pPr>
            <w:r>
              <w:t xml:space="preserve">Di </w:t>
            </w:r>
            <w:proofErr w:type="spellStart"/>
            <w:r>
              <w:t>Dom</w:t>
            </w:r>
            <w:r w:rsidR="00B33071">
              <w:t>en</w:t>
            </w:r>
            <w:r>
              <w:t>ico</w:t>
            </w:r>
            <w:proofErr w:type="spellEnd"/>
            <w:r>
              <w:t xml:space="preserve"> </w:t>
            </w:r>
            <w:r w:rsidRPr="00281DCB">
              <w:rPr>
                <w:i/>
              </w:rPr>
              <w:t>et al</w:t>
            </w:r>
            <w:r>
              <w:t>, 2010</w:t>
            </w:r>
          </w:p>
        </w:tc>
        <w:tc>
          <w:tcPr>
            <w:tcW w:w="6520" w:type="dxa"/>
            <w:tcMar>
              <w:top w:w="113" w:type="dxa"/>
              <w:bottom w:w="113" w:type="dxa"/>
            </w:tcMar>
            <w:vAlign w:val="center"/>
          </w:tcPr>
          <w:p w14:paraId="53DCCD1B" w14:textId="55EE9F5D" w:rsidR="00281DCB" w:rsidRDefault="00281DCB" w:rsidP="00281DCB">
            <w:r>
              <w:t xml:space="preserve">Di </w:t>
            </w:r>
            <w:proofErr w:type="spellStart"/>
            <w:r>
              <w:t>Domenico</w:t>
            </w:r>
            <w:proofErr w:type="spellEnd"/>
            <w:r>
              <w:t xml:space="preserve">, </w:t>
            </w:r>
            <w:proofErr w:type="spellStart"/>
            <w:r>
              <w:t>MariaLaura</w:t>
            </w:r>
            <w:proofErr w:type="spellEnd"/>
            <w:r>
              <w:t xml:space="preserve">; </w:t>
            </w:r>
            <w:proofErr w:type="spellStart"/>
            <w:r>
              <w:t>Haugh</w:t>
            </w:r>
            <w:proofErr w:type="spellEnd"/>
            <w:r>
              <w:t>, Helen; Tracy, Paul</w:t>
            </w:r>
          </w:p>
          <w:p w14:paraId="3E648C66" w14:textId="77777777" w:rsidR="00281DCB" w:rsidRDefault="00281DCB" w:rsidP="00281DCB">
            <w:r>
              <w:t xml:space="preserve">Social </w:t>
            </w:r>
            <w:proofErr w:type="spellStart"/>
            <w:r>
              <w:t>Bricolage</w:t>
            </w:r>
            <w:proofErr w:type="spellEnd"/>
            <w:r>
              <w:t>: theorizing social value creation in social enterprises</w:t>
            </w:r>
          </w:p>
          <w:p w14:paraId="5D93024C" w14:textId="23C82136" w:rsidR="00281DCB" w:rsidRDefault="00281DCB" w:rsidP="00281DCB">
            <w:r>
              <w:t xml:space="preserve">(2010) 34 </w:t>
            </w:r>
            <w:r w:rsidRPr="00EC28EA">
              <w:rPr>
                <w:i/>
              </w:rPr>
              <w:t>Entrepreneurship Theory and Practice</w:t>
            </w:r>
            <w:r>
              <w:t xml:space="preserve"> 681-703</w:t>
            </w:r>
          </w:p>
        </w:tc>
      </w:tr>
      <w:tr w:rsidR="00281DCB" w:rsidRPr="00991193" w14:paraId="19105511" w14:textId="77777777" w:rsidTr="00515A6D">
        <w:tc>
          <w:tcPr>
            <w:tcW w:w="2802" w:type="dxa"/>
            <w:tcMar>
              <w:top w:w="113" w:type="dxa"/>
              <w:bottom w:w="113" w:type="dxa"/>
            </w:tcMar>
            <w:vAlign w:val="center"/>
          </w:tcPr>
          <w:p w14:paraId="0EF14A5F" w14:textId="77777777" w:rsidR="00281DCB" w:rsidRDefault="00281DCB" w:rsidP="00281DCB">
            <w:pPr>
              <w:ind w:left="2977" w:hanging="2977"/>
            </w:pPr>
            <w:r>
              <w:t>Dworkin, 2011</w:t>
            </w:r>
          </w:p>
        </w:tc>
        <w:tc>
          <w:tcPr>
            <w:tcW w:w="6520" w:type="dxa"/>
            <w:tcMar>
              <w:top w:w="113" w:type="dxa"/>
              <w:bottom w:w="113" w:type="dxa"/>
            </w:tcMar>
            <w:vAlign w:val="center"/>
          </w:tcPr>
          <w:p w14:paraId="59BEDAAE" w14:textId="77777777" w:rsidR="00281DCB" w:rsidRDefault="00281DCB" w:rsidP="00281DCB">
            <w:pPr>
              <w:ind w:left="2977" w:hanging="2977"/>
            </w:pPr>
            <w:r>
              <w:t>Dworkin, Ronald</w:t>
            </w:r>
          </w:p>
          <w:p w14:paraId="09D81995" w14:textId="77777777" w:rsidR="00281DCB" w:rsidRPr="0081351D" w:rsidRDefault="00281DCB" w:rsidP="00281DCB">
            <w:pPr>
              <w:ind w:left="2977" w:hanging="2977"/>
              <w:rPr>
                <w:i/>
              </w:rPr>
            </w:pPr>
            <w:r w:rsidRPr="0081351D">
              <w:rPr>
                <w:i/>
              </w:rPr>
              <w:t>Justice for Hedgehogs</w:t>
            </w:r>
          </w:p>
          <w:p w14:paraId="425A30D6" w14:textId="77777777" w:rsidR="00281DCB" w:rsidRPr="0081351D" w:rsidRDefault="00281DCB" w:rsidP="00281DCB">
            <w:pPr>
              <w:ind w:left="2977" w:hanging="2977"/>
            </w:pPr>
            <w:r>
              <w:t xml:space="preserve">Cambridge MS; </w:t>
            </w:r>
            <w:proofErr w:type="spellStart"/>
            <w:r>
              <w:t>Belknap</w:t>
            </w:r>
            <w:proofErr w:type="spellEnd"/>
            <w:r>
              <w:t xml:space="preserve"> Press, 2011</w:t>
            </w:r>
          </w:p>
        </w:tc>
      </w:tr>
      <w:tr w:rsidR="00CB55A3" w:rsidRPr="00991193" w14:paraId="5562B8D1" w14:textId="77777777" w:rsidTr="00515A6D">
        <w:tc>
          <w:tcPr>
            <w:tcW w:w="2802" w:type="dxa"/>
            <w:tcMar>
              <w:top w:w="113" w:type="dxa"/>
              <w:bottom w:w="113" w:type="dxa"/>
            </w:tcMar>
            <w:vAlign w:val="center"/>
          </w:tcPr>
          <w:p w14:paraId="42672410" w14:textId="3DCF9DEB" w:rsidR="00CB55A3" w:rsidRDefault="00CB55A3" w:rsidP="00CB55A3">
            <w:pPr>
              <w:ind w:left="2977" w:hanging="2977"/>
            </w:pPr>
            <w:proofErr w:type="spellStart"/>
            <w:r>
              <w:t>Kahneman</w:t>
            </w:r>
            <w:proofErr w:type="spellEnd"/>
            <w:r>
              <w:t>, 2011</w:t>
            </w:r>
          </w:p>
        </w:tc>
        <w:tc>
          <w:tcPr>
            <w:tcW w:w="6520" w:type="dxa"/>
            <w:tcMar>
              <w:top w:w="113" w:type="dxa"/>
              <w:bottom w:w="113" w:type="dxa"/>
            </w:tcMar>
            <w:vAlign w:val="center"/>
          </w:tcPr>
          <w:p w14:paraId="418AA7B3" w14:textId="77777777" w:rsidR="00CB55A3" w:rsidRDefault="00CB55A3" w:rsidP="00740B47">
            <w:proofErr w:type="spellStart"/>
            <w:r>
              <w:t>Kahneman</w:t>
            </w:r>
            <w:proofErr w:type="spellEnd"/>
            <w:r>
              <w:t xml:space="preserve">, Daniel </w:t>
            </w:r>
          </w:p>
          <w:p w14:paraId="4983E318" w14:textId="77777777" w:rsidR="00CB55A3" w:rsidRDefault="00CB55A3" w:rsidP="00740B47">
            <w:pPr>
              <w:rPr>
                <w:i/>
              </w:rPr>
            </w:pPr>
            <w:r w:rsidRPr="00CB55A3">
              <w:rPr>
                <w:i/>
              </w:rPr>
              <w:t>Thinking, Fast and Slow</w:t>
            </w:r>
          </w:p>
          <w:p w14:paraId="09DF44E5" w14:textId="5628D93D" w:rsidR="00CB55A3" w:rsidRPr="00CB55A3" w:rsidRDefault="00CB55A3" w:rsidP="00740B47">
            <w:r>
              <w:t>(London: Penguin, 2011)</w:t>
            </w:r>
          </w:p>
        </w:tc>
      </w:tr>
      <w:tr w:rsidR="0084664B" w:rsidRPr="00991193" w14:paraId="769C6195" w14:textId="77777777" w:rsidTr="00515A6D">
        <w:tc>
          <w:tcPr>
            <w:tcW w:w="2802" w:type="dxa"/>
            <w:tcMar>
              <w:top w:w="113" w:type="dxa"/>
              <w:bottom w:w="113" w:type="dxa"/>
            </w:tcMar>
            <w:vAlign w:val="center"/>
          </w:tcPr>
          <w:p w14:paraId="26DC8094" w14:textId="0C5C1679" w:rsidR="0084664B" w:rsidRDefault="0084664B" w:rsidP="00281DCB">
            <w:pPr>
              <w:ind w:left="2977" w:hanging="2977"/>
            </w:pPr>
            <w:r>
              <w:t>Rees</w:t>
            </w:r>
            <w:r w:rsidR="00F7038D">
              <w:t>, 2003</w:t>
            </w:r>
          </w:p>
        </w:tc>
        <w:tc>
          <w:tcPr>
            <w:tcW w:w="6520" w:type="dxa"/>
            <w:tcMar>
              <w:top w:w="113" w:type="dxa"/>
              <w:bottom w:w="113" w:type="dxa"/>
            </w:tcMar>
            <w:vAlign w:val="center"/>
          </w:tcPr>
          <w:p w14:paraId="7568A715" w14:textId="215AA467" w:rsidR="00740B47" w:rsidRDefault="00740B47" w:rsidP="00740B47">
            <w:r>
              <w:t>Judicial Committee of the House of Lords, United Kingdom</w:t>
            </w:r>
          </w:p>
          <w:p w14:paraId="0B9F13DE" w14:textId="77777777" w:rsidR="00F7038D" w:rsidRDefault="00F7038D" w:rsidP="00002620">
            <w:pPr>
              <w:ind w:left="34"/>
            </w:pPr>
            <w:r w:rsidRPr="00F7038D">
              <w:rPr>
                <w:i/>
              </w:rPr>
              <w:t>Rees</w:t>
            </w:r>
            <w:r w:rsidRPr="00F7038D">
              <w:t xml:space="preserve"> v </w:t>
            </w:r>
            <w:r w:rsidRPr="00F7038D">
              <w:rPr>
                <w:i/>
              </w:rPr>
              <w:t xml:space="preserve">Darlington Memorial Hospital </w:t>
            </w:r>
            <w:proofErr w:type="spellStart"/>
            <w:r w:rsidRPr="00F7038D">
              <w:rPr>
                <w:i/>
              </w:rPr>
              <w:t>NHS</w:t>
            </w:r>
            <w:proofErr w:type="spellEnd"/>
            <w:r w:rsidRPr="00F7038D">
              <w:rPr>
                <w:i/>
              </w:rPr>
              <w:t xml:space="preserve"> Trust</w:t>
            </w:r>
            <w:r w:rsidRPr="00F7038D">
              <w:t xml:space="preserve"> </w:t>
            </w:r>
          </w:p>
          <w:p w14:paraId="743D8175" w14:textId="70C9E4D1" w:rsidR="0084664B" w:rsidRDefault="00F7038D" w:rsidP="00002620">
            <w:pPr>
              <w:ind w:left="34"/>
            </w:pPr>
            <w:r w:rsidRPr="00F7038D">
              <w:t xml:space="preserve">[2003] </w:t>
            </w:r>
            <w:proofErr w:type="spellStart"/>
            <w:r w:rsidRPr="00F7038D">
              <w:t>UKHL</w:t>
            </w:r>
            <w:proofErr w:type="spellEnd"/>
            <w:r w:rsidRPr="00F7038D">
              <w:t xml:space="preserve"> 52</w:t>
            </w:r>
          </w:p>
        </w:tc>
      </w:tr>
      <w:tr w:rsidR="00894076" w:rsidRPr="00991193" w14:paraId="400BD82E" w14:textId="77777777" w:rsidTr="00192511">
        <w:tc>
          <w:tcPr>
            <w:tcW w:w="2802" w:type="dxa"/>
            <w:tcMar>
              <w:top w:w="113" w:type="dxa"/>
              <w:bottom w:w="113" w:type="dxa"/>
            </w:tcMar>
            <w:vAlign w:val="center"/>
          </w:tcPr>
          <w:p w14:paraId="610C4B42" w14:textId="77777777" w:rsidR="00894076" w:rsidRDefault="00894076" w:rsidP="00192511">
            <w:pPr>
              <w:ind w:left="2977" w:hanging="2977"/>
            </w:pPr>
            <w:r>
              <w:t>Sampson and Weaver, 2010</w:t>
            </w:r>
          </w:p>
        </w:tc>
        <w:tc>
          <w:tcPr>
            <w:tcW w:w="6520" w:type="dxa"/>
            <w:tcMar>
              <w:top w:w="113" w:type="dxa"/>
              <w:bottom w:w="113" w:type="dxa"/>
            </w:tcMar>
            <w:vAlign w:val="center"/>
          </w:tcPr>
          <w:p w14:paraId="2FB00A4E" w14:textId="77777777" w:rsidR="00894076" w:rsidRDefault="00894076" w:rsidP="00192511">
            <w:pPr>
              <w:ind w:left="34"/>
            </w:pPr>
            <w:r>
              <w:t>Sampson, Alice and Weaver, Max</w:t>
            </w:r>
          </w:p>
          <w:p w14:paraId="0F881852" w14:textId="77777777" w:rsidR="00894076" w:rsidRDefault="00894076" w:rsidP="00192511">
            <w:pPr>
              <w:ind w:left="34"/>
            </w:pPr>
            <w:r>
              <w:t>‘</w:t>
            </w:r>
            <w:r w:rsidRPr="00281DCB">
              <w:t>Community Anchors: securing their position</w:t>
            </w:r>
            <w:r>
              <w:t>’</w:t>
            </w:r>
            <w:r w:rsidRPr="00281DCB">
              <w:t xml:space="preserve"> </w:t>
            </w:r>
          </w:p>
          <w:p w14:paraId="7319CE4A" w14:textId="77777777" w:rsidR="00894076" w:rsidRDefault="00894076" w:rsidP="00192511">
            <w:pPr>
              <w:ind w:left="34"/>
            </w:pPr>
            <w:r w:rsidRPr="00B33071">
              <w:rPr>
                <w:i/>
              </w:rPr>
              <w:t>Rising East</w:t>
            </w:r>
            <w:r w:rsidRPr="00281DCB">
              <w:t xml:space="preserve"> </w:t>
            </w:r>
            <w:proofErr w:type="spellStart"/>
            <w:r w:rsidRPr="00281DCB">
              <w:t>Vol</w:t>
            </w:r>
            <w:proofErr w:type="spellEnd"/>
            <w:r w:rsidRPr="00281DCB">
              <w:t xml:space="preserve"> 2, Series 1, No 3 February 24th 2010 http://www.uel.ac.uk/risingeast/essays/2010-02-24.htm</w:t>
            </w:r>
          </w:p>
        </w:tc>
      </w:tr>
      <w:tr w:rsidR="00281DCB" w:rsidRPr="00991193" w14:paraId="61B0DBB3" w14:textId="77777777" w:rsidTr="00515A6D">
        <w:tc>
          <w:tcPr>
            <w:tcW w:w="2802" w:type="dxa"/>
            <w:tcMar>
              <w:top w:w="113" w:type="dxa"/>
              <w:bottom w:w="113" w:type="dxa"/>
            </w:tcMar>
            <w:vAlign w:val="center"/>
          </w:tcPr>
          <w:p w14:paraId="361EB80D" w14:textId="400FD5E8" w:rsidR="00281DCB" w:rsidRDefault="00281DCB" w:rsidP="00281DCB">
            <w:pPr>
              <w:ind w:left="2977" w:hanging="2977"/>
            </w:pPr>
            <w:r>
              <w:t>Smith, 1759</w:t>
            </w:r>
          </w:p>
        </w:tc>
        <w:tc>
          <w:tcPr>
            <w:tcW w:w="6520" w:type="dxa"/>
            <w:tcMar>
              <w:top w:w="113" w:type="dxa"/>
              <w:bottom w:w="113" w:type="dxa"/>
            </w:tcMar>
            <w:vAlign w:val="center"/>
          </w:tcPr>
          <w:p w14:paraId="53879C2B" w14:textId="77777777" w:rsidR="00281DCB" w:rsidRDefault="00281DCB" w:rsidP="00281DCB">
            <w:pPr>
              <w:ind w:left="2977" w:hanging="2977"/>
            </w:pPr>
            <w:r>
              <w:t>Adam Smith</w:t>
            </w:r>
          </w:p>
          <w:p w14:paraId="147F0879" w14:textId="77777777" w:rsidR="00281DCB" w:rsidRDefault="00281DCB" w:rsidP="00281DCB">
            <w:pPr>
              <w:ind w:left="2977" w:hanging="2977"/>
            </w:pPr>
            <w:r w:rsidRPr="00024753">
              <w:rPr>
                <w:i/>
              </w:rPr>
              <w:t>The Theory of Moral Sentiments</w:t>
            </w:r>
            <w:r>
              <w:t xml:space="preserve"> </w:t>
            </w:r>
          </w:p>
          <w:p w14:paraId="6874BE2E" w14:textId="77777777" w:rsidR="00281DCB" w:rsidRDefault="00281DCB" w:rsidP="00281DCB">
            <w:pPr>
              <w:ind w:left="2977" w:hanging="2977"/>
            </w:pPr>
            <w:r>
              <w:t>Uplifting Publications, Kindle Edition, 2009</w:t>
            </w:r>
          </w:p>
        </w:tc>
      </w:tr>
      <w:tr w:rsidR="0084664B" w:rsidRPr="00991193" w14:paraId="44DF0638" w14:textId="77777777" w:rsidTr="00515A6D">
        <w:tc>
          <w:tcPr>
            <w:tcW w:w="2802" w:type="dxa"/>
            <w:tcMar>
              <w:top w:w="113" w:type="dxa"/>
              <w:bottom w:w="113" w:type="dxa"/>
            </w:tcMar>
            <w:vAlign w:val="center"/>
          </w:tcPr>
          <w:p w14:paraId="69CA1385" w14:textId="4F4F210E" w:rsidR="0084664B" w:rsidRDefault="0084664B" w:rsidP="00281DCB">
            <w:pPr>
              <w:ind w:left="2977" w:hanging="2977"/>
            </w:pPr>
            <w:r>
              <w:t>Thompson, 1997</w:t>
            </w:r>
          </w:p>
        </w:tc>
        <w:tc>
          <w:tcPr>
            <w:tcW w:w="6520" w:type="dxa"/>
            <w:tcMar>
              <w:top w:w="113" w:type="dxa"/>
              <w:bottom w:w="113" w:type="dxa"/>
            </w:tcMar>
            <w:vAlign w:val="center"/>
          </w:tcPr>
          <w:p w14:paraId="5D7ECC01" w14:textId="64653933" w:rsidR="00740B47" w:rsidRDefault="00740B47" w:rsidP="00740B47">
            <w:r>
              <w:t>Court of Appeal, Civil Division</w:t>
            </w:r>
          </w:p>
          <w:p w14:paraId="52264B27" w14:textId="77777777" w:rsidR="0084664B" w:rsidRDefault="0084664B" w:rsidP="00515A6D">
            <w:pPr>
              <w:ind w:firstLine="33"/>
              <w:rPr>
                <w:i/>
                <w:iCs/>
              </w:rPr>
            </w:pPr>
            <w:r w:rsidRPr="0084664B">
              <w:rPr>
                <w:i/>
                <w:iCs/>
              </w:rPr>
              <w:t xml:space="preserve">Thompson </w:t>
            </w:r>
            <w:r w:rsidRPr="0084664B">
              <w:t xml:space="preserve">v </w:t>
            </w:r>
            <w:r w:rsidRPr="0084664B">
              <w:rPr>
                <w:i/>
                <w:iCs/>
              </w:rPr>
              <w:t>Commissioner of Police for the Metropolis</w:t>
            </w:r>
            <w:r>
              <w:rPr>
                <w:i/>
                <w:iCs/>
              </w:rPr>
              <w:t xml:space="preserve"> </w:t>
            </w:r>
          </w:p>
          <w:p w14:paraId="085BCD48" w14:textId="09B0663E" w:rsidR="0084664B" w:rsidRDefault="0084664B" w:rsidP="0084664B">
            <w:r w:rsidRPr="005B1F1A">
              <w:t xml:space="preserve">[1997] 2 </w:t>
            </w:r>
            <w:r w:rsidRPr="0084664B">
              <w:rPr>
                <w:i/>
              </w:rPr>
              <w:t>All England Reports</w:t>
            </w:r>
            <w:r w:rsidRPr="005B1F1A">
              <w:t xml:space="preserve"> 762</w:t>
            </w:r>
          </w:p>
        </w:tc>
      </w:tr>
      <w:tr w:rsidR="00515A6D" w:rsidRPr="00991193" w14:paraId="14FD279E" w14:textId="77777777" w:rsidTr="00515A6D">
        <w:tc>
          <w:tcPr>
            <w:tcW w:w="2802" w:type="dxa"/>
            <w:tcMar>
              <w:top w:w="113" w:type="dxa"/>
              <w:bottom w:w="113" w:type="dxa"/>
            </w:tcMar>
            <w:vAlign w:val="center"/>
          </w:tcPr>
          <w:p w14:paraId="67FA0339" w14:textId="221DEB8A" w:rsidR="00515A6D" w:rsidRDefault="00515A6D" w:rsidP="00281DCB">
            <w:pPr>
              <w:ind w:left="2977" w:hanging="2977"/>
            </w:pPr>
            <w:r>
              <w:t>Weaver, 2009</w:t>
            </w:r>
          </w:p>
        </w:tc>
        <w:tc>
          <w:tcPr>
            <w:tcW w:w="6520" w:type="dxa"/>
            <w:tcMar>
              <w:top w:w="113" w:type="dxa"/>
              <w:bottom w:w="113" w:type="dxa"/>
            </w:tcMar>
            <w:vAlign w:val="center"/>
          </w:tcPr>
          <w:p w14:paraId="482C6BCE" w14:textId="6B308C6F" w:rsidR="00515A6D" w:rsidRDefault="00515A6D" w:rsidP="00515A6D">
            <w:pPr>
              <w:ind w:firstLine="33"/>
            </w:pPr>
            <w:r>
              <w:t>Weaver, Max</w:t>
            </w:r>
          </w:p>
          <w:p w14:paraId="7D5A8715" w14:textId="48CE4B3F" w:rsidR="00515A6D" w:rsidRDefault="00515A6D" w:rsidP="00515A6D">
            <w:pPr>
              <w:ind w:firstLine="33"/>
            </w:pPr>
            <w:r>
              <w:t>‘</w:t>
            </w:r>
            <w:r w:rsidRPr="00515A6D">
              <w:t>Principles, paradig</w:t>
            </w:r>
            <w:r>
              <w:t>ms and practice as barriers to “sustainable independence”</w:t>
            </w:r>
            <w:r w:rsidRPr="00515A6D">
              <w:t xml:space="preserve"> for community anchors’.</w:t>
            </w:r>
            <w:r w:rsidRPr="00515A6D">
              <w:br/>
              <w:t>http://www.uel.ac.uk/cis/documents/CommunityAnchorsMaxWeaver.pdf</w:t>
            </w:r>
          </w:p>
        </w:tc>
      </w:tr>
    </w:tbl>
    <w:p w14:paraId="7C376BD2" w14:textId="4BE709AB" w:rsidR="0081351D" w:rsidRPr="00991193" w:rsidRDefault="0081351D" w:rsidP="0081351D"/>
    <w:sectPr w:rsidR="0081351D" w:rsidRPr="009911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8C53" w14:textId="77777777" w:rsidR="00F8417B" w:rsidRDefault="00F8417B" w:rsidP="00A3349B">
      <w:pPr>
        <w:spacing w:before="0" w:after="0" w:line="240" w:lineRule="auto"/>
      </w:pPr>
      <w:r>
        <w:separator/>
      </w:r>
    </w:p>
  </w:endnote>
  <w:endnote w:type="continuationSeparator" w:id="0">
    <w:p w14:paraId="3109B76B" w14:textId="77777777" w:rsidR="00F8417B" w:rsidRDefault="00F8417B" w:rsidP="00A334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704209064"/>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2D488AED" w14:textId="1FCE11F2" w:rsidR="00A3349B" w:rsidRDefault="00A3349B">
            <w:pPr>
              <w:rPr>
                <w:rFonts w:asciiTheme="majorHAnsi" w:eastAsiaTheme="majorEastAsia" w:hAnsiTheme="majorHAnsi" w:cstheme="majorBidi"/>
              </w:rPr>
            </w:pPr>
            <w:r>
              <w:rPr>
                <w:rFonts w:asciiTheme="majorHAnsi" w:eastAsiaTheme="majorEastAsia" w:hAnsiTheme="majorHAnsi" w:cstheme="majorBidi"/>
                <w:noProof/>
                <w:lang w:eastAsia="en-GB"/>
              </w:rPr>
              <mc:AlternateContent>
                <mc:Choice Requires="wps">
                  <w:drawing>
                    <wp:anchor distT="0" distB="0" distL="114300" distR="114300" simplePos="0" relativeHeight="251659264" behindDoc="0" locked="0" layoutInCell="1" allowOverlap="1" wp14:anchorId="53067692" wp14:editId="39FF9C07">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0803A401" w14:textId="77777777" w:rsidR="00A3349B" w:rsidRDefault="00A3349B">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sidR="00AF0B25" w:rsidRPr="00AF0B25">
                                    <w:rPr>
                                      <w:b/>
                                      <w:bCs/>
                                      <w:noProof/>
                                      <w:color w:val="FFFFFF" w:themeColor="background1"/>
                                      <w:sz w:val="32"/>
                                      <w:szCs w:val="32"/>
                                    </w:rPr>
                                    <w:t>1</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EubQIAANs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OktRLm0CAADbBAAADgAAAAAAAAAAAAAAAAAuAgAA&#10;ZHJzL2Uyb0RvYy54bWxQSwECLQAUAAYACAAAACEAhvgk4tkAAAADAQAADwAAAAAAAAAAAAAAAADH&#10;BAAAZHJzL2Rvd25yZXYueG1sUEsFBgAAAAAEAAQA8wAAAM0FAAAAAA==&#10;" fillcolor="#40618b" stroked="f">
                      <v:textbox inset="0,,0">
                        <w:txbxContent>
                          <w:p w14:paraId="0803A401" w14:textId="77777777" w:rsidR="00A3349B" w:rsidRDefault="00A3349B">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sidR="00AF0B25" w:rsidRPr="00AF0B25">
                              <w:rPr>
                                <w:b/>
                                <w:bCs/>
                                <w:noProof/>
                                <w:color w:val="FFFFFF" w:themeColor="background1"/>
                                <w:sz w:val="32"/>
                                <w:szCs w:val="32"/>
                              </w:rPr>
                              <w:t>1</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59CD63F0" w14:textId="77777777" w:rsidR="00A3349B" w:rsidRDefault="00A33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7C915" w14:textId="77777777" w:rsidR="00F8417B" w:rsidRDefault="00F8417B" w:rsidP="00A3349B">
      <w:pPr>
        <w:spacing w:before="0" w:after="0" w:line="240" w:lineRule="auto"/>
      </w:pPr>
      <w:r>
        <w:separator/>
      </w:r>
    </w:p>
  </w:footnote>
  <w:footnote w:type="continuationSeparator" w:id="0">
    <w:p w14:paraId="62C3063C" w14:textId="77777777" w:rsidR="00F8417B" w:rsidRDefault="00F8417B" w:rsidP="00A3349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C97"/>
    <w:multiLevelType w:val="hybridMultilevel"/>
    <w:tmpl w:val="7048F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FD6D4F"/>
    <w:multiLevelType w:val="multilevel"/>
    <w:tmpl w:val="A79C8BB6"/>
    <w:styleLink w:val="Outlinenumbered"/>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2">
    <w:nsid w:val="37562078"/>
    <w:multiLevelType w:val="multilevel"/>
    <w:tmpl w:val="FB767E06"/>
    <w:styleLink w:val="Multi-levelnumbering"/>
    <w:lvl w:ilvl="0">
      <w:start w:val="1"/>
      <w:numFmt w:val="decimal"/>
      <w:lvlText w:val="%1."/>
      <w:lvlJc w:val="left"/>
      <w:pPr>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tabs>
          <w:tab w:val="num" w:pos="2268"/>
        </w:tabs>
        <w:ind w:left="2835"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398584B"/>
    <w:multiLevelType w:val="hybridMultilevel"/>
    <w:tmpl w:val="1D9418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A5"/>
    <w:rsid w:val="00002620"/>
    <w:rsid w:val="00005E1E"/>
    <w:rsid w:val="00024753"/>
    <w:rsid w:val="00086BBA"/>
    <w:rsid w:val="000B07D3"/>
    <w:rsid w:val="000B5B1C"/>
    <w:rsid w:val="000D2E99"/>
    <w:rsid w:val="00111DC1"/>
    <w:rsid w:val="0011660F"/>
    <w:rsid w:val="00130686"/>
    <w:rsid w:val="0016714D"/>
    <w:rsid w:val="00190AD6"/>
    <w:rsid w:val="001B07C6"/>
    <w:rsid w:val="002473E4"/>
    <w:rsid w:val="00274464"/>
    <w:rsid w:val="00281DCB"/>
    <w:rsid w:val="002A525F"/>
    <w:rsid w:val="002E4602"/>
    <w:rsid w:val="00313FFA"/>
    <w:rsid w:val="00346626"/>
    <w:rsid w:val="00365EB5"/>
    <w:rsid w:val="003A77CC"/>
    <w:rsid w:val="004012B4"/>
    <w:rsid w:val="00457C8D"/>
    <w:rsid w:val="00460A15"/>
    <w:rsid w:val="00486518"/>
    <w:rsid w:val="004D6081"/>
    <w:rsid w:val="004E744B"/>
    <w:rsid w:val="004F1E60"/>
    <w:rsid w:val="00515A6D"/>
    <w:rsid w:val="0056528D"/>
    <w:rsid w:val="0057157B"/>
    <w:rsid w:val="005931AB"/>
    <w:rsid w:val="00594633"/>
    <w:rsid w:val="005C16A3"/>
    <w:rsid w:val="005F4967"/>
    <w:rsid w:val="00621E0D"/>
    <w:rsid w:val="006231EF"/>
    <w:rsid w:val="006265C3"/>
    <w:rsid w:val="0065431A"/>
    <w:rsid w:val="006A774C"/>
    <w:rsid w:val="0072197D"/>
    <w:rsid w:val="00740B47"/>
    <w:rsid w:val="0075411A"/>
    <w:rsid w:val="007B2DE1"/>
    <w:rsid w:val="008033CC"/>
    <w:rsid w:val="0081351D"/>
    <w:rsid w:val="0083277C"/>
    <w:rsid w:val="0084664B"/>
    <w:rsid w:val="00880E0D"/>
    <w:rsid w:val="00894076"/>
    <w:rsid w:val="008B489A"/>
    <w:rsid w:val="008C76DD"/>
    <w:rsid w:val="009352B8"/>
    <w:rsid w:val="009565A1"/>
    <w:rsid w:val="00991193"/>
    <w:rsid w:val="00993A5E"/>
    <w:rsid w:val="009F37E6"/>
    <w:rsid w:val="00A058D2"/>
    <w:rsid w:val="00A05967"/>
    <w:rsid w:val="00A277AD"/>
    <w:rsid w:val="00A3349B"/>
    <w:rsid w:val="00A341DB"/>
    <w:rsid w:val="00A54034"/>
    <w:rsid w:val="00A56CE9"/>
    <w:rsid w:val="00A924C6"/>
    <w:rsid w:val="00AE7E60"/>
    <w:rsid w:val="00AF0B25"/>
    <w:rsid w:val="00AF1C8F"/>
    <w:rsid w:val="00B03433"/>
    <w:rsid w:val="00B0470D"/>
    <w:rsid w:val="00B33071"/>
    <w:rsid w:val="00B50EF5"/>
    <w:rsid w:val="00B876B0"/>
    <w:rsid w:val="00BB1DF9"/>
    <w:rsid w:val="00BB595A"/>
    <w:rsid w:val="00BE772A"/>
    <w:rsid w:val="00BF4E07"/>
    <w:rsid w:val="00C2725E"/>
    <w:rsid w:val="00C3434E"/>
    <w:rsid w:val="00C45044"/>
    <w:rsid w:val="00CB1476"/>
    <w:rsid w:val="00CB36BF"/>
    <w:rsid w:val="00CB55A3"/>
    <w:rsid w:val="00CE1DD0"/>
    <w:rsid w:val="00CE303E"/>
    <w:rsid w:val="00D245D8"/>
    <w:rsid w:val="00D45BB7"/>
    <w:rsid w:val="00D7003D"/>
    <w:rsid w:val="00D801BC"/>
    <w:rsid w:val="00D975A5"/>
    <w:rsid w:val="00DB76D6"/>
    <w:rsid w:val="00DD7E59"/>
    <w:rsid w:val="00E3303E"/>
    <w:rsid w:val="00E557E5"/>
    <w:rsid w:val="00E7373B"/>
    <w:rsid w:val="00EC28EA"/>
    <w:rsid w:val="00F23DB7"/>
    <w:rsid w:val="00F275BD"/>
    <w:rsid w:val="00F7038D"/>
    <w:rsid w:val="00F80D28"/>
    <w:rsid w:val="00F8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193"/>
    <w:rPr>
      <w:sz w:val="20"/>
      <w:szCs w:val="20"/>
    </w:rPr>
  </w:style>
  <w:style w:type="paragraph" w:styleId="Heading1">
    <w:name w:val="heading 1"/>
    <w:basedOn w:val="Normal"/>
    <w:next w:val="Normal"/>
    <w:link w:val="Heading1Char"/>
    <w:uiPriority w:val="9"/>
    <w:qFormat/>
    <w:rsid w:val="00DB76D6"/>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9119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91193"/>
    <w:pPr>
      <w:pBdr>
        <w:top w:val="single" w:sz="6" w:space="2" w:color="4F81BD" w:themeColor="accent1"/>
        <w:left w:val="single" w:sz="6" w:space="2" w:color="4F81BD" w:themeColor="accent1"/>
      </w:pBdr>
      <w:spacing w:before="300" w:after="0"/>
      <w:ind w:left="567"/>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99119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9119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9119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9119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9119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119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numbered">
    <w:name w:val="Outline numbered"/>
    <w:uiPriority w:val="99"/>
    <w:rsid w:val="002473E4"/>
    <w:pPr>
      <w:numPr>
        <w:numId w:val="1"/>
      </w:numPr>
    </w:pPr>
  </w:style>
  <w:style w:type="character" w:customStyle="1" w:styleId="Heading1Char">
    <w:name w:val="Heading 1 Char"/>
    <w:basedOn w:val="DefaultParagraphFont"/>
    <w:link w:val="Heading1"/>
    <w:uiPriority w:val="9"/>
    <w:rsid w:val="00DB76D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991193"/>
    <w:rPr>
      <w:caps/>
      <w:spacing w:val="15"/>
      <w:shd w:val="clear" w:color="auto" w:fill="DBE5F1" w:themeFill="accent1" w:themeFillTint="33"/>
    </w:rPr>
  </w:style>
  <w:style w:type="paragraph" w:styleId="Title">
    <w:name w:val="Title"/>
    <w:basedOn w:val="Normal"/>
    <w:next w:val="Normal"/>
    <w:link w:val="TitleChar"/>
    <w:uiPriority w:val="10"/>
    <w:qFormat/>
    <w:rsid w:val="0099119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91193"/>
    <w:rPr>
      <w:caps/>
      <w:color w:val="4F81BD" w:themeColor="accent1"/>
      <w:spacing w:val="10"/>
      <w:kern w:val="28"/>
      <w:sz w:val="52"/>
      <w:szCs w:val="52"/>
    </w:rPr>
  </w:style>
  <w:style w:type="numbering" w:customStyle="1" w:styleId="Multi-levelnumbering">
    <w:name w:val="Multi-level numbering"/>
    <w:uiPriority w:val="99"/>
    <w:rsid w:val="00486518"/>
    <w:pPr>
      <w:numPr>
        <w:numId w:val="2"/>
      </w:numPr>
    </w:pPr>
  </w:style>
  <w:style w:type="character" w:customStyle="1" w:styleId="Heading4Char">
    <w:name w:val="Heading 4 Char"/>
    <w:basedOn w:val="DefaultParagraphFont"/>
    <w:link w:val="Heading4"/>
    <w:uiPriority w:val="9"/>
    <w:rsid w:val="00991193"/>
    <w:rPr>
      <w:caps/>
      <w:color w:val="365F91" w:themeColor="accent1" w:themeShade="BF"/>
      <w:spacing w:val="10"/>
    </w:rPr>
  </w:style>
  <w:style w:type="paragraph" w:customStyle="1" w:styleId="ThreeColumnTabbed">
    <w:name w:val="Three Column Tabbed"/>
    <w:basedOn w:val="Normal"/>
    <w:link w:val="ThreeColumnTabbedChar"/>
    <w:rsid w:val="00005E1E"/>
    <w:pPr>
      <w:tabs>
        <w:tab w:val="center" w:pos="4678"/>
        <w:tab w:val="right" w:pos="9356"/>
      </w:tabs>
      <w:autoSpaceDE w:val="0"/>
      <w:autoSpaceDN w:val="0"/>
      <w:adjustRightInd w:val="0"/>
      <w:spacing w:before="60" w:after="0" w:line="240" w:lineRule="auto"/>
    </w:pPr>
    <w:rPr>
      <w:rFonts w:ascii="Calibri" w:hAnsi="Calibri" w:cs="Calibri"/>
      <w:kern w:val="24"/>
      <w:sz w:val="24"/>
      <w:szCs w:val="32"/>
    </w:rPr>
  </w:style>
  <w:style w:type="character" w:customStyle="1" w:styleId="ThreeColumnTabbedChar">
    <w:name w:val="Three Column Tabbed Char"/>
    <w:basedOn w:val="DefaultParagraphFont"/>
    <w:link w:val="ThreeColumnTabbed"/>
    <w:rsid w:val="00005E1E"/>
    <w:rPr>
      <w:rFonts w:ascii="Calibri" w:hAnsi="Calibri" w:cs="Calibri"/>
      <w:kern w:val="24"/>
      <w:sz w:val="24"/>
      <w:szCs w:val="32"/>
    </w:rPr>
  </w:style>
  <w:style w:type="character" w:customStyle="1" w:styleId="Heading3Char">
    <w:name w:val="Heading 3 Char"/>
    <w:basedOn w:val="DefaultParagraphFont"/>
    <w:link w:val="Heading3"/>
    <w:uiPriority w:val="9"/>
    <w:rsid w:val="00991193"/>
    <w:rPr>
      <w:caps/>
      <w:color w:val="243F60" w:themeColor="accent1" w:themeShade="7F"/>
      <w:spacing w:val="15"/>
    </w:rPr>
  </w:style>
  <w:style w:type="character" w:customStyle="1" w:styleId="Heading5Char">
    <w:name w:val="Heading 5 Char"/>
    <w:basedOn w:val="DefaultParagraphFont"/>
    <w:link w:val="Heading5"/>
    <w:uiPriority w:val="9"/>
    <w:semiHidden/>
    <w:rsid w:val="00991193"/>
    <w:rPr>
      <w:caps/>
      <w:color w:val="365F91" w:themeColor="accent1" w:themeShade="BF"/>
      <w:spacing w:val="10"/>
    </w:rPr>
  </w:style>
  <w:style w:type="character" w:customStyle="1" w:styleId="Heading6Char">
    <w:name w:val="Heading 6 Char"/>
    <w:basedOn w:val="DefaultParagraphFont"/>
    <w:link w:val="Heading6"/>
    <w:uiPriority w:val="9"/>
    <w:semiHidden/>
    <w:rsid w:val="00991193"/>
    <w:rPr>
      <w:caps/>
      <w:color w:val="365F91" w:themeColor="accent1" w:themeShade="BF"/>
      <w:spacing w:val="10"/>
    </w:rPr>
  </w:style>
  <w:style w:type="character" w:customStyle="1" w:styleId="Heading7Char">
    <w:name w:val="Heading 7 Char"/>
    <w:basedOn w:val="DefaultParagraphFont"/>
    <w:link w:val="Heading7"/>
    <w:uiPriority w:val="9"/>
    <w:semiHidden/>
    <w:rsid w:val="00991193"/>
    <w:rPr>
      <w:caps/>
      <w:color w:val="365F91" w:themeColor="accent1" w:themeShade="BF"/>
      <w:spacing w:val="10"/>
    </w:rPr>
  </w:style>
  <w:style w:type="character" w:customStyle="1" w:styleId="Heading8Char">
    <w:name w:val="Heading 8 Char"/>
    <w:basedOn w:val="DefaultParagraphFont"/>
    <w:link w:val="Heading8"/>
    <w:uiPriority w:val="9"/>
    <w:semiHidden/>
    <w:rsid w:val="00991193"/>
    <w:rPr>
      <w:caps/>
      <w:spacing w:val="10"/>
      <w:sz w:val="18"/>
      <w:szCs w:val="18"/>
    </w:rPr>
  </w:style>
  <w:style w:type="character" w:customStyle="1" w:styleId="Heading9Char">
    <w:name w:val="Heading 9 Char"/>
    <w:basedOn w:val="DefaultParagraphFont"/>
    <w:link w:val="Heading9"/>
    <w:uiPriority w:val="9"/>
    <w:semiHidden/>
    <w:rsid w:val="00991193"/>
    <w:rPr>
      <w:i/>
      <w:caps/>
      <w:spacing w:val="10"/>
      <w:sz w:val="18"/>
      <w:szCs w:val="18"/>
    </w:rPr>
  </w:style>
  <w:style w:type="paragraph" w:styleId="Caption">
    <w:name w:val="caption"/>
    <w:basedOn w:val="Normal"/>
    <w:next w:val="Normal"/>
    <w:uiPriority w:val="35"/>
    <w:semiHidden/>
    <w:unhideWhenUsed/>
    <w:qFormat/>
    <w:rsid w:val="00991193"/>
    <w:rPr>
      <w:b/>
      <w:bCs/>
      <w:color w:val="365F91" w:themeColor="accent1" w:themeShade="BF"/>
      <w:sz w:val="16"/>
      <w:szCs w:val="16"/>
    </w:rPr>
  </w:style>
  <w:style w:type="paragraph" w:styleId="Subtitle">
    <w:name w:val="Subtitle"/>
    <w:basedOn w:val="Normal"/>
    <w:next w:val="Normal"/>
    <w:link w:val="SubtitleChar"/>
    <w:uiPriority w:val="11"/>
    <w:qFormat/>
    <w:rsid w:val="004F1E60"/>
    <w:rPr>
      <w:i/>
      <w:color w:val="4F81BD" w:themeColor="accent1"/>
    </w:rPr>
  </w:style>
  <w:style w:type="character" w:customStyle="1" w:styleId="SubtitleChar">
    <w:name w:val="Subtitle Char"/>
    <w:basedOn w:val="DefaultParagraphFont"/>
    <w:link w:val="Subtitle"/>
    <w:uiPriority w:val="11"/>
    <w:rsid w:val="004F1E60"/>
    <w:rPr>
      <w:i/>
      <w:color w:val="4F81BD" w:themeColor="accent1"/>
      <w:sz w:val="20"/>
      <w:szCs w:val="20"/>
    </w:rPr>
  </w:style>
  <w:style w:type="character" w:styleId="Strong">
    <w:name w:val="Strong"/>
    <w:uiPriority w:val="22"/>
    <w:qFormat/>
    <w:rsid w:val="00991193"/>
    <w:rPr>
      <w:b/>
      <w:bCs/>
    </w:rPr>
  </w:style>
  <w:style w:type="character" w:styleId="Emphasis">
    <w:name w:val="Emphasis"/>
    <w:uiPriority w:val="20"/>
    <w:qFormat/>
    <w:rsid w:val="00991193"/>
    <w:rPr>
      <w:caps/>
      <w:color w:val="243F60" w:themeColor="accent1" w:themeShade="7F"/>
      <w:spacing w:val="5"/>
    </w:rPr>
  </w:style>
  <w:style w:type="paragraph" w:styleId="NoSpacing">
    <w:name w:val="No Spacing"/>
    <w:basedOn w:val="Normal"/>
    <w:link w:val="NoSpacingChar"/>
    <w:uiPriority w:val="1"/>
    <w:qFormat/>
    <w:rsid w:val="00991193"/>
    <w:pPr>
      <w:spacing w:before="0" w:after="0" w:line="240" w:lineRule="auto"/>
    </w:pPr>
  </w:style>
  <w:style w:type="character" w:customStyle="1" w:styleId="NoSpacingChar">
    <w:name w:val="No Spacing Char"/>
    <w:basedOn w:val="DefaultParagraphFont"/>
    <w:link w:val="NoSpacing"/>
    <w:uiPriority w:val="1"/>
    <w:rsid w:val="00991193"/>
    <w:rPr>
      <w:sz w:val="20"/>
      <w:szCs w:val="20"/>
    </w:rPr>
  </w:style>
  <w:style w:type="paragraph" w:styleId="ListParagraph">
    <w:name w:val="List Paragraph"/>
    <w:basedOn w:val="Normal"/>
    <w:uiPriority w:val="34"/>
    <w:qFormat/>
    <w:rsid w:val="00991193"/>
    <w:pPr>
      <w:ind w:left="720"/>
      <w:contextualSpacing/>
    </w:pPr>
  </w:style>
  <w:style w:type="paragraph" w:styleId="Quote">
    <w:name w:val="Quote"/>
    <w:basedOn w:val="Normal"/>
    <w:next w:val="Normal"/>
    <w:link w:val="QuoteChar"/>
    <w:uiPriority w:val="29"/>
    <w:qFormat/>
    <w:rsid w:val="00991193"/>
    <w:rPr>
      <w:i/>
      <w:iCs/>
    </w:rPr>
  </w:style>
  <w:style w:type="character" w:customStyle="1" w:styleId="QuoteChar">
    <w:name w:val="Quote Char"/>
    <w:basedOn w:val="DefaultParagraphFont"/>
    <w:link w:val="Quote"/>
    <w:uiPriority w:val="29"/>
    <w:rsid w:val="00991193"/>
    <w:rPr>
      <w:i/>
      <w:iCs/>
      <w:sz w:val="20"/>
      <w:szCs w:val="20"/>
    </w:rPr>
  </w:style>
  <w:style w:type="paragraph" w:styleId="IntenseQuote">
    <w:name w:val="Intense Quote"/>
    <w:basedOn w:val="Normal"/>
    <w:next w:val="Normal"/>
    <w:link w:val="IntenseQuoteChar"/>
    <w:uiPriority w:val="30"/>
    <w:qFormat/>
    <w:rsid w:val="0099119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91193"/>
    <w:rPr>
      <w:i/>
      <w:iCs/>
      <w:color w:val="4F81BD" w:themeColor="accent1"/>
      <w:sz w:val="20"/>
      <w:szCs w:val="20"/>
    </w:rPr>
  </w:style>
  <w:style w:type="character" w:styleId="SubtleEmphasis">
    <w:name w:val="Subtle Emphasis"/>
    <w:uiPriority w:val="19"/>
    <w:qFormat/>
    <w:rsid w:val="00991193"/>
    <w:rPr>
      <w:i/>
      <w:iCs/>
      <w:color w:val="243F60" w:themeColor="accent1" w:themeShade="7F"/>
    </w:rPr>
  </w:style>
  <w:style w:type="character" w:styleId="IntenseEmphasis">
    <w:name w:val="Intense Emphasis"/>
    <w:uiPriority w:val="21"/>
    <w:qFormat/>
    <w:rsid w:val="00991193"/>
    <w:rPr>
      <w:b/>
      <w:bCs/>
      <w:caps/>
      <w:color w:val="243F60" w:themeColor="accent1" w:themeShade="7F"/>
      <w:spacing w:val="10"/>
    </w:rPr>
  </w:style>
  <w:style w:type="character" w:styleId="SubtleReference">
    <w:name w:val="Subtle Reference"/>
    <w:uiPriority w:val="31"/>
    <w:qFormat/>
    <w:rsid w:val="00991193"/>
    <w:rPr>
      <w:b/>
      <w:bCs/>
      <w:color w:val="4F81BD" w:themeColor="accent1"/>
    </w:rPr>
  </w:style>
  <w:style w:type="character" w:styleId="IntenseReference">
    <w:name w:val="Intense Reference"/>
    <w:uiPriority w:val="32"/>
    <w:qFormat/>
    <w:rsid w:val="00991193"/>
    <w:rPr>
      <w:b/>
      <w:bCs/>
      <w:i/>
      <w:iCs/>
      <w:caps/>
      <w:color w:val="4F81BD" w:themeColor="accent1"/>
    </w:rPr>
  </w:style>
  <w:style w:type="character" w:styleId="BookTitle">
    <w:name w:val="Book Title"/>
    <w:uiPriority w:val="33"/>
    <w:qFormat/>
    <w:rsid w:val="00991193"/>
    <w:rPr>
      <w:b/>
      <w:bCs/>
      <w:i/>
      <w:iCs/>
      <w:spacing w:val="9"/>
    </w:rPr>
  </w:style>
  <w:style w:type="paragraph" w:styleId="TOCHeading">
    <w:name w:val="TOC Heading"/>
    <w:basedOn w:val="Heading1"/>
    <w:next w:val="Normal"/>
    <w:uiPriority w:val="39"/>
    <w:semiHidden/>
    <w:unhideWhenUsed/>
    <w:qFormat/>
    <w:rsid w:val="00991193"/>
    <w:pPr>
      <w:outlineLvl w:val="9"/>
    </w:pPr>
    <w:rPr>
      <w:lang w:bidi="en-US"/>
    </w:rPr>
  </w:style>
  <w:style w:type="paragraph" w:styleId="Header">
    <w:name w:val="header"/>
    <w:basedOn w:val="Normal"/>
    <w:link w:val="HeaderChar"/>
    <w:uiPriority w:val="99"/>
    <w:unhideWhenUsed/>
    <w:rsid w:val="00A3349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3349B"/>
    <w:rPr>
      <w:sz w:val="20"/>
      <w:szCs w:val="20"/>
    </w:rPr>
  </w:style>
  <w:style w:type="paragraph" w:styleId="Footer">
    <w:name w:val="footer"/>
    <w:basedOn w:val="Normal"/>
    <w:link w:val="FooterChar"/>
    <w:uiPriority w:val="99"/>
    <w:unhideWhenUsed/>
    <w:rsid w:val="00A3349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3349B"/>
    <w:rPr>
      <w:sz w:val="20"/>
      <w:szCs w:val="20"/>
    </w:rPr>
  </w:style>
  <w:style w:type="table" w:styleId="TableGrid">
    <w:name w:val="Table Grid"/>
    <w:basedOn w:val="TableNormal"/>
    <w:uiPriority w:val="59"/>
    <w:rsid w:val="0081351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193"/>
    <w:rPr>
      <w:sz w:val="20"/>
      <w:szCs w:val="20"/>
    </w:rPr>
  </w:style>
  <w:style w:type="paragraph" w:styleId="Heading1">
    <w:name w:val="heading 1"/>
    <w:basedOn w:val="Normal"/>
    <w:next w:val="Normal"/>
    <w:link w:val="Heading1Char"/>
    <w:uiPriority w:val="9"/>
    <w:qFormat/>
    <w:rsid w:val="00DB76D6"/>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9119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91193"/>
    <w:pPr>
      <w:pBdr>
        <w:top w:val="single" w:sz="6" w:space="2" w:color="4F81BD" w:themeColor="accent1"/>
        <w:left w:val="single" w:sz="6" w:space="2" w:color="4F81BD" w:themeColor="accent1"/>
      </w:pBdr>
      <w:spacing w:before="300" w:after="0"/>
      <w:ind w:left="567"/>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99119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9119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9119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9119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9119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119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numbered">
    <w:name w:val="Outline numbered"/>
    <w:uiPriority w:val="99"/>
    <w:rsid w:val="002473E4"/>
    <w:pPr>
      <w:numPr>
        <w:numId w:val="1"/>
      </w:numPr>
    </w:pPr>
  </w:style>
  <w:style w:type="character" w:customStyle="1" w:styleId="Heading1Char">
    <w:name w:val="Heading 1 Char"/>
    <w:basedOn w:val="DefaultParagraphFont"/>
    <w:link w:val="Heading1"/>
    <w:uiPriority w:val="9"/>
    <w:rsid w:val="00DB76D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991193"/>
    <w:rPr>
      <w:caps/>
      <w:spacing w:val="15"/>
      <w:shd w:val="clear" w:color="auto" w:fill="DBE5F1" w:themeFill="accent1" w:themeFillTint="33"/>
    </w:rPr>
  </w:style>
  <w:style w:type="paragraph" w:styleId="Title">
    <w:name w:val="Title"/>
    <w:basedOn w:val="Normal"/>
    <w:next w:val="Normal"/>
    <w:link w:val="TitleChar"/>
    <w:uiPriority w:val="10"/>
    <w:qFormat/>
    <w:rsid w:val="0099119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91193"/>
    <w:rPr>
      <w:caps/>
      <w:color w:val="4F81BD" w:themeColor="accent1"/>
      <w:spacing w:val="10"/>
      <w:kern w:val="28"/>
      <w:sz w:val="52"/>
      <w:szCs w:val="52"/>
    </w:rPr>
  </w:style>
  <w:style w:type="numbering" w:customStyle="1" w:styleId="Multi-levelnumbering">
    <w:name w:val="Multi-level numbering"/>
    <w:uiPriority w:val="99"/>
    <w:rsid w:val="00486518"/>
    <w:pPr>
      <w:numPr>
        <w:numId w:val="2"/>
      </w:numPr>
    </w:pPr>
  </w:style>
  <w:style w:type="character" w:customStyle="1" w:styleId="Heading4Char">
    <w:name w:val="Heading 4 Char"/>
    <w:basedOn w:val="DefaultParagraphFont"/>
    <w:link w:val="Heading4"/>
    <w:uiPriority w:val="9"/>
    <w:rsid w:val="00991193"/>
    <w:rPr>
      <w:caps/>
      <w:color w:val="365F91" w:themeColor="accent1" w:themeShade="BF"/>
      <w:spacing w:val="10"/>
    </w:rPr>
  </w:style>
  <w:style w:type="paragraph" w:customStyle="1" w:styleId="ThreeColumnTabbed">
    <w:name w:val="Three Column Tabbed"/>
    <w:basedOn w:val="Normal"/>
    <w:link w:val="ThreeColumnTabbedChar"/>
    <w:rsid w:val="00005E1E"/>
    <w:pPr>
      <w:tabs>
        <w:tab w:val="center" w:pos="4678"/>
        <w:tab w:val="right" w:pos="9356"/>
      </w:tabs>
      <w:autoSpaceDE w:val="0"/>
      <w:autoSpaceDN w:val="0"/>
      <w:adjustRightInd w:val="0"/>
      <w:spacing w:before="60" w:after="0" w:line="240" w:lineRule="auto"/>
    </w:pPr>
    <w:rPr>
      <w:rFonts w:ascii="Calibri" w:hAnsi="Calibri" w:cs="Calibri"/>
      <w:kern w:val="24"/>
      <w:sz w:val="24"/>
      <w:szCs w:val="32"/>
    </w:rPr>
  </w:style>
  <w:style w:type="character" w:customStyle="1" w:styleId="ThreeColumnTabbedChar">
    <w:name w:val="Three Column Tabbed Char"/>
    <w:basedOn w:val="DefaultParagraphFont"/>
    <w:link w:val="ThreeColumnTabbed"/>
    <w:rsid w:val="00005E1E"/>
    <w:rPr>
      <w:rFonts w:ascii="Calibri" w:hAnsi="Calibri" w:cs="Calibri"/>
      <w:kern w:val="24"/>
      <w:sz w:val="24"/>
      <w:szCs w:val="32"/>
    </w:rPr>
  </w:style>
  <w:style w:type="character" w:customStyle="1" w:styleId="Heading3Char">
    <w:name w:val="Heading 3 Char"/>
    <w:basedOn w:val="DefaultParagraphFont"/>
    <w:link w:val="Heading3"/>
    <w:uiPriority w:val="9"/>
    <w:rsid w:val="00991193"/>
    <w:rPr>
      <w:caps/>
      <w:color w:val="243F60" w:themeColor="accent1" w:themeShade="7F"/>
      <w:spacing w:val="15"/>
    </w:rPr>
  </w:style>
  <w:style w:type="character" w:customStyle="1" w:styleId="Heading5Char">
    <w:name w:val="Heading 5 Char"/>
    <w:basedOn w:val="DefaultParagraphFont"/>
    <w:link w:val="Heading5"/>
    <w:uiPriority w:val="9"/>
    <w:semiHidden/>
    <w:rsid w:val="00991193"/>
    <w:rPr>
      <w:caps/>
      <w:color w:val="365F91" w:themeColor="accent1" w:themeShade="BF"/>
      <w:spacing w:val="10"/>
    </w:rPr>
  </w:style>
  <w:style w:type="character" w:customStyle="1" w:styleId="Heading6Char">
    <w:name w:val="Heading 6 Char"/>
    <w:basedOn w:val="DefaultParagraphFont"/>
    <w:link w:val="Heading6"/>
    <w:uiPriority w:val="9"/>
    <w:semiHidden/>
    <w:rsid w:val="00991193"/>
    <w:rPr>
      <w:caps/>
      <w:color w:val="365F91" w:themeColor="accent1" w:themeShade="BF"/>
      <w:spacing w:val="10"/>
    </w:rPr>
  </w:style>
  <w:style w:type="character" w:customStyle="1" w:styleId="Heading7Char">
    <w:name w:val="Heading 7 Char"/>
    <w:basedOn w:val="DefaultParagraphFont"/>
    <w:link w:val="Heading7"/>
    <w:uiPriority w:val="9"/>
    <w:semiHidden/>
    <w:rsid w:val="00991193"/>
    <w:rPr>
      <w:caps/>
      <w:color w:val="365F91" w:themeColor="accent1" w:themeShade="BF"/>
      <w:spacing w:val="10"/>
    </w:rPr>
  </w:style>
  <w:style w:type="character" w:customStyle="1" w:styleId="Heading8Char">
    <w:name w:val="Heading 8 Char"/>
    <w:basedOn w:val="DefaultParagraphFont"/>
    <w:link w:val="Heading8"/>
    <w:uiPriority w:val="9"/>
    <w:semiHidden/>
    <w:rsid w:val="00991193"/>
    <w:rPr>
      <w:caps/>
      <w:spacing w:val="10"/>
      <w:sz w:val="18"/>
      <w:szCs w:val="18"/>
    </w:rPr>
  </w:style>
  <w:style w:type="character" w:customStyle="1" w:styleId="Heading9Char">
    <w:name w:val="Heading 9 Char"/>
    <w:basedOn w:val="DefaultParagraphFont"/>
    <w:link w:val="Heading9"/>
    <w:uiPriority w:val="9"/>
    <w:semiHidden/>
    <w:rsid w:val="00991193"/>
    <w:rPr>
      <w:i/>
      <w:caps/>
      <w:spacing w:val="10"/>
      <w:sz w:val="18"/>
      <w:szCs w:val="18"/>
    </w:rPr>
  </w:style>
  <w:style w:type="paragraph" w:styleId="Caption">
    <w:name w:val="caption"/>
    <w:basedOn w:val="Normal"/>
    <w:next w:val="Normal"/>
    <w:uiPriority w:val="35"/>
    <w:semiHidden/>
    <w:unhideWhenUsed/>
    <w:qFormat/>
    <w:rsid w:val="00991193"/>
    <w:rPr>
      <w:b/>
      <w:bCs/>
      <w:color w:val="365F91" w:themeColor="accent1" w:themeShade="BF"/>
      <w:sz w:val="16"/>
      <w:szCs w:val="16"/>
    </w:rPr>
  </w:style>
  <w:style w:type="paragraph" w:styleId="Subtitle">
    <w:name w:val="Subtitle"/>
    <w:basedOn w:val="Normal"/>
    <w:next w:val="Normal"/>
    <w:link w:val="SubtitleChar"/>
    <w:uiPriority w:val="11"/>
    <w:qFormat/>
    <w:rsid w:val="004F1E60"/>
    <w:rPr>
      <w:i/>
      <w:color w:val="4F81BD" w:themeColor="accent1"/>
    </w:rPr>
  </w:style>
  <w:style w:type="character" w:customStyle="1" w:styleId="SubtitleChar">
    <w:name w:val="Subtitle Char"/>
    <w:basedOn w:val="DefaultParagraphFont"/>
    <w:link w:val="Subtitle"/>
    <w:uiPriority w:val="11"/>
    <w:rsid w:val="004F1E60"/>
    <w:rPr>
      <w:i/>
      <w:color w:val="4F81BD" w:themeColor="accent1"/>
      <w:sz w:val="20"/>
      <w:szCs w:val="20"/>
    </w:rPr>
  </w:style>
  <w:style w:type="character" w:styleId="Strong">
    <w:name w:val="Strong"/>
    <w:uiPriority w:val="22"/>
    <w:qFormat/>
    <w:rsid w:val="00991193"/>
    <w:rPr>
      <w:b/>
      <w:bCs/>
    </w:rPr>
  </w:style>
  <w:style w:type="character" w:styleId="Emphasis">
    <w:name w:val="Emphasis"/>
    <w:uiPriority w:val="20"/>
    <w:qFormat/>
    <w:rsid w:val="00991193"/>
    <w:rPr>
      <w:caps/>
      <w:color w:val="243F60" w:themeColor="accent1" w:themeShade="7F"/>
      <w:spacing w:val="5"/>
    </w:rPr>
  </w:style>
  <w:style w:type="paragraph" w:styleId="NoSpacing">
    <w:name w:val="No Spacing"/>
    <w:basedOn w:val="Normal"/>
    <w:link w:val="NoSpacingChar"/>
    <w:uiPriority w:val="1"/>
    <w:qFormat/>
    <w:rsid w:val="00991193"/>
    <w:pPr>
      <w:spacing w:before="0" w:after="0" w:line="240" w:lineRule="auto"/>
    </w:pPr>
  </w:style>
  <w:style w:type="character" w:customStyle="1" w:styleId="NoSpacingChar">
    <w:name w:val="No Spacing Char"/>
    <w:basedOn w:val="DefaultParagraphFont"/>
    <w:link w:val="NoSpacing"/>
    <w:uiPriority w:val="1"/>
    <w:rsid w:val="00991193"/>
    <w:rPr>
      <w:sz w:val="20"/>
      <w:szCs w:val="20"/>
    </w:rPr>
  </w:style>
  <w:style w:type="paragraph" w:styleId="ListParagraph">
    <w:name w:val="List Paragraph"/>
    <w:basedOn w:val="Normal"/>
    <w:uiPriority w:val="34"/>
    <w:qFormat/>
    <w:rsid w:val="00991193"/>
    <w:pPr>
      <w:ind w:left="720"/>
      <w:contextualSpacing/>
    </w:pPr>
  </w:style>
  <w:style w:type="paragraph" w:styleId="Quote">
    <w:name w:val="Quote"/>
    <w:basedOn w:val="Normal"/>
    <w:next w:val="Normal"/>
    <w:link w:val="QuoteChar"/>
    <w:uiPriority w:val="29"/>
    <w:qFormat/>
    <w:rsid w:val="00991193"/>
    <w:rPr>
      <w:i/>
      <w:iCs/>
    </w:rPr>
  </w:style>
  <w:style w:type="character" w:customStyle="1" w:styleId="QuoteChar">
    <w:name w:val="Quote Char"/>
    <w:basedOn w:val="DefaultParagraphFont"/>
    <w:link w:val="Quote"/>
    <w:uiPriority w:val="29"/>
    <w:rsid w:val="00991193"/>
    <w:rPr>
      <w:i/>
      <w:iCs/>
      <w:sz w:val="20"/>
      <w:szCs w:val="20"/>
    </w:rPr>
  </w:style>
  <w:style w:type="paragraph" w:styleId="IntenseQuote">
    <w:name w:val="Intense Quote"/>
    <w:basedOn w:val="Normal"/>
    <w:next w:val="Normal"/>
    <w:link w:val="IntenseQuoteChar"/>
    <w:uiPriority w:val="30"/>
    <w:qFormat/>
    <w:rsid w:val="0099119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91193"/>
    <w:rPr>
      <w:i/>
      <w:iCs/>
      <w:color w:val="4F81BD" w:themeColor="accent1"/>
      <w:sz w:val="20"/>
      <w:szCs w:val="20"/>
    </w:rPr>
  </w:style>
  <w:style w:type="character" w:styleId="SubtleEmphasis">
    <w:name w:val="Subtle Emphasis"/>
    <w:uiPriority w:val="19"/>
    <w:qFormat/>
    <w:rsid w:val="00991193"/>
    <w:rPr>
      <w:i/>
      <w:iCs/>
      <w:color w:val="243F60" w:themeColor="accent1" w:themeShade="7F"/>
    </w:rPr>
  </w:style>
  <w:style w:type="character" w:styleId="IntenseEmphasis">
    <w:name w:val="Intense Emphasis"/>
    <w:uiPriority w:val="21"/>
    <w:qFormat/>
    <w:rsid w:val="00991193"/>
    <w:rPr>
      <w:b/>
      <w:bCs/>
      <w:caps/>
      <w:color w:val="243F60" w:themeColor="accent1" w:themeShade="7F"/>
      <w:spacing w:val="10"/>
    </w:rPr>
  </w:style>
  <w:style w:type="character" w:styleId="SubtleReference">
    <w:name w:val="Subtle Reference"/>
    <w:uiPriority w:val="31"/>
    <w:qFormat/>
    <w:rsid w:val="00991193"/>
    <w:rPr>
      <w:b/>
      <w:bCs/>
      <w:color w:val="4F81BD" w:themeColor="accent1"/>
    </w:rPr>
  </w:style>
  <w:style w:type="character" w:styleId="IntenseReference">
    <w:name w:val="Intense Reference"/>
    <w:uiPriority w:val="32"/>
    <w:qFormat/>
    <w:rsid w:val="00991193"/>
    <w:rPr>
      <w:b/>
      <w:bCs/>
      <w:i/>
      <w:iCs/>
      <w:caps/>
      <w:color w:val="4F81BD" w:themeColor="accent1"/>
    </w:rPr>
  </w:style>
  <w:style w:type="character" w:styleId="BookTitle">
    <w:name w:val="Book Title"/>
    <w:uiPriority w:val="33"/>
    <w:qFormat/>
    <w:rsid w:val="00991193"/>
    <w:rPr>
      <w:b/>
      <w:bCs/>
      <w:i/>
      <w:iCs/>
      <w:spacing w:val="9"/>
    </w:rPr>
  </w:style>
  <w:style w:type="paragraph" w:styleId="TOCHeading">
    <w:name w:val="TOC Heading"/>
    <w:basedOn w:val="Heading1"/>
    <w:next w:val="Normal"/>
    <w:uiPriority w:val="39"/>
    <w:semiHidden/>
    <w:unhideWhenUsed/>
    <w:qFormat/>
    <w:rsid w:val="00991193"/>
    <w:pPr>
      <w:outlineLvl w:val="9"/>
    </w:pPr>
    <w:rPr>
      <w:lang w:bidi="en-US"/>
    </w:rPr>
  </w:style>
  <w:style w:type="paragraph" w:styleId="Header">
    <w:name w:val="header"/>
    <w:basedOn w:val="Normal"/>
    <w:link w:val="HeaderChar"/>
    <w:uiPriority w:val="99"/>
    <w:unhideWhenUsed/>
    <w:rsid w:val="00A3349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3349B"/>
    <w:rPr>
      <w:sz w:val="20"/>
      <w:szCs w:val="20"/>
    </w:rPr>
  </w:style>
  <w:style w:type="paragraph" w:styleId="Footer">
    <w:name w:val="footer"/>
    <w:basedOn w:val="Normal"/>
    <w:link w:val="FooterChar"/>
    <w:uiPriority w:val="99"/>
    <w:unhideWhenUsed/>
    <w:rsid w:val="00A3349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3349B"/>
    <w:rPr>
      <w:sz w:val="20"/>
      <w:szCs w:val="20"/>
    </w:rPr>
  </w:style>
  <w:style w:type="table" w:styleId="TableGrid">
    <w:name w:val="Table Grid"/>
    <w:basedOn w:val="TableNormal"/>
    <w:uiPriority w:val="59"/>
    <w:rsid w:val="0081351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1341-0FA8-43AE-845E-51A2C2C1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Weaver</dc:creator>
  <cp:lastModifiedBy>Max Weaver</cp:lastModifiedBy>
  <cp:revision>9</cp:revision>
  <dcterms:created xsi:type="dcterms:W3CDTF">2013-07-13T09:02:00Z</dcterms:created>
  <dcterms:modified xsi:type="dcterms:W3CDTF">2013-07-15T17:56:00Z</dcterms:modified>
</cp:coreProperties>
</file>