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40" w:type="dxa"/>
        <w:tblInd w:w="4500" w:type="dxa"/>
        <w:tblLayout w:type="fixed"/>
        <w:tblCellMar>
          <w:left w:w="10" w:type="dxa"/>
          <w:right w:w="10" w:type="dxa"/>
        </w:tblCellMar>
        <w:tblLook w:val="0000" w:firstRow="0" w:lastRow="0" w:firstColumn="0" w:lastColumn="0" w:noHBand="0" w:noVBand="0"/>
      </w:tblPr>
      <w:tblGrid>
        <w:gridCol w:w="3330"/>
        <w:gridCol w:w="810"/>
      </w:tblGrid>
      <w:tr w:rsidR="00263E91" w:rsidRPr="00D45F6A" w14:paraId="6F66B8A4" w14:textId="77777777" w:rsidTr="004C77D3">
        <w:tc>
          <w:tcPr>
            <w:tcW w:w="3330" w:type="dxa"/>
            <w:shd w:val="clear" w:color="000000" w:fill="auto"/>
            <w:tcMar>
              <w:left w:w="108" w:type="dxa"/>
              <w:right w:w="108" w:type="dxa"/>
            </w:tcMar>
            <w:vAlign w:val="bottom"/>
          </w:tcPr>
          <w:p w14:paraId="3F0F62E4" w14:textId="77777777" w:rsidR="00263E91" w:rsidRPr="00D45F6A" w:rsidRDefault="00263E91" w:rsidP="00482DC3">
            <w:pPr>
              <w:spacing w:line="360" w:lineRule="auto"/>
              <w:ind w:firstLine="0"/>
            </w:pPr>
            <w:r w:rsidRPr="00D45F6A">
              <w:t xml:space="preserve">Number of words in manuscript </w:t>
            </w:r>
          </w:p>
        </w:tc>
        <w:tc>
          <w:tcPr>
            <w:tcW w:w="810" w:type="dxa"/>
            <w:shd w:val="clear" w:color="000000" w:fill="FFFFFF"/>
            <w:tcMar>
              <w:left w:w="108" w:type="dxa"/>
              <w:right w:w="108" w:type="dxa"/>
            </w:tcMar>
            <w:vAlign w:val="bottom"/>
          </w:tcPr>
          <w:p w14:paraId="4C518BA3" w14:textId="046D3ECD" w:rsidR="00263E91" w:rsidRPr="00D45F6A" w:rsidRDefault="00EC1FCB" w:rsidP="00B04DED">
            <w:pPr>
              <w:spacing w:line="360" w:lineRule="auto"/>
              <w:ind w:firstLine="0"/>
            </w:pPr>
            <w:r w:rsidRPr="00D45F6A">
              <w:t>4,</w:t>
            </w:r>
            <w:r w:rsidR="00B04DED" w:rsidRPr="00D45F6A">
              <w:t>909</w:t>
            </w:r>
          </w:p>
        </w:tc>
      </w:tr>
      <w:tr w:rsidR="00263E91" w:rsidRPr="00D45F6A" w14:paraId="651AD572" w14:textId="77777777" w:rsidTr="000D6725">
        <w:trPr>
          <w:trHeight w:val="1"/>
        </w:trPr>
        <w:tc>
          <w:tcPr>
            <w:tcW w:w="3330" w:type="dxa"/>
            <w:shd w:val="clear" w:color="000000" w:fill="FFFFFF"/>
            <w:tcMar>
              <w:left w:w="108" w:type="dxa"/>
              <w:right w:w="108" w:type="dxa"/>
            </w:tcMar>
          </w:tcPr>
          <w:p w14:paraId="52C64FE8" w14:textId="77777777" w:rsidR="00263E91" w:rsidRPr="00D45F6A" w:rsidRDefault="00263E91" w:rsidP="00482DC3">
            <w:pPr>
              <w:spacing w:line="360" w:lineRule="auto"/>
              <w:ind w:firstLine="0"/>
            </w:pPr>
            <w:r w:rsidRPr="00D45F6A">
              <w:t>Number of words in abstract</w:t>
            </w:r>
          </w:p>
        </w:tc>
        <w:tc>
          <w:tcPr>
            <w:tcW w:w="810" w:type="dxa"/>
            <w:shd w:val="clear" w:color="000000" w:fill="FFFFFF"/>
            <w:tcMar>
              <w:left w:w="108" w:type="dxa"/>
              <w:right w:w="108" w:type="dxa"/>
            </w:tcMar>
          </w:tcPr>
          <w:p w14:paraId="1CF45984" w14:textId="15FBE4FD" w:rsidR="00263E91" w:rsidRPr="00D45F6A" w:rsidRDefault="00344D38" w:rsidP="00482DC3">
            <w:pPr>
              <w:spacing w:line="360" w:lineRule="auto"/>
              <w:ind w:firstLine="0"/>
            </w:pPr>
            <w:r w:rsidRPr="00D45F6A">
              <w:t>19</w:t>
            </w:r>
            <w:r w:rsidR="00EC1FCB" w:rsidRPr="00D45F6A">
              <w:t>6</w:t>
            </w:r>
          </w:p>
        </w:tc>
      </w:tr>
      <w:tr w:rsidR="00263E91" w:rsidRPr="00D45F6A" w14:paraId="122C3B56" w14:textId="77777777" w:rsidTr="000D6725">
        <w:trPr>
          <w:trHeight w:val="1"/>
        </w:trPr>
        <w:tc>
          <w:tcPr>
            <w:tcW w:w="3330" w:type="dxa"/>
            <w:shd w:val="clear" w:color="000000" w:fill="FFFFFF"/>
            <w:tcMar>
              <w:left w:w="108" w:type="dxa"/>
              <w:right w:w="108" w:type="dxa"/>
            </w:tcMar>
          </w:tcPr>
          <w:p w14:paraId="517B74F8" w14:textId="77777777" w:rsidR="00263E91" w:rsidRPr="00D45F6A" w:rsidRDefault="00521D50" w:rsidP="00482DC3">
            <w:pPr>
              <w:spacing w:line="360" w:lineRule="auto"/>
              <w:ind w:firstLine="0"/>
            </w:pPr>
            <w:r w:rsidRPr="00D45F6A">
              <w:t>Number of tables</w:t>
            </w:r>
          </w:p>
        </w:tc>
        <w:tc>
          <w:tcPr>
            <w:tcW w:w="810" w:type="dxa"/>
            <w:shd w:val="clear" w:color="000000" w:fill="FFFFFF"/>
            <w:tcMar>
              <w:left w:w="108" w:type="dxa"/>
              <w:right w:w="108" w:type="dxa"/>
            </w:tcMar>
          </w:tcPr>
          <w:p w14:paraId="08431FEB" w14:textId="77777777" w:rsidR="00263E91" w:rsidRPr="00D45F6A" w:rsidRDefault="000D6725" w:rsidP="00482DC3">
            <w:pPr>
              <w:spacing w:line="360" w:lineRule="auto"/>
              <w:ind w:firstLine="0"/>
            </w:pPr>
            <w:r w:rsidRPr="00D45F6A">
              <w:t>2</w:t>
            </w:r>
          </w:p>
        </w:tc>
      </w:tr>
      <w:tr w:rsidR="00263E91" w:rsidRPr="00D45F6A" w14:paraId="7C5F0D55" w14:textId="77777777" w:rsidTr="000D6725">
        <w:trPr>
          <w:trHeight w:val="1"/>
        </w:trPr>
        <w:tc>
          <w:tcPr>
            <w:tcW w:w="3330" w:type="dxa"/>
            <w:shd w:val="clear" w:color="000000" w:fill="FFFFFF"/>
            <w:tcMar>
              <w:left w:w="108" w:type="dxa"/>
              <w:right w:w="108" w:type="dxa"/>
            </w:tcMar>
          </w:tcPr>
          <w:p w14:paraId="45ED183A" w14:textId="77777777" w:rsidR="00263E91" w:rsidRPr="00D45F6A" w:rsidRDefault="00521D50" w:rsidP="00482DC3">
            <w:pPr>
              <w:spacing w:line="360" w:lineRule="auto"/>
              <w:ind w:firstLine="0"/>
            </w:pPr>
            <w:r w:rsidRPr="00D45F6A">
              <w:t>Number of figures</w:t>
            </w:r>
            <w:r w:rsidR="00263E91" w:rsidRPr="00D45F6A">
              <w:t xml:space="preserve"> </w:t>
            </w:r>
          </w:p>
        </w:tc>
        <w:tc>
          <w:tcPr>
            <w:tcW w:w="810" w:type="dxa"/>
            <w:shd w:val="clear" w:color="000000" w:fill="FFFFFF"/>
            <w:tcMar>
              <w:left w:w="108" w:type="dxa"/>
              <w:right w:w="108" w:type="dxa"/>
            </w:tcMar>
          </w:tcPr>
          <w:p w14:paraId="33C73593" w14:textId="6144026E" w:rsidR="00263E91" w:rsidRPr="00D45F6A" w:rsidRDefault="00930E9B" w:rsidP="00482DC3">
            <w:pPr>
              <w:spacing w:line="360" w:lineRule="auto"/>
              <w:ind w:firstLine="0"/>
            </w:pPr>
            <w:r w:rsidRPr="00D45F6A">
              <w:t>3</w:t>
            </w:r>
          </w:p>
        </w:tc>
      </w:tr>
    </w:tbl>
    <w:p w14:paraId="46A775F8" w14:textId="77777777" w:rsidR="00482DC3" w:rsidRPr="00D45F6A" w:rsidRDefault="00482DC3" w:rsidP="00107084"/>
    <w:p w14:paraId="3EFE315F" w14:textId="5BC79D15" w:rsidR="00B14B72" w:rsidRPr="00D45F6A" w:rsidRDefault="0051277D" w:rsidP="00107084">
      <w:r w:rsidRPr="00D45F6A">
        <w:t>Schizotypal traits and their relation to rejection sensitivity in the general population: the</w:t>
      </w:r>
      <w:r w:rsidR="00FE2A74">
        <w:t>ir</w:t>
      </w:r>
      <w:r w:rsidRPr="00D45F6A">
        <w:t xml:space="preserve"> mediation </w:t>
      </w:r>
      <w:r w:rsidR="00F81DBB" w:rsidRPr="00D45F6A">
        <w:t>by</w:t>
      </w:r>
      <w:r w:rsidRPr="00D45F6A">
        <w:t xml:space="preserve"> quality of life, agreeableness and neuroticism</w:t>
      </w:r>
    </w:p>
    <w:p w14:paraId="5C81E741" w14:textId="2FA80E0C" w:rsidR="00B20B62" w:rsidRPr="00D45F6A" w:rsidRDefault="00C66723" w:rsidP="00107084">
      <w:r w:rsidRPr="00D45F6A">
        <w:t xml:space="preserve">Preethi </w:t>
      </w:r>
      <w:r w:rsidR="00A443E8" w:rsidRPr="00D45F6A">
        <w:t>Premkumar</w:t>
      </w:r>
      <w:r w:rsidR="009A5D39" w:rsidRPr="00D45F6A">
        <w:rPr>
          <w:vertAlign w:val="superscript"/>
        </w:rPr>
        <w:t>a</w:t>
      </w:r>
      <w:r w:rsidR="003E1748" w:rsidRPr="00D45F6A">
        <w:t>*</w:t>
      </w:r>
      <w:r w:rsidR="00A443E8" w:rsidRPr="00D45F6A">
        <w:t xml:space="preserve">, </w:t>
      </w:r>
      <w:r w:rsidR="00A048B7" w:rsidRPr="00D45F6A">
        <w:t>Juliana</w:t>
      </w:r>
      <w:r w:rsidRPr="00D45F6A">
        <w:t xml:space="preserve"> Onwumere</w:t>
      </w:r>
      <w:r w:rsidR="009A5D39" w:rsidRPr="00D45F6A">
        <w:rPr>
          <w:vertAlign w:val="superscript"/>
        </w:rPr>
        <w:t>b</w:t>
      </w:r>
      <w:r w:rsidR="00A048B7" w:rsidRPr="00D45F6A">
        <w:t xml:space="preserve">, </w:t>
      </w:r>
      <w:r w:rsidR="005145F9" w:rsidRPr="00D45F6A">
        <w:t>Lucy</w:t>
      </w:r>
      <w:r w:rsidRPr="00D45F6A">
        <w:t xml:space="preserve"> Betts</w:t>
      </w:r>
      <w:r w:rsidR="009A5D39" w:rsidRPr="00D45F6A">
        <w:rPr>
          <w:vertAlign w:val="superscript"/>
        </w:rPr>
        <w:t>a</w:t>
      </w:r>
      <w:r w:rsidR="00863C4F" w:rsidRPr="00D45F6A">
        <w:t>,</w:t>
      </w:r>
      <w:r w:rsidR="005145F9" w:rsidRPr="00D45F6A">
        <w:t xml:space="preserve"> </w:t>
      </w:r>
      <w:r w:rsidR="00BA0EFD" w:rsidRPr="00D45F6A">
        <w:t xml:space="preserve">Fränze </w:t>
      </w:r>
      <w:r w:rsidR="00521715" w:rsidRPr="00D45F6A">
        <w:t>Kibowski</w:t>
      </w:r>
      <w:r w:rsidR="009A5D39" w:rsidRPr="00D45F6A">
        <w:rPr>
          <w:vertAlign w:val="superscript"/>
        </w:rPr>
        <w:t>a</w:t>
      </w:r>
      <w:r w:rsidR="00521715" w:rsidRPr="00D45F6A">
        <w:t xml:space="preserve">, </w:t>
      </w:r>
      <w:r w:rsidR="00A443E8" w:rsidRPr="00D45F6A">
        <w:t>Elizabeth</w:t>
      </w:r>
      <w:r w:rsidRPr="00D45F6A">
        <w:t xml:space="preserve"> Kuipers</w:t>
      </w:r>
      <w:r w:rsidR="009A5D39" w:rsidRPr="00D45F6A">
        <w:rPr>
          <w:vertAlign w:val="superscript"/>
        </w:rPr>
        <w:t>b,c</w:t>
      </w:r>
    </w:p>
    <w:p w14:paraId="7E9195B5" w14:textId="66CE2A3C" w:rsidR="00F20BBF" w:rsidRPr="00D45F6A" w:rsidRDefault="009A5D39" w:rsidP="00107084">
      <w:r w:rsidRPr="00D45F6A">
        <w:rPr>
          <w:vertAlign w:val="superscript"/>
        </w:rPr>
        <w:t>a</w:t>
      </w:r>
      <w:r w:rsidR="00142642" w:rsidRPr="00D45F6A">
        <w:rPr>
          <w:vertAlign w:val="superscript"/>
        </w:rPr>
        <w:t xml:space="preserve"> </w:t>
      </w:r>
      <w:r w:rsidR="00142642" w:rsidRPr="00D45F6A">
        <w:t xml:space="preserve">Department of Psychology, School of Social Sciences, Nottingham </w:t>
      </w:r>
      <w:r w:rsidR="00B56F43" w:rsidRPr="00D45F6A">
        <w:t>Trent University, Nottingham, U</w:t>
      </w:r>
      <w:r w:rsidR="00142642" w:rsidRPr="00D45F6A">
        <w:t>K</w:t>
      </w:r>
    </w:p>
    <w:p w14:paraId="32292C94" w14:textId="7AD42F6F" w:rsidR="003E1748" w:rsidRPr="00D45F6A" w:rsidRDefault="009A5D39" w:rsidP="00107084">
      <w:r w:rsidRPr="00D45F6A">
        <w:rPr>
          <w:vertAlign w:val="superscript"/>
        </w:rPr>
        <w:t>b</w:t>
      </w:r>
      <w:r w:rsidR="003E1748" w:rsidRPr="00D45F6A">
        <w:t>King’s College London, Department of Psychology, Institute of Psychiatry, Psychology and Neuroscience, London, UK</w:t>
      </w:r>
    </w:p>
    <w:p w14:paraId="709FEBED" w14:textId="051FB811" w:rsidR="003E1748" w:rsidRPr="00D45F6A" w:rsidRDefault="009A5D39" w:rsidP="00107084">
      <w:r w:rsidRPr="00D45F6A">
        <w:rPr>
          <w:vertAlign w:val="superscript"/>
        </w:rPr>
        <w:t>c</w:t>
      </w:r>
      <w:r w:rsidR="003E1748" w:rsidRPr="00D45F6A">
        <w:t>NIHR Biomedical Research Centre for Mental Health, South London and Maudsley NHS Foundation Trust, London, London, UK</w:t>
      </w:r>
    </w:p>
    <w:p w14:paraId="371E8E9E" w14:textId="77777777" w:rsidR="000C6C5F" w:rsidRPr="00D45F6A" w:rsidRDefault="000C6C5F" w:rsidP="00E37A35">
      <w:pPr>
        <w:spacing w:line="240" w:lineRule="auto"/>
      </w:pPr>
    </w:p>
    <w:p w14:paraId="7EDB1B45" w14:textId="77777777" w:rsidR="003E1748" w:rsidRPr="00D45F6A" w:rsidRDefault="003E1748" w:rsidP="00E37A35">
      <w:pPr>
        <w:spacing w:line="240" w:lineRule="auto"/>
      </w:pPr>
      <w:r w:rsidRPr="00D45F6A">
        <w:t>*Correspondence address:</w:t>
      </w:r>
    </w:p>
    <w:p w14:paraId="36B2254C" w14:textId="77777777" w:rsidR="003E1748" w:rsidRPr="00D45F6A" w:rsidRDefault="003E1748" w:rsidP="00E37A35">
      <w:pPr>
        <w:spacing w:line="240" w:lineRule="auto"/>
      </w:pPr>
      <w:r w:rsidRPr="00D45F6A">
        <w:t>Department of Psychology</w:t>
      </w:r>
    </w:p>
    <w:p w14:paraId="6B4D9891" w14:textId="77777777" w:rsidR="003E1748" w:rsidRPr="00D45F6A" w:rsidRDefault="003E1748" w:rsidP="00E37A35">
      <w:pPr>
        <w:spacing w:line="240" w:lineRule="auto"/>
      </w:pPr>
      <w:r w:rsidRPr="00D45F6A">
        <w:t>Nottingham Trent University</w:t>
      </w:r>
    </w:p>
    <w:p w14:paraId="1AE2E937" w14:textId="77777777" w:rsidR="003E1748" w:rsidRPr="00D45F6A" w:rsidRDefault="003E1748" w:rsidP="00E37A35">
      <w:pPr>
        <w:spacing w:line="240" w:lineRule="auto"/>
      </w:pPr>
      <w:r w:rsidRPr="00D45F6A">
        <w:t>50 Shakespeare Street</w:t>
      </w:r>
    </w:p>
    <w:p w14:paraId="0E19A43F" w14:textId="77777777" w:rsidR="003E1748" w:rsidRPr="00D45F6A" w:rsidRDefault="003E1748" w:rsidP="00E37A35">
      <w:pPr>
        <w:spacing w:line="240" w:lineRule="auto"/>
      </w:pPr>
      <w:r w:rsidRPr="00D45F6A">
        <w:t>Nottingham</w:t>
      </w:r>
    </w:p>
    <w:p w14:paraId="08BEC062" w14:textId="77777777" w:rsidR="003E1748" w:rsidRPr="00D45F6A" w:rsidRDefault="00253EB3" w:rsidP="00E37A35">
      <w:pPr>
        <w:spacing w:line="240" w:lineRule="auto"/>
      </w:pPr>
      <w:r w:rsidRPr="00D45F6A">
        <w:t>NG1 4FQ</w:t>
      </w:r>
    </w:p>
    <w:p w14:paraId="18E72B9F" w14:textId="77777777" w:rsidR="003E1748" w:rsidRPr="00D45F6A" w:rsidRDefault="003E1748" w:rsidP="00E37A35">
      <w:pPr>
        <w:spacing w:line="240" w:lineRule="auto"/>
      </w:pPr>
      <w:r w:rsidRPr="00D45F6A">
        <w:t>Tel: +44 (0)115 848 4511</w:t>
      </w:r>
    </w:p>
    <w:p w14:paraId="77813931" w14:textId="77777777" w:rsidR="00142642" w:rsidRPr="00D45F6A" w:rsidRDefault="003E1748" w:rsidP="00E37A35">
      <w:pPr>
        <w:spacing w:line="240" w:lineRule="auto"/>
      </w:pPr>
      <w:r w:rsidRPr="00D45F6A">
        <w:t>Email: Preethi.premkumar@ntu.ac.uk</w:t>
      </w:r>
    </w:p>
    <w:p w14:paraId="256B8B3E" w14:textId="77777777" w:rsidR="00047271" w:rsidRPr="00D45F6A" w:rsidRDefault="00047271" w:rsidP="00107084"/>
    <w:p w14:paraId="29C99BDF" w14:textId="77777777" w:rsidR="00047271" w:rsidRPr="00D45F6A" w:rsidRDefault="00047271" w:rsidP="00107084"/>
    <w:p w14:paraId="6ACE17C1" w14:textId="77777777" w:rsidR="00172061" w:rsidRPr="00D45F6A" w:rsidRDefault="00172061" w:rsidP="00107084"/>
    <w:p w14:paraId="3447C5F7" w14:textId="77777777" w:rsidR="005A1F22" w:rsidRPr="00D45F6A" w:rsidRDefault="005A1F22" w:rsidP="00107084">
      <w:r w:rsidRPr="00D45F6A">
        <w:lastRenderedPageBreak/>
        <w:t>Abstract</w:t>
      </w:r>
    </w:p>
    <w:p w14:paraId="5989F9A9" w14:textId="1AF72E89" w:rsidR="00710807" w:rsidRPr="00D45F6A" w:rsidRDefault="00E1620B" w:rsidP="00107084">
      <w:r w:rsidRPr="00E1620B">
        <w:t>Schizotypal traits are a cluster of personality styles suggesting a potential liability for schizophrenia-spectrum disorders. Interpersonal schizotypal traits include cognitive disorganisation which consists of social anxiety, and introvertive anhedonia which consists of a lack of pleasure in social activities. Rejection sensitivity is evident all along this continuum. This study aimed to determine whether psychosocial quality of life (QOL), neuroticism and agreeableness mediates the relation between schizotypy and rejection sensitivity. Three hundred and eighteen participants from a predominantly University student population completed an online survey mea- suring schizotypy, rejection sensitivity, quality of life, and the five-factor personality traits. A regression analysis determined the prediction of rejection sensitivity by schizotypy, quality of life, and the five personality traits. Analyses examined the mediation of the relation between interpersonal schizotypy and rejection sensitivity by psychological QOL, social QOL, neuroticism, and agreeableness. Cognitive disorganisation and introvertive anhedonia predicted greater rejection sensitivity, which in turn were mediated by psychological QOL, social QOL, neuroticism, and agreeableness. The findings show that interpersonal schizotypy relates to greater rejec- tion sensitivity. Psychosocial factors that lower one's ability to have positive feelings, trusting relationships, and prosocial behaviour, and personality traits that increase worrying mediate this association.</w:t>
      </w:r>
    </w:p>
    <w:p w14:paraId="36EECED5" w14:textId="0873247F" w:rsidR="00091CA6" w:rsidRPr="00D45F6A" w:rsidRDefault="00091CA6">
      <w:r w:rsidRPr="00D45F6A">
        <w:t xml:space="preserve">Key words: </w:t>
      </w:r>
      <w:r w:rsidR="00F9325B" w:rsidRPr="00D45F6A">
        <w:t xml:space="preserve">interpersonal schizotypy; mediation; </w:t>
      </w:r>
      <w:r w:rsidR="00280B8F" w:rsidRPr="00D45F6A">
        <w:t xml:space="preserve">personality; </w:t>
      </w:r>
      <w:r w:rsidR="00FE35B3" w:rsidRPr="00D45F6A">
        <w:t xml:space="preserve">quality of life </w:t>
      </w:r>
    </w:p>
    <w:p w14:paraId="1C77C6F0" w14:textId="77777777" w:rsidR="00BB2C0D" w:rsidRPr="00D45F6A" w:rsidRDefault="00BB2C0D" w:rsidP="00861FDE">
      <w:r w:rsidRPr="00D45F6A">
        <w:br w:type="page"/>
      </w:r>
    </w:p>
    <w:p w14:paraId="17D67AEA" w14:textId="6093AD9A" w:rsidR="001548AC" w:rsidRPr="00D45F6A" w:rsidRDefault="001548AC" w:rsidP="00B621D1">
      <w:pPr>
        <w:pStyle w:val="Heading1"/>
      </w:pPr>
      <w:r w:rsidRPr="00D45F6A">
        <w:lastRenderedPageBreak/>
        <w:t>Introduction</w:t>
      </w:r>
    </w:p>
    <w:p w14:paraId="527E0026" w14:textId="3CD9B8A7" w:rsidR="005348C4" w:rsidRPr="00D45F6A" w:rsidRDefault="009136F0">
      <w:r w:rsidRPr="00D45F6A">
        <w:t xml:space="preserve">Schizotypy </w:t>
      </w:r>
      <w:r w:rsidR="00097C4A" w:rsidRPr="00D45F6A">
        <w:t>is a latent personality organis</w:t>
      </w:r>
      <w:r w:rsidR="00C351B9" w:rsidRPr="00D45F6A">
        <w:t>ation reflecting a putative liability for schizophrenia-spectrum disorders (Meehl, 1962)</w:t>
      </w:r>
      <w:r w:rsidR="00A56BE2" w:rsidRPr="00D45F6A">
        <w:t>. Schizotypy has several</w:t>
      </w:r>
      <w:r w:rsidR="00C351B9" w:rsidRPr="00D45F6A">
        <w:t xml:space="preserve"> possible phenotypic expressions</w:t>
      </w:r>
      <w:r w:rsidR="00A56BE2" w:rsidRPr="00D45F6A">
        <w:t>, namely</w:t>
      </w:r>
      <w:r w:rsidR="00C351B9" w:rsidRPr="00D45F6A">
        <w:t xml:space="preserve"> schizotypal traits (at </w:t>
      </w:r>
      <w:r w:rsidR="00A56BE2" w:rsidRPr="00D45F6A">
        <w:t xml:space="preserve">a </w:t>
      </w:r>
      <w:r w:rsidR="00C351B9" w:rsidRPr="00D45F6A">
        <w:t>behavioural level)</w:t>
      </w:r>
      <w:r w:rsidR="005044B2" w:rsidRPr="00D45F6A">
        <w:t>,</w:t>
      </w:r>
      <w:r w:rsidR="00C351B9" w:rsidRPr="00D45F6A">
        <w:t xml:space="preserve"> schizotypal personality disorder</w:t>
      </w:r>
      <w:r w:rsidR="004E483E" w:rsidRPr="00D45F6A">
        <w:t>,</w:t>
      </w:r>
      <w:r w:rsidR="00C351B9" w:rsidRPr="00D45F6A">
        <w:t xml:space="preserve"> </w:t>
      </w:r>
      <w:r w:rsidR="005044B2" w:rsidRPr="00D45F6A">
        <w:t>and</w:t>
      </w:r>
      <w:r w:rsidR="00C351B9" w:rsidRPr="00D45F6A">
        <w:t xml:space="preserve"> psychosis (</w:t>
      </w:r>
      <w:r w:rsidR="008E77DD" w:rsidRPr="00D45F6A">
        <w:t>at sub-clinical and</w:t>
      </w:r>
      <w:r w:rsidR="00A56BE2" w:rsidRPr="00D45F6A">
        <w:t xml:space="preserve"> clinical level</w:t>
      </w:r>
      <w:r w:rsidR="008E77DD" w:rsidRPr="00D45F6A">
        <w:t>s, respectively</w:t>
      </w:r>
      <w:r w:rsidR="00C351B9" w:rsidRPr="00D45F6A">
        <w:t>)</w:t>
      </w:r>
      <w:r w:rsidR="00A52562" w:rsidRPr="00D45F6A">
        <w:t xml:space="preserve"> that are </w:t>
      </w:r>
      <w:r w:rsidR="00304FD0" w:rsidRPr="00D45F6A">
        <w:t>inter-</w:t>
      </w:r>
      <w:r w:rsidR="003F2DA2" w:rsidRPr="00D45F6A">
        <w:t xml:space="preserve">related, but </w:t>
      </w:r>
      <w:r w:rsidR="00523C27" w:rsidRPr="00D45F6A">
        <w:t xml:space="preserve">not </w:t>
      </w:r>
      <w:r w:rsidR="006269C0" w:rsidRPr="00D45F6A">
        <w:t xml:space="preserve">necessarily </w:t>
      </w:r>
      <w:r w:rsidR="00523C27" w:rsidRPr="00D45F6A">
        <w:t>interchangeable</w:t>
      </w:r>
      <w:r w:rsidR="00C153E5" w:rsidRPr="00D45F6A">
        <w:t xml:space="preserve"> (</w:t>
      </w:r>
      <w:r w:rsidR="003E0BCD" w:rsidRPr="00D45F6A">
        <w:t xml:space="preserve">Lenzenweger, 2010; </w:t>
      </w:r>
      <w:r w:rsidR="00FD5B1A" w:rsidRPr="00D45F6A">
        <w:t>Linscott et al., in press</w:t>
      </w:r>
      <w:r w:rsidR="00C153E5" w:rsidRPr="00D45F6A">
        <w:t>)</w:t>
      </w:r>
      <w:r w:rsidR="00C2190B" w:rsidRPr="00D45F6A">
        <w:t>.</w:t>
      </w:r>
      <w:r w:rsidRPr="00D45F6A">
        <w:t xml:space="preserve"> </w:t>
      </w:r>
      <w:r w:rsidR="00FA1217">
        <w:t>S</w:t>
      </w:r>
      <w:r w:rsidR="005D41D9" w:rsidRPr="00D45F6A">
        <w:t xml:space="preserve">chizotypy </w:t>
      </w:r>
      <w:r w:rsidR="00242505" w:rsidRPr="00D45F6A">
        <w:t>re</w:t>
      </w:r>
      <w:r w:rsidR="003C3E5C" w:rsidRPr="00D45F6A">
        <w:t xml:space="preserve">presents </w:t>
      </w:r>
      <w:r w:rsidR="005D41D9" w:rsidRPr="00D45F6A">
        <w:t>a</w:t>
      </w:r>
      <w:r w:rsidR="00887D95" w:rsidRPr="00D45F6A">
        <w:t xml:space="preserve"> theoretical</w:t>
      </w:r>
      <w:r w:rsidR="005D41D9" w:rsidRPr="00D45F6A">
        <w:t xml:space="preserve"> </w:t>
      </w:r>
      <w:r w:rsidR="00587135" w:rsidRPr="00D45F6A">
        <w:t xml:space="preserve">construct and </w:t>
      </w:r>
      <w:r w:rsidR="00D43240" w:rsidRPr="00D45F6A">
        <w:t>aetiological</w:t>
      </w:r>
      <w:r w:rsidR="005D41D9" w:rsidRPr="00D45F6A">
        <w:t xml:space="preserve"> model of psychosis</w:t>
      </w:r>
      <w:r w:rsidR="003D31C8" w:rsidRPr="00D45F6A">
        <w:t xml:space="preserve"> (Fonseca-Pedrero et al., 2018)</w:t>
      </w:r>
      <w:r w:rsidR="002A4EA8" w:rsidRPr="00D45F6A">
        <w:t>.</w:t>
      </w:r>
      <w:r w:rsidR="007A2A50" w:rsidRPr="00D45F6A">
        <w:t xml:space="preserve"> </w:t>
      </w:r>
      <w:r w:rsidR="002A4EA8" w:rsidRPr="00D45F6A">
        <w:t>M</w:t>
      </w:r>
      <w:r w:rsidR="00380818" w:rsidRPr="00D45F6A">
        <w:t>ost</w:t>
      </w:r>
      <w:r w:rsidR="007A2A50" w:rsidRPr="00D45F6A">
        <w:t xml:space="preserve"> people with schizotypy do not </w:t>
      </w:r>
      <w:r w:rsidR="00511237" w:rsidRPr="00D45F6A">
        <w:t xml:space="preserve">make the </w:t>
      </w:r>
      <w:r w:rsidR="009B442C" w:rsidRPr="00D45F6A">
        <w:t>transition</w:t>
      </w:r>
      <w:r w:rsidR="007A2A50" w:rsidRPr="00D45F6A">
        <w:t xml:space="preserve"> to psycho</w:t>
      </w:r>
      <w:r w:rsidR="009B442C" w:rsidRPr="00D45F6A">
        <w:t>sis</w:t>
      </w:r>
      <w:r w:rsidR="007A2A50" w:rsidRPr="00D45F6A">
        <w:t xml:space="preserve"> (Kwapil et al., 2012</w:t>
      </w:r>
      <w:r w:rsidR="002F05F7" w:rsidRPr="00D45F6A">
        <w:t xml:space="preserve">; </w:t>
      </w:r>
      <w:r w:rsidR="002F05F7" w:rsidRPr="00D45F6A">
        <w:rPr>
          <w:bCs/>
        </w:rPr>
        <w:t>Rössler</w:t>
      </w:r>
      <w:r w:rsidR="002F05F7" w:rsidRPr="00D45F6A">
        <w:t xml:space="preserve"> et al., 2013</w:t>
      </w:r>
      <w:r w:rsidR="007A2A50" w:rsidRPr="00D45F6A">
        <w:t>)</w:t>
      </w:r>
      <w:r w:rsidR="005D41D9" w:rsidRPr="00D45F6A">
        <w:t>.</w:t>
      </w:r>
      <w:r w:rsidR="0031225E" w:rsidRPr="00D45F6A">
        <w:t xml:space="preserve"> </w:t>
      </w:r>
      <w:r w:rsidR="00B52349" w:rsidRPr="00D45F6A">
        <w:t>Nonetheless, p</w:t>
      </w:r>
      <w:r w:rsidR="00FB119B" w:rsidRPr="00D45F6A">
        <w:t>eople</w:t>
      </w:r>
      <w:r w:rsidR="00A87064" w:rsidRPr="00D45F6A">
        <w:t xml:space="preserve"> </w:t>
      </w:r>
      <w:r w:rsidR="00485A6B" w:rsidRPr="00D45F6A">
        <w:t xml:space="preserve">with </w:t>
      </w:r>
      <w:r w:rsidR="00400177" w:rsidRPr="00D45F6A">
        <w:t>psychosis</w:t>
      </w:r>
      <w:r w:rsidR="00485A6B" w:rsidRPr="00D45F6A">
        <w:t xml:space="preserve"> </w:t>
      </w:r>
      <w:r w:rsidR="00A87064" w:rsidRPr="00D45F6A">
        <w:t xml:space="preserve">score highly on </w:t>
      </w:r>
      <w:r w:rsidR="00064A3E" w:rsidRPr="00D45F6A">
        <w:t xml:space="preserve">schizotypal </w:t>
      </w:r>
      <w:r w:rsidR="00BB6510" w:rsidRPr="00D45F6A">
        <w:t>questionnaires</w:t>
      </w:r>
      <w:r w:rsidR="00AB7E4A" w:rsidRPr="00D45F6A">
        <w:t xml:space="preserve">, and </w:t>
      </w:r>
      <w:r w:rsidR="009B4546" w:rsidRPr="00D45F6A">
        <w:t xml:space="preserve">some </w:t>
      </w:r>
      <w:r w:rsidR="00855AEB" w:rsidRPr="00D45F6A">
        <w:t>people with schizotypy</w:t>
      </w:r>
      <w:r w:rsidR="009E4BE9" w:rsidRPr="00D45F6A">
        <w:t xml:space="preserve"> experience</w:t>
      </w:r>
      <w:r w:rsidR="008843C3" w:rsidRPr="00D45F6A">
        <w:t xml:space="preserve"> sub-clinical manifestations of psychosis (</w:t>
      </w:r>
      <w:r w:rsidR="00AB7E4A" w:rsidRPr="00D45F6A">
        <w:t xml:space="preserve">Brosey </w:t>
      </w:r>
      <w:r w:rsidR="00C03662" w:rsidRPr="00D45F6A">
        <w:t xml:space="preserve">and </w:t>
      </w:r>
      <w:r w:rsidR="00AB7E4A" w:rsidRPr="00D45F6A">
        <w:t xml:space="preserve">Woodward, 2015; Cochrane et al., 2010; </w:t>
      </w:r>
      <w:r w:rsidR="008843C3" w:rsidRPr="00D45F6A">
        <w:t>Kwapil et al., 2008)</w:t>
      </w:r>
      <w:r w:rsidR="00FA4873" w:rsidRPr="00D45F6A">
        <w:t>.</w:t>
      </w:r>
      <w:r w:rsidR="00F1392D" w:rsidRPr="00D45F6A">
        <w:t xml:space="preserve"> </w:t>
      </w:r>
      <w:r w:rsidR="00FA1217">
        <w:t>Further, p</w:t>
      </w:r>
      <w:r w:rsidR="000605B3" w:rsidRPr="00D45F6A">
        <w:t xml:space="preserve">eople </w:t>
      </w:r>
      <w:r w:rsidR="00927988" w:rsidRPr="00D45F6A">
        <w:t xml:space="preserve">who score highly on the Schizotypal Personality Questionnaire have schizotypal personality disorder (Raine, 1991). </w:t>
      </w:r>
      <w:r w:rsidR="00695FD1" w:rsidRPr="00D45F6A">
        <w:t>S</w:t>
      </w:r>
      <w:r w:rsidR="008E0914" w:rsidRPr="00D45F6A">
        <w:t xml:space="preserve">chizotypal traits </w:t>
      </w:r>
      <w:r w:rsidR="0030797F" w:rsidRPr="00D45F6A">
        <w:t>could</w:t>
      </w:r>
      <w:r w:rsidR="00695FD1" w:rsidRPr="00D45F6A">
        <w:t xml:space="preserve"> </w:t>
      </w:r>
      <w:r w:rsidR="00811E15" w:rsidRPr="00D45F6A">
        <w:t xml:space="preserve">help to </w:t>
      </w:r>
      <w:r w:rsidR="00695FD1" w:rsidRPr="00D45F6A">
        <w:t>detect</w:t>
      </w:r>
      <w:r w:rsidR="008E0914" w:rsidRPr="00D45F6A">
        <w:t xml:space="preserve"> individuals at risk for psychosis</w:t>
      </w:r>
      <w:r w:rsidR="00F16E19">
        <w:t>,</w:t>
      </w:r>
      <w:r w:rsidR="00F16E19" w:rsidRPr="00F16E19">
        <w:t xml:space="preserve"> because they are on a continuum with the schizophrenia spectrum</w:t>
      </w:r>
      <w:r w:rsidR="008E0914" w:rsidRPr="00D45F6A">
        <w:t xml:space="preserve"> (Ettinger et al., 2014</w:t>
      </w:r>
      <w:r w:rsidR="00DB5145" w:rsidRPr="00D45F6A">
        <w:t>; Fonseca-Pedrero et al., 2018</w:t>
      </w:r>
      <w:r w:rsidR="008E0914" w:rsidRPr="00D45F6A">
        <w:t xml:space="preserve">). </w:t>
      </w:r>
      <w:r w:rsidR="00F16E19" w:rsidRPr="00F16E19">
        <w:t xml:space="preserve">Schizotypy resembles psychosis by the presence of positive and negative dimensions </w:t>
      </w:r>
      <w:r w:rsidR="005851BD" w:rsidRPr="00D45F6A">
        <w:t>(</w:t>
      </w:r>
      <w:r w:rsidR="00C94F4F" w:rsidRPr="00D45F6A">
        <w:t xml:space="preserve">Kendler, 1991; </w:t>
      </w:r>
      <w:r w:rsidR="005851BD" w:rsidRPr="00D45F6A">
        <w:t>Liddle, 1987)</w:t>
      </w:r>
      <w:r w:rsidR="00035DF8" w:rsidRPr="00D45F6A">
        <w:t xml:space="preserve">. </w:t>
      </w:r>
      <w:r w:rsidR="003A4185" w:rsidRPr="00D45F6A">
        <w:t>Positive schizotypy</w:t>
      </w:r>
      <w:r w:rsidR="00E43C85" w:rsidRPr="00D45F6A">
        <w:t xml:space="preserve"> </w:t>
      </w:r>
      <w:r w:rsidR="00871C37" w:rsidRPr="00D45F6A">
        <w:t>includes</w:t>
      </w:r>
      <w:r w:rsidR="00E43C85" w:rsidRPr="00D45F6A">
        <w:t xml:space="preserve"> magical ideation and perceptual aberration</w:t>
      </w:r>
      <w:r w:rsidR="00D01A3C" w:rsidRPr="00D45F6A">
        <w:t>s</w:t>
      </w:r>
      <w:r w:rsidR="00E43C85" w:rsidRPr="00D45F6A">
        <w:t xml:space="preserve">, </w:t>
      </w:r>
      <w:r w:rsidR="0068745A" w:rsidRPr="00D45F6A">
        <w:t>and</w:t>
      </w:r>
      <w:r w:rsidR="00364664" w:rsidRPr="00D45F6A">
        <w:t xml:space="preserve"> </w:t>
      </w:r>
      <w:r w:rsidR="003A4185" w:rsidRPr="00D45F6A">
        <w:t xml:space="preserve">negative schizotypy </w:t>
      </w:r>
      <w:r w:rsidR="0068745A" w:rsidRPr="00D45F6A">
        <w:t xml:space="preserve">consists of </w:t>
      </w:r>
      <w:r w:rsidR="00E43C85" w:rsidRPr="00D45F6A">
        <w:t xml:space="preserve">social </w:t>
      </w:r>
      <w:r w:rsidR="00B33FFC" w:rsidRPr="00D45F6A">
        <w:t xml:space="preserve">avoidance </w:t>
      </w:r>
      <w:r w:rsidR="00E43C85" w:rsidRPr="00D45F6A">
        <w:t>and physical anhedonia (</w:t>
      </w:r>
      <w:r w:rsidR="00BC3129" w:rsidRPr="00D45F6A">
        <w:t>Kendler, 1991</w:t>
      </w:r>
      <w:r w:rsidR="00E43C85" w:rsidRPr="00D45F6A">
        <w:t>).</w:t>
      </w:r>
      <w:r w:rsidR="0051427D" w:rsidRPr="00D45F6A">
        <w:t xml:space="preserve"> </w:t>
      </w:r>
    </w:p>
    <w:p w14:paraId="5AA246D2" w14:textId="7F966AFD" w:rsidR="00B13EDA" w:rsidRPr="00D45F6A" w:rsidRDefault="00597517">
      <w:r w:rsidRPr="00D45F6A">
        <w:t>S</w:t>
      </w:r>
      <w:r w:rsidR="005348C4" w:rsidRPr="00D45F6A">
        <w:t>chizotypy</w:t>
      </w:r>
      <w:r w:rsidR="0088373E" w:rsidRPr="00D45F6A">
        <w:t xml:space="preserve"> </w:t>
      </w:r>
      <w:r w:rsidRPr="00D45F6A">
        <w:t>is a multidimensional construct</w:t>
      </w:r>
      <w:r w:rsidR="00290308" w:rsidRPr="00D45F6A">
        <w:t xml:space="preserve">, which </w:t>
      </w:r>
      <w:r w:rsidR="00335466" w:rsidRPr="00D45F6A">
        <w:t xml:space="preserve">means that some dimensions, such as social isolation, could contribute to the risk for psychosis </w:t>
      </w:r>
      <w:r w:rsidR="00813CAA" w:rsidRPr="00D45F6A">
        <w:t xml:space="preserve">more than others </w:t>
      </w:r>
      <w:r w:rsidR="00335466" w:rsidRPr="00D45F6A">
        <w:t xml:space="preserve">(Flückiger et al., 2016). Positive schizotypy predicts </w:t>
      </w:r>
      <w:r w:rsidR="00083E56" w:rsidRPr="00D45F6A">
        <w:t>a</w:t>
      </w:r>
      <w:r w:rsidR="00335466" w:rsidRPr="00D45F6A">
        <w:t xml:space="preserve"> greater likelihood of </w:t>
      </w:r>
      <w:r w:rsidR="00BA3373" w:rsidRPr="00D45F6A">
        <w:t xml:space="preserve">having a </w:t>
      </w:r>
      <w:r w:rsidR="00335466" w:rsidRPr="00D45F6A">
        <w:t xml:space="preserve">psychotic disorder, while negative </w:t>
      </w:r>
      <w:r w:rsidR="00A37DB9" w:rsidRPr="00D45F6A">
        <w:t xml:space="preserve">and positive </w:t>
      </w:r>
      <w:r w:rsidR="00A14597" w:rsidRPr="00D45F6A">
        <w:t>schizotyp</w:t>
      </w:r>
      <w:r w:rsidR="00335466" w:rsidRPr="00D45F6A">
        <w:t>al traits predict a greater likelihood of schizophrenia-spectrum disorders (Kwapil et al., 2013). Social anxiety</w:t>
      </w:r>
      <w:r w:rsidR="00131C27" w:rsidRPr="00D45F6A">
        <w:t xml:space="preserve"> is</w:t>
      </w:r>
      <w:r w:rsidR="00131C27" w:rsidRPr="00D45F6A" w:rsidDel="00131C27">
        <w:t xml:space="preserve"> </w:t>
      </w:r>
      <w:r w:rsidR="00335466" w:rsidRPr="00D45F6A">
        <w:t xml:space="preserve">another </w:t>
      </w:r>
      <w:r w:rsidR="00290308" w:rsidRPr="00D45F6A">
        <w:t xml:space="preserve">schizotypal </w:t>
      </w:r>
      <w:r w:rsidR="000A5000" w:rsidRPr="00D45F6A">
        <w:t xml:space="preserve">dimension </w:t>
      </w:r>
      <w:r w:rsidR="00131C27" w:rsidRPr="00D45F6A">
        <w:lastRenderedPageBreak/>
        <w:t xml:space="preserve">denoting an intense fear of being rejected, embarrassed, and humiliated in social and performance situations </w:t>
      </w:r>
      <w:r w:rsidR="0088373E" w:rsidRPr="00D45F6A">
        <w:t>(</w:t>
      </w:r>
      <w:r w:rsidR="00131C27" w:rsidRPr="00D45F6A">
        <w:t xml:space="preserve">American Psychiatric Association, 2000; </w:t>
      </w:r>
      <w:r w:rsidR="0088373E" w:rsidRPr="00D45F6A">
        <w:t>Fonseca-Pedrero et al., 2018)</w:t>
      </w:r>
      <w:r w:rsidR="00131C27" w:rsidRPr="00D45F6A">
        <w:t xml:space="preserve">. </w:t>
      </w:r>
      <w:r w:rsidR="00083E89" w:rsidRPr="00083E89">
        <w:t>Social anxiety could contribute to paranoia, and to the risk for psychosis if the paranoid beliefs included beliefs that others will harm you</w:t>
      </w:r>
      <w:r w:rsidR="00813CAA" w:rsidRPr="00D45F6A">
        <w:t xml:space="preserve"> (Green and Phillips, 2004; Lysaker et al., 2010). </w:t>
      </w:r>
      <w:r w:rsidR="00083E89">
        <w:t>Indeed, p</w:t>
      </w:r>
      <w:r w:rsidR="00131C27" w:rsidRPr="00D45F6A">
        <w:t>eople</w:t>
      </w:r>
      <w:r w:rsidR="002C1F7A" w:rsidRPr="00D45F6A">
        <w:t xml:space="preserve"> with moderate paranoia feel more threatened by unfamiliar people than </w:t>
      </w:r>
      <w:r w:rsidR="00D31747" w:rsidRPr="00D45F6A">
        <w:t xml:space="preserve">by </w:t>
      </w:r>
      <w:r w:rsidR="002C1F7A" w:rsidRPr="00D45F6A">
        <w:t xml:space="preserve">familiar people (Collip et al., 2011). </w:t>
      </w:r>
    </w:p>
    <w:p w14:paraId="525B1970" w14:textId="57391D41" w:rsidR="002F6AEA" w:rsidRDefault="00CE1C27">
      <w:r w:rsidRPr="00D45F6A">
        <w:t>I</w:t>
      </w:r>
      <w:r w:rsidR="00290308" w:rsidRPr="00D45F6A">
        <w:t xml:space="preserve">nterpersonal schizotypy </w:t>
      </w:r>
      <w:r w:rsidR="00813CAA" w:rsidRPr="00D45F6A">
        <w:t>combines</w:t>
      </w:r>
      <w:r w:rsidR="00290308" w:rsidRPr="00D45F6A">
        <w:t xml:space="preserve"> social anxiety</w:t>
      </w:r>
      <w:r w:rsidR="00813CAA" w:rsidRPr="00D45F6A">
        <w:t xml:space="preserve"> </w:t>
      </w:r>
      <w:r w:rsidR="00290308" w:rsidRPr="00D45F6A">
        <w:t xml:space="preserve">and </w:t>
      </w:r>
      <w:r w:rsidR="00813CAA" w:rsidRPr="00D45F6A">
        <w:t>social isolation</w:t>
      </w:r>
      <w:r w:rsidR="00290308" w:rsidRPr="00D45F6A">
        <w:t xml:space="preserve"> (</w:t>
      </w:r>
      <w:r w:rsidR="0071687A" w:rsidRPr="00D45F6A">
        <w:t xml:space="preserve">Fonseca-Pedrero et al., 2017; </w:t>
      </w:r>
      <w:r w:rsidR="00290308" w:rsidRPr="00D45F6A">
        <w:t>Raine et a</w:t>
      </w:r>
      <w:r w:rsidR="00813CAA" w:rsidRPr="00D45F6A">
        <w:t>l</w:t>
      </w:r>
      <w:r w:rsidR="00290308" w:rsidRPr="00D45F6A">
        <w:t>., 1991).</w:t>
      </w:r>
      <w:r w:rsidR="009A6948" w:rsidRPr="00D45F6A">
        <w:t xml:space="preserve"> </w:t>
      </w:r>
      <w:r w:rsidR="00567C20">
        <w:t>T</w:t>
      </w:r>
      <w:r w:rsidR="00D31747" w:rsidRPr="00D45F6A">
        <w:t>he Oxford-Liverpool Inventory of Feelings and Experiences (O-LIFE, Mason et al., 1995)</w:t>
      </w:r>
      <w:r w:rsidR="00567C20">
        <w:t xml:space="preserve"> </w:t>
      </w:r>
      <w:r w:rsidR="00567C20" w:rsidRPr="00567C20">
        <w:t>is a valid self-report meas</w:t>
      </w:r>
      <w:r w:rsidR="00567C20">
        <w:t>ure of schizotypal traits. Here</w:t>
      </w:r>
      <w:r w:rsidR="00D31747" w:rsidRPr="00D45F6A">
        <w:t>, c</w:t>
      </w:r>
      <w:r w:rsidR="00E31D74" w:rsidRPr="00D45F6A">
        <w:t>ognitive disorganisation measures social anxiety, moodiness</w:t>
      </w:r>
      <w:r w:rsidR="00564929" w:rsidRPr="00D45F6A">
        <w:t>,</w:t>
      </w:r>
      <w:r w:rsidR="00E31D74" w:rsidRPr="00D45F6A">
        <w:t xml:space="preserve"> and </w:t>
      </w:r>
      <w:r w:rsidR="00A702F1" w:rsidRPr="00D45F6A">
        <w:t>difficulty concentrating</w:t>
      </w:r>
      <w:r w:rsidR="00FF3382" w:rsidRPr="00D45F6A">
        <w:t>, and</w:t>
      </w:r>
      <w:r w:rsidR="00E31D74" w:rsidRPr="00D45F6A">
        <w:t xml:space="preserve"> </w:t>
      </w:r>
      <w:r w:rsidR="00FF3382" w:rsidRPr="00D45F6A">
        <w:t>i</w:t>
      </w:r>
      <w:r w:rsidR="00E31D74" w:rsidRPr="00D45F6A">
        <w:t xml:space="preserve">ntrovertive anhedonia measures social avoidance and loneliness. </w:t>
      </w:r>
      <w:r w:rsidR="00E13AF1" w:rsidRPr="00D45F6A">
        <w:t xml:space="preserve">Interpersonal schizotypy </w:t>
      </w:r>
      <w:r w:rsidR="002005F9" w:rsidRPr="00D45F6A">
        <w:t>may relate to</w:t>
      </w:r>
      <w:r w:rsidR="00E13AF1" w:rsidRPr="00D45F6A">
        <w:t xml:space="preserve"> rejection sensitivity (RS)</w:t>
      </w:r>
      <w:r w:rsidR="002005F9" w:rsidRPr="00D45F6A">
        <w:t xml:space="preserve">. RS </w:t>
      </w:r>
      <w:r w:rsidR="00DE30C3" w:rsidRPr="00D45F6A">
        <w:t xml:space="preserve">is a type of social anxiety where the person expects others to reject </w:t>
      </w:r>
      <w:r w:rsidR="006B1D23" w:rsidRPr="00D45F6A">
        <w:t xml:space="preserve">or exclude </w:t>
      </w:r>
      <w:r w:rsidR="00DE30C3" w:rsidRPr="00D45F6A">
        <w:t>them in ambiguous interpersonal situations (Downey and Feldman, 1996)</w:t>
      </w:r>
      <w:r w:rsidR="00363847" w:rsidRPr="00D45F6A">
        <w:t xml:space="preserve">, and </w:t>
      </w:r>
      <w:r w:rsidR="009D7E76" w:rsidRPr="00D45F6A">
        <w:t>such people</w:t>
      </w:r>
      <w:r w:rsidR="00363847" w:rsidRPr="00D45F6A">
        <w:t xml:space="preserve"> ha</w:t>
      </w:r>
      <w:r w:rsidR="009D7E76" w:rsidRPr="00D45F6A">
        <w:t>ve</w:t>
      </w:r>
      <w:r w:rsidR="00AC004F" w:rsidRPr="00D45F6A">
        <w:t xml:space="preserve"> </w:t>
      </w:r>
      <w:r w:rsidR="00363847" w:rsidRPr="00D45F6A">
        <w:t xml:space="preserve">a </w:t>
      </w:r>
      <w:r w:rsidR="00F808B4" w:rsidRPr="00D45F6A">
        <w:t>rejection</w:t>
      </w:r>
      <w:r w:rsidR="005D1093" w:rsidRPr="00D45F6A">
        <w:t xml:space="preserve"> </w:t>
      </w:r>
      <w:r w:rsidR="00F808B4" w:rsidRPr="00D45F6A">
        <w:t>attribution bias</w:t>
      </w:r>
      <w:r w:rsidR="001F1310" w:rsidRPr="00D45F6A">
        <w:t xml:space="preserve"> </w:t>
      </w:r>
      <w:r w:rsidR="00F808B4" w:rsidRPr="00D45F6A">
        <w:t>(Park et al., 2016)</w:t>
      </w:r>
      <w:r w:rsidR="00C65862" w:rsidRPr="00D45F6A">
        <w:t>.</w:t>
      </w:r>
      <w:r w:rsidR="00441DA7" w:rsidRPr="00D45F6A">
        <w:t xml:space="preserve"> </w:t>
      </w:r>
      <w:r w:rsidR="00DE30C3" w:rsidRPr="00D45F6A">
        <w:t xml:space="preserve">Rejection sensitive individuals </w:t>
      </w:r>
      <w:r w:rsidR="00A54DAE" w:rsidRPr="00D45F6A">
        <w:t xml:space="preserve">in close relationships </w:t>
      </w:r>
      <w:r w:rsidR="00DE30C3" w:rsidRPr="00D45F6A">
        <w:t>perceive and express</w:t>
      </w:r>
      <w:r w:rsidR="003908C6" w:rsidRPr="00D45F6A">
        <w:t xml:space="preserve"> relationship</w:t>
      </w:r>
      <w:r w:rsidR="00DE30C3" w:rsidRPr="00D45F6A">
        <w:t xml:space="preserve"> insecurity (Langens and Schuler, 2005; Lemay </w:t>
      </w:r>
      <w:r w:rsidR="00C03662" w:rsidRPr="00D45F6A">
        <w:t xml:space="preserve">and </w:t>
      </w:r>
      <w:r w:rsidR="00DE30C3" w:rsidRPr="00D45F6A">
        <w:t>Clark, 2008).</w:t>
      </w:r>
      <w:r w:rsidR="00BE5821" w:rsidRPr="00D45F6A">
        <w:t xml:space="preserve"> </w:t>
      </w:r>
      <w:r w:rsidR="00D51017" w:rsidRPr="00D45F6A">
        <w:t>RS</w:t>
      </w:r>
      <w:r w:rsidR="00BE5821" w:rsidRPr="00D45F6A">
        <w:t xml:space="preserve"> </w:t>
      </w:r>
      <w:r w:rsidR="005F616B" w:rsidRPr="00D45F6A">
        <w:t>can also relate to</w:t>
      </w:r>
      <w:r w:rsidR="00BE5821" w:rsidRPr="00D45F6A">
        <w:t xml:space="preserve"> </w:t>
      </w:r>
      <w:r w:rsidR="00EF5ABA" w:rsidRPr="00D45F6A">
        <w:t>anxious</w:t>
      </w:r>
      <w:r w:rsidR="00912128" w:rsidRPr="00D45F6A">
        <w:t xml:space="preserve"> solitude</w:t>
      </w:r>
      <w:r w:rsidR="005D2A3E" w:rsidRPr="00D45F6A">
        <w:t>,</w:t>
      </w:r>
      <w:r w:rsidR="00DD3C64" w:rsidRPr="00D45F6A">
        <w:t xml:space="preserve"> </w:t>
      </w:r>
      <w:r w:rsidR="00443864" w:rsidRPr="00D45F6A">
        <w:t xml:space="preserve">where </w:t>
      </w:r>
      <w:r w:rsidR="00C463B2" w:rsidRPr="00D45F6A">
        <w:t xml:space="preserve">social </w:t>
      </w:r>
      <w:r w:rsidR="0032445F" w:rsidRPr="00D45F6A">
        <w:t xml:space="preserve">fears </w:t>
      </w:r>
      <w:r w:rsidR="00FB0FD5" w:rsidRPr="00D45F6A">
        <w:t xml:space="preserve">can make the person to avoid </w:t>
      </w:r>
      <w:r w:rsidR="0032445F" w:rsidRPr="00D45F6A">
        <w:t>social situations</w:t>
      </w:r>
      <w:r w:rsidR="00C463B2" w:rsidRPr="00D45F6A">
        <w:t xml:space="preserve"> </w:t>
      </w:r>
      <w:r w:rsidR="00A579D7" w:rsidRPr="00D45F6A">
        <w:t xml:space="preserve">(Rubin </w:t>
      </w:r>
      <w:r w:rsidR="00C03662" w:rsidRPr="00D45F6A">
        <w:t xml:space="preserve">and </w:t>
      </w:r>
      <w:r w:rsidR="00A579D7" w:rsidRPr="00D45F6A">
        <w:t>Coplan, 2010</w:t>
      </w:r>
      <w:r w:rsidR="00CB2C2A" w:rsidRPr="00D45F6A">
        <w:t>; Zlomke et al., 2016</w:t>
      </w:r>
      <w:r w:rsidR="00A579D7" w:rsidRPr="00D45F6A">
        <w:t>).</w:t>
      </w:r>
      <w:r w:rsidR="00DE30C3" w:rsidRPr="00D45F6A">
        <w:t xml:space="preserve"> </w:t>
      </w:r>
      <w:r w:rsidR="002F6AEA" w:rsidRPr="002F6AEA">
        <w:t xml:space="preserve">RS may denote vulnerability to psychosis, because it occurs all along the psychosis continuum (Grant and Beck, 2009; Kwapil et al., 2012; Morrison et al., 2006; Torgersen et al., 2002). A history of being rejected as a child, such as being emotionally neglected and bullied, relates to having more schizotypal traits in adulthood (Velikonja et al., 2015). Having been bullied as an adolescent is associated with paranoia and auditory hallucinations, and bullying denotes rejection (Campbell and Morrison, 2007). When viewing scenes depicting rejection, the dorsal anterior cingulate </w:t>
      </w:r>
      <w:r w:rsidR="002F6AEA" w:rsidRPr="002F6AEA">
        <w:lastRenderedPageBreak/>
        <w:t>cortex (a brain region involved in feeling emotional pain from rejection) is activated less in people with schizotypy than in healthy controls, which could suggest that people with schizotypy have difficulty dealing with the emotional pain of rejection (Premkumar et al., 2012).</w:t>
      </w:r>
    </w:p>
    <w:p w14:paraId="2BE9E94A" w14:textId="7E69D322" w:rsidR="002F524B" w:rsidRDefault="002F524B">
      <w:r w:rsidRPr="002F524B">
        <w:t xml:space="preserve">Social quality of life (QOL) could explain the relation between schizotypy and RS. Social QOL is the ability to perform and feel satisfied about social activities, such as having close relationships and employment, performing household duties, and performing other daily routines (Burns and Patrick, 2007; Trompenaars et al., 2007). Social dysfunction consists of social avoidance, friendship dissatisfaction, and perceiving social conflict (Wang et al., 2017). Having less social satisfaction and less perceived social support relate to greater RS in people with bipolar disorder (Ng and Johnson, 2013). Evidence linking social dysfunction to schizotypy is inconsistent. People with schizotypal traits have poorer-than-normal social functioning (Jahshan and Sergi, 2007; Luther et al., 2016), but better social functioning than people with schizophrenia (Rabin et al., 2014). Further, being paranoid and emotional predict lower social functioning in people who's schizotypal personality traits show a longitudinal increase (Geng et al., 2013). Other evidence indicates that people with schizotypal traits have below-normal QOL satisfaction, even if their social functioning is normal (Cohen et al., 2014). People with schizotypal traits can have a similar level of QOL satisfaction to people with psychosis (Cohen et al., 2014). Social dysfunction could imply that certain relational provisions are not noticed, such as attachment, praise, reassurance of worth, and guidance (Cutrona, 2004; Weiss, 1974). Poor social functioning correlates with negative schizotypy, that is a lack of pleasure from social and physical activities (Rabin et al., 2014; Cohen and Davis, 2009). Lower activation of the insula (a brain region associated with evaluating the salience of an event) during praise could suggest that people with schizotypal </w:t>
      </w:r>
      <w:r w:rsidRPr="002F524B">
        <w:lastRenderedPageBreak/>
        <w:t>traits do not notice praise (Premkumar et al., 2013), which could account for less perceived social support and social QOL.</w:t>
      </w:r>
    </w:p>
    <w:p w14:paraId="6EF02CA4" w14:textId="64C72BDA" w:rsidR="00A22D1C" w:rsidRPr="00D45F6A" w:rsidRDefault="002F524B">
      <w:r w:rsidRPr="002F524B">
        <w:t>People with schizotypal traits have low psychological QOL, which is a self-evaluation of one's beliefs and emotional state; this is evidenced by a link between lower QOL and more defeatist performance beliefs, and between lower QOL and emotional distress in this population (Abplanalp et al., 2017; Luther et al., 2016). This association could be explained by certain personality traits, such as neuroticism. Cognitive disorganisation includes social anxiety, and is associated with</w:t>
      </w:r>
      <w:r w:rsidR="005A5F2C" w:rsidRPr="00D45F6A">
        <w:t xml:space="preserve"> neuroticism</w:t>
      </w:r>
      <w:r w:rsidR="00B93695" w:rsidRPr="00D45F6A">
        <w:t xml:space="preserve"> </w:t>
      </w:r>
      <w:r w:rsidR="007D4752" w:rsidRPr="00D45F6A">
        <w:t>(</w:t>
      </w:r>
      <w:r w:rsidR="009928AD" w:rsidRPr="00D45F6A">
        <w:t>a</w:t>
      </w:r>
      <w:r w:rsidR="00F5041A" w:rsidRPr="00D45F6A">
        <w:t xml:space="preserve"> preoccupation with</w:t>
      </w:r>
      <w:r w:rsidR="009928AD" w:rsidRPr="00D45F6A">
        <w:t xml:space="preserve"> negative affect</w:t>
      </w:r>
      <w:r w:rsidR="007D4752" w:rsidRPr="00D45F6A">
        <w:t>)</w:t>
      </w:r>
      <w:r w:rsidR="009928AD" w:rsidRPr="00D45F6A">
        <w:t xml:space="preserve"> </w:t>
      </w:r>
      <w:r w:rsidR="00DC1D7B" w:rsidRPr="00D45F6A">
        <w:t>more than</w:t>
      </w:r>
      <w:r w:rsidR="00DB3038" w:rsidRPr="00D45F6A">
        <w:t xml:space="preserve"> </w:t>
      </w:r>
      <w:r w:rsidR="00636124" w:rsidRPr="00D45F6A">
        <w:t xml:space="preserve">any </w:t>
      </w:r>
      <w:r w:rsidR="0031578E" w:rsidRPr="00D45F6A">
        <w:t>other</w:t>
      </w:r>
      <w:r w:rsidR="001B2CB2" w:rsidRPr="00D45F6A">
        <w:t xml:space="preserve"> </w:t>
      </w:r>
      <w:r w:rsidR="009B3F43" w:rsidRPr="00D45F6A">
        <w:t xml:space="preserve">personality trait </w:t>
      </w:r>
      <w:r w:rsidR="00667C2D" w:rsidRPr="00D45F6A">
        <w:t>from</w:t>
      </w:r>
      <w:r w:rsidR="009B3F43" w:rsidRPr="00D45F6A">
        <w:t xml:space="preserve"> the </w:t>
      </w:r>
      <w:r w:rsidR="00DB3038" w:rsidRPr="00D45F6A">
        <w:t xml:space="preserve">five-factor </w:t>
      </w:r>
      <w:r w:rsidR="009B3F43" w:rsidRPr="00D45F6A">
        <w:t xml:space="preserve">model </w:t>
      </w:r>
      <w:r w:rsidR="000D4CFB" w:rsidRPr="00D45F6A">
        <w:t>(Swamih et al., 2011)</w:t>
      </w:r>
      <w:r w:rsidR="00C95A66" w:rsidRPr="00D45F6A">
        <w:t>.</w:t>
      </w:r>
      <w:r w:rsidR="001D5A5C" w:rsidRPr="00D45F6A">
        <w:t xml:space="preserve"> </w:t>
      </w:r>
      <w:r>
        <w:t>Ne</w:t>
      </w:r>
      <w:r w:rsidRPr="002F524B">
        <w:t>gative schizotypal traits denote social avoidance and are associated with lower extraversion and lower agreeableness (Kwapil et al., 2008; Swamih et al., 2011). Neuroticism could relate to RS (Berenson et al., 2009), but also mediate the link between negative schizotypy and RS by increasing early attention to rejection scenes, as defined by the P300 event-related potential (Premkumar et al., 2015). This finding means that RS could relate to avoidance of social situations when it is accompanied by worrying about social interaction. Agreeableness is another five-factor personality trait char</w:t>
      </w:r>
      <w:r w:rsidR="00D9680F">
        <w:t>acterised by warmth, trust, co-</w:t>
      </w:r>
      <w:r w:rsidRPr="002F524B">
        <w:t>operativeness, and prosociality (Costa and McCrae, 1992). Lower agreeableness provokes negative reactions in others and is associated with having been victimized by peers in childhood (Buckley et al., 2004; Jensen-Campbell et al., 2002). Lower agreeableness could mediate the link between RS and social dysfunction (Wang et al., 2017). In summary, schizotypy could relate to lower social functioning, lower agreeableness, and greater neuroticism, that in turn could relate to RS.</w:t>
      </w:r>
    </w:p>
    <w:p w14:paraId="4CEFD387" w14:textId="77642B78" w:rsidR="007A53CB" w:rsidRPr="00D45F6A" w:rsidRDefault="0058567D">
      <w:r w:rsidRPr="0058567D">
        <w:t xml:space="preserve">The aim of the study was to propose and test a theoretical model of the psychosocial link between interpersonal schizotypy and RS. A theoretical model of the psychosocial link </w:t>
      </w:r>
      <w:r w:rsidRPr="0058567D">
        <w:lastRenderedPageBreak/>
        <w:t xml:space="preserve">between schizotypy and RS could help to understand the social mechanisms of psychosis-like states. A model is proposed whereby a high level of interpersonal schizotypal traits relate to a lower quality of life (QOL), such as a poor ability to engage in personal relationships or employment, and lower satisfaction with these abilities. Additionally, a high level of interpersonal schizotypal traits could relate to a high level of certain personality traits (Costa and McCrae, 1992), such as agreeableness and introversion (Swamih et al., 2011). In turn, low QOL and a high level of these personality traits could relate to greater RS (Fig. 1). Low QOL could even relate to a low level of certain personality traits, such as neuroticism (Brett et al., 2012), and schizotypy might influence other personality traits, such as agreeableness and introversion independent of QOL (Swamih et al., 2011), and so increase RS. Thus, the study sought </w:t>
      </w:r>
      <w:r w:rsidR="00D9680F">
        <w:t>to determine the extent to whic</w:t>
      </w:r>
      <w:r w:rsidRPr="0058567D">
        <w:t>h QOL influences schizotypy beyond the personality traits. It was hypothesised that:</w:t>
      </w:r>
    </w:p>
    <w:p w14:paraId="767C09EC" w14:textId="55FD3DDD" w:rsidR="0058567D" w:rsidRDefault="0058567D" w:rsidP="0058567D">
      <w:pPr>
        <w:pStyle w:val="ListParagraph"/>
        <w:numPr>
          <w:ilvl w:val="0"/>
          <w:numId w:val="5"/>
        </w:numPr>
      </w:pPr>
      <w:r>
        <w:t>Greater schizotypal traits would predict greater RS;</w:t>
      </w:r>
    </w:p>
    <w:p w14:paraId="7B001E46" w14:textId="58E49699" w:rsidR="0058567D" w:rsidRDefault="0058567D" w:rsidP="00C45664">
      <w:pPr>
        <w:pStyle w:val="ListParagraph"/>
        <w:numPr>
          <w:ilvl w:val="0"/>
          <w:numId w:val="5"/>
        </w:numPr>
      </w:pPr>
      <w:r>
        <w:t>Poor QOL would incrementally predict RS beyond the variance explained by the relation between schizotypy and RS; and personality would incrementally predict greater RS beyond the variance</w:t>
      </w:r>
      <w:r>
        <w:t xml:space="preserve"> </w:t>
      </w:r>
      <w:r>
        <w:t>explained by the relation between schizotypy and QOL, and</w:t>
      </w:r>
    </w:p>
    <w:p w14:paraId="09526E01" w14:textId="27C55FF1" w:rsidR="00B84B21" w:rsidRPr="00D45F6A" w:rsidRDefault="0058567D" w:rsidP="00367587">
      <w:pPr>
        <w:pStyle w:val="ListParagraph"/>
        <w:numPr>
          <w:ilvl w:val="0"/>
          <w:numId w:val="5"/>
        </w:numPr>
      </w:pPr>
      <w:r>
        <w:t>Lower psychosocial functioning (i.e. lower levels of psychological QOL, social QOL, and agreeableness, and higher neuroticism) would mediate the relation between interpersonal schizotypal traits</w:t>
      </w:r>
      <w:r w:rsidR="00ED1A54">
        <w:t xml:space="preserve"> </w:t>
      </w:r>
      <w:r>
        <w:t>and RS.</w:t>
      </w:r>
    </w:p>
    <w:p w14:paraId="1F281E00" w14:textId="77777777" w:rsidR="009C711C" w:rsidRPr="00D45F6A" w:rsidRDefault="009C711C" w:rsidP="00107084"/>
    <w:p w14:paraId="61139966" w14:textId="2599034F" w:rsidR="009C711C" w:rsidRPr="00D45F6A" w:rsidRDefault="009C711C" w:rsidP="00107084">
      <w:pPr>
        <w:jc w:val="center"/>
      </w:pPr>
      <w:r w:rsidRPr="00D45F6A">
        <w:t>*** Insert Figure 1 about here ***</w:t>
      </w:r>
    </w:p>
    <w:p w14:paraId="5CD0DD46" w14:textId="77777777" w:rsidR="008F1C05" w:rsidRPr="00D45F6A" w:rsidRDefault="008F1C05" w:rsidP="00B621D1">
      <w:pPr>
        <w:pStyle w:val="Heading1"/>
      </w:pPr>
      <w:r w:rsidRPr="00D45F6A">
        <w:lastRenderedPageBreak/>
        <w:t>Method</w:t>
      </w:r>
    </w:p>
    <w:p w14:paraId="53C5B46C" w14:textId="75A83290" w:rsidR="00E61E74" w:rsidRPr="00D45F6A" w:rsidRDefault="0004557D" w:rsidP="003A6319">
      <w:pPr>
        <w:pStyle w:val="Heading2"/>
      </w:pPr>
      <w:r w:rsidRPr="00D45F6A">
        <w:t xml:space="preserve">Participants </w:t>
      </w:r>
    </w:p>
    <w:p w14:paraId="483F5CD7" w14:textId="44A4E132" w:rsidR="009E6BB8" w:rsidRPr="00D45F6A" w:rsidRDefault="00BC7836" w:rsidP="004C77D3">
      <w:r w:rsidRPr="00D45F6A">
        <w:t>Participants (</w:t>
      </w:r>
      <w:r w:rsidRPr="00D45F6A">
        <w:rPr>
          <w:i/>
        </w:rPr>
        <w:t>n</w:t>
      </w:r>
      <w:r w:rsidRPr="00D45F6A">
        <w:t xml:space="preserve">=318) </w:t>
      </w:r>
      <w:r w:rsidR="00FC17A3" w:rsidRPr="00D45F6A">
        <w:t xml:space="preserve">were predominantly </w:t>
      </w:r>
      <w:r w:rsidRPr="00D45F6A">
        <w:t xml:space="preserve">from </w:t>
      </w:r>
      <w:r w:rsidR="00FC17A3" w:rsidRPr="00D45F6A">
        <w:t>a University student population</w:t>
      </w:r>
      <w:r w:rsidR="005D6D61" w:rsidRPr="00D45F6A">
        <w:t xml:space="preserve">, and </w:t>
      </w:r>
      <w:r w:rsidR="00722BC8" w:rsidRPr="00D45F6A">
        <w:t xml:space="preserve">were </w:t>
      </w:r>
      <w:r w:rsidR="005D6D61" w:rsidRPr="00D45F6A">
        <w:t>female (82%), White (77%)</w:t>
      </w:r>
      <w:r w:rsidR="00B50F51" w:rsidRPr="00D45F6A">
        <w:t>,</w:t>
      </w:r>
      <w:r w:rsidR="005D6D61" w:rsidRPr="00D45F6A">
        <w:t xml:space="preserve"> and single (85%, Table 1)</w:t>
      </w:r>
      <w:r w:rsidR="00722BC8" w:rsidRPr="00D45F6A">
        <w:t>;</w:t>
      </w:r>
      <w:r w:rsidR="00AB7E26" w:rsidRPr="00D45F6A">
        <w:t xml:space="preserve"> thus</w:t>
      </w:r>
      <w:r w:rsidR="0004557D" w:rsidRPr="00D45F6A">
        <w:t>,</w:t>
      </w:r>
      <w:r w:rsidR="00AB7E26" w:rsidRPr="00D45F6A">
        <w:t xml:space="preserve"> </w:t>
      </w:r>
      <w:r w:rsidR="00722BC8" w:rsidRPr="00D45F6A">
        <w:t>the sample was obtain</w:t>
      </w:r>
      <w:r w:rsidR="00A96E43" w:rsidRPr="00D45F6A">
        <w:t>ed</w:t>
      </w:r>
      <w:r w:rsidR="00722BC8" w:rsidRPr="00D45F6A">
        <w:t xml:space="preserve"> by </w:t>
      </w:r>
      <w:r w:rsidR="00AB7E26" w:rsidRPr="00D45F6A">
        <w:t>convenience</w:t>
      </w:r>
      <w:r w:rsidR="00FC17A3" w:rsidRPr="00D45F6A">
        <w:t xml:space="preserve">. </w:t>
      </w:r>
      <w:r w:rsidR="001B0AD0" w:rsidRPr="00D45F6A">
        <w:t xml:space="preserve">Eighty-two percent of participants were University psychology students. </w:t>
      </w:r>
      <w:r w:rsidR="00265246" w:rsidRPr="00D45F6A">
        <w:t>P</w:t>
      </w:r>
      <w:r w:rsidR="0061089C" w:rsidRPr="00D45F6A">
        <w:t xml:space="preserve">articipants </w:t>
      </w:r>
      <w:r w:rsidR="00265246" w:rsidRPr="00D45F6A">
        <w:t xml:space="preserve">other than psychology students </w:t>
      </w:r>
      <w:r w:rsidR="00D31CD7" w:rsidRPr="00D45F6A">
        <w:t xml:space="preserve">at Nottingham Trent University </w:t>
      </w:r>
      <w:r w:rsidR="0061089C" w:rsidRPr="00D45F6A">
        <w:t xml:space="preserve">were recruited </w:t>
      </w:r>
      <w:r w:rsidR="007860A3" w:rsidRPr="00D45F6A">
        <w:t>through</w:t>
      </w:r>
      <w:r w:rsidR="000F531D" w:rsidRPr="00D45F6A">
        <w:t xml:space="preserve"> social networking websites</w:t>
      </w:r>
      <w:r w:rsidR="00DE6A23" w:rsidRPr="00D45F6A">
        <w:t>, such as Facebook</w:t>
      </w:r>
      <w:r w:rsidR="00145654" w:rsidRPr="00D45F6A">
        <w:t>,</w:t>
      </w:r>
      <w:r w:rsidR="00375B15" w:rsidRPr="00D45F6A">
        <w:t xml:space="preserve"> </w:t>
      </w:r>
      <w:r w:rsidR="008764C6" w:rsidRPr="00D45F6A">
        <w:t>thestudentroom.co.uk</w:t>
      </w:r>
      <w:r w:rsidR="006E48D9" w:rsidRPr="00D45F6A">
        <w:t>,</w:t>
      </w:r>
      <w:r w:rsidR="00145654" w:rsidRPr="00D45F6A">
        <w:t xml:space="preserve"> and ResearchWe</w:t>
      </w:r>
      <w:r w:rsidR="00684B8C" w:rsidRPr="00D45F6A">
        <w:t>.com</w:t>
      </w:r>
      <w:r w:rsidR="000F531D" w:rsidRPr="00D45F6A">
        <w:t xml:space="preserve">. </w:t>
      </w:r>
    </w:p>
    <w:p w14:paraId="18038733" w14:textId="77777777" w:rsidR="005D6D61" w:rsidRPr="00D45F6A" w:rsidRDefault="005D6D61" w:rsidP="005D6D61">
      <w:pPr>
        <w:jc w:val="center"/>
      </w:pPr>
      <w:r w:rsidRPr="00D45F6A">
        <w:t>*** Insert Table 1 about here ***</w:t>
      </w:r>
    </w:p>
    <w:p w14:paraId="4F8577A3" w14:textId="77777777" w:rsidR="005D6D61" w:rsidRPr="00D45F6A" w:rsidRDefault="005D6D61" w:rsidP="004C77D3"/>
    <w:p w14:paraId="145E4EB8" w14:textId="77777777" w:rsidR="008F1C05" w:rsidRPr="00D45F6A" w:rsidRDefault="00A47D45" w:rsidP="003A6319">
      <w:pPr>
        <w:pStyle w:val="Heading2"/>
      </w:pPr>
      <w:r w:rsidRPr="00D45F6A">
        <w:t>Psychometric m</w:t>
      </w:r>
      <w:r w:rsidR="008F1C05" w:rsidRPr="00D45F6A">
        <w:t>easures</w:t>
      </w:r>
    </w:p>
    <w:p w14:paraId="00FEA889" w14:textId="68187CB4" w:rsidR="009548E5" w:rsidRPr="00D45F6A" w:rsidRDefault="009548E5" w:rsidP="003A6319">
      <w:pPr>
        <w:pStyle w:val="Heading3"/>
      </w:pPr>
      <w:r w:rsidRPr="00D45F6A">
        <w:t>Adult Rejection Sensitivity Questionnaire (</w:t>
      </w:r>
      <w:r w:rsidR="00D661E1" w:rsidRPr="00D45F6A">
        <w:t xml:space="preserve">ARSQ, </w:t>
      </w:r>
      <w:r w:rsidRPr="00D45F6A">
        <w:t xml:space="preserve">Downey </w:t>
      </w:r>
      <w:r w:rsidR="00E47834" w:rsidRPr="00D45F6A">
        <w:t>and</w:t>
      </w:r>
      <w:r w:rsidRPr="00D45F6A">
        <w:t xml:space="preserve"> Feldman, </w:t>
      </w:r>
      <w:r w:rsidR="00D661E1" w:rsidRPr="00D45F6A">
        <w:t>1996</w:t>
      </w:r>
      <w:r w:rsidRPr="00D45F6A">
        <w:t>)</w:t>
      </w:r>
    </w:p>
    <w:p w14:paraId="44945261" w14:textId="35F1214A" w:rsidR="00D53FC3" w:rsidRPr="00D45F6A" w:rsidRDefault="00D1069A" w:rsidP="00107084">
      <w:r w:rsidRPr="00D45F6A">
        <w:t xml:space="preserve">The ARSQ is an </w:t>
      </w:r>
      <w:r w:rsidR="00280B8F" w:rsidRPr="00D45F6A">
        <w:t>18</w:t>
      </w:r>
      <w:r w:rsidR="00D661E1" w:rsidRPr="00D45F6A">
        <w:t>-it</w:t>
      </w:r>
      <w:r w:rsidR="00DB4731" w:rsidRPr="00D45F6A">
        <w:t xml:space="preserve">em </w:t>
      </w:r>
      <w:r w:rsidR="00280B8F" w:rsidRPr="00D45F6A">
        <w:t xml:space="preserve">scale </w:t>
      </w:r>
      <w:r w:rsidR="00DB4731" w:rsidRPr="00D45F6A">
        <w:t>consisting of nine</w:t>
      </w:r>
      <w:r w:rsidR="00D661E1" w:rsidRPr="00D45F6A">
        <w:t xml:space="preserve"> </w:t>
      </w:r>
      <w:r w:rsidR="00101E30" w:rsidRPr="00D45F6A">
        <w:t xml:space="preserve">hypothetical </w:t>
      </w:r>
      <w:r w:rsidR="0017309B" w:rsidRPr="00D45F6A">
        <w:t>scenarios</w:t>
      </w:r>
      <w:r w:rsidR="007478CE" w:rsidRPr="00D45F6A">
        <w:t xml:space="preserve">. One </w:t>
      </w:r>
      <w:r w:rsidR="00A6443D" w:rsidRPr="00D45F6A">
        <w:t>scenario</w:t>
      </w:r>
      <w:r w:rsidR="0017309B" w:rsidRPr="00D45F6A">
        <w:t xml:space="preserve"> </w:t>
      </w:r>
      <w:r w:rsidR="007478CE" w:rsidRPr="00D45F6A">
        <w:t>is</w:t>
      </w:r>
      <w:r w:rsidR="002B6154" w:rsidRPr="00D45F6A">
        <w:t xml:space="preserve"> </w:t>
      </w:r>
      <w:r w:rsidR="00101E30" w:rsidRPr="00D45F6A">
        <w:t>‘</w:t>
      </w:r>
      <w:r w:rsidR="00272444" w:rsidRPr="00D45F6A">
        <w:t>You approach a close friend to talk after doing or saying something that seriously upset him/her</w:t>
      </w:r>
      <w:r w:rsidR="002B6154" w:rsidRPr="00D45F6A">
        <w:t>’</w:t>
      </w:r>
      <w:r w:rsidR="00DE222D" w:rsidRPr="00D45F6A">
        <w:t xml:space="preserve">. </w:t>
      </w:r>
      <w:r w:rsidR="0068515F" w:rsidRPr="00D45F6A">
        <w:t xml:space="preserve">Participants rated each </w:t>
      </w:r>
      <w:r w:rsidR="006C1917" w:rsidRPr="00D45F6A">
        <w:t xml:space="preserve">item </w:t>
      </w:r>
      <w:r w:rsidR="00F35814" w:rsidRPr="00D45F6A">
        <w:t xml:space="preserve">in terms of how concerned they would be about that situation </w:t>
      </w:r>
      <w:r w:rsidR="0068515F" w:rsidRPr="00D45F6A">
        <w:t>on a six-point Likert scale</w:t>
      </w:r>
      <w:r w:rsidR="00B81531" w:rsidRPr="00D45F6A">
        <w:t xml:space="preserve">, ranging from ‘Very unconcerned’ to ‘Very concerned’, </w:t>
      </w:r>
      <w:r w:rsidR="00101E30" w:rsidRPr="00D45F6A">
        <w:t xml:space="preserve">and </w:t>
      </w:r>
      <w:r w:rsidR="00187BC1" w:rsidRPr="00D45F6A">
        <w:t xml:space="preserve">how likely </w:t>
      </w:r>
      <w:r w:rsidR="00F35814" w:rsidRPr="00D45F6A">
        <w:t xml:space="preserve">it was that </w:t>
      </w:r>
      <w:r w:rsidR="00187BC1" w:rsidRPr="00D45F6A">
        <w:t>they</w:t>
      </w:r>
      <w:r w:rsidR="00101E30" w:rsidRPr="00D45F6A">
        <w:t xml:space="preserve"> would be accepted in that situation</w:t>
      </w:r>
      <w:r w:rsidR="00611163" w:rsidRPr="00D45F6A">
        <w:t xml:space="preserve"> on a six-point Likert scale</w:t>
      </w:r>
      <w:r w:rsidRPr="00D45F6A">
        <w:t xml:space="preserve">, </w:t>
      </w:r>
      <w:r w:rsidR="00B81531" w:rsidRPr="00D45F6A">
        <w:t>ranging from ‘Very unlikely’ to ‘Very likely’</w:t>
      </w:r>
      <w:r w:rsidR="00101E30" w:rsidRPr="00D45F6A">
        <w:t xml:space="preserve">. </w:t>
      </w:r>
      <w:r w:rsidR="00550943" w:rsidRPr="00D45F6A">
        <w:t>In t</w:t>
      </w:r>
      <w:r w:rsidR="00DE0AE6" w:rsidRPr="00D45F6A">
        <w:t>he</w:t>
      </w:r>
      <w:r w:rsidR="00CE7955" w:rsidRPr="00D45F6A">
        <w:t xml:space="preserve"> </w:t>
      </w:r>
      <w:r w:rsidR="00416F9C" w:rsidRPr="00D45F6A">
        <w:t>current sample</w:t>
      </w:r>
      <w:r w:rsidR="00550943" w:rsidRPr="00D45F6A">
        <w:t>, the</w:t>
      </w:r>
      <w:r w:rsidR="00CE7955" w:rsidRPr="00D45F6A">
        <w:t xml:space="preserve"> </w:t>
      </w:r>
      <w:r w:rsidR="00D30661" w:rsidRPr="00D45F6A">
        <w:t xml:space="preserve">mean </w:t>
      </w:r>
      <w:r w:rsidR="00CE7955" w:rsidRPr="00D45F6A">
        <w:t xml:space="preserve">score was comparable to that of </w:t>
      </w:r>
      <w:r w:rsidR="00F04872" w:rsidRPr="00D45F6A">
        <w:t>a</w:t>
      </w:r>
      <w:r w:rsidR="00CE7955" w:rsidRPr="00D45F6A">
        <w:t xml:space="preserve"> normative sample </w:t>
      </w:r>
      <w:r w:rsidR="00177F5A" w:rsidRPr="00D45F6A">
        <w:t>(Berenson et al., 2009)</w:t>
      </w:r>
      <w:r w:rsidR="00B0100F" w:rsidRPr="00D45F6A">
        <w:t>.</w:t>
      </w:r>
      <w:r w:rsidR="00177F5A" w:rsidRPr="00D45F6A">
        <w:t xml:space="preserve"> </w:t>
      </w:r>
      <w:r w:rsidR="00B0100F" w:rsidRPr="00D45F6A">
        <w:t>T</w:t>
      </w:r>
      <w:r w:rsidR="004A66DE" w:rsidRPr="00D45F6A">
        <w:t xml:space="preserve">he scale had good internal reliability </w:t>
      </w:r>
      <w:r w:rsidR="006D12AD" w:rsidRPr="00D45F6A">
        <w:t xml:space="preserve">in the current sample </w:t>
      </w:r>
      <w:r w:rsidR="00177F5A" w:rsidRPr="00D45F6A">
        <w:t>(</w:t>
      </w:r>
      <w:r w:rsidR="00D30661" w:rsidRPr="00D45F6A">
        <w:t>Table 1</w:t>
      </w:r>
      <w:r w:rsidR="00CE7955" w:rsidRPr="00D45F6A">
        <w:t>)</w:t>
      </w:r>
      <w:r w:rsidR="008B09F1" w:rsidRPr="00D45F6A">
        <w:t xml:space="preserve"> and </w:t>
      </w:r>
      <w:r w:rsidR="00A6443D" w:rsidRPr="00D45F6A">
        <w:t xml:space="preserve">in </w:t>
      </w:r>
      <w:r w:rsidR="003058FC" w:rsidRPr="00D45F6A">
        <w:t>another</w:t>
      </w:r>
      <w:r w:rsidR="008B09F1" w:rsidRPr="00D45F6A">
        <w:t xml:space="preserve"> sample of </w:t>
      </w:r>
      <w:r w:rsidR="003058FC" w:rsidRPr="00D45F6A">
        <w:t xml:space="preserve">British </w:t>
      </w:r>
      <w:r w:rsidR="008B09F1" w:rsidRPr="00D45F6A">
        <w:t>University students (</w:t>
      </w:r>
      <w:r w:rsidR="003058FC" w:rsidRPr="00D45F6A">
        <w:t>Premkumar et al., 2014</w:t>
      </w:r>
      <w:r w:rsidR="008B09F1" w:rsidRPr="00D45F6A">
        <w:t>)</w:t>
      </w:r>
      <w:r w:rsidR="00184107" w:rsidRPr="00D45F6A">
        <w:t>.</w:t>
      </w:r>
      <w:r w:rsidR="003741AA" w:rsidRPr="00D45F6A">
        <w:t xml:space="preserve"> Higher RS relates to greater attention interference by rejection-related words in </w:t>
      </w:r>
      <w:r w:rsidR="00EA5C2E" w:rsidRPr="00D45F6A">
        <w:t>an</w:t>
      </w:r>
      <w:r w:rsidR="003741AA" w:rsidRPr="00D45F6A">
        <w:t xml:space="preserve"> emotional Stroop task (Berenson et al., 2009)</w:t>
      </w:r>
      <w:r w:rsidR="006E48D9" w:rsidRPr="00D45F6A">
        <w:t>, and signifies</w:t>
      </w:r>
      <w:r w:rsidR="00483B36" w:rsidRPr="00D45F6A">
        <w:t xml:space="preserve"> good construct validity</w:t>
      </w:r>
      <w:r w:rsidR="003741AA" w:rsidRPr="00D45F6A">
        <w:t xml:space="preserve">. </w:t>
      </w:r>
      <w:r w:rsidR="00483B36" w:rsidRPr="00D45F6A">
        <w:t>The scale</w:t>
      </w:r>
      <w:r w:rsidR="00CD55FD" w:rsidRPr="00D45F6A">
        <w:t xml:space="preserve"> </w:t>
      </w:r>
      <w:r w:rsidR="00755FA6" w:rsidRPr="00D45F6A">
        <w:t xml:space="preserve">has good </w:t>
      </w:r>
      <w:r w:rsidR="00B93CCA" w:rsidRPr="00D45F6A">
        <w:t xml:space="preserve">convergent validity, </w:t>
      </w:r>
      <w:r w:rsidR="008B338C" w:rsidRPr="00D45F6A">
        <w:t>as</w:t>
      </w:r>
      <w:r w:rsidR="00B93CCA" w:rsidRPr="00D45F6A">
        <w:t xml:space="preserve"> it is </w:t>
      </w:r>
      <w:r w:rsidR="00B217D1" w:rsidRPr="00D45F6A">
        <w:t>correlated</w:t>
      </w:r>
      <w:r w:rsidR="00B93CCA" w:rsidRPr="00D45F6A">
        <w:t xml:space="preserve"> with </w:t>
      </w:r>
      <w:r w:rsidR="00B217D1" w:rsidRPr="00D45F6A">
        <w:lastRenderedPageBreak/>
        <w:t>another measure</w:t>
      </w:r>
      <w:r w:rsidR="00B93CCA" w:rsidRPr="00D45F6A">
        <w:t xml:space="preserve"> of interp</w:t>
      </w:r>
      <w:r w:rsidR="00B217D1" w:rsidRPr="00D45F6A">
        <w:t>er</w:t>
      </w:r>
      <w:r w:rsidR="00B93CCA" w:rsidRPr="00D45F6A">
        <w:t>sonal sensitivity (Berenson et al., 2009).</w:t>
      </w:r>
      <w:r w:rsidR="00483B36" w:rsidRPr="00D45F6A">
        <w:t xml:space="preserve"> </w:t>
      </w:r>
      <w:r w:rsidR="000B6A75" w:rsidRPr="00D45F6A">
        <w:t>The scale has good criterion validity, because it</w:t>
      </w:r>
      <w:r w:rsidR="00C12797" w:rsidRPr="00D45F6A">
        <w:t xml:space="preserve"> correlates moderately with </w:t>
      </w:r>
      <w:r w:rsidR="00755FA6" w:rsidRPr="00D45F6A">
        <w:t>neuroticism, social avoidance</w:t>
      </w:r>
      <w:r w:rsidR="00C12797" w:rsidRPr="00D45F6A">
        <w:t>,</w:t>
      </w:r>
      <w:r w:rsidR="00755FA6" w:rsidRPr="00D45F6A">
        <w:t xml:space="preserve"> self-esteem</w:t>
      </w:r>
      <w:r w:rsidR="00C12797" w:rsidRPr="00D45F6A">
        <w:t>,</w:t>
      </w:r>
      <w:r w:rsidR="00755FA6" w:rsidRPr="00D45F6A">
        <w:t xml:space="preserve"> attachment anxiety</w:t>
      </w:r>
      <w:r w:rsidR="006E48D9" w:rsidRPr="00D45F6A">
        <w:t>,</w:t>
      </w:r>
      <w:r w:rsidR="00755FA6" w:rsidRPr="00D45F6A">
        <w:t xml:space="preserve"> attachment avoidance</w:t>
      </w:r>
      <w:r w:rsidR="00C12797" w:rsidRPr="00D45F6A">
        <w:t>,</w:t>
      </w:r>
      <w:r w:rsidR="00755FA6" w:rsidRPr="00D45F6A">
        <w:t xml:space="preserve"> </w:t>
      </w:r>
      <w:r w:rsidR="006E48D9" w:rsidRPr="00D45F6A">
        <w:t xml:space="preserve">and </w:t>
      </w:r>
      <w:r w:rsidR="00755FA6" w:rsidRPr="00D45F6A">
        <w:t xml:space="preserve">depression </w:t>
      </w:r>
      <w:r w:rsidR="00C12797" w:rsidRPr="00D45F6A">
        <w:t>(Berenson et al., 2009)</w:t>
      </w:r>
      <w:r w:rsidR="00A842D5" w:rsidRPr="00D45F6A">
        <w:t xml:space="preserve">, and </w:t>
      </w:r>
      <w:r w:rsidR="00A6443D" w:rsidRPr="00D45F6A">
        <w:t xml:space="preserve">with </w:t>
      </w:r>
      <w:r w:rsidR="00A842D5" w:rsidRPr="00D45F6A">
        <w:t>relational aggression in romantic couples (</w:t>
      </w:r>
      <w:r w:rsidR="00BC6CFB" w:rsidRPr="00D45F6A">
        <w:t>Gallier and Bentley, 2010</w:t>
      </w:r>
      <w:r w:rsidR="00A842D5" w:rsidRPr="00D45F6A">
        <w:t>)</w:t>
      </w:r>
      <w:r w:rsidR="00C12797" w:rsidRPr="00D45F6A">
        <w:t xml:space="preserve">. </w:t>
      </w:r>
      <w:r w:rsidR="00836A1B" w:rsidRPr="00D45F6A">
        <w:t xml:space="preserve">It has good </w:t>
      </w:r>
      <w:r w:rsidR="00BB1B58" w:rsidRPr="00D45F6A">
        <w:t>discriminant</w:t>
      </w:r>
      <w:r w:rsidR="00836A1B" w:rsidRPr="00D45F6A">
        <w:t xml:space="preserve"> validity, because people with borderline personality disorder score highly on RS (Berenson et al., 2009). </w:t>
      </w:r>
    </w:p>
    <w:p w14:paraId="09293F71" w14:textId="77777777" w:rsidR="008577BF" w:rsidRPr="00D45F6A" w:rsidRDefault="008577BF" w:rsidP="00107084"/>
    <w:p w14:paraId="0E7375B8" w14:textId="381FD515" w:rsidR="00B021AC" w:rsidRPr="00D45F6A" w:rsidRDefault="00B021AC" w:rsidP="003A6319">
      <w:pPr>
        <w:pStyle w:val="Heading3"/>
      </w:pPr>
      <w:r w:rsidRPr="00D45F6A">
        <w:t>Oxford-Liverpool Inventory of Feelings and Experiences (O-LIFE, Mason</w:t>
      </w:r>
      <w:r w:rsidR="00F80746" w:rsidRPr="00D45F6A">
        <w:t xml:space="preserve"> et al.</w:t>
      </w:r>
      <w:r w:rsidRPr="00D45F6A">
        <w:t>, 1995)</w:t>
      </w:r>
    </w:p>
    <w:p w14:paraId="7E77D900" w14:textId="599839C0" w:rsidR="0063002A" w:rsidRPr="00D45F6A" w:rsidRDefault="0063002A" w:rsidP="00107084">
      <w:r w:rsidRPr="00D45F6A">
        <w:t xml:space="preserve">The O-LIFE </w:t>
      </w:r>
      <w:r w:rsidR="00280B8F" w:rsidRPr="00D45F6A">
        <w:t>is a 104-item scale</w:t>
      </w:r>
      <w:r w:rsidRPr="00D45F6A">
        <w:t xml:space="preserve"> </w:t>
      </w:r>
      <w:r w:rsidR="00550943" w:rsidRPr="00D45F6A">
        <w:t>measuring</w:t>
      </w:r>
      <w:r w:rsidRPr="00D45F6A">
        <w:t xml:space="preserve"> unusual experiences, introvertive anhedonia</w:t>
      </w:r>
      <w:r w:rsidR="00CB6D0B" w:rsidRPr="00D45F6A">
        <w:t>,</w:t>
      </w:r>
      <w:r w:rsidR="00177CA6" w:rsidRPr="00D45F6A">
        <w:t xml:space="preserve"> cognitive disorganisation</w:t>
      </w:r>
      <w:r w:rsidR="00AB0BF1" w:rsidRPr="00D45F6A">
        <w:t>,</w:t>
      </w:r>
      <w:r w:rsidRPr="00D45F6A">
        <w:t xml:space="preserve"> and impulsive nonconformity. </w:t>
      </w:r>
      <w:r w:rsidR="00BC279F" w:rsidRPr="00D45F6A">
        <w:t>T</w:t>
      </w:r>
      <w:r w:rsidRPr="00D45F6A">
        <w:t>he</w:t>
      </w:r>
      <w:r w:rsidR="00D30661" w:rsidRPr="00D45F6A">
        <w:t xml:space="preserve"> unusual experiences sub</w:t>
      </w:r>
      <w:r w:rsidR="002D4917" w:rsidRPr="00D45F6A">
        <w:t xml:space="preserve">scale </w:t>
      </w:r>
      <w:r w:rsidR="00367CAE" w:rsidRPr="00D45F6A">
        <w:t xml:space="preserve">has 30 items. It </w:t>
      </w:r>
      <w:r w:rsidR="00BC279F" w:rsidRPr="00D45F6A">
        <w:t xml:space="preserve">measures </w:t>
      </w:r>
      <w:r w:rsidR="0084175B" w:rsidRPr="00D45F6A">
        <w:t xml:space="preserve">positive schizotypy that </w:t>
      </w:r>
      <w:r w:rsidR="00A6443D" w:rsidRPr="00D45F6A">
        <w:t xml:space="preserve">denotes having </w:t>
      </w:r>
      <w:r w:rsidR="00DB36B7" w:rsidRPr="00D45F6A">
        <w:t xml:space="preserve">perceptual </w:t>
      </w:r>
      <w:r w:rsidR="00CC3162" w:rsidRPr="00D45F6A">
        <w:t>aberrations</w:t>
      </w:r>
      <w:r w:rsidR="00DB36B7" w:rsidRPr="00D45F6A">
        <w:t xml:space="preserve"> and magical ideation</w:t>
      </w:r>
      <w:r w:rsidRPr="00D45F6A">
        <w:t>.</w:t>
      </w:r>
      <w:r w:rsidR="00BC279F" w:rsidRPr="00D45F6A">
        <w:t xml:space="preserve"> </w:t>
      </w:r>
      <w:r w:rsidR="004D0563" w:rsidRPr="00D45F6A">
        <w:t xml:space="preserve">Introvertive anhedonia </w:t>
      </w:r>
      <w:r w:rsidR="00367CAE" w:rsidRPr="00D45F6A">
        <w:t xml:space="preserve">has 27 items. It </w:t>
      </w:r>
      <w:r w:rsidR="0084175B" w:rsidRPr="00D45F6A">
        <w:t xml:space="preserve">measures negative schizotypy that </w:t>
      </w:r>
      <w:r w:rsidR="00A6443D" w:rsidRPr="00D45F6A">
        <w:t>consists of</w:t>
      </w:r>
      <w:r w:rsidR="0084175B" w:rsidRPr="00D45F6A">
        <w:t xml:space="preserve"> </w:t>
      </w:r>
      <w:r w:rsidR="004D0563" w:rsidRPr="00D45F6A">
        <w:t xml:space="preserve">social </w:t>
      </w:r>
      <w:r w:rsidR="00C87FB9" w:rsidRPr="00D45F6A">
        <w:t>avoidance</w:t>
      </w:r>
      <w:r w:rsidR="00105A50" w:rsidRPr="00D45F6A">
        <w:t xml:space="preserve"> and lack of pleasure in physical activities</w:t>
      </w:r>
      <w:r w:rsidR="004D0563" w:rsidRPr="00D45F6A">
        <w:t xml:space="preserve">. Cognitive disorganisation </w:t>
      </w:r>
      <w:r w:rsidR="00367CAE" w:rsidRPr="00D45F6A">
        <w:t xml:space="preserve">has 24 items. It </w:t>
      </w:r>
      <w:r w:rsidR="0084175B" w:rsidRPr="00D45F6A">
        <w:t xml:space="preserve">measures </w:t>
      </w:r>
      <w:r w:rsidR="004D0563" w:rsidRPr="00D45F6A">
        <w:t>social anxiety</w:t>
      </w:r>
      <w:r w:rsidR="00105A50" w:rsidRPr="00D45F6A">
        <w:t xml:space="preserve">, </w:t>
      </w:r>
      <w:r w:rsidR="00437E9B" w:rsidRPr="00D45F6A">
        <w:t>moodiness</w:t>
      </w:r>
      <w:r w:rsidR="00AB0BF1" w:rsidRPr="00D45F6A">
        <w:t>,</w:t>
      </w:r>
      <w:r w:rsidR="00437E9B" w:rsidRPr="00D45F6A">
        <w:t xml:space="preserve"> and </w:t>
      </w:r>
      <w:r w:rsidR="00105A50" w:rsidRPr="00D45F6A">
        <w:t>lack of concentration</w:t>
      </w:r>
      <w:r w:rsidR="004D0563" w:rsidRPr="00D45F6A">
        <w:t xml:space="preserve">. </w:t>
      </w:r>
      <w:r w:rsidR="002D4917" w:rsidRPr="00D45F6A">
        <w:t>Impulsive non-conformity</w:t>
      </w:r>
      <w:r w:rsidR="00367CAE" w:rsidRPr="00D45F6A">
        <w:t xml:space="preserve"> has 23 items. It</w:t>
      </w:r>
      <w:r w:rsidR="002D4917" w:rsidRPr="00D45F6A">
        <w:t xml:space="preserve"> measures</w:t>
      </w:r>
      <w:r w:rsidR="00F53EA1" w:rsidRPr="00D45F6A">
        <w:t xml:space="preserve"> aggression and lack of self-control.</w:t>
      </w:r>
      <w:r w:rsidR="002D4917" w:rsidRPr="00D45F6A">
        <w:t xml:space="preserve"> </w:t>
      </w:r>
      <w:r w:rsidR="008A0570" w:rsidRPr="00D45F6A">
        <w:t xml:space="preserve">Participants answered </w:t>
      </w:r>
      <w:r w:rsidR="004C6818" w:rsidRPr="00D45F6A">
        <w:t xml:space="preserve">each item as </w:t>
      </w:r>
      <w:r w:rsidR="008A0570" w:rsidRPr="00D45F6A">
        <w:t>‘Yes’ or ‘No</w:t>
      </w:r>
      <w:r w:rsidR="00471846" w:rsidRPr="00D45F6A">
        <w:t>’</w:t>
      </w:r>
      <w:r w:rsidR="008A0570" w:rsidRPr="00D45F6A">
        <w:t xml:space="preserve">. </w:t>
      </w:r>
      <w:r w:rsidR="00D30661" w:rsidRPr="00D45F6A">
        <w:t xml:space="preserve">The </w:t>
      </w:r>
      <w:r w:rsidR="00BF6EC0" w:rsidRPr="00D45F6A">
        <w:t xml:space="preserve">mean </w:t>
      </w:r>
      <w:r w:rsidR="00D30661" w:rsidRPr="00D45F6A">
        <w:t>unusual experiences score was lower</w:t>
      </w:r>
      <w:r w:rsidR="00F52880" w:rsidRPr="00D45F6A">
        <w:t xml:space="preserve"> in the current sample</w:t>
      </w:r>
      <w:r w:rsidR="00036C52" w:rsidRPr="00D45F6A">
        <w:t>,</w:t>
      </w:r>
      <w:r w:rsidR="00D30661" w:rsidRPr="00D45F6A">
        <w:t xml:space="preserve"> </w:t>
      </w:r>
      <w:r w:rsidR="00287274" w:rsidRPr="00D45F6A">
        <w:t xml:space="preserve">while the </w:t>
      </w:r>
      <w:r w:rsidR="00BF6EC0" w:rsidRPr="00D45F6A">
        <w:t xml:space="preserve">means of </w:t>
      </w:r>
      <w:r w:rsidR="002F6E9C" w:rsidRPr="00D45F6A">
        <w:t>the other</w:t>
      </w:r>
      <w:r w:rsidR="00036C52" w:rsidRPr="00D45F6A">
        <w:t xml:space="preserve"> </w:t>
      </w:r>
      <w:r w:rsidR="00BF6EC0" w:rsidRPr="00D45F6A">
        <w:t>subscales</w:t>
      </w:r>
      <w:r w:rsidR="00036C52" w:rsidRPr="00D45F6A">
        <w:t xml:space="preserve"> were higher than </w:t>
      </w:r>
      <w:r w:rsidR="005632DE" w:rsidRPr="00D45F6A">
        <w:t>those</w:t>
      </w:r>
      <w:r w:rsidR="00036C52" w:rsidRPr="00D45F6A">
        <w:t xml:space="preserve"> of </w:t>
      </w:r>
      <w:r w:rsidR="007628D2" w:rsidRPr="00D45F6A">
        <w:t>a</w:t>
      </w:r>
      <w:r w:rsidR="00616932" w:rsidRPr="00D45F6A">
        <w:t>nother</w:t>
      </w:r>
      <w:r w:rsidR="007628D2" w:rsidRPr="00D45F6A">
        <w:t xml:space="preserve"> British </w:t>
      </w:r>
      <w:r w:rsidR="00036C52" w:rsidRPr="00D45F6A">
        <w:t>sample (Mason et al., 2006; Table 1).</w:t>
      </w:r>
      <w:r w:rsidR="001C468A" w:rsidRPr="00D45F6A">
        <w:t xml:space="preserve"> The subscales had acceptable to good internal reliability</w:t>
      </w:r>
      <w:r w:rsidR="006D12AD" w:rsidRPr="00D45F6A">
        <w:t xml:space="preserve"> in the current sample</w:t>
      </w:r>
      <w:r w:rsidR="000922F7" w:rsidRPr="00D45F6A">
        <w:t xml:space="preserve"> and </w:t>
      </w:r>
      <w:r w:rsidR="00ED5F6C" w:rsidRPr="00D45F6A">
        <w:t xml:space="preserve">the normative </w:t>
      </w:r>
      <w:r w:rsidR="000F14A4" w:rsidRPr="00D45F6A">
        <w:t xml:space="preserve">British </w:t>
      </w:r>
      <w:r w:rsidR="00ED5F6C" w:rsidRPr="00D45F6A">
        <w:t>sample (Mason et al., 1995)</w:t>
      </w:r>
      <w:r w:rsidR="001C468A" w:rsidRPr="00D45F6A">
        <w:t>.</w:t>
      </w:r>
      <w:r w:rsidR="00ED5F6C" w:rsidRPr="00D45F6A">
        <w:t xml:space="preserve"> </w:t>
      </w:r>
      <w:r w:rsidR="0020291A" w:rsidRPr="00D45F6A">
        <w:t xml:space="preserve">The </w:t>
      </w:r>
      <w:r w:rsidR="00E92651" w:rsidRPr="00D45F6A">
        <w:t>scale</w:t>
      </w:r>
      <w:r w:rsidR="0020291A" w:rsidRPr="00D45F6A">
        <w:t xml:space="preserve"> has good </w:t>
      </w:r>
      <w:r w:rsidR="00444BF1" w:rsidRPr="00D45F6A">
        <w:t>discriminant</w:t>
      </w:r>
      <w:r w:rsidR="0020291A" w:rsidRPr="00D45F6A">
        <w:t xml:space="preserve"> validity, as </w:t>
      </w:r>
      <w:r w:rsidR="00E92651" w:rsidRPr="00D45F6A">
        <w:t xml:space="preserve">patients with schizophrenia score higher on unusual experiences, introvertive anhedonia, </w:t>
      </w:r>
      <w:r w:rsidR="003234F9" w:rsidRPr="00D45F6A">
        <w:t xml:space="preserve">and </w:t>
      </w:r>
      <w:r w:rsidR="00E92651" w:rsidRPr="00D45F6A">
        <w:t xml:space="preserve">cognitive disorganisation than healthy participants (Cochrane et al., 2010). The scale has convergent validity, because the unusual experiences subscale score correlates with positive </w:t>
      </w:r>
      <w:r w:rsidR="00E92651" w:rsidRPr="00D45F6A">
        <w:lastRenderedPageBreak/>
        <w:t>symptoms in patients with schizophrenia (Cochrane et al., 2010).</w:t>
      </w:r>
      <w:r w:rsidR="00FB3E35" w:rsidRPr="00D45F6A">
        <w:t xml:space="preserve"> Impulsive nonconformity is less relevant to the schizotypal organisation than other subscales (Mason, 2015)</w:t>
      </w:r>
    </w:p>
    <w:p w14:paraId="28068519" w14:textId="77777777" w:rsidR="00142FDD" w:rsidRPr="00D45F6A" w:rsidRDefault="00142FDD" w:rsidP="00107084"/>
    <w:p w14:paraId="091F349B" w14:textId="77777777" w:rsidR="00B021AC" w:rsidRPr="00D45F6A" w:rsidRDefault="00EF0A69" w:rsidP="003A6319">
      <w:pPr>
        <w:pStyle w:val="Heading3"/>
      </w:pPr>
      <w:r w:rsidRPr="00D45F6A">
        <w:t>World Health Organization Quality of Life assessment instrument (WHOQOL-100</w:t>
      </w:r>
      <w:r w:rsidR="002A651F" w:rsidRPr="00D45F6A">
        <w:t>, WHOQOL Group</w:t>
      </w:r>
      <w:r w:rsidR="00B3645C" w:rsidRPr="00D45F6A">
        <w:t>, 1998</w:t>
      </w:r>
      <w:r w:rsidRPr="00D45F6A">
        <w:t>)</w:t>
      </w:r>
    </w:p>
    <w:p w14:paraId="41D976E7" w14:textId="29DA67F1" w:rsidR="009E6BB8" w:rsidRPr="00D45F6A" w:rsidRDefault="000F5B8F" w:rsidP="00107084">
      <w:r w:rsidRPr="00D45F6A">
        <w:t xml:space="preserve">The WHOQOL </w:t>
      </w:r>
      <w:r w:rsidR="00280B8F" w:rsidRPr="00D45F6A">
        <w:t>is a 100-item scale</w:t>
      </w:r>
      <w:r w:rsidR="003E761C" w:rsidRPr="00D45F6A">
        <w:t xml:space="preserve"> </w:t>
      </w:r>
      <w:r w:rsidR="00E461A5" w:rsidRPr="00D45F6A">
        <w:t xml:space="preserve">that </w:t>
      </w:r>
      <w:r w:rsidR="00A13A45" w:rsidRPr="00D45F6A">
        <w:t>measure</w:t>
      </w:r>
      <w:r w:rsidR="00A6443D" w:rsidRPr="00D45F6A">
        <w:t>s</w:t>
      </w:r>
      <w:r w:rsidR="003E761C" w:rsidRPr="00D45F6A">
        <w:t xml:space="preserve"> </w:t>
      </w:r>
      <w:r w:rsidR="007C22CE" w:rsidRPr="00D45F6A">
        <w:t>physical, psychological, social</w:t>
      </w:r>
      <w:r w:rsidR="00BA5F36" w:rsidRPr="00D45F6A">
        <w:t>,</w:t>
      </w:r>
      <w:r w:rsidR="003E761C" w:rsidRPr="00D45F6A">
        <w:t xml:space="preserve"> </w:t>
      </w:r>
      <w:r w:rsidR="007C22CE" w:rsidRPr="00D45F6A">
        <w:t>and</w:t>
      </w:r>
      <w:r w:rsidR="003E761C" w:rsidRPr="00D45F6A">
        <w:t xml:space="preserve"> environmental</w:t>
      </w:r>
      <w:r w:rsidR="00834E33" w:rsidRPr="00D45F6A">
        <w:t xml:space="preserve"> QOL</w:t>
      </w:r>
      <w:r w:rsidR="000F48FC" w:rsidRPr="00D45F6A">
        <w:t xml:space="preserve">. </w:t>
      </w:r>
      <w:r w:rsidR="002F32D2" w:rsidRPr="00D45F6A">
        <w:t xml:space="preserve">The questions </w:t>
      </w:r>
      <w:r w:rsidR="00701E1D" w:rsidRPr="00D45F6A">
        <w:t>ask</w:t>
      </w:r>
      <w:r w:rsidR="00F13BAC" w:rsidRPr="00D45F6A">
        <w:t xml:space="preserve"> </w:t>
      </w:r>
      <w:r w:rsidR="00AA3EF7" w:rsidRPr="00D45F6A">
        <w:t>about</w:t>
      </w:r>
      <w:r w:rsidR="005B34F5" w:rsidRPr="00D45F6A">
        <w:t xml:space="preserve"> </w:t>
      </w:r>
      <w:r w:rsidR="0094764F" w:rsidRPr="00D45F6A">
        <w:t>one’s</w:t>
      </w:r>
      <w:r w:rsidR="00F13BAC" w:rsidRPr="00D45F6A">
        <w:t xml:space="preserve"> ability to perform </w:t>
      </w:r>
      <w:r w:rsidR="00701E1D" w:rsidRPr="00D45F6A">
        <w:t xml:space="preserve">an activity, </w:t>
      </w:r>
      <w:r w:rsidR="002D29C5" w:rsidRPr="00D45F6A">
        <w:t>for example</w:t>
      </w:r>
      <w:r w:rsidR="00542FAA" w:rsidRPr="00D45F6A">
        <w:t>,</w:t>
      </w:r>
      <w:r w:rsidR="00701E1D" w:rsidRPr="00D45F6A">
        <w:t xml:space="preserve"> ‘How well do you sleep?’</w:t>
      </w:r>
      <w:r w:rsidR="00B33990" w:rsidRPr="00D45F6A">
        <w:t>. The questions also ask about</w:t>
      </w:r>
      <w:r w:rsidR="00F13BAC" w:rsidRPr="00D45F6A">
        <w:t xml:space="preserve"> </w:t>
      </w:r>
      <w:r w:rsidR="00182A96" w:rsidRPr="00D45F6A">
        <w:t xml:space="preserve">their </w:t>
      </w:r>
      <w:r w:rsidR="00D17833" w:rsidRPr="00D45F6A">
        <w:t>satisfaction</w:t>
      </w:r>
      <w:r w:rsidR="00182A96" w:rsidRPr="00D45F6A">
        <w:t xml:space="preserve"> with that activity</w:t>
      </w:r>
      <w:r w:rsidR="00701E1D" w:rsidRPr="00D45F6A">
        <w:t xml:space="preserve">, </w:t>
      </w:r>
      <w:r w:rsidR="002D29C5" w:rsidRPr="00D45F6A">
        <w:t>for example</w:t>
      </w:r>
      <w:r w:rsidR="00701E1D" w:rsidRPr="00D45F6A">
        <w:t xml:space="preserve"> ‘How satisfied are you with your sleep?’</w:t>
      </w:r>
      <w:r w:rsidR="00F13BAC" w:rsidRPr="00D45F6A">
        <w:t xml:space="preserve">. </w:t>
      </w:r>
      <w:r w:rsidR="00E461A5" w:rsidRPr="00D45F6A">
        <w:t xml:space="preserve">The </w:t>
      </w:r>
      <w:r w:rsidR="0009390A" w:rsidRPr="00D45F6A">
        <w:t xml:space="preserve">physical domain </w:t>
      </w:r>
      <w:r w:rsidR="00EA4225" w:rsidRPr="00D45F6A">
        <w:t>includes</w:t>
      </w:r>
      <w:r w:rsidR="004D2570" w:rsidRPr="00D45F6A">
        <w:t xml:space="preserve"> </w:t>
      </w:r>
      <w:r w:rsidR="007222B9" w:rsidRPr="00D45F6A">
        <w:t xml:space="preserve">attributes </w:t>
      </w:r>
      <w:r w:rsidR="00EA4225" w:rsidRPr="00D45F6A">
        <w:t>of</w:t>
      </w:r>
      <w:r w:rsidR="007222B9" w:rsidRPr="00D45F6A">
        <w:t xml:space="preserve"> </w:t>
      </w:r>
      <w:r w:rsidR="004D2570" w:rsidRPr="00D45F6A">
        <w:t>pain, energy, sleep, mobility</w:t>
      </w:r>
      <w:r w:rsidR="00393A2D" w:rsidRPr="00D45F6A">
        <w:t>,</w:t>
      </w:r>
      <w:r w:rsidR="00673285" w:rsidRPr="00D45F6A">
        <w:t xml:space="preserve"> and</w:t>
      </w:r>
      <w:r w:rsidR="004D2570" w:rsidRPr="00D45F6A">
        <w:t xml:space="preserve"> activities of daily living</w:t>
      </w:r>
      <w:r w:rsidR="00C44A7C" w:rsidRPr="00D45F6A">
        <w:t xml:space="preserve"> (</w:t>
      </w:r>
      <w:r w:rsidR="000263DF" w:rsidRPr="00D45F6A">
        <w:t>2</w:t>
      </w:r>
      <w:r w:rsidR="007F1DC1" w:rsidRPr="00D45F6A">
        <w:t>8</w:t>
      </w:r>
      <w:r w:rsidR="000263DF" w:rsidRPr="00D45F6A">
        <w:t xml:space="preserve"> items)</w:t>
      </w:r>
      <w:r w:rsidR="004D2570" w:rsidRPr="00D45F6A">
        <w:t xml:space="preserve">. The psychological domain </w:t>
      </w:r>
      <w:r w:rsidR="00673285" w:rsidRPr="00D45F6A">
        <w:t xml:space="preserve">considers </w:t>
      </w:r>
      <w:r w:rsidR="00C57324" w:rsidRPr="00D45F6A">
        <w:t>positive feeling</w:t>
      </w:r>
      <w:r w:rsidR="00DD179F" w:rsidRPr="00D45F6A">
        <w:t>s</w:t>
      </w:r>
      <w:r w:rsidR="00C57324" w:rsidRPr="00D45F6A">
        <w:t xml:space="preserve">, </w:t>
      </w:r>
      <w:r w:rsidR="009C5ED7" w:rsidRPr="00D45F6A">
        <w:t xml:space="preserve">clarity of thought, self-esteem, </w:t>
      </w:r>
      <w:r w:rsidR="00DD179F" w:rsidRPr="00D45F6A">
        <w:t>body image, negative feelings</w:t>
      </w:r>
      <w:r w:rsidR="00393A2D" w:rsidRPr="00D45F6A">
        <w:t>,</w:t>
      </w:r>
      <w:r w:rsidR="00DD179F" w:rsidRPr="00D45F6A">
        <w:t xml:space="preserve"> and spirituality</w:t>
      </w:r>
      <w:r w:rsidR="000263DF" w:rsidRPr="00D45F6A">
        <w:t xml:space="preserve"> (24 items)</w:t>
      </w:r>
      <w:r w:rsidR="00DD179F" w:rsidRPr="00D45F6A">
        <w:t>.</w:t>
      </w:r>
      <w:r w:rsidR="00405CFD" w:rsidRPr="00D45F6A">
        <w:t xml:space="preserve"> The social domain</w:t>
      </w:r>
      <w:r w:rsidR="00C03F32" w:rsidRPr="00D45F6A">
        <w:t xml:space="preserve"> </w:t>
      </w:r>
      <w:r w:rsidR="00574CB5" w:rsidRPr="00D45F6A">
        <w:t xml:space="preserve">measures quality of </w:t>
      </w:r>
      <w:r w:rsidR="00633717" w:rsidRPr="00D45F6A">
        <w:t>personal relationships, social support</w:t>
      </w:r>
      <w:r w:rsidR="00393A2D" w:rsidRPr="00D45F6A">
        <w:t>,</w:t>
      </w:r>
      <w:r w:rsidR="00633717" w:rsidRPr="00D45F6A">
        <w:t xml:space="preserve"> and sexual activity</w:t>
      </w:r>
      <w:r w:rsidR="000263DF" w:rsidRPr="00D45F6A">
        <w:t xml:space="preserve"> (</w:t>
      </w:r>
      <w:r w:rsidR="00DF6665" w:rsidRPr="00D45F6A">
        <w:t>12 items)</w:t>
      </w:r>
      <w:r w:rsidR="00633717" w:rsidRPr="00D45F6A">
        <w:t xml:space="preserve">. The environmental domain </w:t>
      </w:r>
      <w:r w:rsidR="00574CB5" w:rsidRPr="00D45F6A">
        <w:t>measures quality of</w:t>
      </w:r>
      <w:r w:rsidR="00574CB5" w:rsidRPr="00D45F6A" w:rsidDel="00574CB5">
        <w:t xml:space="preserve"> </w:t>
      </w:r>
      <w:r w:rsidR="00574CB5" w:rsidRPr="00D45F6A">
        <w:t xml:space="preserve">one’s surroundings, </w:t>
      </w:r>
      <w:r w:rsidR="008F5F8E" w:rsidRPr="00D45F6A">
        <w:t xml:space="preserve">such as </w:t>
      </w:r>
      <w:r w:rsidR="005C534F" w:rsidRPr="00D45F6A">
        <w:t>physical safety, home environment, financial resources, health</w:t>
      </w:r>
      <w:r w:rsidR="00393A2D" w:rsidRPr="00D45F6A">
        <w:t>,</w:t>
      </w:r>
      <w:r w:rsidR="005C534F" w:rsidRPr="00D45F6A">
        <w:t xml:space="preserve"> and social care</w:t>
      </w:r>
      <w:r w:rsidR="00BA0710" w:rsidRPr="00D45F6A">
        <w:t xml:space="preserve"> (32 items)</w:t>
      </w:r>
      <w:r w:rsidR="00B62418" w:rsidRPr="00D45F6A">
        <w:t xml:space="preserve">. </w:t>
      </w:r>
      <w:r w:rsidR="00DA6F2E" w:rsidRPr="00D45F6A">
        <w:t xml:space="preserve">Overall QOL (4 items) </w:t>
      </w:r>
      <w:r w:rsidR="00AD77EC" w:rsidRPr="00D45F6A">
        <w:t xml:space="preserve">asks about general satisfaction with one’s QOL. </w:t>
      </w:r>
      <w:r w:rsidR="00EE1F14" w:rsidRPr="00D45F6A">
        <w:t>Participants rated e</w:t>
      </w:r>
      <w:r w:rsidR="005B2253" w:rsidRPr="00D45F6A">
        <w:t>ach item on a five</w:t>
      </w:r>
      <w:r w:rsidR="00251295" w:rsidRPr="00D45F6A">
        <w:t>-point Likert scale.</w:t>
      </w:r>
      <w:r w:rsidR="00A85A44" w:rsidRPr="00D45F6A">
        <w:t xml:space="preserve"> The mean psychological QOL</w:t>
      </w:r>
      <w:r w:rsidR="00C9710C" w:rsidRPr="00D45F6A">
        <w:t xml:space="preserve"> in the current sample</w:t>
      </w:r>
      <w:r w:rsidR="00A85A44" w:rsidRPr="00D45F6A">
        <w:t xml:space="preserve"> was </w:t>
      </w:r>
      <w:r w:rsidR="008F5F8E" w:rsidRPr="00D45F6A">
        <w:t xml:space="preserve">comparable with </w:t>
      </w:r>
      <w:r w:rsidR="00A85A44" w:rsidRPr="00D45F6A">
        <w:t xml:space="preserve">that of an older </w:t>
      </w:r>
      <w:r w:rsidR="005924DE" w:rsidRPr="00D45F6A">
        <w:t xml:space="preserve">global </w:t>
      </w:r>
      <w:r w:rsidR="000B4AE5" w:rsidRPr="00D45F6A">
        <w:t>sample of</w:t>
      </w:r>
      <w:r w:rsidR="001C468A" w:rsidRPr="00D45F6A">
        <w:t xml:space="preserve"> </w:t>
      </w:r>
      <w:r w:rsidR="00E7502E" w:rsidRPr="00D45F6A">
        <w:t>clinical and healthy</w:t>
      </w:r>
      <w:r w:rsidR="00A85A44" w:rsidRPr="00D45F6A">
        <w:t xml:space="preserve"> people, while the means of </w:t>
      </w:r>
      <w:r w:rsidR="001A0D88" w:rsidRPr="00D45F6A">
        <w:t xml:space="preserve">the other subscales </w:t>
      </w:r>
      <w:r w:rsidR="00A85A44" w:rsidRPr="00D45F6A">
        <w:t>were slightly higher</w:t>
      </w:r>
      <w:r w:rsidR="00A43B1B" w:rsidRPr="00D45F6A">
        <w:t xml:space="preserve"> (WHOQOL Group, 1998, Table 1)</w:t>
      </w:r>
      <w:r w:rsidR="00A85A44" w:rsidRPr="00D45F6A">
        <w:t xml:space="preserve">. </w:t>
      </w:r>
      <w:r w:rsidR="001C468A" w:rsidRPr="00D45F6A">
        <w:t>The subscales had good to excellent internal reliability</w:t>
      </w:r>
      <w:r w:rsidR="006D12AD" w:rsidRPr="00D45F6A">
        <w:t xml:space="preserve"> in the current sample</w:t>
      </w:r>
      <w:r w:rsidR="00706DD5" w:rsidRPr="00D45F6A">
        <w:t xml:space="preserve">, and </w:t>
      </w:r>
      <w:r w:rsidR="00170EF3" w:rsidRPr="00D45F6A">
        <w:t>good</w:t>
      </w:r>
      <w:r w:rsidR="00706DD5" w:rsidRPr="00D45F6A">
        <w:t xml:space="preserve"> to </w:t>
      </w:r>
      <w:r w:rsidR="00170EF3" w:rsidRPr="00D45F6A">
        <w:t xml:space="preserve">external </w:t>
      </w:r>
      <w:r w:rsidR="00E17560" w:rsidRPr="00D45F6A">
        <w:t xml:space="preserve">internal reliability </w:t>
      </w:r>
      <w:r w:rsidR="00706DD5" w:rsidRPr="00D45F6A">
        <w:t xml:space="preserve">in </w:t>
      </w:r>
      <w:r w:rsidR="00170EF3" w:rsidRPr="00D45F6A">
        <w:t xml:space="preserve">British </w:t>
      </w:r>
      <w:r w:rsidR="00706DD5" w:rsidRPr="00D45F6A">
        <w:t xml:space="preserve">patients with </w:t>
      </w:r>
      <w:r w:rsidR="00170EF3" w:rsidRPr="00D45F6A">
        <w:t>a physical or mental illness</w:t>
      </w:r>
      <w:r w:rsidR="00706DD5" w:rsidRPr="00D45F6A">
        <w:t xml:space="preserve"> (</w:t>
      </w:r>
      <w:r w:rsidR="00170EF3" w:rsidRPr="00D45F6A">
        <w:t>Skevington, 1999</w:t>
      </w:r>
      <w:r w:rsidR="00706DD5" w:rsidRPr="00D45F6A">
        <w:t>)</w:t>
      </w:r>
      <w:r w:rsidR="001C468A" w:rsidRPr="00D45F6A">
        <w:t>.</w:t>
      </w:r>
      <w:r w:rsidR="00DF1990" w:rsidRPr="00D45F6A">
        <w:t xml:space="preserve"> </w:t>
      </w:r>
      <w:r w:rsidR="00D84E7B" w:rsidRPr="00D45F6A">
        <w:t>Greater p</w:t>
      </w:r>
      <w:r w:rsidR="00A77E5B" w:rsidRPr="00D45F6A">
        <w:t>hysical, p</w:t>
      </w:r>
      <w:r w:rsidR="00DF1990" w:rsidRPr="00D45F6A">
        <w:t>sychological</w:t>
      </w:r>
      <w:r w:rsidR="00A77E5B" w:rsidRPr="00D45F6A">
        <w:t>, social</w:t>
      </w:r>
      <w:r w:rsidR="00393A2D" w:rsidRPr="00D45F6A">
        <w:t>,</w:t>
      </w:r>
      <w:r w:rsidR="00A77E5B" w:rsidRPr="00D45F6A">
        <w:t xml:space="preserve"> and environmental QOL </w:t>
      </w:r>
      <w:r w:rsidR="00DF1990" w:rsidRPr="00D45F6A">
        <w:t xml:space="preserve">correlated with </w:t>
      </w:r>
      <w:r w:rsidR="00D84E7B" w:rsidRPr="00D45F6A">
        <w:t>less</w:t>
      </w:r>
      <w:r w:rsidR="00DF1990" w:rsidRPr="00D45F6A">
        <w:t xml:space="preserve"> anxiety</w:t>
      </w:r>
      <w:r w:rsidR="00A77E5B" w:rsidRPr="00D45F6A">
        <w:t xml:space="preserve"> and</w:t>
      </w:r>
      <w:r w:rsidR="00DF1990" w:rsidRPr="00D45F6A">
        <w:t xml:space="preserve"> depression</w:t>
      </w:r>
      <w:r w:rsidR="007D221B" w:rsidRPr="00D45F6A">
        <w:t xml:space="preserve"> </w:t>
      </w:r>
      <w:r w:rsidR="00A77E5B" w:rsidRPr="00D45F6A">
        <w:t xml:space="preserve">in patients with schizophrenia </w:t>
      </w:r>
      <w:r w:rsidR="007D221B" w:rsidRPr="00D45F6A">
        <w:t>(Örsel et al., 2004)</w:t>
      </w:r>
      <w:r w:rsidR="00AD2591" w:rsidRPr="00D45F6A">
        <w:t xml:space="preserve">, indicating </w:t>
      </w:r>
      <w:r w:rsidR="00BB1B58" w:rsidRPr="00D45F6A">
        <w:t>the scale’s criterion validity</w:t>
      </w:r>
      <w:r w:rsidR="007D221B" w:rsidRPr="00D45F6A">
        <w:t xml:space="preserve">. </w:t>
      </w:r>
    </w:p>
    <w:p w14:paraId="793A023E" w14:textId="64F411A6" w:rsidR="008F1C05" w:rsidRPr="00D45F6A" w:rsidRDefault="008F1C05" w:rsidP="00E47834">
      <w:pPr>
        <w:pStyle w:val="Heading3"/>
      </w:pPr>
      <w:r w:rsidRPr="00D45F6A">
        <w:lastRenderedPageBreak/>
        <w:t>The Big Five Inventory (John</w:t>
      </w:r>
      <w:r w:rsidR="00E47834" w:rsidRPr="00D45F6A">
        <w:t xml:space="preserve"> et al.</w:t>
      </w:r>
      <w:r w:rsidRPr="00D45F6A">
        <w:t>, 1991)</w:t>
      </w:r>
    </w:p>
    <w:p w14:paraId="025F4BCA" w14:textId="217C0322" w:rsidR="00254912" w:rsidRPr="00D45F6A" w:rsidRDefault="00DA268E" w:rsidP="00107084">
      <w:r w:rsidRPr="00D45F6A">
        <w:t xml:space="preserve">The scale </w:t>
      </w:r>
      <w:r w:rsidR="00280B8F" w:rsidRPr="00D45F6A">
        <w:t>is a 44-item scale</w:t>
      </w:r>
      <w:r w:rsidR="006C0431" w:rsidRPr="00D45F6A">
        <w:t xml:space="preserve"> measuring extraversion, conscientiousness, neuroticism, agreeableness</w:t>
      </w:r>
      <w:r w:rsidR="00D676EC" w:rsidRPr="00D45F6A">
        <w:t>,</w:t>
      </w:r>
      <w:r w:rsidR="006C0431" w:rsidRPr="00D45F6A">
        <w:t xml:space="preserve"> and openness. </w:t>
      </w:r>
      <w:r w:rsidR="003E2726" w:rsidRPr="00D45F6A">
        <w:t>Extraversion</w:t>
      </w:r>
      <w:r w:rsidR="00AD77EC" w:rsidRPr="00D45F6A">
        <w:t xml:space="preserve"> (8 items)</w:t>
      </w:r>
      <w:r w:rsidR="003E2726" w:rsidRPr="00D45F6A">
        <w:t xml:space="preserve"> </w:t>
      </w:r>
      <w:r w:rsidR="005E5A5E" w:rsidRPr="00D45F6A">
        <w:t>measures traits, such as</w:t>
      </w:r>
      <w:r w:rsidR="003E2726" w:rsidRPr="00D45F6A">
        <w:t xml:space="preserve"> being outgoing, sociable</w:t>
      </w:r>
      <w:r w:rsidR="00862C3D" w:rsidRPr="00D45F6A">
        <w:t>,</w:t>
      </w:r>
      <w:r w:rsidR="003E2726" w:rsidRPr="00D45F6A">
        <w:t xml:space="preserve"> and fun-seeking. </w:t>
      </w:r>
      <w:r w:rsidR="00C3186C" w:rsidRPr="00D45F6A">
        <w:t xml:space="preserve">Conscientiousness </w:t>
      </w:r>
      <w:r w:rsidR="00AD77EC" w:rsidRPr="00D45F6A">
        <w:t xml:space="preserve">(9 items) </w:t>
      </w:r>
      <w:r w:rsidR="00DF2230" w:rsidRPr="00D45F6A">
        <w:t>is the ability to be self-disciplined, reliable</w:t>
      </w:r>
      <w:r w:rsidR="00D41BC2" w:rsidRPr="00D45F6A">
        <w:t>,</w:t>
      </w:r>
      <w:r w:rsidR="00DF2230" w:rsidRPr="00D45F6A">
        <w:t xml:space="preserve"> and organ</w:t>
      </w:r>
      <w:r w:rsidR="00EC4332" w:rsidRPr="00D45F6A">
        <w:t>ise</w:t>
      </w:r>
      <w:r w:rsidR="00DF2230" w:rsidRPr="00D45F6A">
        <w:t xml:space="preserve">d. </w:t>
      </w:r>
      <w:r w:rsidR="003E2726" w:rsidRPr="00D45F6A">
        <w:t xml:space="preserve">Neuroticism </w:t>
      </w:r>
      <w:r w:rsidR="00AD77EC" w:rsidRPr="00D45F6A">
        <w:t xml:space="preserve">(8 items) </w:t>
      </w:r>
      <w:r w:rsidR="003E2726" w:rsidRPr="00D45F6A">
        <w:t xml:space="preserve">is the tendency to worry excessively and evaluate negative emotions (Goldberg, 1990). Agreeableness </w:t>
      </w:r>
      <w:r w:rsidR="00AD77EC" w:rsidRPr="00D45F6A">
        <w:t xml:space="preserve">(9 items) </w:t>
      </w:r>
      <w:r w:rsidR="003E2726" w:rsidRPr="00D45F6A">
        <w:t>is the tendency to be warm, trusting, cooperative</w:t>
      </w:r>
      <w:r w:rsidR="00987A8B" w:rsidRPr="00D45F6A">
        <w:t>,</w:t>
      </w:r>
      <w:r w:rsidR="003E2726" w:rsidRPr="00D45F6A">
        <w:t xml:space="preserve"> and prosocial. </w:t>
      </w:r>
      <w:r w:rsidR="00DF2230" w:rsidRPr="00D45F6A">
        <w:t>Openness refers to an interest in aesthetic experiences and creati</w:t>
      </w:r>
      <w:r w:rsidR="007A53CB" w:rsidRPr="00D45F6A">
        <w:t>vity. Each item was rated on a five</w:t>
      </w:r>
      <w:r w:rsidR="00DF2230" w:rsidRPr="00D45F6A">
        <w:t xml:space="preserve">-point Likert scale from </w:t>
      </w:r>
      <w:r w:rsidR="001B1D57" w:rsidRPr="00D45F6A">
        <w:t>‘</w:t>
      </w:r>
      <w:r w:rsidR="00DF2230" w:rsidRPr="00D45F6A">
        <w:t>strongly disagree</w:t>
      </w:r>
      <w:r w:rsidR="001B1D57" w:rsidRPr="00D45F6A">
        <w:t>’</w:t>
      </w:r>
      <w:r w:rsidR="00DF2230" w:rsidRPr="00D45F6A">
        <w:t xml:space="preserve"> to </w:t>
      </w:r>
      <w:r w:rsidR="001B1D57" w:rsidRPr="00D45F6A">
        <w:t>‘</w:t>
      </w:r>
      <w:r w:rsidR="00DF2230" w:rsidRPr="00D45F6A">
        <w:t>strongly agree</w:t>
      </w:r>
      <w:r w:rsidR="001B1D57" w:rsidRPr="00D45F6A">
        <w:t>’</w:t>
      </w:r>
      <w:r w:rsidR="00DF2230" w:rsidRPr="00D45F6A">
        <w:t xml:space="preserve">. </w:t>
      </w:r>
      <w:r w:rsidR="00B7755E" w:rsidRPr="00D45F6A">
        <w:t>The mean</w:t>
      </w:r>
      <w:r w:rsidR="006A60A3" w:rsidRPr="00D45F6A">
        <w:t>s of</w:t>
      </w:r>
      <w:r w:rsidR="00B7755E" w:rsidRPr="00D45F6A">
        <w:t xml:space="preserve"> extraversion</w:t>
      </w:r>
      <w:r w:rsidR="006A60A3" w:rsidRPr="00D45F6A">
        <w:t>,</w:t>
      </w:r>
      <w:r w:rsidR="00B7755E" w:rsidRPr="00D45F6A">
        <w:t xml:space="preserve"> neuroticism</w:t>
      </w:r>
      <w:r w:rsidR="00D676EC" w:rsidRPr="00D45F6A">
        <w:t>,</w:t>
      </w:r>
      <w:r w:rsidR="00B7755E" w:rsidRPr="00D45F6A">
        <w:t xml:space="preserve"> </w:t>
      </w:r>
      <w:r w:rsidR="006A60A3" w:rsidRPr="00D45F6A">
        <w:t xml:space="preserve">and agreeableness </w:t>
      </w:r>
      <w:r w:rsidR="00B00D2F" w:rsidRPr="00D45F6A">
        <w:t xml:space="preserve">in the current sample </w:t>
      </w:r>
      <w:r w:rsidR="006A60A3" w:rsidRPr="00D45F6A">
        <w:t xml:space="preserve">were </w:t>
      </w:r>
      <w:r w:rsidR="00C3202C" w:rsidRPr="00D45F6A">
        <w:t>comparable</w:t>
      </w:r>
      <w:r w:rsidR="0012244B" w:rsidRPr="00D45F6A">
        <w:t xml:space="preserve"> to</w:t>
      </w:r>
      <w:r w:rsidR="00B43E77" w:rsidRPr="00D45F6A">
        <w:t xml:space="preserve"> those of a British cohort of University students</w:t>
      </w:r>
      <w:r w:rsidR="006A60A3" w:rsidRPr="00D45F6A">
        <w:t xml:space="preserve">, while the means of conscientiousness and openness were lower </w:t>
      </w:r>
      <w:r w:rsidR="0012244B" w:rsidRPr="00D45F6A">
        <w:t>than</w:t>
      </w:r>
      <w:r w:rsidR="006A60A3" w:rsidRPr="00D45F6A">
        <w:t xml:space="preserve"> </w:t>
      </w:r>
      <w:r w:rsidR="00FA5E0D" w:rsidRPr="00D45F6A">
        <w:t>that</w:t>
      </w:r>
      <w:r w:rsidR="006A60A3" w:rsidRPr="00D45F6A">
        <w:t xml:space="preserve"> </w:t>
      </w:r>
      <w:r w:rsidR="00AD5FC1" w:rsidRPr="00D45F6A">
        <w:t xml:space="preserve">of </w:t>
      </w:r>
      <w:r w:rsidR="00F0004F" w:rsidRPr="00D45F6A">
        <w:t xml:space="preserve">a </w:t>
      </w:r>
      <w:r w:rsidR="006A60A3" w:rsidRPr="00D45F6A">
        <w:t>British cohort (Greven et al., 2008, Table 1).</w:t>
      </w:r>
      <w:r w:rsidR="001C468A" w:rsidRPr="00D45F6A">
        <w:t xml:space="preserve"> The subscales had good internal reliability</w:t>
      </w:r>
      <w:r w:rsidR="00590BEE" w:rsidRPr="00D45F6A">
        <w:t xml:space="preserve"> in the current sample</w:t>
      </w:r>
      <w:r w:rsidR="001C468A" w:rsidRPr="00D45F6A">
        <w:t>.</w:t>
      </w:r>
      <w:r w:rsidR="00BB1B58" w:rsidRPr="00D45F6A">
        <w:t xml:space="preserve"> The scale</w:t>
      </w:r>
      <w:r w:rsidR="00987A8B" w:rsidRPr="00D45F6A">
        <w:t xml:space="preserve"> has good criterion validity a</w:t>
      </w:r>
      <w:r w:rsidR="00BB1B58" w:rsidRPr="00D45F6A">
        <w:t xml:space="preserve">s evidenced by the correlation of each scale with emotional </w:t>
      </w:r>
      <w:r w:rsidR="008B3B41" w:rsidRPr="00D45F6A">
        <w:t>intelligence</w:t>
      </w:r>
      <w:r w:rsidR="00BB1B58" w:rsidRPr="00D45F6A">
        <w:t>, well-being</w:t>
      </w:r>
      <w:r w:rsidR="00254912" w:rsidRPr="00D45F6A">
        <w:t>,</w:t>
      </w:r>
      <w:r w:rsidR="00BB1B58" w:rsidRPr="00D45F6A">
        <w:t xml:space="preserve"> and emotionality (Greven et al., 2008). </w:t>
      </w:r>
      <w:r w:rsidR="0042247A" w:rsidRPr="00D45F6A">
        <w:t>The scale has discriminant validity, as those who are more stressed by</w:t>
      </w:r>
      <w:r w:rsidR="00795D71" w:rsidRPr="00D45F6A">
        <w:t xml:space="preserve"> </w:t>
      </w:r>
      <w:r w:rsidR="0042247A" w:rsidRPr="00D45F6A">
        <w:t xml:space="preserve">one’s </w:t>
      </w:r>
      <w:r w:rsidR="00766F32" w:rsidRPr="00D45F6A">
        <w:t xml:space="preserve">sexual </w:t>
      </w:r>
      <w:r w:rsidR="00795D71" w:rsidRPr="00D45F6A">
        <w:t>minority status show higher neuroticism and lower extraversion, conscientiousness, agreeableness</w:t>
      </w:r>
      <w:r w:rsidR="00254912" w:rsidRPr="00D45F6A">
        <w:t>,</w:t>
      </w:r>
      <w:r w:rsidR="00795D71" w:rsidRPr="00D45F6A">
        <w:t xml:space="preserve"> and openness </w:t>
      </w:r>
      <w:r w:rsidR="0042247A" w:rsidRPr="00D45F6A">
        <w:t xml:space="preserve">that those who are less stressed by one’s </w:t>
      </w:r>
      <w:r w:rsidR="0014238A" w:rsidRPr="00D45F6A">
        <w:t xml:space="preserve">sexual </w:t>
      </w:r>
      <w:r w:rsidR="0042247A" w:rsidRPr="00D45F6A">
        <w:t xml:space="preserve">minority status (Livingston et al., 2016). </w:t>
      </w:r>
    </w:p>
    <w:p w14:paraId="3E85C4DF" w14:textId="77777777" w:rsidR="00637A43" w:rsidRPr="00D45F6A" w:rsidRDefault="00637A43" w:rsidP="00107084"/>
    <w:p w14:paraId="086CACA6" w14:textId="4196D998" w:rsidR="002A2792" w:rsidRPr="00D45F6A" w:rsidRDefault="002A2792" w:rsidP="004C77D3">
      <w:pPr>
        <w:pStyle w:val="Heading3"/>
      </w:pPr>
      <w:r w:rsidRPr="00D45F6A">
        <w:t>Procedure</w:t>
      </w:r>
    </w:p>
    <w:p w14:paraId="2B2B38E0" w14:textId="63BDFADB" w:rsidR="00EB4C23" w:rsidRPr="00D45F6A" w:rsidRDefault="00EB4C23" w:rsidP="00EB4C23">
      <w:r w:rsidRPr="00D45F6A">
        <w:t xml:space="preserve">Participants read an information sheet and provided consent in an online survey (Google surveys). Participants then completed </w:t>
      </w:r>
      <w:r w:rsidR="00FC17A3" w:rsidRPr="00D45F6A">
        <w:t>an online survey consisting of the abovementioned self-report questionnaires on schizotypy, RS, quality of life</w:t>
      </w:r>
      <w:r w:rsidR="009D7750" w:rsidRPr="00D45F6A">
        <w:t>,</w:t>
      </w:r>
      <w:r w:rsidR="00FC17A3" w:rsidRPr="00D45F6A">
        <w:t xml:space="preserve"> and the five-</w:t>
      </w:r>
      <w:r w:rsidR="00FC17A3" w:rsidRPr="00D45F6A">
        <w:lastRenderedPageBreak/>
        <w:t xml:space="preserve">factor personality model. </w:t>
      </w:r>
      <w:r w:rsidRPr="00D45F6A">
        <w:t>Participants were debriefed and thanked.</w:t>
      </w:r>
      <w:r w:rsidR="00B852D8" w:rsidRPr="00D45F6A">
        <w:t xml:space="preserve"> Psychology students at Nottingham Trent University were rewarded with research credits</w:t>
      </w:r>
      <w:r w:rsidR="00492BA6" w:rsidRPr="00D45F6A">
        <w:t>; other participants completed the study in a voluntary capacity</w:t>
      </w:r>
      <w:r w:rsidR="00B852D8" w:rsidRPr="00D45F6A">
        <w:t>.</w:t>
      </w:r>
      <w:r w:rsidRPr="00D45F6A">
        <w:t xml:space="preserve"> The study was ethically approved by the NTU College of Business, Law</w:t>
      </w:r>
      <w:r w:rsidR="009D7750" w:rsidRPr="00D45F6A">
        <w:t>,</w:t>
      </w:r>
      <w:r w:rsidRPr="00D45F6A">
        <w:t xml:space="preserve"> and Social Sciences Research Ethics Committee (No. 2013/17). </w:t>
      </w:r>
    </w:p>
    <w:p w14:paraId="652E704B" w14:textId="6A005E36" w:rsidR="002A2792" w:rsidRPr="00D45F6A" w:rsidRDefault="002A2792" w:rsidP="003A08C2"/>
    <w:p w14:paraId="2CDE8777" w14:textId="77777777" w:rsidR="008562FA" w:rsidRPr="00D45F6A" w:rsidRDefault="00A47D45" w:rsidP="003A6319">
      <w:pPr>
        <w:pStyle w:val="Heading2"/>
      </w:pPr>
      <w:r w:rsidRPr="00D45F6A">
        <w:t>Statistical analyse</w:t>
      </w:r>
      <w:r w:rsidR="008562FA" w:rsidRPr="00D45F6A">
        <w:t>s</w:t>
      </w:r>
    </w:p>
    <w:p w14:paraId="154E29CD" w14:textId="42693ED0" w:rsidR="004553E1" w:rsidRPr="00D45F6A" w:rsidRDefault="00B13B80">
      <w:r w:rsidRPr="00D45F6A">
        <w:t xml:space="preserve">Statistical analyses were performed in SPSS, version 24. </w:t>
      </w:r>
      <w:r w:rsidR="008C4B18" w:rsidRPr="00D45F6A">
        <w:t>D</w:t>
      </w:r>
      <w:r w:rsidR="00AC2DC6" w:rsidRPr="00D45F6A">
        <w:t xml:space="preserve">ata were missing </w:t>
      </w:r>
      <w:r w:rsidR="008C4B18" w:rsidRPr="00D45F6A">
        <w:t xml:space="preserve">from 0.3% of the sample </w:t>
      </w:r>
      <w:r w:rsidR="00AC2DC6" w:rsidRPr="00D45F6A">
        <w:t xml:space="preserve">for </w:t>
      </w:r>
      <w:r w:rsidR="008C4B18" w:rsidRPr="00D45F6A">
        <w:t>61 out of 266 items. D</w:t>
      </w:r>
      <w:r w:rsidR="00AC2DC6" w:rsidRPr="00D45F6A">
        <w:t>ata were missing</w:t>
      </w:r>
      <w:r w:rsidR="008C4B18" w:rsidRPr="00D45F6A">
        <w:t xml:space="preserve"> between 0.6% and 6.5% of the sample</w:t>
      </w:r>
      <w:r w:rsidR="00AC2DC6" w:rsidRPr="00D45F6A">
        <w:t xml:space="preserve"> for </w:t>
      </w:r>
      <w:r w:rsidR="008C4B18" w:rsidRPr="00D45F6A">
        <w:t>another 90</w:t>
      </w:r>
      <w:r w:rsidR="00AC2DC6" w:rsidRPr="00D45F6A">
        <w:t xml:space="preserve"> items. Due to </w:t>
      </w:r>
      <w:r w:rsidR="008C4B18" w:rsidRPr="00D45F6A">
        <w:t>a procedural error</w:t>
      </w:r>
      <w:r w:rsidR="00AC2DC6" w:rsidRPr="00D45F6A">
        <w:t xml:space="preserve">, data </w:t>
      </w:r>
      <w:r w:rsidR="00C4253D" w:rsidRPr="00D45F6A">
        <w:t xml:space="preserve">were </w:t>
      </w:r>
      <w:r w:rsidR="00AC2DC6" w:rsidRPr="00D45F6A">
        <w:t>missing</w:t>
      </w:r>
      <w:r w:rsidR="008C4B18" w:rsidRPr="00D45F6A">
        <w:t xml:space="preserve"> from 12% of the sample</w:t>
      </w:r>
      <w:r w:rsidR="00AC2DC6" w:rsidRPr="00D45F6A">
        <w:t xml:space="preserve"> </w:t>
      </w:r>
      <w:r w:rsidR="00C4253D" w:rsidRPr="00D45F6A">
        <w:t xml:space="preserve">for one item </w:t>
      </w:r>
      <w:r w:rsidR="00763821" w:rsidRPr="00D45F6A">
        <w:t xml:space="preserve">from the Big Five Inventory </w:t>
      </w:r>
      <w:r w:rsidR="00C4253D" w:rsidRPr="00D45F6A">
        <w:t xml:space="preserve">and 35% </w:t>
      </w:r>
      <w:r w:rsidR="00987A8B" w:rsidRPr="00D45F6A">
        <w:t xml:space="preserve">of the sample </w:t>
      </w:r>
      <w:r w:rsidR="00C4253D" w:rsidRPr="00D45F6A">
        <w:t>for</w:t>
      </w:r>
      <w:r w:rsidR="00AC2DC6" w:rsidRPr="00D45F6A">
        <w:t xml:space="preserve"> two items</w:t>
      </w:r>
      <w:r w:rsidR="00763821" w:rsidRPr="00D45F6A">
        <w:t xml:space="preserve"> from the ARSQ</w:t>
      </w:r>
      <w:r w:rsidR="0091047C" w:rsidRPr="00D45F6A">
        <w:t xml:space="preserve">. Missing data were replaced using multiple imputation based on a monotone pattern of missing data. </w:t>
      </w:r>
      <w:r w:rsidR="00C45E9C" w:rsidRPr="00D45F6A">
        <w:t>Responses from all 318 participants were included in the statistical analyses</w:t>
      </w:r>
      <w:r w:rsidR="008C4B18" w:rsidRPr="00D45F6A">
        <w:t xml:space="preserve">, </w:t>
      </w:r>
      <w:r w:rsidR="00280B8F" w:rsidRPr="00D45F6A">
        <w:t>because no stereotypical response patter</w:t>
      </w:r>
      <w:r w:rsidR="00987A8B" w:rsidRPr="00D45F6A">
        <w:t>n</w:t>
      </w:r>
      <w:r w:rsidR="00280B8F" w:rsidRPr="00D45F6A">
        <w:t xml:space="preserve">s were found. </w:t>
      </w:r>
      <w:r w:rsidR="00142A75" w:rsidRPr="00D45F6A">
        <w:t xml:space="preserve">Skewness and kurtosis were examined for the normal distribution of each subscale. </w:t>
      </w:r>
      <w:r w:rsidR="00280B8F" w:rsidRPr="00D45F6A">
        <w:t>N</w:t>
      </w:r>
      <w:r w:rsidR="00C45E9C" w:rsidRPr="00D45F6A">
        <w:t xml:space="preserve">o </w:t>
      </w:r>
      <w:r w:rsidR="00142A75" w:rsidRPr="00D45F6A">
        <w:t>sub</w:t>
      </w:r>
      <w:r w:rsidR="008C4B18" w:rsidRPr="00D45F6A">
        <w:t>scale</w:t>
      </w:r>
      <w:r w:rsidR="00C45E9C" w:rsidRPr="00D45F6A">
        <w:t xml:space="preserve"> was excluded </w:t>
      </w:r>
      <w:r w:rsidR="00D34D0B" w:rsidRPr="00D45F6A">
        <w:t>because of</w:t>
      </w:r>
      <w:r w:rsidR="00C45E9C" w:rsidRPr="00D45F6A">
        <w:t xml:space="preserve"> data not being normally distributed</w:t>
      </w:r>
      <w:r w:rsidR="000821F7" w:rsidRPr="00D45F6A">
        <w:t xml:space="preserve"> (see Results, section 3.1)</w:t>
      </w:r>
      <w:r w:rsidR="00C45E9C" w:rsidRPr="00D45F6A">
        <w:t xml:space="preserve">. </w:t>
      </w:r>
      <w:r w:rsidR="00935A9F" w:rsidRPr="00D45F6A">
        <w:t>Pearson correlation</w:t>
      </w:r>
      <w:r w:rsidR="00C3396B" w:rsidRPr="00D45F6A">
        <w:t xml:space="preserve"> tests</w:t>
      </w:r>
      <w:r w:rsidR="00935A9F" w:rsidRPr="00D45F6A">
        <w:t xml:space="preserve"> were </w:t>
      </w:r>
      <w:r w:rsidR="00C3396B" w:rsidRPr="00D45F6A">
        <w:t>performed</w:t>
      </w:r>
      <w:r w:rsidR="00935A9F" w:rsidRPr="00D45F6A">
        <w:t xml:space="preserve"> between </w:t>
      </w:r>
      <w:r w:rsidR="00D772E6" w:rsidRPr="00D45F6A">
        <w:t>RS, age, gender, schizotypal subscales, QOL subscales</w:t>
      </w:r>
      <w:r w:rsidR="008A6E15" w:rsidRPr="00D45F6A">
        <w:t>,</w:t>
      </w:r>
      <w:r w:rsidR="00D772E6" w:rsidRPr="00D45F6A">
        <w:t xml:space="preserve"> and five-factor personality subscales</w:t>
      </w:r>
      <w:r w:rsidR="00E45641" w:rsidRPr="00D45F6A">
        <w:t>, for exploratory purposes</w:t>
      </w:r>
      <w:r w:rsidR="00D772E6" w:rsidRPr="00D45F6A">
        <w:t xml:space="preserve">. </w:t>
      </w:r>
      <w:r w:rsidR="005E411A" w:rsidRPr="00D45F6A">
        <w:t xml:space="preserve">To test the </w:t>
      </w:r>
      <w:r w:rsidR="00496C01" w:rsidRPr="00D45F6A">
        <w:t>first</w:t>
      </w:r>
      <w:r w:rsidR="005E411A" w:rsidRPr="00D45F6A">
        <w:t xml:space="preserve"> </w:t>
      </w:r>
      <w:r w:rsidR="00FA463E" w:rsidRPr="00D45F6A">
        <w:t xml:space="preserve">two </w:t>
      </w:r>
      <w:r w:rsidR="005E411A" w:rsidRPr="00D45F6A">
        <w:t>hypothes</w:t>
      </w:r>
      <w:r w:rsidR="00FA463E" w:rsidRPr="00D45F6A">
        <w:t>e</w:t>
      </w:r>
      <w:r w:rsidR="005E411A" w:rsidRPr="00D45F6A">
        <w:t>s, a</w:t>
      </w:r>
      <w:r w:rsidR="00395844" w:rsidRPr="00D45F6A">
        <w:t xml:space="preserve"> h</w:t>
      </w:r>
      <w:r w:rsidR="00507928" w:rsidRPr="00D45F6A">
        <w:t>ierarchical</w:t>
      </w:r>
      <w:r w:rsidR="00395844" w:rsidRPr="00D45F6A">
        <w:t xml:space="preserve"> regression analysi</w:t>
      </w:r>
      <w:r w:rsidR="00507928" w:rsidRPr="00D45F6A">
        <w:t xml:space="preserve">s </w:t>
      </w:r>
      <w:r w:rsidR="00395844" w:rsidRPr="00D45F6A">
        <w:t>was</w:t>
      </w:r>
      <w:r w:rsidR="00507928" w:rsidRPr="00D45F6A">
        <w:t xml:space="preserve"> performed</w:t>
      </w:r>
      <w:r w:rsidR="00037C0F" w:rsidRPr="00D45F6A">
        <w:t xml:space="preserve"> with </w:t>
      </w:r>
      <w:r w:rsidR="00D772E6" w:rsidRPr="00D45F6A">
        <w:t>RS</w:t>
      </w:r>
      <w:r w:rsidR="00037C0F" w:rsidRPr="00D45F6A">
        <w:t xml:space="preserve"> as the </w:t>
      </w:r>
      <w:r w:rsidR="00395844" w:rsidRPr="00D45F6A">
        <w:t xml:space="preserve">outcome variable. </w:t>
      </w:r>
      <w:r w:rsidR="00F02017" w:rsidRPr="00D45F6A">
        <w:t xml:space="preserve">The predictor variables were entered </w:t>
      </w:r>
      <w:r w:rsidR="00D772E6" w:rsidRPr="00D45F6A">
        <w:t>in the</w:t>
      </w:r>
      <w:r w:rsidR="00F02017" w:rsidRPr="00D45F6A">
        <w:t xml:space="preserve"> follow</w:t>
      </w:r>
      <w:r w:rsidR="00D772E6" w:rsidRPr="00D45F6A">
        <w:t>ing steps</w:t>
      </w:r>
      <w:r w:rsidR="00F02017" w:rsidRPr="00D45F6A">
        <w:t xml:space="preserve">: </w:t>
      </w:r>
      <w:r w:rsidR="00D772E6" w:rsidRPr="00D45F6A">
        <w:t>Step 1: age and gender</w:t>
      </w:r>
      <w:r w:rsidR="00A01615" w:rsidRPr="00D45F6A">
        <w:t xml:space="preserve"> (control variables)</w:t>
      </w:r>
      <w:r w:rsidR="00D772E6" w:rsidRPr="00D45F6A">
        <w:t>; Step 2: schizotypal</w:t>
      </w:r>
      <w:r w:rsidR="00F02017" w:rsidRPr="00D45F6A">
        <w:t xml:space="preserve"> subscales</w:t>
      </w:r>
      <w:r w:rsidR="00D772E6" w:rsidRPr="00D45F6A">
        <w:t xml:space="preserve">; Step 3: </w:t>
      </w:r>
      <w:r w:rsidR="00F02017" w:rsidRPr="00D45F6A">
        <w:t xml:space="preserve">QOL subscales, and </w:t>
      </w:r>
      <w:r w:rsidR="00D772E6" w:rsidRPr="00D45F6A">
        <w:t xml:space="preserve">Step 4: </w:t>
      </w:r>
      <w:r w:rsidR="00F02017" w:rsidRPr="00D45F6A">
        <w:t xml:space="preserve">the </w:t>
      </w:r>
      <w:r w:rsidR="00D772E6" w:rsidRPr="00D45F6A">
        <w:t xml:space="preserve">five-factor personality </w:t>
      </w:r>
      <w:r w:rsidR="00F02017" w:rsidRPr="00D45F6A">
        <w:t xml:space="preserve">subscales. </w:t>
      </w:r>
      <w:r w:rsidR="0069587C" w:rsidRPr="00D45F6A">
        <w:t xml:space="preserve">A hierarchical regression </w:t>
      </w:r>
      <w:r w:rsidR="00E45641" w:rsidRPr="00D45F6A">
        <w:t>helped</w:t>
      </w:r>
      <w:r w:rsidR="0069587C" w:rsidRPr="00D45F6A">
        <w:t xml:space="preserve"> to determine </w:t>
      </w:r>
      <w:r w:rsidR="00BB2BC6" w:rsidRPr="00D45F6A">
        <w:t>which</w:t>
      </w:r>
      <w:r w:rsidR="0069587C" w:rsidRPr="00D45F6A">
        <w:t xml:space="preserve"> subscales </w:t>
      </w:r>
      <w:r w:rsidR="00E45641" w:rsidRPr="00D45F6A">
        <w:t>for each</w:t>
      </w:r>
      <w:r w:rsidR="0069587C" w:rsidRPr="00D45F6A">
        <w:t xml:space="preserve"> scale </w:t>
      </w:r>
      <w:r w:rsidR="003A1407" w:rsidRPr="00D45F6A">
        <w:t>relate</w:t>
      </w:r>
      <w:r w:rsidR="00BB2BC6" w:rsidRPr="00D45F6A">
        <w:t xml:space="preserve"> </w:t>
      </w:r>
      <w:r w:rsidR="0069587C" w:rsidRPr="00D45F6A">
        <w:t xml:space="preserve">to RS, and </w:t>
      </w:r>
      <w:r w:rsidR="008C380A" w:rsidRPr="00D45F6A">
        <w:t xml:space="preserve">whether each </w:t>
      </w:r>
      <w:r w:rsidR="00E45641" w:rsidRPr="00D45F6A">
        <w:t>step</w:t>
      </w:r>
      <w:r w:rsidR="008C380A" w:rsidRPr="00D45F6A">
        <w:t xml:space="preserve"> </w:t>
      </w:r>
      <w:r w:rsidR="0069587C" w:rsidRPr="00D45F6A">
        <w:t>contribut</w:t>
      </w:r>
      <w:r w:rsidR="008C380A" w:rsidRPr="00D45F6A">
        <w:t>ed incrementally to</w:t>
      </w:r>
      <w:r w:rsidR="0069587C" w:rsidRPr="00D45F6A">
        <w:t xml:space="preserve"> RS. </w:t>
      </w:r>
      <w:r w:rsidR="00C60173" w:rsidRPr="00D45F6A">
        <w:t xml:space="preserve">Multicollinearity was estimated. </w:t>
      </w:r>
    </w:p>
    <w:p w14:paraId="6FFF9BA5" w14:textId="534382F4" w:rsidR="006E7FF8" w:rsidRPr="00D45F6A" w:rsidRDefault="004B4654">
      <w:pPr>
        <w:rPr>
          <w:i/>
        </w:rPr>
      </w:pPr>
      <w:r w:rsidRPr="00D45F6A">
        <w:lastRenderedPageBreak/>
        <w:t>T</w:t>
      </w:r>
      <w:r w:rsidR="005E411A" w:rsidRPr="00D45F6A">
        <w:t xml:space="preserve">he </w:t>
      </w:r>
      <w:r w:rsidR="00FA463E" w:rsidRPr="00D45F6A">
        <w:t xml:space="preserve">third </w:t>
      </w:r>
      <w:r w:rsidR="005E411A" w:rsidRPr="00D45F6A">
        <w:t>hypothesis</w:t>
      </w:r>
      <w:r w:rsidR="00F11FCD" w:rsidRPr="00D45F6A">
        <w:t xml:space="preserve"> and the theoretical model (Figure 1)</w:t>
      </w:r>
      <w:r w:rsidRPr="00D45F6A">
        <w:t xml:space="preserve"> </w:t>
      </w:r>
      <w:r w:rsidR="00FA463E" w:rsidRPr="00D45F6A">
        <w:t xml:space="preserve">were </w:t>
      </w:r>
      <w:r w:rsidRPr="00D45F6A">
        <w:t>tested by</w:t>
      </w:r>
      <w:r w:rsidR="00685A1A" w:rsidRPr="00D45F6A">
        <w:t xml:space="preserve"> performing a mediation analysis</w:t>
      </w:r>
      <w:r w:rsidR="009F14DA" w:rsidRPr="00D45F6A">
        <w:t xml:space="preserve"> using Haye’s (2013) Process Macro, version 2.16.3. </w:t>
      </w:r>
      <w:r w:rsidR="00543C3B" w:rsidRPr="00D45F6A">
        <w:t>O-LIFE s</w:t>
      </w:r>
      <w:r w:rsidR="009F14DA" w:rsidRPr="00D45F6A">
        <w:t xml:space="preserve">ubscales corresponding to </w:t>
      </w:r>
      <w:r w:rsidR="00E901BA" w:rsidRPr="00D45F6A">
        <w:t xml:space="preserve">interpersonal </w:t>
      </w:r>
      <w:r w:rsidR="009F14DA" w:rsidRPr="00D45F6A">
        <w:t xml:space="preserve">schizotypal traits, namely cognitive disorganisation and introvertive anhedonia, were </w:t>
      </w:r>
      <w:r w:rsidR="006560B1" w:rsidRPr="00D45F6A">
        <w:t>entered as</w:t>
      </w:r>
      <w:r w:rsidR="009F14DA" w:rsidRPr="00D45F6A">
        <w:t xml:space="preserve"> independent variables</w:t>
      </w:r>
      <w:r w:rsidR="00D8743F" w:rsidRPr="00D45F6A">
        <w:t xml:space="preserve"> in separate mo</w:t>
      </w:r>
      <w:r w:rsidR="0010797E" w:rsidRPr="00D45F6A">
        <w:t>d</w:t>
      </w:r>
      <w:r w:rsidR="00D8743F" w:rsidRPr="00D45F6A">
        <w:t>els</w:t>
      </w:r>
      <w:r w:rsidR="00542EB9" w:rsidRPr="00D45F6A">
        <w:t xml:space="preserve">. </w:t>
      </w:r>
      <w:r w:rsidR="00812283" w:rsidRPr="00D45F6A">
        <w:t xml:space="preserve">Psychological QOL, social QOL, </w:t>
      </w:r>
      <w:r w:rsidR="00E45641" w:rsidRPr="00D45F6A">
        <w:t>neuroticism, and</w:t>
      </w:r>
      <w:r w:rsidR="00A842D8" w:rsidRPr="00D45F6A">
        <w:t xml:space="preserve"> agreeableness were mediators, and RS was the outcome variable. </w:t>
      </w:r>
      <w:r w:rsidR="00952527" w:rsidRPr="00D45F6A">
        <w:t>C</w:t>
      </w:r>
      <w:r w:rsidR="00DC78D9" w:rsidRPr="00D45F6A">
        <w:t xml:space="preserve">onfidence intervals were </w:t>
      </w:r>
      <w:r w:rsidR="00C311E3" w:rsidRPr="00D45F6A">
        <w:t>calculated</w:t>
      </w:r>
      <w:r w:rsidR="00DC78D9" w:rsidRPr="00D45F6A">
        <w:t xml:space="preserve"> based on 5</w:t>
      </w:r>
      <w:r w:rsidR="003470F4" w:rsidRPr="00D45F6A">
        <w:t>,</w:t>
      </w:r>
      <w:r w:rsidR="00DC78D9" w:rsidRPr="00D45F6A">
        <w:t>000 boo</w:t>
      </w:r>
      <w:r w:rsidR="00C311E3" w:rsidRPr="00D45F6A">
        <w:t>t</w:t>
      </w:r>
      <w:r w:rsidR="00DC78D9" w:rsidRPr="00D45F6A">
        <w:t>strap samples</w:t>
      </w:r>
      <w:r w:rsidR="00B2516C" w:rsidRPr="00D45F6A">
        <w:t>, and</w:t>
      </w:r>
      <w:r w:rsidR="00E23DDF" w:rsidRPr="00D45F6A">
        <w:t xml:space="preserve"> were</w:t>
      </w:r>
      <w:r w:rsidR="00B2516C" w:rsidRPr="00D45F6A">
        <w:t xml:space="preserve"> bias corrected</w:t>
      </w:r>
      <w:r w:rsidR="00DC78D9" w:rsidRPr="00D45F6A">
        <w:t>.</w:t>
      </w:r>
      <w:r w:rsidR="001175D2" w:rsidRPr="00D45F6A">
        <w:t xml:space="preserve"> </w:t>
      </w:r>
    </w:p>
    <w:p w14:paraId="5BBEFF65" w14:textId="487D36D3" w:rsidR="00B021AC" w:rsidRPr="00D45F6A" w:rsidRDefault="00F57456" w:rsidP="00107084">
      <w:r w:rsidRPr="00D45F6A">
        <w:t xml:space="preserve">To </w:t>
      </w:r>
      <w:r w:rsidR="0037664D" w:rsidRPr="00D45F6A">
        <w:t xml:space="preserve">further </w:t>
      </w:r>
      <w:r w:rsidR="00B90C66" w:rsidRPr="00D45F6A">
        <w:t xml:space="preserve">explore </w:t>
      </w:r>
      <w:r w:rsidR="0037664D" w:rsidRPr="00D45F6A">
        <w:t xml:space="preserve">the </w:t>
      </w:r>
      <w:r w:rsidR="00B90C66" w:rsidRPr="00D45F6A">
        <w:t xml:space="preserve">effect of </w:t>
      </w:r>
      <w:r w:rsidR="00CC10CE" w:rsidRPr="00D45F6A">
        <w:t>psychosocial</w:t>
      </w:r>
      <w:r w:rsidR="0037664D" w:rsidRPr="00D45F6A">
        <w:t xml:space="preserve"> </w:t>
      </w:r>
      <w:r w:rsidR="00B90C66" w:rsidRPr="00D45F6A">
        <w:t>functioning on</w:t>
      </w:r>
      <w:r w:rsidR="0037664D" w:rsidRPr="00D45F6A">
        <w:t xml:space="preserve"> </w:t>
      </w:r>
      <w:r w:rsidR="00B90C66" w:rsidRPr="00D45F6A">
        <w:t xml:space="preserve">the </w:t>
      </w:r>
      <w:r w:rsidR="0037664D" w:rsidRPr="00D45F6A">
        <w:t>schizotypy</w:t>
      </w:r>
      <w:r w:rsidR="00B90C66" w:rsidRPr="00D45F6A">
        <w:t>-RS relation</w:t>
      </w:r>
      <w:r w:rsidR="001935D8" w:rsidRPr="00D45F6A">
        <w:t>,</w:t>
      </w:r>
      <w:r w:rsidR="005E2A8D" w:rsidRPr="00D45F6A">
        <w:t xml:space="preserve"> </w:t>
      </w:r>
      <w:r w:rsidR="00D81DDF" w:rsidRPr="00D45F6A">
        <w:t>a</w:t>
      </w:r>
      <w:r w:rsidR="007D1CE7" w:rsidRPr="00D45F6A">
        <w:t xml:space="preserve"> composite </w:t>
      </w:r>
      <w:r w:rsidR="00CC10CE" w:rsidRPr="00D45F6A">
        <w:t>psychosocial</w:t>
      </w:r>
      <w:r w:rsidR="007D1CE7" w:rsidRPr="00D45F6A">
        <w:t xml:space="preserve"> functioning score</w:t>
      </w:r>
      <w:r w:rsidR="004555EA" w:rsidRPr="00D45F6A">
        <w:t xml:space="preserve"> was calculated </w:t>
      </w:r>
      <w:r w:rsidR="00C85898" w:rsidRPr="00D45F6A">
        <w:t xml:space="preserve">(Bobko et al., 2007) </w:t>
      </w:r>
      <w:r w:rsidR="004555EA" w:rsidRPr="00D45F6A">
        <w:t>from</w:t>
      </w:r>
      <w:r w:rsidR="00626DFA" w:rsidRPr="00D45F6A">
        <w:t xml:space="preserve"> the</w:t>
      </w:r>
      <w:r w:rsidR="007D1CE7" w:rsidRPr="00D45F6A">
        <w:t xml:space="preserve"> sum</w:t>
      </w:r>
      <w:r w:rsidR="00626DFA" w:rsidRPr="00D45F6A">
        <w:t xml:space="preserve"> of</w:t>
      </w:r>
      <w:r w:rsidR="007D1CE7" w:rsidRPr="00D45F6A">
        <w:t xml:space="preserve"> the standardized scores of </w:t>
      </w:r>
      <w:r w:rsidR="009C3BFE" w:rsidRPr="00D45F6A">
        <w:rPr>
          <w:lang w:eastAsia="en-US"/>
        </w:rPr>
        <w:t>psychological QOL, social QOL, neuroticism</w:t>
      </w:r>
      <w:r w:rsidR="00EF7087" w:rsidRPr="00D45F6A">
        <w:rPr>
          <w:lang w:eastAsia="en-US"/>
        </w:rPr>
        <w:t>,</w:t>
      </w:r>
      <w:r w:rsidR="009C3BFE" w:rsidRPr="00D45F6A">
        <w:rPr>
          <w:lang w:eastAsia="en-US"/>
        </w:rPr>
        <w:t xml:space="preserve"> and </w:t>
      </w:r>
      <w:r w:rsidR="0060552F" w:rsidRPr="00D45F6A">
        <w:rPr>
          <w:lang w:eastAsia="en-US"/>
        </w:rPr>
        <w:t>agreeableness.</w:t>
      </w:r>
      <w:r w:rsidR="00A563C6" w:rsidRPr="00D45F6A">
        <w:rPr>
          <w:lang w:eastAsia="en-US"/>
        </w:rPr>
        <w:t xml:space="preserve"> </w:t>
      </w:r>
      <w:r w:rsidR="00B13B80" w:rsidRPr="00D45F6A">
        <w:t>A</w:t>
      </w:r>
      <w:r w:rsidR="00241AB4" w:rsidRPr="00D45F6A">
        <w:t xml:space="preserve"> median split of the composite psychosocial functioning score was performed</w:t>
      </w:r>
      <w:r w:rsidR="00E326BA" w:rsidRPr="00D45F6A">
        <w:t xml:space="preserve">, </w:t>
      </w:r>
      <w:r w:rsidR="00B13B80" w:rsidRPr="00D45F6A">
        <w:t>and</w:t>
      </w:r>
      <w:r w:rsidR="00241AB4" w:rsidRPr="00D45F6A">
        <w:t xml:space="preserve"> p</w:t>
      </w:r>
      <w:r w:rsidR="00A92A6B" w:rsidRPr="00D45F6A">
        <w:t xml:space="preserve">articipants were </w:t>
      </w:r>
      <w:r w:rsidR="00EC46EE" w:rsidRPr="00D45F6A">
        <w:t>categorised into</w:t>
      </w:r>
      <w:r w:rsidR="00A92A6B" w:rsidRPr="00D45F6A">
        <w:t xml:space="preserve"> high or low </w:t>
      </w:r>
      <w:r w:rsidR="00CC10CE" w:rsidRPr="00D45F6A">
        <w:t>psychosocial</w:t>
      </w:r>
      <w:r w:rsidR="00A92A6B" w:rsidRPr="00D45F6A">
        <w:t xml:space="preserve"> functioning</w:t>
      </w:r>
      <w:r w:rsidR="00EC46EE" w:rsidRPr="00D45F6A">
        <w:t xml:space="preserve"> groups</w:t>
      </w:r>
      <w:r w:rsidR="007D1CE7" w:rsidRPr="00D45F6A">
        <w:t xml:space="preserve">. The </w:t>
      </w:r>
      <w:r w:rsidR="00E326BA" w:rsidRPr="00D45F6A">
        <w:t xml:space="preserve">strength of the correlation between schizotypy and </w:t>
      </w:r>
      <w:r w:rsidR="00D51017" w:rsidRPr="00D45F6A">
        <w:t>RS</w:t>
      </w:r>
      <w:r w:rsidR="00E326BA" w:rsidRPr="00D45F6A">
        <w:t xml:space="preserve"> was compared </w:t>
      </w:r>
      <w:r w:rsidR="00586980" w:rsidRPr="00D45F6A">
        <w:t xml:space="preserve">between high and low psychosocial functioning groups </w:t>
      </w:r>
      <w:r w:rsidR="00E326BA" w:rsidRPr="00D45F6A">
        <w:t>and</w:t>
      </w:r>
      <w:r w:rsidR="00B50402" w:rsidRPr="00D45F6A">
        <w:t xml:space="preserve"> </w:t>
      </w:r>
      <w:r w:rsidR="00E326BA" w:rsidRPr="00D45F6A">
        <w:t xml:space="preserve">statistically </w:t>
      </w:r>
      <w:r w:rsidR="00280257" w:rsidRPr="00D45F6A">
        <w:t>tested</w:t>
      </w:r>
      <w:r w:rsidR="007D1CE7" w:rsidRPr="00D45F6A">
        <w:t xml:space="preserve"> using Fisher</w:t>
      </w:r>
      <w:r w:rsidR="004A5AA7" w:rsidRPr="00D45F6A">
        <w:t>’s</w:t>
      </w:r>
      <w:r w:rsidR="007D1CE7" w:rsidRPr="00D45F6A">
        <w:t xml:space="preserve"> </w:t>
      </w:r>
      <w:r w:rsidR="00A748A0" w:rsidRPr="00D45F6A">
        <w:t>r-to-</w:t>
      </w:r>
      <w:r w:rsidR="007D1CE7" w:rsidRPr="00D45F6A">
        <w:t>z transformation.</w:t>
      </w:r>
      <w:r w:rsidR="00A15051" w:rsidRPr="00D45F6A">
        <w:t xml:space="preserve"> </w:t>
      </w:r>
      <w:r w:rsidR="007938CA" w:rsidRPr="00D45F6A">
        <w:t xml:space="preserve">  </w:t>
      </w:r>
    </w:p>
    <w:p w14:paraId="3386E566" w14:textId="77777777" w:rsidR="00B12A17" w:rsidRPr="00D45F6A" w:rsidRDefault="00B12A17" w:rsidP="00107084"/>
    <w:p w14:paraId="4958BBA1" w14:textId="77777777" w:rsidR="002A6B61" w:rsidRPr="00D45F6A" w:rsidRDefault="002A6B61" w:rsidP="00B621D1">
      <w:pPr>
        <w:pStyle w:val="Heading1"/>
      </w:pPr>
      <w:r w:rsidRPr="00D45F6A">
        <w:t>Results</w:t>
      </w:r>
    </w:p>
    <w:p w14:paraId="6C22E594" w14:textId="0361FF1D" w:rsidR="00AB429E" w:rsidRPr="00D45F6A" w:rsidRDefault="00CE1E7B" w:rsidP="003A6319">
      <w:pPr>
        <w:pStyle w:val="Heading2"/>
      </w:pPr>
      <w:r w:rsidRPr="00D45F6A">
        <w:t>Participant</w:t>
      </w:r>
      <w:r w:rsidR="00AB429E" w:rsidRPr="00D45F6A">
        <w:t xml:space="preserve"> characteristics</w:t>
      </w:r>
    </w:p>
    <w:p w14:paraId="11CE53A8" w14:textId="37F11D1C" w:rsidR="002A6B61" w:rsidRPr="00D45F6A" w:rsidRDefault="001D0D06" w:rsidP="00107084">
      <w:r w:rsidRPr="00D45F6A">
        <w:t xml:space="preserve">Skewness and kurtosis </w:t>
      </w:r>
      <w:r w:rsidR="001F4928" w:rsidRPr="00D45F6A">
        <w:t>values were</w:t>
      </w:r>
      <w:r w:rsidR="002B01E7" w:rsidRPr="00D45F6A">
        <w:t xml:space="preserve"> </w:t>
      </w:r>
      <w:r w:rsidR="00F06CCA" w:rsidRPr="00D45F6A">
        <w:t>&lt;</w:t>
      </w:r>
      <w:r w:rsidR="002B01E7" w:rsidRPr="00D45F6A">
        <w:t xml:space="preserve"> 1</w:t>
      </w:r>
      <w:r w:rsidR="00CE258F" w:rsidRPr="00D45F6A">
        <w:t>.0</w:t>
      </w:r>
      <w:r w:rsidR="001F4928" w:rsidRPr="00D45F6A">
        <w:t xml:space="preserve"> for </w:t>
      </w:r>
      <w:r w:rsidR="00EF7087" w:rsidRPr="00D45F6A">
        <w:t>each scale</w:t>
      </w:r>
      <w:r w:rsidR="00001720" w:rsidRPr="00D45F6A">
        <w:t>’s</w:t>
      </w:r>
      <w:r w:rsidR="000821F7" w:rsidRPr="00D45F6A">
        <w:t xml:space="preserve"> subscale</w:t>
      </w:r>
      <w:r w:rsidR="001F4928" w:rsidRPr="00D45F6A">
        <w:t>,</w:t>
      </w:r>
      <w:r w:rsidRPr="00D45F6A">
        <w:t xml:space="preserve"> suggest</w:t>
      </w:r>
      <w:r w:rsidR="001F4928" w:rsidRPr="00D45F6A">
        <w:t>ing</w:t>
      </w:r>
      <w:r w:rsidRPr="00D45F6A">
        <w:t xml:space="preserve"> that</w:t>
      </w:r>
      <w:r w:rsidR="002B01E7" w:rsidRPr="00D45F6A">
        <w:t xml:space="preserve"> the</w:t>
      </w:r>
      <w:r w:rsidRPr="00D45F6A">
        <w:t xml:space="preserve"> d</w:t>
      </w:r>
      <w:r w:rsidR="009F07C4" w:rsidRPr="00D45F6A">
        <w:t>ata w</w:t>
      </w:r>
      <w:r w:rsidR="00B32208" w:rsidRPr="00D45F6A">
        <w:t>ere normally distributed</w:t>
      </w:r>
      <w:r w:rsidR="005D6D61" w:rsidRPr="00D45F6A">
        <w:t xml:space="preserve"> (Table 1)</w:t>
      </w:r>
      <w:r w:rsidR="009F07C4" w:rsidRPr="00D45F6A">
        <w:t xml:space="preserve">. </w:t>
      </w:r>
      <w:r w:rsidR="00D076B0" w:rsidRPr="00D45F6A">
        <w:t>O</w:t>
      </w:r>
      <w:r w:rsidR="006F7626" w:rsidRPr="00D45F6A">
        <w:t xml:space="preserve">nly </w:t>
      </w:r>
      <w:r w:rsidR="00727C8F" w:rsidRPr="00D45F6A">
        <w:t>11%</w:t>
      </w:r>
      <w:r w:rsidR="003D27D9" w:rsidRPr="00D45F6A">
        <w:t xml:space="preserve"> </w:t>
      </w:r>
      <w:r w:rsidR="003D2547" w:rsidRPr="00D45F6A">
        <w:t>(</w:t>
      </w:r>
      <w:r w:rsidR="003D2547" w:rsidRPr="00D45F6A">
        <w:rPr>
          <w:i/>
        </w:rPr>
        <w:t>n</w:t>
      </w:r>
      <w:r w:rsidR="003D2547" w:rsidRPr="00D45F6A">
        <w:t xml:space="preserve">=36) </w:t>
      </w:r>
      <w:r w:rsidR="00DB38C0" w:rsidRPr="00D45F6A">
        <w:t xml:space="preserve">of the sample </w:t>
      </w:r>
      <w:r w:rsidR="004D66D2" w:rsidRPr="00D45F6A">
        <w:t xml:space="preserve">had </w:t>
      </w:r>
      <w:r w:rsidR="00380766" w:rsidRPr="00D45F6A">
        <w:t xml:space="preserve">high </w:t>
      </w:r>
      <w:r w:rsidR="004D66D2" w:rsidRPr="00D45F6A">
        <w:t>positive schizotypy</w:t>
      </w:r>
      <w:r w:rsidR="00D3364E" w:rsidRPr="00D45F6A">
        <w:t>, that is they</w:t>
      </w:r>
      <w:r w:rsidR="00965BA0" w:rsidRPr="00D45F6A">
        <w:t xml:space="preserve"> score</w:t>
      </w:r>
      <w:r w:rsidR="00C72B37" w:rsidRPr="00D45F6A">
        <w:t>d</w:t>
      </w:r>
      <w:r w:rsidR="00965BA0" w:rsidRPr="00D45F6A">
        <w:t xml:space="preserve"> above the </w:t>
      </w:r>
      <w:r w:rsidR="00727C8F" w:rsidRPr="00D45F6A">
        <w:t>90</w:t>
      </w:r>
      <w:r w:rsidR="00727C8F" w:rsidRPr="00D45F6A">
        <w:rPr>
          <w:vertAlign w:val="superscript"/>
        </w:rPr>
        <w:t>th</w:t>
      </w:r>
      <w:r w:rsidR="00965BA0" w:rsidRPr="00D45F6A">
        <w:t xml:space="preserve"> percentile of the O-LIFE unusual experiences subscale</w:t>
      </w:r>
      <w:r w:rsidR="006D62B0" w:rsidRPr="00D45F6A">
        <w:t>,</w:t>
      </w:r>
      <w:r w:rsidR="00EB32E7" w:rsidRPr="00D45F6A">
        <w:t xml:space="preserve"> </w:t>
      </w:r>
      <w:r w:rsidR="006F7626" w:rsidRPr="00D45F6A">
        <w:t xml:space="preserve">suggesting that </w:t>
      </w:r>
      <w:r w:rsidR="00420BF8" w:rsidRPr="00D45F6A">
        <w:t xml:space="preserve">the sample </w:t>
      </w:r>
      <w:r w:rsidR="0015777E" w:rsidRPr="00D45F6A">
        <w:t xml:space="preserve">largely </w:t>
      </w:r>
      <w:r w:rsidR="00C44D87" w:rsidRPr="00D45F6A">
        <w:t xml:space="preserve">comprised </w:t>
      </w:r>
      <w:r w:rsidR="006F7626" w:rsidRPr="00D45F6A">
        <w:t>schizotyp</w:t>
      </w:r>
      <w:r w:rsidR="00C44D87" w:rsidRPr="00D45F6A">
        <w:t>al traits</w:t>
      </w:r>
      <w:r w:rsidR="006F7626" w:rsidRPr="00D45F6A">
        <w:t xml:space="preserve"> in the normal range</w:t>
      </w:r>
      <w:r w:rsidR="004D66D2" w:rsidRPr="00D45F6A">
        <w:t xml:space="preserve">. </w:t>
      </w:r>
      <w:r w:rsidR="00B02377" w:rsidRPr="00D45F6A">
        <w:t>F</w:t>
      </w:r>
      <w:r w:rsidR="008B4F08" w:rsidRPr="00D45F6A">
        <w:t>ive percent</w:t>
      </w:r>
      <w:r w:rsidR="004D66D2" w:rsidRPr="00D45F6A">
        <w:t xml:space="preserve"> </w:t>
      </w:r>
      <w:r w:rsidR="00B02377" w:rsidRPr="00D45F6A">
        <w:t>(</w:t>
      </w:r>
      <w:r w:rsidR="00B02377" w:rsidRPr="00D45F6A">
        <w:rPr>
          <w:i/>
        </w:rPr>
        <w:t>n</w:t>
      </w:r>
      <w:r w:rsidR="00B02377" w:rsidRPr="00D45F6A">
        <w:t xml:space="preserve">=16) </w:t>
      </w:r>
      <w:r w:rsidR="004D66D2" w:rsidRPr="00D45F6A">
        <w:t xml:space="preserve">had </w:t>
      </w:r>
      <w:r w:rsidR="002E1BCB" w:rsidRPr="00D45F6A">
        <w:t xml:space="preserve">low </w:t>
      </w:r>
      <w:r w:rsidR="004D66D2" w:rsidRPr="00D45F6A">
        <w:t xml:space="preserve">social </w:t>
      </w:r>
      <w:r w:rsidR="00D9692E" w:rsidRPr="00D45F6A">
        <w:t>QOL</w:t>
      </w:r>
      <w:r w:rsidR="00D3364E" w:rsidRPr="00D45F6A">
        <w:t>, that is they</w:t>
      </w:r>
      <w:r w:rsidR="00B02377" w:rsidRPr="00D45F6A">
        <w:t xml:space="preserve"> score</w:t>
      </w:r>
      <w:r w:rsidR="00010B80" w:rsidRPr="00D45F6A">
        <w:t>d</w:t>
      </w:r>
      <w:r w:rsidR="00B02377" w:rsidRPr="00D45F6A">
        <w:t xml:space="preserve"> below the 10</w:t>
      </w:r>
      <w:r w:rsidR="00B02377" w:rsidRPr="00D45F6A">
        <w:rPr>
          <w:vertAlign w:val="superscript"/>
        </w:rPr>
        <w:t>th</w:t>
      </w:r>
      <w:r w:rsidR="00B02377" w:rsidRPr="00D45F6A">
        <w:t xml:space="preserve"> </w:t>
      </w:r>
      <w:r w:rsidR="00B02377" w:rsidRPr="00D45F6A">
        <w:lastRenderedPageBreak/>
        <w:t>percentile of WHOQOL social domain</w:t>
      </w:r>
      <w:r w:rsidR="00531FC0" w:rsidRPr="00D45F6A">
        <w:t xml:space="preserve">, again suggesting that the sample </w:t>
      </w:r>
      <w:r w:rsidR="004830AD" w:rsidRPr="00D45F6A">
        <w:t>predominantly had normal social functioning</w:t>
      </w:r>
      <w:r w:rsidR="002E1BCB" w:rsidRPr="00D45F6A">
        <w:t>.</w:t>
      </w:r>
      <w:r w:rsidR="004D66D2" w:rsidRPr="00D45F6A">
        <w:t xml:space="preserve"> O</w:t>
      </w:r>
      <w:r w:rsidR="00073287" w:rsidRPr="00D45F6A">
        <w:t xml:space="preserve">ut </w:t>
      </w:r>
      <w:r w:rsidR="00C94A20" w:rsidRPr="00D45F6A">
        <w:t xml:space="preserve">of </w:t>
      </w:r>
      <w:r w:rsidR="008B4F08" w:rsidRPr="00D45F6A">
        <w:t>thirty-six</w:t>
      </w:r>
      <w:r w:rsidR="00FB5680" w:rsidRPr="00D45F6A">
        <w:t xml:space="preserve"> people with </w:t>
      </w:r>
      <w:r w:rsidR="009D6BFE" w:rsidRPr="00D45F6A">
        <w:t xml:space="preserve">high </w:t>
      </w:r>
      <w:r w:rsidR="00D323BB" w:rsidRPr="00D45F6A">
        <w:t>positive schizotypy</w:t>
      </w:r>
      <w:r w:rsidR="004D66D2" w:rsidRPr="00D45F6A">
        <w:t>,</w:t>
      </w:r>
      <w:r w:rsidR="00727C8F" w:rsidRPr="00D45F6A">
        <w:t xml:space="preserve"> 19% (</w:t>
      </w:r>
      <w:r w:rsidR="00727C8F" w:rsidRPr="00D45F6A">
        <w:rPr>
          <w:i/>
        </w:rPr>
        <w:t>n</w:t>
      </w:r>
      <w:r w:rsidR="00727C8F" w:rsidRPr="00D45F6A">
        <w:t>=7</w:t>
      </w:r>
      <w:r w:rsidR="00AD24EA" w:rsidRPr="00D45F6A">
        <w:t>, 43% of the total number of low social QOL scores</w:t>
      </w:r>
      <w:r w:rsidR="00727C8F" w:rsidRPr="00D45F6A">
        <w:t>)</w:t>
      </w:r>
      <w:r w:rsidR="004D66D2" w:rsidRPr="00D45F6A">
        <w:t xml:space="preserve"> had low social QOL</w:t>
      </w:r>
      <w:r w:rsidR="00926DB9" w:rsidRPr="00D45F6A">
        <w:t xml:space="preserve">, suggesting </w:t>
      </w:r>
      <w:r w:rsidR="002F4CD6" w:rsidRPr="00D45F6A">
        <w:t>a small</w:t>
      </w:r>
      <w:r w:rsidR="00926DB9" w:rsidRPr="00D45F6A">
        <w:t xml:space="preserve"> likelihood of </w:t>
      </w:r>
      <w:r w:rsidR="00880B26" w:rsidRPr="00D45F6A">
        <w:t xml:space="preserve">participants having </w:t>
      </w:r>
      <w:r w:rsidR="00926DB9" w:rsidRPr="00D45F6A">
        <w:t xml:space="preserve">low social QOL </w:t>
      </w:r>
      <w:r w:rsidR="00FB5478" w:rsidRPr="00D45F6A">
        <w:t>and</w:t>
      </w:r>
      <w:r w:rsidR="00926DB9" w:rsidRPr="00D45F6A">
        <w:t xml:space="preserve"> high positive schizotypy</w:t>
      </w:r>
      <w:r w:rsidR="00FB5680" w:rsidRPr="00D45F6A">
        <w:t xml:space="preserve">. </w:t>
      </w:r>
    </w:p>
    <w:p w14:paraId="64DB33E8" w14:textId="77777777" w:rsidR="0035255E" w:rsidRPr="00D45F6A" w:rsidRDefault="0035255E" w:rsidP="00107084"/>
    <w:p w14:paraId="5479C01A" w14:textId="14765247" w:rsidR="00354C04" w:rsidRPr="00D45F6A" w:rsidRDefault="002E222D" w:rsidP="003A6319">
      <w:pPr>
        <w:pStyle w:val="Heading2"/>
      </w:pPr>
      <w:r w:rsidRPr="00D45F6A">
        <w:t>Predict</w:t>
      </w:r>
      <w:r w:rsidR="00801247" w:rsidRPr="00D45F6A">
        <w:t>ors</w:t>
      </w:r>
      <w:r w:rsidRPr="00D45F6A">
        <w:t xml:space="preserve"> of </w:t>
      </w:r>
      <w:r w:rsidR="00E45481" w:rsidRPr="00D45F6A">
        <w:t>rejection sensitivity</w:t>
      </w:r>
      <w:r w:rsidRPr="00D45F6A">
        <w:t xml:space="preserve"> </w:t>
      </w:r>
    </w:p>
    <w:p w14:paraId="5DCB87D3" w14:textId="2D92067E" w:rsidR="00A97CE7" w:rsidRPr="00D45F6A" w:rsidRDefault="000E3A4D">
      <w:r w:rsidRPr="000E3A4D">
        <w:t>RS correlated (p&lt;0.001) with all schizotypal, psychosocial, and personality variables (Table 2). The multicollinearity estimates (variance inflation factor) were below 4, indicating that multicollinearity assumptions were met for a hierarchical regression analysis. This moderate multicollinearity arose due to the large correlation between O-LIFE cognitive disorganisation and WHOQOL-psychological (r = −0.72, p &lt; 0.001), and between O-LIFE cognitive disorganisation and neuroticism (r = 0.71, p &lt; 0.001). The hierarchical regression model was significant (Table 3). At step 1, age and gender were not significant predictors of RS. In Step 2, the O-LIFE accounted for 31% of the variance in RS, and this change in the amount of variance explained was significant, p &lt; 0.001. Cognitive disorganisation and introvertive anhedonia were significant predictors at this step. In step 3, QOL accounted for a further 10% of the variance in RS, and this increase in the amount of variance explained was significant, p &lt; 0.001. Psychological QOL and social QOL were significant predictors in addition to cognitive disorganisation and introvertive anhedonia. In step 3, the five-factor model accounted for a further 3% of the variance in RS, and this change in the amount of variance explained was significant, p &lt; 0.001. Neuroticism and agreeableness were significant predictors in addition to introvertive anhedonia, psychological QOL, and social QOL.</w:t>
      </w:r>
    </w:p>
    <w:p w14:paraId="376689BA" w14:textId="51FD5A28" w:rsidR="00A84CEE" w:rsidRPr="00D45F6A" w:rsidRDefault="00A84CEE" w:rsidP="00107084">
      <w:pPr>
        <w:jc w:val="center"/>
      </w:pPr>
      <w:r w:rsidRPr="00D45F6A">
        <w:lastRenderedPageBreak/>
        <w:t>*** Insert Table</w:t>
      </w:r>
      <w:r w:rsidR="00073237" w:rsidRPr="00D45F6A">
        <w:t>s</w:t>
      </w:r>
      <w:r w:rsidRPr="00D45F6A">
        <w:t xml:space="preserve"> 2 </w:t>
      </w:r>
      <w:r w:rsidR="00073237" w:rsidRPr="00D45F6A">
        <w:t xml:space="preserve">and 3 </w:t>
      </w:r>
      <w:r w:rsidRPr="00D45F6A">
        <w:t>about here ***</w:t>
      </w:r>
    </w:p>
    <w:p w14:paraId="7AA91EDF" w14:textId="77777777" w:rsidR="00116FD5" w:rsidRPr="00D45F6A" w:rsidRDefault="00116FD5" w:rsidP="00116FD5"/>
    <w:p w14:paraId="6CED805C" w14:textId="49557719" w:rsidR="00674560" w:rsidRPr="00D45F6A" w:rsidRDefault="00674560" w:rsidP="003A6319">
      <w:pPr>
        <w:pStyle w:val="Heading2"/>
      </w:pPr>
      <w:r w:rsidRPr="00D45F6A">
        <w:t>Mediat</w:t>
      </w:r>
      <w:r w:rsidR="00E81483" w:rsidRPr="00D45F6A">
        <w:t>ors</w:t>
      </w:r>
      <w:r w:rsidRPr="00D45F6A">
        <w:t xml:space="preserve"> </w:t>
      </w:r>
      <w:r w:rsidR="006053B5" w:rsidRPr="00D45F6A">
        <w:t xml:space="preserve">of the relation between </w:t>
      </w:r>
      <w:r w:rsidR="003D0903" w:rsidRPr="00D45F6A">
        <w:t xml:space="preserve">interpersonal </w:t>
      </w:r>
      <w:r w:rsidRPr="00D45F6A">
        <w:t>schizotypy</w:t>
      </w:r>
      <w:r w:rsidR="004864E1" w:rsidRPr="00D45F6A">
        <w:t xml:space="preserve"> and </w:t>
      </w:r>
      <w:r w:rsidR="00E45481" w:rsidRPr="00D45F6A">
        <w:t>rejection sensitivity</w:t>
      </w:r>
      <w:r w:rsidRPr="00D45F6A">
        <w:t xml:space="preserve"> </w:t>
      </w:r>
    </w:p>
    <w:p w14:paraId="5D5BB177" w14:textId="77777777" w:rsidR="00A7453F" w:rsidRPr="00D45F6A" w:rsidRDefault="004F0BAB" w:rsidP="00A7453F">
      <w:pPr>
        <w:pStyle w:val="Heading3"/>
      </w:pPr>
      <w:r w:rsidRPr="00D45F6A">
        <w:t xml:space="preserve">Mediators between cognitive disorganisation and </w:t>
      </w:r>
      <w:r w:rsidR="00D51017" w:rsidRPr="00D45F6A">
        <w:t>RS</w:t>
      </w:r>
    </w:p>
    <w:p w14:paraId="2DE0F26A" w14:textId="3C092EA2" w:rsidR="000E3A4D" w:rsidRPr="000E3A4D" w:rsidRDefault="000E3A4D" w:rsidP="000E3A4D">
      <w:r w:rsidRPr="000E3A4D">
        <w:t xml:space="preserve">Psychological QOL, social QOL, neuroticism, and agreeableness fully mediated the relation between cognitive disorganisation and RS, R = 0.65, F(5,312) = 44.85, p &lt; </w:t>
      </w:r>
      <w:r w:rsidR="00450255">
        <w:t>0.001 (Fig. 2a). Cognitive dis-</w:t>
      </w:r>
      <w:r w:rsidRPr="000E3A4D">
        <w:t>organisation and the mediators together explained 42% of the variance in RS. Cognitive disorganisation on its own explained 25% of the variance in RS. Cognitive disorganisation significantly predicted each mediator, and accounted for 51%, 18%, 50% and 9% of the variance in psychological QOL, social QOL, neuroticism, and agreeableness, respectively. In turn, each mediator significantly predicted RS. The direct effect, c’, of cognitive disorganisation on RS was not significant (p = 0.27), which suggests that the mediators fully explained the link between cognitive disorganisation and RS. Each mediator had a significant indirect effect on the link between cognitive disorganisation and RS: psychological QOL, indirect effect = 0.13, 95% C.I. = 0.06 to 0.20; social QOL, indirect effect = 0.06, 95% C.I., 0.02 to 0.09; neuroticism, indirect effect=0.07, 95% C.I.=0.01 to 0.13; and agreeableness, indirect effect=0.02, 95% C.I.=0.003 to 0.04. Psychological QOL had a greater indirect effect on RS than agreeableness did, bias corrected 95% C.I. = 0.03 to 0.19.</w:t>
      </w:r>
    </w:p>
    <w:p w14:paraId="0EE79DD9" w14:textId="57CEA6C7" w:rsidR="00562344" w:rsidRPr="00D45F6A" w:rsidRDefault="00562344" w:rsidP="00107084"/>
    <w:p w14:paraId="19102CB6" w14:textId="77777777" w:rsidR="00A7453F" w:rsidRPr="00D45F6A" w:rsidRDefault="00A7453F" w:rsidP="00107084"/>
    <w:p w14:paraId="158B9A28" w14:textId="1C8FFFA3" w:rsidR="00A7453F" w:rsidRPr="00D45F6A" w:rsidRDefault="004F0BAB" w:rsidP="00A7453F">
      <w:pPr>
        <w:pStyle w:val="Heading3"/>
      </w:pPr>
      <w:r w:rsidRPr="00D45F6A">
        <w:lastRenderedPageBreak/>
        <w:t xml:space="preserve">Mediators between introvertive anheonia and </w:t>
      </w:r>
      <w:r w:rsidR="00D51017" w:rsidRPr="00D45F6A">
        <w:t>RS</w:t>
      </w:r>
      <w:r w:rsidR="00EE3299" w:rsidRPr="00D45F6A">
        <w:t xml:space="preserve"> </w:t>
      </w:r>
    </w:p>
    <w:p w14:paraId="7956857E" w14:textId="474ECB4D" w:rsidR="00562344" w:rsidRPr="00D45F6A" w:rsidRDefault="000E3A4D" w:rsidP="00107084">
      <w:r w:rsidRPr="000E3A4D">
        <w:t>Psychological QOL, social QOL, neuroticism, and agreeableness partially mediated the relation between introvertive anhedonia and RS, R = 0.65, F(5,312) = 46.19, p &lt; 0.001. Introvertive anhedonia and the mediators together explained 42% of the variance in RS (Fig. 2b). Introvertive anhedonia on its own explained 25% of the variance in RS. Introvertive anhedonia significantly predicted each mediator, and explained 19%, 11%, 22%, and 6% of the variance in psychological QOL, social QOL, neuroticism, and agreeableness, respectively. In turn, each mediator significantly predicted RS. The direct effect, c’, of introvertive anhedonia on RS was significant after controlling for the mediators, which suggests that the mediators partially explained the association between introvertive anhedonia and RS. Each mediator had a significant indirect effect of cognitive disorganisation on RS: psychological QOL, indirect effect = 0.11, 95% C.I. = 0.05 to 0.17; social QOL, indirect effect = 0.07, 95% C.I., 0.02 to 0.12; neuroticism, indirect effect=0.05, 95% C.I.=0.02 to 0.10; and agreeableness, indirect effect = 0.02, 95% C.I. = 0.001 to 0.05. Psychological QOL had a greater special indirect effect on RS than agreeableness did, bias corrected 95% C.I. = 0.03–0.15.</w:t>
      </w:r>
    </w:p>
    <w:p w14:paraId="484B37EE" w14:textId="34DA29A2" w:rsidR="00B75084" w:rsidRPr="00D45F6A" w:rsidRDefault="000E3A4D" w:rsidP="00107084">
      <w:r w:rsidRPr="000E3A4D">
        <w:t xml:space="preserve">To test the combined effect of the psychosocial QOL and personality mediators on the schizotypy-RS association, a composite score of the four psychosocial mediators was calculated. The sample was divided into high (n = 159) and low psychosocial functioning groups (n = 159) using a median split. The association between cognitive disorganisation and RS was significant in the high psychosocial functioning group (r = 0.32, p &lt; 0.001, 10% of variance explained) and the low psychosocial functioning group (r=0.47, p&lt;0.001, 23% of variance explained). However, the strength of the association between cognitive disorganisation and RS did not differ between the high and low psychosocial functioning </w:t>
      </w:r>
      <w:r w:rsidRPr="000E3A4D">
        <w:lastRenderedPageBreak/>
        <w:t>groups, z = 1.65, p = 0.1 (Fig. 3a). The association between introvertive anhedonia and RS was significant in the low psychosocial functioning group (r = 0.36, p &lt; 0.001, 23% of variance explained), but marginally significant in the high psychosocial functioning group (r=0.16, p=0.05, 2% of variance explained). The strength of the association between introvertive anhedonia and RS was higher in the low, than high, psychosocial functioning group, z = 1.97, p = 0.049 (Fig. 3b).</w:t>
      </w:r>
    </w:p>
    <w:p w14:paraId="00C05841" w14:textId="741CC14D" w:rsidR="00637A43" w:rsidRPr="00D45F6A" w:rsidRDefault="00637A43" w:rsidP="00107084">
      <w:pPr>
        <w:jc w:val="center"/>
      </w:pPr>
      <w:r w:rsidRPr="00D45F6A">
        <w:t xml:space="preserve">*** Insert Figures 2 </w:t>
      </w:r>
      <w:r w:rsidR="00EA51B1" w:rsidRPr="00D45F6A">
        <w:t>and 3</w:t>
      </w:r>
      <w:r w:rsidRPr="00D45F6A">
        <w:t xml:space="preserve"> about her</w:t>
      </w:r>
      <w:r w:rsidR="006D0A0C" w:rsidRPr="00D45F6A">
        <w:t>e</w:t>
      </w:r>
      <w:r w:rsidRPr="00D45F6A">
        <w:t xml:space="preserve"> ***</w:t>
      </w:r>
    </w:p>
    <w:p w14:paraId="29122211" w14:textId="77777777" w:rsidR="001E2D3D" w:rsidRPr="00D45F6A" w:rsidRDefault="001E2D3D" w:rsidP="001E2D3D"/>
    <w:p w14:paraId="0875D7F6" w14:textId="77777777" w:rsidR="006A16DC" w:rsidRPr="00D45F6A" w:rsidRDefault="00701C92" w:rsidP="00B621D1">
      <w:pPr>
        <w:pStyle w:val="Heading1"/>
      </w:pPr>
      <w:r w:rsidRPr="00D45F6A">
        <w:t>Discussion</w:t>
      </w:r>
    </w:p>
    <w:p w14:paraId="4FBC4F0A" w14:textId="7DECE4BC" w:rsidR="00E07CF2" w:rsidRPr="00D45F6A" w:rsidRDefault="00D94547" w:rsidP="00EB4344">
      <w:r w:rsidRPr="00D45F6A">
        <w:t xml:space="preserve">The study aimed </w:t>
      </w:r>
      <w:r w:rsidR="00334176" w:rsidRPr="00D45F6A">
        <w:t xml:space="preserve">to test a </w:t>
      </w:r>
      <w:r w:rsidR="00CC10CE" w:rsidRPr="00D45F6A">
        <w:t>psychosocial</w:t>
      </w:r>
      <w:r w:rsidR="00334176" w:rsidRPr="00D45F6A">
        <w:t xml:space="preserve"> model of </w:t>
      </w:r>
      <w:r w:rsidR="00535DE7" w:rsidRPr="00D45F6A">
        <w:t xml:space="preserve">the link between </w:t>
      </w:r>
      <w:r w:rsidR="00334176" w:rsidRPr="00D45F6A">
        <w:t>schizotypy</w:t>
      </w:r>
      <w:r w:rsidR="00535DE7" w:rsidRPr="00D45F6A">
        <w:t xml:space="preserve"> and RS</w:t>
      </w:r>
      <w:r w:rsidRPr="00D45F6A">
        <w:t xml:space="preserve">. </w:t>
      </w:r>
      <w:r w:rsidR="00EB4344" w:rsidRPr="00D45F6A">
        <w:t xml:space="preserve">As hypothesized, </w:t>
      </w:r>
      <w:r w:rsidR="00BA4716" w:rsidRPr="00D45F6A">
        <w:t>schizotyp</w:t>
      </w:r>
      <w:r w:rsidR="00691107" w:rsidRPr="00D45F6A">
        <w:t>al</w:t>
      </w:r>
      <w:r w:rsidR="00535DE7" w:rsidRPr="00D45F6A">
        <w:t xml:space="preserve"> traits</w:t>
      </w:r>
      <w:r w:rsidR="00506584" w:rsidRPr="00D45F6A">
        <w:t xml:space="preserve"> </w:t>
      </w:r>
      <w:r w:rsidR="009318E0" w:rsidRPr="00D45F6A">
        <w:t>predict</w:t>
      </w:r>
      <w:r w:rsidR="00EB4344" w:rsidRPr="00D45F6A">
        <w:t>ed</w:t>
      </w:r>
      <w:r w:rsidR="00BA4716" w:rsidRPr="00D45F6A">
        <w:t xml:space="preserve"> </w:t>
      </w:r>
      <w:r w:rsidR="00D51017" w:rsidRPr="00D45F6A">
        <w:t>RS</w:t>
      </w:r>
      <w:r w:rsidR="00347A02" w:rsidRPr="00D45F6A">
        <w:t xml:space="preserve">, and </w:t>
      </w:r>
      <w:r w:rsidR="00697E49" w:rsidRPr="00D45F6A">
        <w:t xml:space="preserve">psychological QOL, social QOL, agreeableness, and neuroticism </w:t>
      </w:r>
      <w:r w:rsidR="0041506E" w:rsidRPr="00D45F6A">
        <w:t>mediate</w:t>
      </w:r>
      <w:r w:rsidR="009D58C8" w:rsidRPr="00D45F6A">
        <w:t>d</w:t>
      </w:r>
      <w:r w:rsidR="0041506E" w:rsidRPr="00D45F6A">
        <w:t xml:space="preserve"> the relation between interpersonal schizotyp</w:t>
      </w:r>
      <w:r w:rsidR="00535DE7" w:rsidRPr="00D45F6A">
        <w:t>al traits</w:t>
      </w:r>
      <w:r w:rsidR="0041506E" w:rsidRPr="00D45F6A">
        <w:t xml:space="preserve"> and </w:t>
      </w:r>
      <w:r w:rsidR="00D51017" w:rsidRPr="00D45F6A">
        <w:t>RS</w:t>
      </w:r>
      <w:r w:rsidR="00243747" w:rsidRPr="00D45F6A">
        <w:t xml:space="preserve">, such that </w:t>
      </w:r>
      <w:r w:rsidR="0024230B" w:rsidRPr="00D45F6A">
        <w:t xml:space="preserve">the four psychosocial mediators </w:t>
      </w:r>
      <w:r w:rsidR="00F373F8" w:rsidRPr="00D45F6A">
        <w:t xml:space="preserve">fully </w:t>
      </w:r>
      <w:r w:rsidR="0024230B" w:rsidRPr="00D45F6A">
        <w:t xml:space="preserve">explained </w:t>
      </w:r>
      <w:r w:rsidR="00796237" w:rsidRPr="00D45F6A">
        <w:t xml:space="preserve">the </w:t>
      </w:r>
      <w:r w:rsidR="00D62617" w:rsidRPr="00D45F6A">
        <w:t xml:space="preserve">relation </w:t>
      </w:r>
      <w:r w:rsidR="00D57172" w:rsidRPr="00D45F6A">
        <w:t>between c</w:t>
      </w:r>
      <w:r w:rsidR="005973FF" w:rsidRPr="00D45F6A">
        <w:t xml:space="preserve">ognitive disorganisation </w:t>
      </w:r>
      <w:r w:rsidR="00D57172" w:rsidRPr="00D45F6A">
        <w:t xml:space="preserve">and </w:t>
      </w:r>
      <w:r w:rsidR="00D51017" w:rsidRPr="00D45F6A">
        <w:t>RS</w:t>
      </w:r>
      <w:r w:rsidR="00243747" w:rsidRPr="00D45F6A">
        <w:t>. T</w:t>
      </w:r>
      <w:r w:rsidR="0038593D" w:rsidRPr="00D45F6A">
        <w:t xml:space="preserve">he </w:t>
      </w:r>
      <w:r w:rsidR="00EB4344" w:rsidRPr="00D45F6A">
        <w:t xml:space="preserve">psychosocial mediators only partially explained the </w:t>
      </w:r>
      <w:r w:rsidR="00D62617" w:rsidRPr="00D45F6A">
        <w:t xml:space="preserve">relation </w:t>
      </w:r>
      <w:r w:rsidR="0038593D" w:rsidRPr="00D45F6A">
        <w:t xml:space="preserve">between introvertive anhedonia and </w:t>
      </w:r>
      <w:r w:rsidR="00D51017" w:rsidRPr="00D45F6A">
        <w:t>RS</w:t>
      </w:r>
      <w:r w:rsidR="00A11293" w:rsidRPr="00D45F6A">
        <w:t xml:space="preserve">. </w:t>
      </w:r>
    </w:p>
    <w:p w14:paraId="078A4E06" w14:textId="35F15A0B" w:rsidR="001038BD" w:rsidRPr="00D45F6A" w:rsidRDefault="00251E48">
      <w:r w:rsidRPr="00D45F6A">
        <w:t xml:space="preserve">The findings </w:t>
      </w:r>
      <w:r w:rsidR="00697E49" w:rsidRPr="00D45F6A">
        <w:t>suggest that interpersonal schizotypy relate</w:t>
      </w:r>
      <w:r w:rsidR="004B674A" w:rsidRPr="00D45F6A">
        <w:t>s</w:t>
      </w:r>
      <w:r w:rsidR="00697E49" w:rsidRPr="00D45F6A">
        <w:t xml:space="preserve"> to RS</w:t>
      </w:r>
      <w:r w:rsidR="007339AD" w:rsidRPr="00D45F6A">
        <w:t>, and this relation could</w:t>
      </w:r>
      <w:r w:rsidR="00697E49" w:rsidRPr="00D45F6A">
        <w:t xml:space="preserve"> be explained by poor psychosocial </w:t>
      </w:r>
      <w:r w:rsidR="00347A02" w:rsidRPr="00D45F6A">
        <w:t>QOL</w:t>
      </w:r>
      <w:r w:rsidR="00697E49" w:rsidRPr="00D45F6A">
        <w:t xml:space="preserve">, low agreeableness and high neuroticism. </w:t>
      </w:r>
      <w:r w:rsidR="00347A02" w:rsidRPr="00D45F6A">
        <w:t xml:space="preserve">Improving psychosocial functioning could limit the progress to more severe psychosis-like states (Rabin et al., 2014). </w:t>
      </w:r>
      <w:r w:rsidR="001038BD" w:rsidRPr="00D45F6A">
        <w:t xml:space="preserve">The findings emphasise the need for people with schizotypal traits to have more social support and inclusion to overcome social anxiety and social avoidance. Some people with schizotypal traits have families who express criticism and hostility (Premkumar et al., 2015) and communicate poorly (Zborowski and Garske, 1993). Improving communication style may be important for those who lack close interpersonal </w:t>
      </w:r>
      <w:r w:rsidR="001038BD" w:rsidRPr="00D45F6A">
        <w:lastRenderedPageBreak/>
        <w:t>relations and have a greater risk of developing psychosis (Salokangas et al., 2013). The current study’s findings emphasise that people with schizotypal traits might improve their QOL and self-esteem by being prepared to engage in prosocial and pleasurable activities. Many therapeutic strategies emphasise such issues (Schippers et al., 2001).</w:t>
      </w:r>
    </w:p>
    <w:p w14:paraId="657047E5" w14:textId="3728E2A4" w:rsidR="000967F9" w:rsidRPr="00D45F6A" w:rsidRDefault="00DD54C4">
      <w:r w:rsidRPr="00D45F6A">
        <w:t>T</w:t>
      </w:r>
      <w:r w:rsidR="008B22A5" w:rsidRPr="00D45F6A">
        <w:t xml:space="preserve">he </w:t>
      </w:r>
      <w:r w:rsidR="00697E49" w:rsidRPr="00D45F6A">
        <w:t>comparison of high and low psychosocial functioning groups</w:t>
      </w:r>
      <w:r w:rsidR="008B22A5" w:rsidRPr="00D45F6A">
        <w:t xml:space="preserve"> revealed </w:t>
      </w:r>
      <w:r w:rsidR="00FE4E07" w:rsidRPr="00D45F6A">
        <w:t xml:space="preserve">a key </w:t>
      </w:r>
      <w:r w:rsidR="0053583D" w:rsidRPr="00D45F6A">
        <w:t xml:space="preserve">distinction </w:t>
      </w:r>
      <w:r w:rsidR="007051AB" w:rsidRPr="00D45F6A">
        <w:t>between</w:t>
      </w:r>
      <w:r w:rsidR="00765F78" w:rsidRPr="00D45F6A">
        <w:t xml:space="preserve"> </w:t>
      </w:r>
      <w:r w:rsidR="007051AB" w:rsidRPr="00D45F6A">
        <w:t xml:space="preserve">the </w:t>
      </w:r>
      <w:r w:rsidR="00A54A3D" w:rsidRPr="00D45F6A">
        <w:t>link between</w:t>
      </w:r>
      <w:r w:rsidR="007051AB" w:rsidRPr="00D45F6A">
        <w:t xml:space="preserve"> </w:t>
      </w:r>
      <w:r w:rsidR="00691107" w:rsidRPr="00D45F6A">
        <w:t>introvertive anhedonia</w:t>
      </w:r>
      <w:r w:rsidR="00691107" w:rsidRPr="00D45F6A" w:rsidDel="00691107">
        <w:t xml:space="preserve"> </w:t>
      </w:r>
      <w:r w:rsidR="00A54A3D" w:rsidRPr="00D45F6A">
        <w:t>and</w:t>
      </w:r>
      <w:r w:rsidR="007051AB" w:rsidRPr="00D45F6A">
        <w:t xml:space="preserve"> </w:t>
      </w:r>
      <w:r w:rsidR="00691107" w:rsidRPr="00D45F6A">
        <w:t>RS</w:t>
      </w:r>
      <w:r w:rsidR="000B0A14" w:rsidRPr="00D45F6A">
        <w:t>,</w:t>
      </w:r>
      <w:r w:rsidR="007051AB" w:rsidRPr="00D45F6A">
        <w:t xml:space="preserve"> and </w:t>
      </w:r>
      <w:r w:rsidR="00F85B17" w:rsidRPr="00D45F6A">
        <w:t xml:space="preserve">the link between </w:t>
      </w:r>
      <w:r w:rsidR="00691107" w:rsidRPr="00D45F6A">
        <w:t>cognitive disorganisation</w:t>
      </w:r>
      <w:r w:rsidR="0053583D" w:rsidRPr="00D45F6A">
        <w:t xml:space="preserve"> </w:t>
      </w:r>
      <w:r w:rsidR="00DE720C" w:rsidRPr="00D45F6A">
        <w:t xml:space="preserve">and </w:t>
      </w:r>
      <w:r w:rsidR="00691107" w:rsidRPr="00D45F6A">
        <w:t>RS</w:t>
      </w:r>
      <w:r w:rsidR="008B22A5" w:rsidRPr="00D45F6A">
        <w:t xml:space="preserve">. </w:t>
      </w:r>
      <w:r w:rsidR="00E07CF2" w:rsidRPr="00D45F6A">
        <w:t xml:space="preserve">The association between introvertive </w:t>
      </w:r>
      <w:r w:rsidR="006B37F1" w:rsidRPr="00D45F6A">
        <w:t>anhedonia</w:t>
      </w:r>
      <w:r w:rsidR="00E07CF2" w:rsidRPr="00D45F6A">
        <w:t xml:space="preserve"> and </w:t>
      </w:r>
      <w:r w:rsidR="00D51017" w:rsidRPr="00D45F6A">
        <w:t>RS</w:t>
      </w:r>
      <w:r w:rsidR="00E07CF2" w:rsidRPr="00D45F6A">
        <w:t xml:space="preserve"> was stronger in the low</w:t>
      </w:r>
      <w:r w:rsidR="00EB2649" w:rsidRPr="00D45F6A">
        <w:t xml:space="preserve"> psychosocial functioning group</w:t>
      </w:r>
      <w:r w:rsidR="00E07CF2" w:rsidRPr="00D45F6A">
        <w:t xml:space="preserve"> than the high psychosocial functioning group</w:t>
      </w:r>
      <w:r w:rsidR="00CD130D" w:rsidRPr="00D45F6A">
        <w:t xml:space="preserve">. The finding </w:t>
      </w:r>
      <w:r w:rsidR="00E07CF2" w:rsidRPr="00D45F6A">
        <w:t xml:space="preserve">suggests that </w:t>
      </w:r>
      <w:r w:rsidR="00F373F8" w:rsidRPr="00D45F6A">
        <w:t>low psychosocial functioning</w:t>
      </w:r>
      <w:r w:rsidR="00F373F8" w:rsidRPr="00D45F6A" w:rsidDel="008474C4">
        <w:t xml:space="preserve"> </w:t>
      </w:r>
      <w:r w:rsidR="00F373F8" w:rsidRPr="00D45F6A">
        <w:t xml:space="preserve">is likely to affect the link between </w:t>
      </w:r>
      <w:r w:rsidR="00E07CF2" w:rsidRPr="00D45F6A">
        <w:t>high schizotyp</w:t>
      </w:r>
      <w:r w:rsidR="00535DE7" w:rsidRPr="00D45F6A">
        <w:t xml:space="preserve">al traits </w:t>
      </w:r>
      <w:r w:rsidR="00983B57" w:rsidRPr="00D45F6A">
        <w:t xml:space="preserve">of social withdrawal </w:t>
      </w:r>
      <w:r w:rsidR="00F373F8" w:rsidRPr="00D45F6A">
        <w:t>and</w:t>
      </w:r>
      <w:r w:rsidR="00E07CF2" w:rsidRPr="00D45F6A">
        <w:t xml:space="preserve"> </w:t>
      </w:r>
      <w:r w:rsidR="00D51017" w:rsidRPr="00D45F6A">
        <w:t>RS</w:t>
      </w:r>
      <w:r w:rsidR="00F373F8" w:rsidRPr="00D45F6A">
        <w:t>, more than high psychosocial functioning</w:t>
      </w:r>
      <w:r w:rsidR="00E07CF2" w:rsidRPr="00D45F6A">
        <w:t>.</w:t>
      </w:r>
      <w:r w:rsidR="009E4F66" w:rsidRPr="00D45F6A">
        <w:t xml:space="preserve"> </w:t>
      </w:r>
      <w:r w:rsidR="00251E48" w:rsidRPr="00D45F6A">
        <w:t xml:space="preserve">This difference between high and low psychosocial functioning groups was not apparent for the relation between cognitive disorganisation and RS. </w:t>
      </w:r>
      <w:r w:rsidR="00F31B2E" w:rsidRPr="00D45F6A">
        <w:t>Furthermore</w:t>
      </w:r>
      <w:r w:rsidR="00821087" w:rsidRPr="00D45F6A">
        <w:t xml:space="preserve">, </w:t>
      </w:r>
      <w:r w:rsidR="0006709C" w:rsidRPr="00D45F6A">
        <w:t>social avoidance</w:t>
      </w:r>
      <w:r w:rsidR="002D1D75" w:rsidRPr="00D45F6A">
        <w:t xml:space="preserve"> </w:t>
      </w:r>
      <w:r w:rsidR="00C92CD6" w:rsidRPr="00D45F6A">
        <w:t xml:space="preserve">related </w:t>
      </w:r>
      <w:r w:rsidR="00A252BA" w:rsidRPr="00D45F6A">
        <w:t>mo</w:t>
      </w:r>
      <w:r w:rsidR="0071055F" w:rsidRPr="00D45F6A">
        <w:t>re</w:t>
      </w:r>
      <w:r w:rsidR="00A252BA" w:rsidRPr="00D45F6A">
        <w:t xml:space="preserve"> </w:t>
      </w:r>
      <w:r w:rsidR="00C92CD6" w:rsidRPr="00D45F6A">
        <w:t>strong</w:t>
      </w:r>
      <w:r w:rsidR="00A252BA" w:rsidRPr="00D45F6A">
        <w:t>ly</w:t>
      </w:r>
      <w:r w:rsidR="00C92CD6" w:rsidRPr="00D45F6A">
        <w:t xml:space="preserve"> to social QOL</w:t>
      </w:r>
      <w:r w:rsidR="00C4114C" w:rsidRPr="00D45F6A">
        <w:t xml:space="preserve"> </w:t>
      </w:r>
      <w:r w:rsidR="0071055F" w:rsidRPr="00D45F6A">
        <w:t>relative to other</w:t>
      </w:r>
      <w:r w:rsidR="00C4114C" w:rsidRPr="00D45F6A">
        <w:t xml:space="preserve"> mediators. This finding suggests </w:t>
      </w:r>
      <w:r w:rsidR="00C92CD6" w:rsidRPr="00D45F6A">
        <w:t xml:space="preserve">that </w:t>
      </w:r>
      <w:r w:rsidR="00B14EF6" w:rsidRPr="00D45F6A">
        <w:t xml:space="preserve">loneliness and isolation </w:t>
      </w:r>
      <w:r w:rsidR="0096533F" w:rsidRPr="00D45F6A">
        <w:t>predict</w:t>
      </w:r>
      <w:r w:rsidR="00270F29" w:rsidRPr="00D45F6A">
        <w:t xml:space="preserve"> </w:t>
      </w:r>
      <w:r w:rsidR="00F963CE" w:rsidRPr="00D45F6A">
        <w:t xml:space="preserve">poor </w:t>
      </w:r>
      <w:r w:rsidR="00C92CD6" w:rsidRPr="00D45F6A">
        <w:t>social functioning,</w:t>
      </w:r>
      <w:r w:rsidR="006B37F1" w:rsidRPr="00D45F6A">
        <w:t xml:space="preserve"> in terms of having </w:t>
      </w:r>
      <w:r w:rsidR="00996230" w:rsidRPr="00D45F6A">
        <w:t>poor intimacy</w:t>
      </w:r>
      <w:r w:rsidR="006B37F1" w:rsidRPr="00D45F6A">
        <w:t>, not being satisfied with personal relationships</w:t>
      </w:r>
      <w:r w:rsidR="00C12E9F" w:rsidRPr="00D45F6A">
        <w:t>,</w:t>
      </w:r>
      <w:r w:rsidR="00B97EE0" w:rsidRPr="00D45F6A">
        <w:t xml:space="preserve"> and not</w:t>
      </w:r>
      <w:r w:rsidR="00175C58" w:rsidRPr="00D45F6A">
        <w:t xml:space="preserve"> being able to </w:t>
      </w:r>
      <w:r w:rsidR="00996230" w:rsidRPr="00D45F6A">
        <w:t xml:space="preserve">love and </w:t>
      </w:r>
      <w:r w:rsidR="00175C58" w:rsidRPr="00D45F6A">
        <w:t>support others</w:t>
      </w:r>
      <w:r w:rsidR="000970A9" w:rsidRPr="00D45F6A">
        <w:t>.</w:t>
      </w:r>
      <w:r w:rsidR="0071055F" w:rsidRPr="00D45F6A">
        <w:t xml:space="preserve"> </w:t>
      </w:r>
      <w:r w:rsidR="000970A9" w:rsidRPr="00D45F6A">
        <w:t>In turn, poor social functioning relates to RS</w:t>
      </w:r>
      <w:r w:rsidR="00C92CD6" w:rsidRPr="00D45F6A">
        <w:t xml:space="preserve">. </w:t>
      </w:r>
      <w:r w:rsidR="00B45379" w:rsidRPr="00D45F6A">
        <w:t xml:space="preserve">This finding is consistent with </w:t>
      </w:r>
      <w:r w:rsidR="003C5432" w:rsidRPr="00D45F6A">
        <w:t xml:space="preserve">evidence </w:t>
      </w:r>
      <w:r w:rsidR="004F2DCB" w:rsidRPr="00D45F6A">
        <w:t xml:space="preserve">that people </w:t>
      </w:r>
      <w:r w:rsidR="00CD327D" w:rsidRPr="00D45F6A">
        <w:t xml:space="preserve">at </w:t>
      </w:r>
      <w:r w:rsidR="003C5432" w:rsidRPr="00D45F6A">
        <w:t>the prodrome of psychosis</w:t>
      </w:r>
      <w:r w:rsidR="004F2DCB" w:rsidRPr="00D45F6A">
        <w:t xml:space="preserve"> lack social support</w:t>
      </w:r>
      <w:r w:rsidR="003C5432" w:rsidRPr="00D45F6A">
        <w:t xml:space="preserve"> (Gayer-Anderson </w:t>
      </w:r>
      <w:r w:rsidR="00E47834" w:rsidRPr="00D45F6A">
        <w:t>and</w:t>
      </w:r>
      <w:r w:rsidR="003C5432" w:rsidRPr="00D45F6A">
        <w:t xml:space="preserve"> Morgan, 2013)</w:t>
      </w:r>
      <w:r w:rsidR="00C753ED" w:rsidRPr="00D45F6A">
        <w:t xml:space="preserve">. </w:t>
      </w:r>
      <w:r w:rsidR="00C4114C" w:rsidRPr="00D45F6A">
        <w:t>A person with an</w:t>
      </w:r>
      <w:r w:rsidR="006913F0" w:rsidRPr="00D45F6A">
        <w:t xml:space="preserve"> </w:t>
      </w:r>
      <w:r w:rsidR="00B551F7" w:rsidRPr="00D45F6A">
        <w:t>avoidant</w:t>
      </w:r>
      <w:r w:rsidR="00B45379" w:rsidRPr="00D45F6A">
        <w:t xml:space="preserve"> personality disorder</w:t>
      </w:r>
      <w:r w:rsidR="009B6F7D" w:rsidRPr="00D45F6A">
        <w:t xml:space="preserve"> avoids social interaction and perceives more rejection </w:t>
      </w:r>
      <w:r w:rsidR="00555254" w:rsidRPr="00D45F6A">
        <w:t xml:space="preserve">than normal </w:t>
      </w:r>
      <w:r w:rsidR="00B45379" w:rsidRPr="00D45F6A">
        <w:t xml:space="preserve">(Winarick </w:t>
      </w:r>
      <w:r w:rsidR="00E47834" w:rsidRPr="00D45F6A">
        <w:t>and</w:t>
      </w:r>
      <w:r w:rsidR="00B45379" w:rsidRPr="00D45F6A">
        <w:t xml:space="preserve"> Bornstein, 2015). </w:t>
      </w:r>
      <w:r w:rsidR="003F5556" w:rsidRPr="00D45F6A">
        <w:t xml:space="preserve">Poor communication </w:t>
      </w:r>
      <w:r w:rsidR="00347A02" w:rsidRPr="00D45F6A">
        <w:t xml:space="preserve">by </w:t>
      </w:r>
      <w:r w:rsidR="003F5556" w:rsidRPr="00D45F6A">
        <w:t>people with schizotyp</w:t>
      </w:r>
      <w:r w:rsidR="00535DE7" w:rsidRPr="00D45F6A">
        <w:t>al traits</w:t>
      </w:r>
      <w:r w:rsidR="003F5556" w:rsidRPr="00D45F6A">
        <w:t xml:space="preserve"> </w:t>
      </w:r>
      <w:r w:rsidR="00347A02" w:rsidRPr="00D45F6A">
        <w:t xml:space="preserve">could </w:t>
      </w:r>
      <w:r w:rsidR="006D37F3" w:rsidRPr="00D45F6A">
        <w:t xml:space="preserve">make </w:t>
      </w:r>
      <w:r w:rsidR="003F5556" w:rsidRPr="00D45F6A">
        <w:t xml:space="preserve">others </w:t>
      </w:r>
      <w:r w:rsidR="00E6073A" w:rsidRPr="00D45F6A">
        <w:t xml:space="preserve">to </w:t>
      </w:r>
      <w:r w:rsidR="003F5556" w:rsidRPr="00D45F6A">
        <w:t xml:space="preserve">feel anxious, which </w:t>
      </w:r>
      <w:r w:rsidR="00796E95" w:rsidRPr="00D45F6A">
        <w:t xml:space="preserve">may then </w:t>
      </w:r>
      <w:r w:rsidR="00AC6BAC" w:rsidRPr="00D45F6A">
        <w:t xml:space="preserve">link to </w:t>
      </w:r>
      <w:r w:rsidR="003F5556" w:rsidRPr="00D45F6A">
        <w:t>people with schizotyp</w:t>
      </w:r>
      <w:r w:rsidR="00535DE7" w:rsidRPr="00D45F6A">
        <w:t>al traits</w:t>
      </w:r>
      <w:r w:rsidR="003F5556" w:rsidRPr="00D45F6A">
        <w:t xml:space="preserve"> </w:t>
      </w:r>
      <w:r w:rsidR="00796E95" w:rsidRPr="00D45F6A">
        <w:t>perceiv</w:t>
      </w:r>
      <w:r w:rsidR="00AC6BAC" w:rsidRPr="00D45F6A">
        <w:t>ing</w:t>
      </w:r>
      <w:r w:rsidR="003F5556" w:rsidRPr="00D45F6A">
        <w:t xml:space="preserve"> rejection (Zborowski </w:t>
      </w:r>
      <w:r w:rsidR="00E47834" w:rsidRPr="00D45F6A">
        <w:t>and</w:t>
      </w:r>
      <w:r w:rsidR="003F5556" w:rsidRPr="00D45F6A">
        <w:t xml:space="preserve"> Garske, 1993). </w:t>
      </w:r>
      <w:r w:rsidR="002E0A30" w:rsidRPr="00D45F6A">
        <w:t>Such individuals</w:t>
      </w:r>
      <w:r w:rsidR="00DC48DE" w:rsidRPr="00D45F6A">
        <w:t xml:space="preserve"> </w:t>
      </w:r>
      <w:r w:rsidR="00F46AC8" w:rsidRPr="00D45F6A">
        <w:t xml:space="preserve">might </w:t>
      </w:r>
      <w:r w:rsidR="005A5B54" w:rsidRPr="00D45F6A">
        <w:t xml:space="preserve">benefit from </w:t>
      </w:r>
      <w:r w:rsidR="00EE5A1E" w:rsidRPr="00D45F6A">
        <w:t xml:space="preserve">receiving </w:t>
      </w:r>
      <w:r w:rsidR="00C237C1" w:rsidRPr="00D45F6A">
        <w:t>i</w:t>
      </w:r>
      <w:r w:rsidR="0025392F" w:rsidRPr="00D45F6A">
        <w:t xml:space="preserve">ntensive psychotherapy to improve their </w:t>
      </w:r>
      <w:r w:rsidR="00935115" w:rsidRPr="00D45F6A">
        <w:t>access to</w:t>
      </w:r>
      <w:r w:rsidR="00452749" w:rsidRPr="00D45F6A">
        <w:t xml:space="preserve"> </w:t>
      </w:r>
      <w:r w:rsidR="00EE5A1E" w:rsidRPr="00D45F6A">
        <w:t xml:space="preserve">and </w:t>
      </w:r>
      <w:r w:rsidR="00D40C7D" w:rsidRPr="00D45F6A">
        <w:t xml:space="preserve">ability to </w:t>
      </w:r>
      <w:r w:rsidR="00EE5A1E" w:rsidRPr="00D45F6A">
        <w:t>gi</w:t>
      </w:r>
      <w:r w:rsidR="00D40C7D" w:rsidRPr="00D45F6A">
        <w:t>ve</w:t>
      </w:r>
      <w:r w:rsidR="00EE5A1E" w:rsidRPr="00D45F6A">
        <w:t xml:space="preserve"> </w:t>
      </w:r>
      <w:r w:rsidR="005A5B54" w:rsidRPr="00D45F6A">
        <w:t>social support</w:t>
      </w:r>
      <w:r w:rsidR="00C65624" w:rsidRPr="00D45F6A">
        <w:t>.</w:t>
      </w:r>
      <w:r w:rsidR="006D37F3" w:rsidRPr="00D45F6A">
        <w:t xml:space="preserve"> </w:t>
      </w:r>
      <w:r w:rsidR="00170E79" w:rsidRPr="00D45F6A">
        <w:t>S</w:t>
      </w:r>
      <w:r w:rsidR="007E209F" w:rsidRPr="00D45F6A">
        <w:t xml:space="preserve">uch psychotherapy </w:t>
      </w:r>
      <w:r w:rsidR="00C15B0B" w:rsidRPr="00D45F6A">
        <w:t xml:space="preserve">may </w:t>
      </w:r>
      <w:r w:rsidR="005103BA" w:rsidRPr="00D45F6A">
        <w:t>giv</w:t>
      </w:r>
      <w:r w:rsidR="00C15B0B" w:rsidRPr="00D45F6A">
        <w:t>e</w:t>
      </w:r>
      <w:r w:rsidR="006D37F3" w:rsidRPr="00D45F6A">
        <w:t xml:space="preserve"> </w:t>
      </w:r>
      <w:r w:rsidR="007E209F" w:rsidRPr="00D45F6A">
        <w:t>people with schizotyp</w:t>
      </w:r>
      <w:r w:rsidR="00535DE7" w:rsidRPr="00D45F6A">
        <w:t>al traits</w:t>
      </w:r>
      <w:r w:rsidR="007E209F" w:rsidRPr="00D45F6A">
        <w:t xml:space="preserve"> </w:t>
      </w:r>
      <w:r w:rsidR="006D37F3" w:rsidRPr="00D45F6A">
        <w:t>opportunities for</w:t>
      </w:r>
      <w:r w:rsidR="00A443D1" w:rsidRPr="00D45F6A">
        <w:t xml:space="preserve"> social integration </w:t>
      </w:r>
      <w:r w:rsidR="00A443D1" w:rsidRPr="00D45F6A">
        <w:lastRenderedPageBreak/>
        <w:t xml:space="preserve">and nurturance, </w:t>
      </w:r>
      <w:r w:rsidR="00142DD7" w:rsidRPr="00D45F6A">
        <w:t xml:space="preserve">which </w:t>
      </w:r>
      <w:r w:rsidR="00A443D1" w:rsidRPr="00D45F6A">
        <w:t>allow for fulfilling relational bonds (</w:t>
      </w:r>
      <w:r w:rsidR="00C237C1" w:rsidRPr="00D45F6A">
        <w:t xml:space="preserve">Cutrona, 2004; </w:t>
      </w:r>
      <w:r w:rsidR="00A443D1" w:rsidRPr="00D45F6A">
        <w:t xml:space="preserve">Weiss, 1974). </w:t>
      </w:r>
      <w:r w:rsidR="006B37F1" w:rsidRPr="00D45F6A">
        <w:t xml:space="preserve">Cognitive disorganisation, one aspect of which is </w:t>
      </w:r>
      <w:r w:rsidR="008E0628" w:rsidRPr="00D45F6A">
        <w:t>s</w:t>
      </w:r>
      <w:r w:rsidR="00EC008E" w:rsidRPr="00D45F6A">
        <w:t xml:space="preserve">ocial </w:t>
      </w:r>
      <w:r w:rsidR="006B37F1" w:rsidRPr="00D45F6A">
        <w:t>anxiet</w:t>
      </w:r>
      <w:r w:rsidR="00EC008E" w:rsidRPr="00D45F6A">
        <w:t>y</w:t>
      </w:r>
      <w:r w:rsidR="006B37F1" w:rsidRPr="00D45F6A">
        <w:t>,</w:t>
      </w:r>
      <w:r w:rsidR="00FE23C7" w:rsidRPr="00D45F6A">
        <w:t xml:space="preserve"> </w:t>
      </w:r>
      <w:r w:rsidR="00D33D26" w:rsidRPr="00D45F6A">
        <w:t>related</w:t>
      </w:r>
      <w:r w:rsidR="009B4A52" w:rsidRPr="00D45F6A">
        <w:t xml:space="preserve"> </w:t>
      </w:r>
      <w:r w:rsidR="00F46AC8" w:rsidRPr="00D45F6A">
        <w:t xml:space="preserve">more </w:t>
      </w:r>
      <w:r w:rsidR="000C6C97" w:rsidRPr="00D45F6A">
        <w:t>stron</w:t>
      </w:r>
      <w:r w:rsidR="006D37F3" w:rsidRPr="00D45F6A">
        <w:t>g</w:t>
      </w:r>
      <w:r w:rsidR="00F46AC8" w:rsidRPr="00D45F6A">
        <w:t>ly</w:t>
      </w:r>
      <w:r w:rsidR="00D33D26" w:rsidRPr="00D45F6A">
        <w:t xml:space="preserve"> </w:t>
      </w:r>
      <w:r w:rsidR="00AC379E" w:rsidRPr="00D45F6A">
        <w:t>to</w:t>
      </w:r>
      <w:r w:rsidR="00FE23C7" w:rsidRPr="00D45F6A">
        <w:t xml:space="preserve"> psychological</w:t>
      </w:r>
      <w:r w:rsidR="00342B3A" w:rsidRPr="00D45F6A">
        <w:t xml:space="preserve"> </w:t>
      </w:r>
      <w:r w:rsidR="000C6C97" w:rsidRPr="00D45F6A">
        <w:t>factors</w:t>
      </w:r>
      <w:r w:rsidR="009850F1" w:rsidRPr="00D45F6A">
        <w:t xml:space="preserve">, </w:t>
      </w:r>
      <w:r w:rsidR="004416A5" w:rsidRPr="00D45F6A">
        <w:t>such as</w:t>
      </w:r>
      <w:r w:rsidR="00FE23C7" w:rsidRPr="00D45F6A">
        <w:t xml:space="preserve"> </w:t>
      </w:r>
      <w:r w:rsidR="00757E85" w:rsidRPr="00D45F6A">
        <w:t xml:space="preserve">neuroticism and </w:t>
      </w:r>
      <w:r w:rsidR="00FE23C7" w:rsidRPr="00D45F6A">
        <w:t>psychological QOL</w:t>
      </w:r>
      <w:r w:rsidR="002E4426" w:rsidRPr="00D45F6A">
        <w:t xml:space="preserve">, </w:t>
      </w:r>
      <w:r w:rsidR="0021104E" w:rsidRPr="00D45F6A">
        <w:t xml:space="preserve">rather </w:t>
      </w:r>
      <w:r w:rsidR="006F3077" w:rsidRPr="00D45F6A">
        <w:t xml:space="preserve">than </w:t>
      </w:r>
      <w:r w:rsidR="00AC379E" w:rsidRPr="00D45F6A">
        <w:t>to</w:t>
      </w:r>
      <w:r w:rsidR="009B4A52" w:rsidRPr="00D45F6A">
        <w:t xml:space="preserve"> </w:t>
      </w:r>
      <w:r w:rsidR="006F3077" w:rsidRPr="00D45F6A">
        <w:t xml:space="preserve">social </w:t>
      </w:r>
      <w:r w:rsidR="000C6C97" w:rsidRPr="00D45F6A">
        <w:t>factors</w:t>
      </w:r>
      <w:r w:rsidR="00FE23C7" w:rsidRPr="00D45F6A">
        <w:t xml:space="preserve">. </w:t>
      </w:r>
      <w:r w:rsidR="00B44C3C" w:rsidRPr="00D45F6A">
        <w:t xml:space="preserve">Thus, </w:t>
      </w:r>
      <w:r w:rsidR="006B37F1" w:rsidRPr="00D45F6A">
        <w:t xml:space="preserve">schizotypal traits concerned with feeling socially anxious could relate to </w:t>
      </w:r>
      <w:r w:rsidR="00757E85" w:rsidRPr="00D45F6A">
        <w:t>turning</w:t>
      </w:r>
      <w:r w:rsidR="006B37F1" w:rsidRPr="00D45F6A">
        <w:t xml:space="preserve"> </w:t>
      </w:r>
      <w:r w:rsidR="00B44C3C" w:rsidRPr="00D45F6A">
        <w:t>o</w:t>
      </w:r>
      <w:r w:rsidR="00EA105F" w:rsidRPr="00D45F6A">
        <w:t>ne’s</w:t>
      </w:r>
      <w:r w:rsidR="00E35482" w:rsidRPr="00D45F6A">
        <w:t xml:space="preserve"> thoughts</w:t>
      </w:r>
      <w:r w:rsidR="005C3E2E" w:rsidRPr="00D45F6A">
        <w:t xml:space="preserve"> </w:t>
      </w:r>
      <w:r w:rsidR="00757E85" w:rsidRPr="00D45F6A">
        <w:t>to</w:t>
      </w:r>
      <w:r w:rsidR="0089139F" w:rsidRPr="00D45F6A">
        <w:t xml:space="preserve"> </w:t>
      </w:r>
      <w:r w:rsidR="006B37F1" w:rsidRPr="00D45F6A">
        <w:t xml:space="preserve">negative emotions, rather than </w:t>
      </w:r>
      <w:r w:rsidR="00757E85" w:rsidRPr="00D45F6A">
        <w:t xml:space="preserve">psychological QOL, that is </w:t>
      </w:r>
      <w:r w:rsidR="006B37F1" w:rsidRPr="00D45F6A">
        <w:t xml:space="preserve">positive </w:t>
      </w:r>
      <w:r w:rsidR="0099529E" w:rsidRPr="00D45F6A">
        <w:t xml:space="preserve">appraisal of </w:t>
      </w:r>
      <w:r w:rsidR="006B37F1" w:rsidRPr="00D45F6A">
        <w:t>one’s life, abilities</w:t>
      </w:r>
      <w:r w:rsidR="00757E85" w:rsidRPr="00D45F6A">
        <w:t>,</w:t>
      </w:r>
      <w:r w:rsidR="006B37F1" w:rsidRPr="00D45F6A">
        <w:t xml:space="preserve"> and appearance</w:t>
      </w:r>
      <w:r w:rsidR="00211BCC" w:rsidRPr="00D45F6A">
        <w:t xml:space="preserve">, </w:t>
      </w:r>
      <w:r w:rsidR="00D53752" w:rsidRPr="00D45F6A">
        <w:t xml:space="preserve">being </w:t>
      </w:r>
      <w:r w:rsidR="00521C2A" w:rsidRPr="00D45F6A">
        <w:t>curio</w:t>
      </w:r>
      <w:r w:rsidR="00D53752" w:rsidRPr="00D45F6A">
        <w:t>us</w:t>
      </w:r>
      <w:r w:rsidR="00757E85" w:rsidRPr="00D45F6A">
        <w:t>,</w:t>
      </w:r>
      <w:r w:rsidR="00521C2A" w:rsidRPr="00D45F6A">
        <w:t xml:space="preserve"> and </w:t>
      </w:r>
      <w:r w:rsidR="008D56B8" w:rsidRPr="00D45F6A">
        <w:t>taking part in pleasurable activities</w:t>
      </w:r>
      <w:r w:rsidR="00521C2A" w:rsidRPr="00D45F6A">
        <w:t xml:space="preserve"> (Kashdan, 2002;</w:t>
      </w:r>
      <w:r w:rsidR="00793253" w:rsidRPr="00D45F6A">
        <w:t xml:space="preserve"> Kashdan </w:t>
      </w:r>
      <w:r w:rsidR="00E47834" w:rsidRPr="00D45F6A">
        <w:t>and</w:t>
      </w:r>
      <w:r w:rsidR="00793253" w:rsidRPr="00D45F6A">
        <w:t xml:space="preserve"> Steger, </w:t>
      </w:r>
      <w:r w:rsidR="00C8345F" w:rsidRPr="00D45F6A">
        <w:t>2006</w:t>
      </w:r>
      <w:r w:rsidR="00793253" w:rsidRPr="00D45F6A">
        <w:t>)</w:t>
      </w:r>
      <w:r w:rsidR="00521C2A" w:rsidRPr="00D45F6A">
        <w:t>.</w:t>
      </w:r>
    </w:p>
    <w:p w14:paraId="1F831B59" w14:textId="494535A5" w:rsidR="00A21657" w:rsidRPr="00D45F6A" w:rsidRDefault="00B96826">
      <w:r w:rsidRPr="00D45F6A">
        <w:t>In both mediation models, psychological QOL explained the</w:t>
      </w:r>
      <w:r w:rsidR="00B2586C" w:rsidRPr="00D45F6A">
        <w:t xml:space="preserve"> interpersonal</w:t>
      </w:r>
      <w:r w:rsidRPr="00D45F6A">
        <w:t xml:space="preserve"> schizotypy-</w:t>
      </w:r>
      <w:r w:rsidR="00D51017" w:rsidRPr="00D45F6A">
        <w:t>RS</w:t>
      </w:r>
      <w:r w:rsidRPr="00D45F6A">
        <w:t xml:space="preserve"> association better than</w:t>
      </w:r>
      <w:r w:rsidR="004925B5" w:rsidRPr="00D45F6A">
        <w:t xml:space="preserve"> agreeableness</w:t>
      </w:r>
      <w:r w:rsidR="005E4A6E" w:rsidRPr="00D45F6A">
        <w:t xml:space="preserve"> did</w:t>
      </w:r>
      <w:r w:rsidRPr="00D45F6A">
        <w:t>.</w:t>
      </w:r>
      <w:r w:rsidR="002F6F51" w:rsidRPr="00D45F6A">
        <w:t xml:space="preserve"> </w:t>
      </w:r>
      <w:r w:rsidR="00B2586C" w:rsidRPr="00D45F6A">
        <w:t xml:space="preserve">Thus, the link between interpersonal schizotypy and RS could follow two independent routes, namely poorly psychology QOL and low agreeableness, of which </w:t>
      </w:r>
      <w:r w:rsidR="00BE29C7" w:rsidRPr="00D45F6A">
        <w:t>a</w:t>
      </w:r>
      <w:r w:rsidR="002F6F51" w:rsidRPr="00D45F6A">
        <w:t xml:space="preserve">greeableness </w:t>
      </w:r>
      <w:r w:rsidR="00B2586C" w:rsidRPr="00D45F6A">
        <w:t>has a weaker influence</w:t>
      </w:r>
      <w:r w:rsidR="00AC6BAC" w:rsidRPr="00D45F6A">
        <w:t xml:space="preserve"> </w:t>
      </w:r>
      <w:r w:rsidR="002F6F51" w:rsidRPr="00D45F6A">
        <w:t>(Cuadadro et al., 2015).</w:t>
      </w:r>
      <w:r w:rsidR="00A9683D" w:rsidRPr="00D45F6A">
        <w:t xml:space="preserve"> </w:t>
      </w:r>
      <w:r w:rsidR="00904B0F" w:rsidRPr="00D45F6A">
        <w:t>H</w:t>
      </w:r>
      <w:r w:rsidR="0065757E" w:rsidRPr="00D45F6A">
        <w:t>aving positive feelings, clarity of thought</w:t>
      </w:r>
      <w:r w:rsidR="00680103" w:rsidRPr="00D45F6A">
        <w:t>,</w:t>
      </w:r>
      <w:r w:rsidR="0065757E" w:rsidRPr="00D45F6A">
        <w:t xml:space="preserve"> and </w:t>
      </w:r>
      <w:r w:rsidR="001B5369" w:rsidRPr="00D45F6A">
        <w:t xml:space="preserve">good </w:t>
      </w:r>
      <w:r w:rsidR="0065757E" w:rsidRPr="00D45F6A">
        <w:t>self-esteem</w:t>
      </w:r>
      <w:r w:rsidR="003E5F88" w:rsidRPr="00D45F6A">
        <w:t xml:space="preserve"> </w:t>
      </w:r>
      <w:r w:rsidR="00680103" w:rsidRPr="00D45F6A">
        <w:t xml:space="preserve">could </w:t>
      </w:r>
      <w:r w:rsidR="006207AE" w:rsidRPr="00D45F6A">
        <w:t xml:space="preserve">be more important </w:t>
      </w:r>
      <w:r w:rsidR="00A22D38" w:rsidRPr="00D45F6A">
        <w:t>to</w:t>
      </w:r>
      <w:r w:rsidR="006207AE" w:rsidRPr="00D45F6A">
        <w:t xml:space="preserve"> reduc</w:t>
      </w:r>
      <w:r w:rsidR="00A22D38" w:rsidRPr="00D45F6A">
        <w:t>e</w:t>
      </w:r>
      <w:r w:rsidR="006207AE" w:rsidRPr="00D45F6A">
        <w:t xml:space="preserve"> the link between interpersonal schizotypy and RS, </w:t>
      </w:r>
      <w:r w:rsidR="001B5369" w:rsidRPr="00D45F6A">
        <w:t>than</w:t>
      </w:r>
      <w:r w:rsidR="00D465BC" w:rsidRPr="00D45F6A">
        <w:t xml:space="preserve"> being</w:t>
      </w:r>
      <w:r w:rsidR="001B5369" w:rsidRPr="00D45F6A">
        <w:t xml:space="preserve"> agreeable</w:t>
      </w:r>
      <w:r w:rsidR="0065757E" w:rsidRPr="00D45F6A">
        <w:t>.</w:t>
      </w:r>
      <w:r w:rsidR="00AB040C" w:rsidRPr="00D45F6A">
        <w:t xml:space="preserve"> </w:t>
      </w:r>
      <w:r w:rsidR="00A534A6" w:rsidRPr="00D45F6A">
        <w:t>Receiving social support could reinforce positive thoughts and</w:t>
      </w:r>
      <w:r w:rsidR="006629A6" w:rsidRPr="00D45F6A">
        <w:t xml:space="preserve"> self-esteem, and</w:t>
      </w:r>
      <w:r w:rsidR="00A534A6" w:rsidRPr="00D45F6A">
        <w:t xml:space="preserve"> so lower social anxiety and avoidance. </w:t>
      </w:r>
      <w:r w:rsidR="006207AE" w:rsidRPr="00D45F6A">
        <w:t>To a lesser extent, being prosocial could relate to a lesser likelihood of having negative communication and, in turn, relate to less RS</w:t>
      </w:r>
      <w:r w:rsidR="006207AE" w:rsidRPr="00D45F6A" w:rsidDel="007D5FEF">
        <w:t xml:space="preserve"> </w:t>
      </w:r>
      <w:r w:rsidR="006207AE" w:rsidRPr="00D45F6A">
        <w:t>among people with schizotypal traits (Wang et al., 2017).</w:t>
      </w:r>
    </w:p>
    <w:p w14:paraId="003D9EB6" w14:textId="0EA61D4B" w:rsidR="009B2E73" w:rsidRPr="00D45F6A" w:rsidRDefault="00B54A8B">
      <w:r w:rsidRPr="00D45F6A">
        <w:t>P</w:t>
      </w:r>
      <w:r w:rsidR="00EA25D1" w:rsidRPr="00D45F6A">
        <w:t xml:space="preserve">ositive schizotypy did not predict </w:t>
      </w:r>
      <w:r w:rsidR="00D51017" w:rsidRPr="00D45F6A">
        <w:t>RS</w:t>
      </w:r>
      <w:r w:rsidR="00EA25D1" w:rsidRPr="00D45F6A">
        <w:t xml:space="preserve">, which suggests that </w:t>
      </w:r>
      <w:r w:rsidR="00900796" w:rsidRPr="00D45F6A">
        <w:t>having</w:t>
      </w:r>
      <w:r w:rsidR="00C70B1F" w:rsidRPr="00D45F6A">
        <w:t xml:space="preserve"> magical ideation</w:t>
      </w:r>
      <w:r w:rsidR="008A4765" w:rsidRPr="00D45F6A">
        <w:t>,</w:t>
      </w:r>
      <w:r w:rsidR="00C70B1F" w:rsidRPr="00D45F6A">
        <w:t xml:space="preserve"> perceptual aberrations</w:t>
      </w:r>
      <w:r w:rsidR="008E79B2" w:rsidRPr="00D45F6A">
        <w:t>,</w:t>
      </w:r>
      <w:r w:rsidR="008A4765" w:rsidRPr="00D45F6A">
        <w:t xml:space="preserve"> and other such paranormal beliefs</w:t>
      </w:r>
      <w:r w:rsidR="00C70B1F" w:rsidRPr="00D45F6A">
        <w:t>,</w:t>
      </w:r>
      <w:r w:rsidR="00EA25D1" w:rsidRPr="00D45F6A">
        <w:t xml:space="preserve"> </w:t>
      </w:r>
      <w:r w:rsidR="00900796" w:rsidRPr="00D45F6A">
        <w:t xml:space="preserve">does not affect </w:t>
      </w:r>
      <w:r w:rsidR="00D51017" w:rsidRPr="00D45F6A">
        <w:t>RS</w:t>
      </w:r>
      <w:r w:rsidR="00EA25D1" w:rsidRPr="00D45F6A">
        <w:t>. These findings support previous evidence that negative</w:t>
      </w:r>
      <w:r w:rsidR="00001C6C" w:rsidRPr="00D45F6A">
        <w:t xml:space="preserve"> schizotypy</w:t>
      </w:r>
      <w:r w:rsidR="00EA25D1" w:rsidRPr="00D45F6A">
        <w:t xml:space="preserve">, </w:t>
      </w:r>
      <w:r w:rsidR="00922662" w:rsidRPr="00D45F6A">
        <w:t xml:space="preserve">but </w:t>
      </w:r>
      <w:r w:rsidR="00EA25D1" w:rsidRPr="00D45F6A">
        <w:t>not positive schizotypy</w:t>
      </w:r>
      <w:r w:rsidR="00001C6C" w:rsidRPr="00D45F6A">
        <w:t>,</w:t>
      </w:r>
      <w:r w:rsidR="00EA25D1" w:rsidRPr="00D45F6A">
        <w:t xml:space="preserve"> relates to social distance (Kwapil et al., 2012). </w:t>
      </w:r>
      <w:r w:rsidR="000D1CBE" w:rsidRPr="00D45F6A">
        <w:t xml:space="preserve">In a study of patients with first-episode psychosis, social anxiety did not relate to positive symptoms (Michail </w:t>
      </w:r>
      <w:r w:rsidR="00E47834" w:rsidRPr="00D45F6A">
        <w:t>and</w:t>
      </w:r>
      <w:r w:rsidR="000D1CBE" w:rsidRPr="00D45F6A">
        <w:t xml:space="preserve"> Birchwood, 2009). </w:t>
      </w:r>
      <w:r w:rsidR="00EA25D1" w:rsidRPr="00D45F6A">
        <w:t xml:space="preserve">However, earlier neuroimaging </w:t>
      </w:r>
      <w:r w:rsidR="00900796" w:rsidRPr="00D45F6A">
        <w:t>studies found</w:t>
      </w:r>
      <w:r w:rsidR="00EA25D1" w:rsidRPr="00D45F6A">
        <w:t xml:space="preserve"> a </w:t>
      </w:r>
      <w:r w:rsidR="00D3609C" w:rsidRPr="00D45F6A">
        <w:t>relation</w:t>
      </w:r>
      <w:r w:rsidR="00EA25D1" w:rsidRPr="00D45F6A">
        <w:t xml:space="preserve"> between positive schizotypy and </w:t>
      </w:r>
      <w:r w:rsidR="00AF211C" w:rsidRPr="00D45F6A">
        <w:t xml:space="preserve">lower </w:t>
      </w:r>
      <w:r w:rsidR="00EA25D1" w:rsidRPr="00D45F6A">
        <w:t xml:space="preserve">early attention </w:t>
      </w:r>
      <w:r w:rsidR="00AF211C" w:rsidRPr="00D45F6A">
        <w:t xml:space="preserve">to </w:t>
      </w:r>
      <w:r w:rsidR="00900796" w:rsidRPr="00D45F6A">
        <w:t xml:space="preserve">rejection scenes </w:t>
      </w:r>
      <w:r w:rsidR="00997BE7" w:rsidRPr="00D45F6A">
        <w:t>(P300 amplitude</w:t>
      </w:r>
      <w:r w:rsidR="00900796" w:rsidRPr="00D45F6A">
        <w:t>, Premkumar et al., 201</w:t>
      </w:r>
      <w:r w:rsidR="002645D2" w:rsidRPr="00D45F6A">
        <w:t>5</w:t>
      </w:r>
      <w:r w:rsidR="00EA25D1" w:rsidRPr="00D45F6A">
        <w:t>)</w:t>
      </w:r>
      <w:r w:rsidR="00B70532" w:rsidRPr="00D45F6A">
        <w:t xml:space="preserve">. </w:t>
      </w:r>
      <w:r w:rsidR="00256DB4" w:rsidRPr="00D45F6A">
        <w:lastRenderedPageBreak/>
        <w:t xml:space="preserve">Rejection scenes </w:t>
      </w:r>
      <w:r w:rsidR="00CD1C83" w:rsidRPr="00D45F6A">
        <w:t>under-</w:t>
      </w:r>
      <w:r w:rsidR="00256DB4" w:rsidRPr="00D45F6A">
        <w:t xml:space="preserve">activated the </w:t>
      </w:r>
      <w:r w:rsidR="00EA25D1" w:rsidRPr="00D45F6A">
        <w:t xml:space="preserve">dorsal anterior cingulate </w:t>
      </w:r>
      <w:r w:rsidR="00D3609C" w:rsidRPr="00D45F6A">
        <w:t xml:space="preserve">cortex </w:t>
      </w:r>
      <w:r w:rsidR="00256DB4" w:rsidRPr="00D45F6A">
        <w:t>in</w:t>
      </w:r>
      <w:r w:rsidR="00EA25D1" w:rsidRPr="00D45F6A">
        <w:t xml:space="preserve"> people with positive schizotyp</w:t>
      </w:r>
      <w:r w:rsidR="00535DE7" w:rsidRPr="00D45F6A">
        <w:t>al traits</w:t>
      </w:r>
      <w:r w:rsidR="00EA25D1" w:rsidRPr="00D45F6A">
        <w:t xml:space="preserve"> (Premkumar et al., 2012)</w:t>
      </w:r>
      <w:r w:rsidR="00F316DB" w:rsidRPr="00D45F6A">
        <w:t xml:space="preserve">. </w:t>
      </w:r>
      <w:r w:rsidR="00772EE1" w:rsidRPr="00D45F6A">
        <w:t>P</w:t>
      </w:r>
      <w:r w:rsidR="00352667" w:rsidRPr="00D45F6A">
        <w:t xml:space="preserve">ositive </w:t>
      </w:r>
      <w:r w:rsidR="0088198B" w:rsidRPr="00D45F6A">
        <w:t xml:space="preserve">schizotypy may alter </w:t>
      </w:r>
      <w:r w:rsidR="00EC01DF" w:rsidRPr="00D45F6A">
        <w:t>t</w:t>
      </w:r>
      <w:r w:rsidR="00F316DB" w:rsidRPr="00D45F6A">
        <w:t>he neural processing of rejection</w:t>
      </w:r>
      <w:r w:rsidR="0088198B" w:rsidRPr="00D45F6A">
        <w:t xml:space="preserve">, but </w:t>
      </w:r>
      <w:r w:rsidR="00CC7B84" w:rsidRPr="00D45F6A">
        <w:t xml:space="preserve">not </w:t>
      </w:r>
      <w:r w:rsidR="001B2028" w:rsidRPr="00D45F6A">
        <w:t>self-reported</w:t>
      </w:r>
      <w:r w:rsidR="00F316DB" w:rsidRPr="00D45F6A">
        <w:t xml:space="preserve"> </w:t>
      </w:r>
      <w:r w:rsidR="00D51017" w:rsidRPr="00D45F6A">
        <w:t>RS</w:t>
      </w:r>
      <w:r w:rsidR="00EA25D1" w:rsidRPr="00D45F6A">
        <w:t xml:space="preserve">. </w:t>
      </w:r>
      <w:r w:rsidR="00933315" w:rsidRPr="00D45F6A">
        <w:t>Other evidence</w:t>
      </w:r>
      <w:r w:rsidR="000D1CBE" w:rsidRPr="00D45F6A">
        <w:t xml:space="preserve"> indicates that </w:t>
      </w:r>
      <w:r w:rsidR="00BC4B14" w:rsidRPr="00D45F6A">
        <w:t xml:space="preserve">social anxiety relates to positive symptoms </w:t>
      </w:r>
      <w:r w:rsidR="000D1CBE" w:rsidRPr="00D45F6A">
        <w:t xml:space="preserve">in those at high risk of psychosis </w:t>
      </w:r>
      <w:r w:rsidR="00BC4B14" w:rsidRPr="00D45F6A">
        <w:t xml:space="preserve">(Masillo et al., 2012). </w:t>
      </w:r>
      <w:r w:rsidR="00ED43DC" w:rsidRPr="00D45F6A">
        <w:t>The proportion of people with positive schizotypal traits in the current sample was relatively low, meaning that positive schizotypy within the normal range may</w:t>
      </w:r>
      <w:r w:rsidR="00AC5ED5" w:rsidRPr="00D45F6A">
        <w:t xml:space="preserve"> not contribute much to</w:t>
      </w:r>
      <w:r w:rsidR="00554A4C" w:rsidRPr="00D45F6A">
        <w:t xml:space="preserve"> self-reported </w:t>
      </w:r>
      <w:r w:rsidR="00ED43DC" w:rsidRPr="00D45F6A">
        <w:t xml:space="preserve">RS. </w:t>
      </w:r>
      <w:r w:rsidR="007E2A1E" w:rsidRPr="00D45F6A">
        <w:t>This study</w:t>
      </w:r>
      <w:r w:rsidR="006C033C" w:rsidRPr="00D45F6A">
        <w:t>’s findings</w:t>
      </w:r>
      <w:r w:rsidR="00EA25D1" w:rsidRPr="00D45F6A">
        <w:t xml:space="preserve"> suggest that </w:t>
      </w:r>
      <w:r w:rsidR="00556561" w:rsidRPr="00D45F6A">
        <w:t xml:space="preserve">self-reported </w:t>
      </w:r>
      <w:r w:rsidR="00D51017" w:rsidRPr="00D45F6A">
        <w:t>RS</w:t>
      </w:r>
      <w:r w:rsidR="00EA25D1" w:rsidRPr="00D45F6A">
        <w:t xml:space="preserve"> is not an epiphenomenon of positive schizotypy, but </w:t>
      </w:r>
      <w:r w:rsidR="00556561" w:rsidRPr="00D45F6A">
        <w:t xml:space="preserve">is more </w:t>
      </w:r>
      <w:r w:rsidR="00D807F2" w:rsidRPr="00D45F6A">
        <w:t>affiliated</w:t>
      </w:r>
      <w:r w:rsidR="00556561" w:rsidRPr="00D45F6A">
        <w:t xml:space="preserve"> with interpersonal schizotypy</w:t>
      </w:r>
      <w:r w:rsidR="00EA25D1" w:rsidRPr="00D45F6A">
        <w:t>.</w:t>
      </w:r>
      <w:r w:rsidR="00904CF5" w:rsidRPr="00D45F6A">
        <w:t xml:space="preserve"> </w:t>
      </w:r>
    </w:p>
    <w:p w14:paraId="793269B2" w14:textId="77777777" w:rsidR="00EB1BC5" w:rsidRPr="00D45F6A" w:rsidRDefault="00EB1BC5" w:rsidP="00900796"/>
    <w:p w14:paraId="7C024258" w14:textId="1B7FEBAB" w:rsidR="00197797" w:rsidRPr="00D45F6A" w:rsidRDefault="00197797" w:rsidP="004C77D3">
      <w:pPr>
        <w:pStyle w:val="Heading2"/>
      </w:pPr>
      <w:r w:rsidRPr="00D45F6A">
        <w:t>Study limitations and future research</w:t>
      </w:r>
    </w:p>
    <w:p w14:paraId="4EA5D034" w14:textId="1D05163D" w:rsidR="00DB30E4" w:rsidRPr="00D45F6A" w:rsidRDefault="000F6177" w:rsidP="00107084">
      <w:r w:rsidRPr="000F6177">
        <w:t>A methodological limitation was the cross-sectional nature of the study design, making it difficult to draw inferences about the causal link between schizotypy and psychosocial functioning and RS. Major limitations were that the sample size was small and comprised mostly females who were predominantly from a single University. The clinical and medication status of the sample was not ascertained. Thus, the findings may not generalise to men, and other populations, such as those with a history of mental disorder. Men at the early stage of psychosis have even poorer psychosocial functioning than women (Thorup et al., 2014). A small number of participants had a high level of schizotypal traits and low QOL, which might limit the conclusions that</w:t>
      </w:r>
      <w:r w:rsidR="00D81799" w:rsidRPr="00D45F6A">
        <w:t xml:space="preserve"> </w:t>
      </w:r>
      <w:r w:rsidRPr="000F6177">
        <w:t xml:space="preserve">could be drawn about schizotypy. Regarding ascertaining the quality of the data, the study did not use an infrequency scale to detect random, pseudorandom, or dishonest responses. The regression model explained only forty-four percent of the variance in RS, because social avoidance, social anxiety, and neuroticism may be implicit in social and psychological QOL. Future studies could test the </w:t>
      </w:r>
      <w:r w:rsidRPr="000F6177">
        <w:lastRenderedPageBreak/>
        <w:t>mediation of the schizotypy- RS association by the ability to understand other people's mental states, current mood, family expressed emotion, and the amount of social support received. Further, a measure of psychopathology, or depression could determine whether these associations are part of a complex of negative affect and poor quality of life. Finally, the model could include behavioural and neurophysiological (e.g. event-related potentials) responses to an experimental manipulation of social rejection besi</w:t>
      </w:r>
      <w:r w:rsidR="00450255">
        <w:t>des self-</w:t>
      </w:r>
      <w:r>
        <w:t>report questionnaires</w:t>
      </w:r>
      <w:r w:rsidRPr="000F6177">
        <w:t>.</w:t>
      </w:r>
      <w:r w:rsidR="00045BC7" w:rsidRPr="00D45F6A">
        <w:t xml:space="preserve"> </w:t>
      </w:r>
    </w:p>
    <w:p w14:paraId="57F46770" w14:textId="77777777" w:rsidR="00A96F91" w:rsidRPr="00D45F6A" w:rsidRDefault="00A96F91" w:rsidP="00107084"/>
    <w:p w14:paraId="5EE8A2C6" w14:textId="77777777" w:rsidR="00F86232" w:rsidRPr="00D45F6A" w:rsidRDefault="00F86232" w:rsidP="004C77D3">
      <w:pPr>
        <w:pStyle w:val="Heading2"/>
      </w:pPr>
      <w:r w:rsidRPr="00D45F6A">
        <w:t>Conclusion</w:t>
      </w:r>
    </w:p>
    <w:p w14:paraId="3D00DF6C" w14:textId="6725B078" w:rsidR="00BD0A08" w:rsidRPr="00D45F6A" w:rsidRDefault="000F6177">
      <w:pPr>
        <w:rPr>
          <w:lang w:eastAsia="en-US"/>
        </w:rPr>
      </w:pPr>
      <w:r w:rsidRPr="000F6177">
        <w:t>Schizotypy relates to RS, such that the path from social anxiety (in the context of cognitive disorganisation) to RS features psychological factors, such as worrying excessively and poor clarity of thought. The path from social avoidance (negative schizotypy) to RS features social factors, such as the need for close relationships. Thus, positive self-</w:t>
      </w:r>
      <w:bookmarkStart w:id="0" w:name="_GoBack"/>
      <w:bookmarkEnd w:id="0"/>
      <w:r w:rsidRPr="000F6177">
        <w:t>appraisal and better social functioning could reduce the likelihood of RS. A unique contribution of this study was its proposed theoretical model of the route from interpersonal schizotypal traits to RS.</w:t>
      </w:r>
      <w:r w:rsidR="00BD0A08" w:rsidRPr="00D45F6A">
        <w:rPr>
          <w:lang w:eastAsia="en-US"/>
        </w:rPr>
        <w:br w:type="page"/>
      </w:r>
    </w:p>
    <w:p w14:paraId="32AF843B" w14:textId="312410FA" w:rsidR="00BD0A08" w:rsidRPr="00D45F6A" w:rsidRDefault="00BD0A08" w:rsidP="00107084">
      <w:pPr>
        <w:rPr>
          <w:lang w:eastAsia="en-US"/>
        </w:rPr>
      </w:pPr>
      <w:r w:rsidRPr="00D45F6A">
        <w:rPr>
          <w:lang w:eastAsia="en-US"/>
        </w:rPr>
        <w:lastRenderedPageBreak/>
        <w:t>Declaration of conflicting interest</w:t>
      </w:r>
    </w:p>
    <w:p w14:paraId="4FAC2288" w14:textId="404A5689" w:rsidR="00BD0A08" w:rsidRPr="00D45F6A" w:rsidRDefault="006B34AD" w:rsidP="00107084">
      <w:pPr>
        <w:rPr>
          <w:lang w:eastAsia="en-US"/>
        </w:rPr>
      </w:pPr>
      <w:r w:rsidRPr="00D45F6A">
        <w:rPr>
          <w:lang w:eastAsia="en-US"/>
        </w:rPr>
        <w:t>The authors</w:t>
      </w:r>
      <w:r w:rsidR="00BD0A08" w:rsidRPr="00D45F6A">
        <w:rPr>
          <w:lang w:eastAsia="en-US"/>
        </w:rPr>
        <w:t xml:space="preserve"> declared no potential conflicts of interest with respect to the research, authorship, and/or publication of this article.</w:t>
      </w:r>
    </w:p>
    <w:p w14:paraId="00B30F54" w14:textId="77777777" w:rsidR="00BD0A08" w:rsidRPr="00D45F6A" w:rsidRDefault="00BD0A08" w:rsidP="00107084">
      <w:pPr>
        <w:rPr>
          <w:lang w:eastAsia="en-US"/>
        </w:rPr>
      </w:pPr>
    </w:p>
    <w:p w14:paraId="19B5A1D6" w14:textId="07CCBBF9" w:rsidR="00BD0A08" w:rsidRPr="00D45F6A" w:rsidRDefault="00BD0A08" w:rsidP="00107084">
      <w:pPr>
        <w:rPr>
          <w:lang w:eastAsia="en-US"/>
        </w:rPr>
      </w:pPr>
      <w:r w:rsidRPr="00D45F6A">
        <w:rPr>
          <w:lang w:eastAsia="en-US"/>
        </w:rPr>
        <w:t>Statement of funding</w:t>
      </w:r>
    </w:p>
    <w:p w14:paraId="6DB2822E" w14:textId="417D8C19" w:rsidR="0032780E" w:rsidRPr="00D45F6A" w:rsidRDefault="005B49F7" w:rsidP="00107084">
      <w:pPr>
        <w:rPr>
          <w:lang w:eastAsia="en-US"/>
        </w:rPr>
      </w:pPr>
      <w:r w:rsidRPr="00D45F6A">
        <w:rPr>
          <w:lang w:eastAsia="en-US"/>
        </w:rPr>
        <w:t>This research did not receive any specific grant from funding agencies in the public, commercial, or not-for-profit sectors.</w:t>
      </w:r>
    </w:p>
    <w:p w14:paraId="74391F36" w14:textId="77777777" w:rsidR="00E03B85" w:rsidRPr="00D45F6A" w:rsidRDefault="00E03B85" w:rsidP="00107084">
      <w:pPr>
        <w:rPr>
          <w:lang w:eastAsia="en-US"/>
        </w:rPr>
        <w:sectPr w:rsidR="00E03B85" w:rsidRPr="00D45F6A" w:rsidSect="009A5D39">
          <w:footerReference w:type="even" r:id="rId8"/>
          <w:footerReference w:type="default" r:id="rId9"/>
          <w:pgSz w:w="11906" w:h="16838" w:code="9"/>
          <w:pgMar w:top="1440" w:right="1440" w:bottom="1440" w:left="1440" w:header="720" w:footer="720" w:gutter="0"/>
          <w:cols w:space="720"/>
          <w:titlePg/>
          <w:docGrid w:linePitch="360"/>
        </w:sectPr>
      </w:pPr>
    </w:p>
    <w:p w14:paraId="4E6F483D" w14:textId="77777777" w:rsidR="0096257F" w:rsidRPr="00D45F6A" w:rsidRDefault="0096257F" w:rsidP="004C77D3">
      <w:pPr>
        <w:pStyle w:val="Heading1"/>
        <w:numPr>
          <w:ilvl w:val="0"/>
          <w:numId w:val="0"/>
        </w:numPr>
        <w:ind w:left="432" w:hanging="432"/>
        <w:rPr>
          <w:lang w:eastAsia="en-US"/>
        </w:rPr>
      </w:pPr>
      <w:r w:rsidRPr="00D45F6A">
        <w:rPr>
          <w:lang w:eastAsia="en-US"/>
        </w:rPr>
        <w:lastRenderedPageBreak/>
        <w:t>References</w:t>
      </w:r>
    </w:p>
    <w:p w14:paraId="337D86B9" w14:textId="1A22B4A4" w:rsidR="00354E7A" w:rsidRPr="00D45F6A" w:rsidRDefault="00354E7A">
      <w:pPr>
        <w:ind w:firstLine="0"/>
        <w:rPr>
          <w:lang w:eastAsia="en-US"/>
        </w:rPr>
      </w:pPr>
      <w:r w:rsidRPr="00D45F6A">
        <w:rPr>
          <w:lang w:eastAsia="en-US"/>
        </w:rPr>
        <w:t>Abplanalp, S.J., Buck, B., Gonzenbach, V., Janela, C., Lysaker, P. H., Minor, K.S.</w:t>
      </w:r>
      <w:r w:rsidR="00A772E8" w:rsidRPr="00D45F6A">
        <w:rPr>
          <w:lang w:eastAsia="en-US"/>
        </w:rPr>
        <w:t>,</w:t>
      </w:r>
      <w:r w:rsidRPr="00D45F6A">
        <w:rPr>
          <w:lang w:eastAsia="en-US"/>
        </w:rPr>
        <w:t xml:space="preserve"> 2017. Using lexical analysis to identify emotional distress in psychometric schizotypy. Psychiatry Res. 255, 412-417.</w:t>
      </w:r>
    </w:p>
    <w:p w14:paraId="1E331C1C" w14:textId="4078C67A" w:rsidR="00814E63" w:rsidRPr="00D45F6A" w:rsidRDefault="00814E63" w:rsidP="00E47834">
      <w:pPr>
        <w:ind w:firstLine="0"/>
        <w:rPr>
          <w:lang w:eastAsia="en-US"/>
        </w:rPr>
      </w:pPr>
      <w:r w:rsidRPr="00D45F6A">
        <w:rPr>
          <w:lang w:eastAsia="en-US"/>
        </w:rPr>
        <w:t>A</w:t>
      </w:r>
      <w:r w:rsidR="00E47834" w:rsidRPr="00D45F6A">
        <w:rPr>
          <w:lang w:eastAsia="en-US"/>
        </w:rPr>
        <w:t>merican Psychiatric Association,</w:t>
      </w:r>
      <w:r w:rsidRPr="00D45F6A">
        <w:rPr>
          <w:lang w:eastAsia="en-US"/>
        </w:rPr>
        <w:t xml:space="preserve"> 2000. Diagnostic and statistical manual of mental disorders</w:t>
      </w:r>
      <w:r w:rsidR="00E47834" w:rsidRPr="00D45F6A">
        <w:rPr>
          <w:lang w:eastAsia="en-US"/>
        </w:rPr>
        <w:t xml:space="preserve">, </w:t>
      </w:r>
      <w:r w:rsidR="00E027F8" w:rsidRPr="00D45F6A">
        <w:rPr>
          <w:lang w:eastAsia="en-US"/>
        </w:rPr>
        <w:t>4</w:t>
      </w:r>
      <w:r w:rsidR="00E027F8" w:rsidRPr="00D45F6A">
        <w:rPr>
          <w:vertAlign w:val="superscript"/>
          <w:lang w:eastAsia="en-US"/>
        </w:rPr>
        <w:t>th</w:t>
      </w:r>
      <w:r w:rsidR="00E027F8" w:rsidRPr="00D45F6A">
        <w:rPr>
          <w:lang w:eastAsia="en-US"/>
        </w:rPr>
        <w:t xml:space="preserve"> </w:t>
      </w:r>
      <w:r w:rsidR="00E47834" w:rsidRPr="00D45F6A">
        <w:rPr>
          <w:lang w:eastAsia="en-US"/>
        </w:rPr>
        <w:t>ed.</w:t>
      </w:r>
      <w:r w:rsidRPr="00D45F6A">
        <w:rPr>
          <w:lang w:eastAsia="en-US"/>
        </w:rPr>
        <w:t xml:space="preserve"> American Psychiatric Association</w:t>
      </w:r>
      <w:r w:rsidR="00E47834" w:rsidRPr="00D45F6A">
        <w:rPr>
          <w:lang w:eastAsia="en-US"/>
        </w:rPr>
        <w:t>, Washington DC</w:t>
      </w:r>
      <w:r w:rsidRPr="00D45F6A">
        <w:rPr>
          <w:lang w:eastAsia="en-US"/>
        </w:rPr>
        <w:t xml:space="preserve">. </w:t>
      </w:r>
    </w:p>
    <w:p w14:paraId="0CE2097C" w14:textId="74631A6C" w:rsidR="004C52BB" w:rsidRPr="00D45F6A" w:rsidRDefault="004C52BB" w:rsidP="004E4C07">
      <w:pPr>
        <w:ind w:firstLine="0"/>
        <w:rPr>
          <w:lang w:eastAsia="en-US"/>
        </w:rPr>
      </w:pPr>
      <w:r w:rsidRPr="00D45F6A">
        <w:rPr>
          <w:lang w:eastAsia="en-US"/>
        </w:rPr>
        <w:t xml:space="preserve">Berenson, K.R., Gyurak, A., Ayduk, O., Downey, G., Garner, M.J., Mogg, K., </w:t>
      </w:r>
      <w:r w:rsidR="00BB66BB" w:rsidRPr="00D45F6A">
        <w:rPr>
          <w:lang w:eastAsia="en-US"/>
        </w:rPr>
        <w:t>et al.</w:t>
      </w:r>
      <w:r w:rsidRPr="00D45F6A">
        <w:rPr>
          <w:lang w:eastAsia="en-US"/>
        </w:rPr>
        <w:t xml:space="preserve">, 2009. Rejection sensitivity and disruption of attention by social threat cues. J. Res. Pers. 43, 1064-1072. </w:t>
      </w:r>
      <w:r w:rsidR="004E4C07" w:rsidRPr="00D45F6A">
        <w:rPr>
          <w:lang w:eastAsia="en-US"/>
        </w:rPr>
        <w:t>DOI</w:t>
      </w:r>
      <w:r w:rsidR="00E628B9" w:rsidRPr="00D45F6A">
        <w:rPr>
          <w:lang w:eastAsia="en-US"/>
        </w:rPr>
        <w:t xml:space="preserve">: </w:t>
      </w:r>
      <w:r w:rsidRPr="00D45F6A">
        <w:rPr>
          <w:lang w:eastAsia="en-US"/>
        </w:rPr>
        <w:t xml:space="preserve">10.1016/j.jrp.2009.07.007 </w:t>
      </w:r>
    </w:p>
    <w:p w14:paraId="2EE60DF5" w14:textId="0261600E" w:rsidR="00971646" w:rsidRPr="00D45F6A" w:rsidRDefault="00971646">
      <w:pPr>
        <w:ind w:firstLine="0"/>
        <w:rPr>
          <w:lang w:eastAsia="en-US"/>
        </w:rPr>
      </w:pPr>
      <w:r w:rsidRPr="00D45F6A">
        <w:rPr>
          <w:lang w:eastAsia="en-US"/>
        </w:rPr>
        <w:t xml:space="preserve">Berry, K., Wearden, A., Barrowclough, C., Oakland, L., Bradley, J. 2012. An investigation of adult attachment and the nature of relationships with voices. Br. J. Clin. Psychol. 51, 280-291. </w:t>
      </w:r>
    </w:p>
    <w:p w14:paraId="7AD34A10" w14:textId="60A4D757" w:rsidR="00C85898" w:rsidRPr="00D45F6A" w:rsidRDefault="00C85898" w:rsidP="004E4C07">
      <w:pPr>
        <w:ind w:firstLine="0"/>
        <w:rPr>
          <w:lang w:eastAsia="en-US"/>
        </w:rPr>
      </w:pPr>
      <w:r w:rsidRPr="00D45F6A">
        <w:rPr>
          <w:lang w:eastAsia="en-US"/>
        </w:rPr>
        <w:t>Bobko, P., Roth, P.L., Buster, M.A.</w:t>
      </w:r>
      <w:r w:rsidR="004C52BB" w:rsidRPr="00D45F6A">
        <w:rPr>
          <w:lang w:eastAsia="en-US"/>
        </w:rPr>
        <w:t>,</w:t>
      </w:r>
      <w:r w:rsidRPr="00D45F6A">
        <w:rPr>
          <w:lang w:eastAsia="en-US"/>
        </w:rPr>
        <w:t xml:space="preserve"> 2007. The usefulness of unit weights in creating composite scores: A literature review, application to content val</w:t>
      </w:r>
      <w:r w:rsidR="004C52BB" w:rsidRPr="00D45F6A">
        <w:rPr>
          <w:lang w:eastAsia="en-US"/>
        </w:rPr>
        <w:t>idity, and meta-analysis. Organ.</w:t>
      </w:r>
      <w:r w:rsidR="0007554E" w:rsidRPr="00D45F6A">
        <w:rPr>
          <w:lang w:eastAsia="en-US"/>
        </w:rPr>
        <w:t xml:space="preserve"> Res</w:t>
      </w:r>
      <w:r w:rsidR="004C52BB" w:rsidRPr="00D45F6A">
        <w:rPr>
          <w:lang w:eastAsia="en-US"/>
        </w:rPr>
        <w:t>.</w:t>
      </w:r>
      <w:r w:rsidR="0007554E" w:rsidRPr="00D45F6A">
        <w:rPr>
          <w:lang w:eastAsia="en-US"/>
        </w:rPr>
        <w:t xml:space="preserve"> Methods 10</w:t>
      </w:r>
      <w:r w:rsidRPr="00D45F6A">
        <w:rPr>
          <w:lang w:eastAsia="en-US"/>
        </w:rPr>
        <w:t xml:space="preserve">, 689-709. </w:t>
      </w:r>
      <w:r w:rsidR="004E4C07" w:rsidRPr="00D45F6A">
        <w:rPr>
          <w:lang w:eastAsia="en-US"/>
        </w:rPr>
        <w:t>DOI</w:t>
      </w:r>
      <w:r w:rsidR="00E628B9" w:rsidRPr="00D45F6A">
        <w:rPr>
          <w:lang w:eastAsia="en-US"/>
        </w:rPr>
        <w:t xml:space="preserve">: </w:t>
      </w:r>
      <w:r w:rsidR="004C52BB" w:rsidRPr="00D45F6A">
        <w:rPr>
          <w:lang w:eastAsia="en-US"/>
        </w:rPr>
        <w:t xml:space="preserve">10.1177/1094428106/294734 </w:t>
      </w:r>
    </w:p>
    <w:p w14:paraId="31B8858C" w14:textId="6CAEAA9C" w:rsidR="00FA2723" w:rsidRPr="00D45F6A" w:rsidRDefault="00FA2723" w:rsidP="004E4C07">
      <w:pPr>
        <w:ind w:firstLine="0"/>
      </w:pPr>
      <w:r w:rsidRPr="00D45F6A">
        <w:t>Brett, C., Gow, E., Corl</w:t>
      </w:r>
      <w:r w:rsidR="00E57D78" w:rsidRPr="00D45F6A">
        <w:t>ey, A., Pattie, J., Starr, J.,</w:t>
      </w:r>
      <w:r w:rsidRPr="00D45F6A">
        <w:t xml:space="preserve"> Deary, A.</w:t>
      </w:r>
      <w:r w:rsidR="00E57D78" w:rsidRPr="00D45F6A">
        <w:t>,</w:t>
      </w:r>
      <w:r w:rsidRPr="00D45F6A">
        <w:t xml:space="preserve"> 2012. Psychosocial factors and health as determinants of quality of life in community-dwelling older adults.</w:t>
      </w:r>
      <w:r w:rsidR="0007554E" w:rsidRPr="00D45F6A">
        <w:t xml:space="preserve"> Qual</w:t>
      </w:r>
      <w:r w:rsidR="00E57D78" w:rsidRPr="00D45F6A">
        <w:t>.</w:t>
      </w:r>
      <w:r w:rsidR="0007554E" w:rsidRPr="00D45F6A">
        <w:t xml:space="preserve"> Life Res</w:t>
      </w:r>
      <w:r w:rsidR="00E57D78" w:rsidRPr="00D45F6A">
        <w:t>.</w:t>
      </w:r>
      <w:r w:rsidR="0007554E" w:rsidRPr="00D45F6A">
        <w:t xml:space="preserve"> 21</w:t>
      </w:r>
      <w:r w:rsidRPr="00D45F6A">
        <w:t>, 505-516.</w:t>
      </w:r>
      <w:r w:rsidR="00E628B9" w:rsidRPr="00D45F6A">
        <w:t xml:space="preserve"> </w:t>
      </w:r>
      <w:r w:rsidR="004E4C07" w:rsidRPr="00D45F6A">
        <w:rPr>
          <w:lang w:eastAsia="en-US"/>
        </w:rPr>
        <w:t>DOI</w:t>
      </w:r>
      <w:r w:rsidR="00E628B9" w:rsidRPr="00D45F6A">
        <w:t>: 10.1007/s11136-011-9951-2</w:t>
      </w:r>
    </w:p>
    <w:p w14:paraId="4CBCC94E" w14:textId="03D4255A" w:rsidR="00814E63" w:rsidRPr="00D45F6A" w:rsidRDefault="00814E63" w:rsidP="004E4C07">
      <w:pPr>
        <w:ind w:firstLine="0"/>
        <w:rPr>
          <w:lang w:eastAsia="en-US"/>
        </w:rPr>
      </w:pPr>
      <w:r w:rsidRPr="00D45F6A">
        <w:rPr>
          <w:lang w:eastAsia="en-US"/>
        </w:rPr>
        <w:t xml:space="preserve">Buckley, </w:t>
      </w:r>
      <w:r w:rsidR="00E628B9" w:rsidRPr="00D45F6A">
        <w:rPr>
          <w:lang w:eastAsia="en-US"/>
        </w:rPr>
        <w:t xml:space="preserve">K.E., </w:t>
      </w:r>
      <w:r w:rsidRPr="00D45F6A">
        <w:rPr>
          <w:lang w:eastAsia="en-US"/>
        </w:rPr>
        <w:t xml:space="preserve">Winkel, </w:t>
      </w:r>
      <w:r w:rsidR="00E628B9" w:rsidRPr="00D45F6A">
        <w:rPr>
          <w:lang w:eastAsia="en-US"/>
        </w:rPr>
        <w:t>R.E.,</w:t>
      </w:r>
      <w:r w:rsidRPr="00D45F6A">
        <w:rPr>
          <w:lang w:eastAsia="en-US"/>
        </w:rPr>
        <w:t xml:space="preserve"> Leary</w:t>
      </w:r>
      <w:r w:rsidR="00E628B9" w:rsidRPr="00D45F6A">
        <w:rPr>
          <w:lang w:eastAsia="en-US"/>
        </w:rPr>
        <w:t>, M.R</w:t>
      </w:r>
      <w:r w:rsidRPr="00D45F6A">
        <w:rPr>
          <w:lang w:eastAsia="en-US"/>
        </w:rPr>
        <w:t>.</w:t>
      </w:r>
      <w:r w:rsidR="00E628B9" w:rsidRPr="00D45F6A">
        <w:rPr>
          <w:lang w:eastAsia="en-US"/>
        </w:rPr>
        <w:t>,</w:t>
      </w:r>
      <w:r w:rsidRPr="00D45F6A">
        <w:rPr>
          <w:lang w:eastAsia="en-US"/>
        </w:rPr>
        <w:t xml:space="preserve"> 2004. Reactions to acceptance and rejection: Effects of level and sequence of relational evaluation. J</w:t>
      </w:r>
      <w:r w:rsidR="00E628B9" w:rsidRPr="00D45F6A">
        <w:rPr>
          <w:lang w:eastAsia="en-US"/>
        </w:rPr>
        <w:t>.</w:t>
      </w:r>
      <w:r w:rsidRPr="00D45F6A">
        <w:rPr>
          <w:lang w:eastAsia="en-US"/>
        </w:rPr>
        <w:t xml:space="preserve"> Exp</w:t>
      </w:r>
      <w:r w:rsidR="00E628B9" w:rsidRPr="00D45F6A">
        <w:rPr>
          <w:lang w:eastAsia="en-US"/>
        </w:rPr>
        <w:t>.</w:t>
      </w:r>
      <w:r w:rsidRPr="00D45F6A">
        <w:rPr>
          <w:lang w:eastAsia="en-US"/>
        </w:rPr>
        <w:t xml:space="preserve"> Soc</w:t>
      </w:r>
      <w:r w:rsidR="00E628B9" w:rsidRPr="00D45F6A">
        <w:rPr>
          <w:lang w:eastAsia="en-US"/>
        </w:rPr>
        <w:t>.</w:t>
      </w:r>
      <w:r w:rsidRPr="00D45F6A">
        <w:rPr>
          <w:lang w:eastAsia="en-US"/>
        </w:rPr>
        <w:t xml:space="preserve"> Psychol</w:t>
      </w:r>
      <w:r w:rsidR="00E628B9" w:rsidRPr="00D45F6A">
        <w:rPr>
          <w:lang w:eastAsia="en-US"/>
        </w:rPr>
        <w:t>.</w:t>
      </w:r>
      <w:r w:rsidRPr="00D45F6A">
        <w:rPr>
          <w:lang w:eastAsia="en-US"/>
        </w:rPr>
        <w:t> 40, 14-28.</w:t>
      </w:r>
      <w:r w:rsidR="00E628B9" w:rsidRPr="00D45F6A">
        <w:rPr>
          <w:lang w:eastAsia="en-US"/>
        </w:rPr>
        <w:t xml:space="preserve"> </w:t>
      </w:r>
      <w:r w:rsidR="004E4C07" w:rsidRPr="00D45F6A">
        <w:rPr>
          <w:lang w:eastAsia="en-US"/>
        </w:rPr>
        <w:t>DOI</w:t>
      </w:r>
      <w:r w:rsidR="00E628B9" w:rsidRPr="00D45F6A">
        <w:rPr>
          <w:lang w:eastAsia="en-US"/>
        </w:rPr>
        <w:t>:</w:t>
      </w:r>
      <w:r w:rsidR="00E628B9" w:rsidRPr="00D45F6A">
        <w:t xml:space="preserve"> </w:t>
      </w:r>
      <w:r w:rsidR="00E628B9" w:rsidRPr="00D45F6A">
        <w:rPr>
          <w:lang w:eastAsia="en-US"/>
        </w:rPr>
        <w:t>10.1016/S0022-1031(03)00064-7</w:t>
      </w:r>
    </w:p>
    <w:p w14:paraId="01839ED7" w14:textId="7CA9AFDB" w:rsidR="00814E63" w:rsidRPr="00D45F6A" w:rsidRDefault="00814E63" w:rsidP="00E628B9">
      <w:pPr>
        <w:ind w:firstLine="0"/>
        <w:rPr>
          <w:lang w:eastAsia="en-US"/>
        </w:rPr>
      </w:pPr>
      <w:r w:rsidRPr="00D45F6A">
        <w:rPr>
          <w:lang w:eastAsia="en-US"/>
        </w:rPr>
        <w:lastRenderedPageBreak/>
        <w:t>Burns, T., Patrick, D.</w:t>
      </w:r>
      <w:r w:rsidR="00E628B9" w:rsidRPr="00D45F6A">
        <w:rPr>
          <w:lang w:eastAsia="en-US"/>
        </w:rPr>
        <w:t>,</w:t>
      </w:r>
      <w:r w:rsidRPr="00D45F6A">
        <w:rPr>
          <w:lang w:eastAsia="en-US"/>
        </w:rPr>
        <w:t xml:space="preserve"> 2007. Social functioning as an outcome measure in schizophrenia studies. </w:t>
      </w:r>
      <w:r w:rsidR="00E628B9" w:rsidRPr="00D45F6A">
        <w:rPr>
          <w:lang w:val="fr-FR" w:eastAsia="en-US"/>
        </w:rPr>
        <w:t>Acta. Psychiatr. Scand.</w:t>
      </w:r>
      <w:r w:rsidRPr="00D45F6A">
        <w:rPr>
          <w:lang w:val="fr-FR" w:eastAsia="en-US"/>
        </w:rPr>
        <w:t> 116, 403-</w:t>
      </w:r>
      <w:r w:rsidR="00E628B9" w:rsidRPr="00D45F6A">
        <w:rPr>
          <w:lang w:val="fr-FR" w:eastAsia="en-US"/>
        </w:rPr>
        <w:t>4</w:t>
      </w:r>
      <w:r w:rsidRPr="00D45F6A">
        <w:rPr>
          <w:lang w:val="fr-FR" w:eastAsia="en-US"/>
        </w:rPr>
        <w:t>18.</w:t>
      </w:r>
      <w:r w:rsidR="00753B8C" w:rsidRPr="00D45F6A">
        <w:rPr>
          <w:lang w:val="fr-FR" w:eastAsia="en-US"/>
        </w:rPr>
        <w:t xml:space="preserve"> </w:t>
      </w:r>
      <w:r w:rsidR="00753B8C" w:rsidRPr="00D45F6A">
        <w:rPr>
          <w:lang w:eastAsia="en-US"/>
        </w:rPr>
        <w:t>DOI: 10.1111/j.1600-0447.2007.01108.x</w:t>
      </w:r>
    </w:p>
    <w:p w14:paraId="317147FE" w14:textId="391EE8F2" w:rsidR="00814E63" w:rsidRPr="00D45F6A" w:rsidRDefault="00814E63" w:rsidP="00753B8C">
      <w:pPr>
        <w:ind w:firstLine="0"/>
      </w:pPr>
      <w:r w:rsidRPr="00D45F6A">
        <w:t>Cohen, A.S., Davis, T.E.</w:t>
      </w:r>
      <w:r w:rsidR="00753B8C" w:rsidRPr="00D45F6A">
        <w:t>, 2</w:t>
      </w:r>
      <w:r w:rsidRPr="00D45F6A">
        <w:t xml:space="preserve">009. Quality of life across the schizotypy spectrum: Findings from a large nonclinical adult sample. </w:t>
      </w:r>
      <w:r w:rsidR="00753B8C" w:rsidRPr="00D45F6A">
        <w:rPr>
          <w:iCs/>
        </w:rPr>
        <w:t>Compr. Psychiatry</w:t>
      </w:r>
      <w:r w:rsidR="0077024A" w:rsidRPr="00D45F6A">
        <w:t>.</w:t>
      </w:r>
      <w:r w:rsidR="0007554E" w:rsidRPr="00D45F6A">
        <w:t xml:space="preserve"> 50</w:t>
      </w:r>
      <w:r w:rsidRPr="00D45F6A">
        <w:t>, 408-414.</w:t>
      </w:r>
      <w:r w:rsidR="00753B8C" w:rsidRPr="00D45F6A">
        <w:t xml:space="preserve"> DOI: 10.1016/j.comppsych.2008.11.002</w:t>
      </w:r>
    </w:p>
    <w:p w14:paraId="61E3A35B" w14:textId="71DB4FDF" w:rsidR="00814E63" w:rsidRPr="00D45F6A" w:rsidRDefault="00814E63" w:rsidP="006F4C45">
      <w:pPr>
        <w:ind w:firstLine="0"/>
      </w:pPr>
      <w:r w:rsidRPr="00D45F6A">
        <w:t>Cohen, A.S., Auster, T., Macaulay, R.K., Mcgovern, J.E.</w:t>
      </w:r>
      <w:r w:rsidR="006F4C45" w:rsidRPr="00D45F6A">
        <w:t>,</w:t>
      </w:r>
      <w:r w:rsidRPr="00D45F6A">
        <w:t xml:space="preserve"> 2014. The paradox of schizotypy: Resemblance to prolonged severe mental illness in subjective but not objective quality of life. </w:t>
      </w:r>
      <w:r w:rsidRPr="00D45F6A">
        <w:rPr>
          <w:iCs/>
        </w:rPr>
        <w:t>Psychiatry Res</w:t>
      </w:r>
      <w:r w:rsidR="0077024A" w:rsidRPr="00D45F6A">
        <w:t>.</w:t>
      </w:r>
      <w:r w:rsidRPr="00D45F6A">
        <w:t xml:space="preserve"> </w:t>
      </w:r>
      <w:r w:rsidR="0007554E" w:rsidRPr="00D45F6A">
        <w:t>217</w:t>
      </w:r>
      <w:r w:rsidRPr="00D45F6A">
        <w:t>, 185 -190.</w:t>
      </w:r>
      <w:r w:rsidR="006F4C45" w:rsidRPr="00D45F6A">
        <w:t xml:space="preserve"> DOI: 10.1016/j.psychres.2014.03.016</w:t>
      </w:r>
    </w:p>
    <w:p w14:paraId="74FEB55B" w14:textId="0594148D" w:rsidR="00814E63" w:rsidRPr="00D45F6A" w:rsidRDefault="00814E63" w:rsidP="006F4C45">
      <w:pPr>
        <w:ind w:firstLine="0"/>
      </w:pPr>
      <w:r w:rsidRPr="00D45F6A">
        <w:rPr>
          <w:shd w:val="clear" w:color="auto" w:fill="FFFFFF"/>
        </w:rPr>
        <w:t>Collip, D., Oorschot, M., Thewissen, V., Van Os, J., Bentall, R., Myin-Germeys, I.</w:t>
      </w:r>
      <w:r w:rsidR="006F4C45" w:rsidRPr="00D45F6A">
        <w:rPr>
          <w:shd w:val="clear" w:color="auto" w:fill="FFFFFF"/>
        </w:rPr>
        <w:t>,</w:t>
      </w:r>
      <w:r w:rsidRPr="00D45F6A">
        <w:rPr>
          <w:shd w:val="clear" w:color="auto" w:fill="FFFFFF"/>
        </w:rPr>
        <w:t xml:space="preserve"> 2011. Social world interactions: How company connects to paranoia. </w:t>
      </w:r>
      <w:r w:rsidRPr="00D45F6A">
        <w:rPr>
          <w:bdr w:val="none" w:sz="0" w:space="0" w:color="auto" w:frame="1"/>
          <w:shd w:val="clear" w:color="auto" w:fill="FFFFFF"/>
        </w:rPr>
        <w:t>Psychol</w:t>
      </w:r>
      <w:r w:rsidR="006F4C45" w:rsidRPr="00D45F6A">
        <w:rPr>
          <w:bdr w:val="none" w:sz="0" w:space="0" w:color="auto" w:frame="1"/>
          <w:shd w:val="clear" w:color="auto" w:fill="FFFFFF"/>
        </w:rPr>
        <w:t>.</w:t>
      </w:r>
      <w:r w:rsidRPr="00D45F6A">
        <w:rPr>
          <w:bdr w:val="none" w:sz="0" w:space="0" w:color="auto" w:frame="1"/>
          <w:shd w:val="clear" w:color="auto" w:fill="FFFFFF"/>
        </w:rPr>
        <w:t xml:space="preserve"> Med</w:t>
      </w:r>
      <w:r w:rsidR="006F4C45" w:rsidRPr="00D45F6A">
        <w:rPr>
          <w:bdr w:val="none" w:sz="0" w:space="0" w:color="auto" w:frame="1"/>
          <w:shd w:val="clear" w:color="auto" w:fill="FFFFFF"/>
        </w:rPr>
        <w:t>.</w:t>
      </w:r>
      <w:r w:rsidRPr="00D45F6A">
        <w:rPr>
          <w:shd w:val="clear" w:color="auto" w:fill="FFFFFF"/>
        </w:rPr>
        <w:t> </w:t>
      </w:r>
      <w:r w:rsidRPr="00D45F6A">
        <w:rPr>
          <w:bdr w:val="none" w:sz="0" w:space="0" w:color="auto" w:frame="1"/>
          <w:shd w:val="clear" w:color="auto" w:fill="FFFFFF"/>
        </w:rPr>
        <w:t>41</w:t>
      </w:r>
      <w:r w:rsidRPr="00D45F6A">
        <w:rPr>
          <w:shd w:val="clear" w:color="auto" w:fill="FFFFFF"/>
        </w:rPr>
        <w:t>, 911-921.</w:t>
      </w:r>
      <w:r w:rsidR="006F4C45" w:rsidRPr="00D45F6A">
        <w:rPr>
          <w:shd w:val="clear" w:color="auto" w:fill="FFFFFF"/>
        </w:rPr>
        <w:t xml:space="preserve"> DOI: 10.1017/S0033291710001558</w:t>
      </w:r>
    </w:p>
    <w:p w14:paraId="1404A4EF" w14:textId="1E0244E8" w:rsidR="00593DF5" w:rsidRPr="00D45F6A" w:rsidRDefault="00312EAE">
      <w:pPr>
        <w:ind w:firstLine="0"/>
      </w:pPr>
      <w:r w:rsidRPr="00D45F6A">
        <w:t>Costa, P</w:t>
      </w:r>
      <w:r w:rsidR="008C5C9E" w:rsidRPr="00D45F6A">
        <w:t>.</w:t>
      </w:r>
      <w:r w:rsidRPr="00D45F6A">
        <w:t xml:space="preserve">T. McCrae, R., </w:t>
      </w:r>
      <w:r w:rsidR="00593DF5" w:rsidRPr="00D45F6A">
        <w:t>1992</w:t>
      </w:r>
      <w:r w:rsidRPr="00D45F6A">
        <w:t>.</w:t>
      </w:r>
      <w:r w:rsidR="00593DF5" w:rsidRPr="00D45F6A">
        <w:t xml:space="preserve"> Revised NEO Personality Inventory (NEO-PI-R) and NEO Five Factor Model (NEO-FFI) Professional manual. Odesa, FL; Psychological Asses</w:t>
      </w:r>
      <w:r w:rsidR="008C5C9E" w:rsidRPr="00D45F6A">
        <w:t>s</w:t>
      </w:r>
      <w:r w:rsidR="00593DF5" w:rsidRPr="00D45F6A">
        <w:t>ment Center.</w:t>
      </w:r>
    </w:p>
    <w:p w14:paraId="6A805DBD" w14:textId="122D0C89" w:rsidR="00FB675F" w:rsidRPr="00D45F6A" w:rsidRDefault="00FB675F" w:rsidP="006F4C45">
      <w:pPr>
        <w:ind w:firstLine="0"/>
      </w:pPr>
      <w:r w:rsidRPr="00D45F6A">
        <w:t>Cuadrado, E., Tabernero, C., Steinel, W.</w:t>
      </w:r>
      <w:r w:rsidR="0077024A" w:rsidRPr="00D45F6A">
        <w:t>,</w:t>
      </w:r>
      <w:r w:rsidRPr="00D45F6A">
        <w:t xml:space="preserve"> 2015. </w:t>
      </w:r>
      <w:r w:rsidR="00B24542" w:rsidRPr="00D45F6A">
        <w:t>Determinants of prosocial behavior in included versus excluded contexts. </w:t>
      </w:r>
      <w:r w:rsidRPr="00D45F6A">
        <w:t>Front</w:t>
      </w:r>
      <w:r w:rsidR="006F4C45" w:rsidRPr="00D45F6A">
        <w:t>.</w:t>
      </w:r>
      <w:r w:rsidRPr="00D45F6A">
        <w:t xml:space="preserve"> Psychol</w:t>
      </w:r>
      <w:r w:rsidR="006F4C45" w:rsidRPr="00D45F6A">
        <w:t>.</w:t>
      </w:r>
      <w:r w:rsidRPr="00D45F6A">
        <w:t> 6, 2001.</w:t>
      </w:r>
      <w:r w:rsidR="006F4C45" w:rsidRPr="00D45F6A">
        <w:t xml:space="preserve"> DOI: 10.3389/fpsyg.2015.02001</w:t>
      </w:r>
    </w:p>
    <w:p w14:paraId="5C94E0D6" w14:textId="61C5EACE" w:rsidR="009416B8" w:rsidRPr="00D45F6A" w:rsidRDefault="009416B8" w:rsidP="006F4C45">
      <w:pPr>
        <w:ind w:firstLine="0"/>
      </w:pPr>
      <w:r w:rsidRPr="00D45F6A">
        <w:t>Cutrona, C.</w:t>
      </w:r>
      <w:r w:rsidR="006F4C45" w:rsidRPr="00D45F6A">
        <w:t>,</w:t>
      </w:r>
      <w:r w:rsidRPr="00D45F6A">
        <w:t xml:space="preserve"> 2004. </w:t>
      </w:r>
      <w:r w:rsidR="00B24542" w:rsidRPr="00D45F6A">
        <w:t xml:space="preserve">A psychological perspective: marriage and the social provisions of relationships. </w:t>
      </w:r>
      <w:r w:rsidRPr="00D45F6A">
        <w:rPr>
          <w:iCs/>
        </w:rPr>
        <w:t>J</w:t>
      </w:r>
      <w:r w:rsidR="006F4C45" w:rsidRPr="00D45F6A">
        <w:rPr>
          <w:iCs/>
        </w:rPr>
        <w:t>.</w:t>
      </w:r>
      <w:r w:rsidRPr="00D45F6A">
        <w:rPr>
          <w:iCs/>
        </w:rPr>
        <w:t xml:space="preserve"> Marriage Fam</w:t>
      </w:r>
      <w:r w:rsidR="006F4C45" w:rsidRPr="00D45F6A">
        <w:rPr>
          <w:iCs/>
        </w:rPr>
        <w:t>.</w:t>
      </w:r>
      <w:r w:rsidR="0007554E" w:rsidRPr="00D45F6A">
        <w:t xml:space="preserve"> 66</w:t>
      </w:r>
      <w:r w:rsidRPr="00D45F6A">
        <w:t xml:space="preserve">, 992-999. </w:t>
      </w:r>
      <w:r w:rsidR="00CF429D" w:rsidRPr="00D45F6A">
        <w:t>DOI: 10.1111/j.0022-2445.2004.00070.x</w:t>
      </w:r>
    </w:p>
    <w:p w14:paraId="59991B43" w14:textId="00CDCA7D" w:rsidR="00814E63" w:rsidRPr="00D45F6A" w:rsidRDefault="00814E63" w:rsidP="00CF429D">
      <w:pPr>
        <w:ind w:firstLine="0"/>
      </w:pPr>
      <w:r w:rsidRPr="00D45F6A">
        <w:t>Downey, G., Feldman, S.</w:t>
      </w:r>
      <w:r w:rsidR="00CF429D" w:rsidRPr="00D45F6A">
        <w:t>,</w:t>
      </w:r>
      <w:r w:rsidRPr="00D45F6A">
        <w:t xml:space="preserve"> 1996. Implications of rejection sensitivity for intimate relationships. </w:t>
      </w:r>
      <w:r w:rsidRPr="00D45F6A">
        <w:rPr>
          <w:iCs/>
        </w:rPr>
        <w:t>J</w:t>
      </w:r>
      <w:r w:rsidR="00E019FD" w:rsidRPr="00D45F6A">
        <w:rPr>
          <w:iCs/>
        </w:rPr>
        <w:t>.</w:t>
      </w:r>
      <w:r w:rsidRPr="00D45F6A">
        <w:rPr>
          <w:iCs/>
        </w:rPr>
        <w:t xml:space="preserve"> Pers</w:t>
      </w:r>
      <w:r w:rsidR="00CF429D" w:rsidRPr="00D45F6A">
        <w:rPr>
          <w:iCs/>
        </w:rPr>
        <w:t>.</w:t>
      </w:r>
      <w:r w:rsidRPr="00D45F6A">
        <w:rPr>
          <w:iCs/>
        </w:rPr>
        <w:t xml:space="preserve"> Soc</w:t>
      </w:r>
      <w:r w:rsidR="00CF429D" w:rsidRPr="00D45F6A">
        <w:rPr>
          <w:iCs/>
        </w:rPr>
        <w:t>.</w:t>
      </w:r>
      <w:r w:rsidRPr="00D45F6A">
        <w:rPr>
          <w:iCs/>
        </w:rPr>
        <w:t xml:space="preserve"> Psychol</w:t>
      </w:r>
      <w:r w:rsidR="00CF429D" w:rsidRPr="00D45F6A">
        <w:rPr>
          <w:iCs/>
        </w:rPr>
        <w:t>.</w:t>
      </w:r>
      <w:r w:rsidRPr="00D45F6A">
        <w:t xml:space="preserve"> 70, 545–560. </w:t>
      </w:r>
      <w:r w:rsidR="00CF429D" w:rsidRPr="00D45F6A">
        <w:t>DOI: 10.1037/0022-3514.70.6.1327</w:t>
      </w:r>
    </w:p>
    <w:p w14:paraId="4DC1808E" w14:textId="592F8B0A" w:rsidR="008E0914" w:rsidRPr="00D45F6A" w:rsidRDefault="008E0914" w:rsidP="00E019FD">
      <w:pPr>
        <w:ind w:firstLine="0"/>
        <w:rPr>
          <w:lang w:val="de-DE" w:eastAsia="en-US"/>
        </w:rPr>
      </w:pPr>
      <w:r w:rsidRPr="00D45F6A">
        <w:rPr>
          <w:lang w:eastAsia="en-US"/>
        </w:rPr>
        <w:t>Ettinger, U., Meyhöfer, I., Steffens, M., Wagner, M., Koutsouleris, N.</w:t>
      </w:r>
      <w:r w:rsidR="00F5795A" w:rsidRPr="00D45F6A">
        <w:rPr>
          <w:lang w:eastAsia="en-US"/>
        </w:rPr>
        <w:t xml:space="preserve">, </w:t>
      </w:r>
      <w:r w:rsidRPr="00D45F6A">
        <w:rPr>
          <w:lang w:eastAsia="en-US"/>
        </w:rPr>
        <w:t xml:space="preserve">2014. Genetics, cognition, and neurobiology of schizotypal personality: a review of the overlap with schizophrenia. </w:t>
      </w:r>
      <w:r w:rsidRPr="00D45F6A">
        <w:rPr>
          <w:lang w:val="de-DE" w:eastAsia="en-US"/>
        </w:rPr>
        <w:t>Front</w:t>
      </w:r>
      <w:r w:rsidR="00F5795A" w:rsidRPr="00D45F6A">
        <w:rPr>
          <w:lang w:val="de-DE" w:eastAsia="en-US"/>
        </w:rPr>
        <w:t>.</w:t>
      </w:r>
      <w:r w:rsidRPr="00D45F6A">
        <w:rPr>
          <w:lang w:val="de-DE" w:eastAsia="en-US"/>
        </w:rPr>
        <w:t xml:space="preserve"> Psychiatry 5, 18.</w:t>
      </w:r>
    </w:p>
    <w:p w14:paraId="3BD6A267" w14:textId="4BAF0D01" w:rsidR="00BD6DFA" w:rsidRPr="00D45F6A" w:rsidRDefault="00BD6DFA" w:rsidP="00E019FD">
      <w:pPr>
        <w:ind w:firstLine="0"/>
        <w:rPr>
          <w:lang w:val="es-ES_tradnl" w:eastAsia="en-US"/>
        </w:rPr>
      </w:pPr>
      <w:r w:rsidRPr="00D45F6A">
        <w:rPr>
          <w:lang w:val="de-DE" w:eastAsia="en-US"/>
        </w:rPr>
        <w:lastRenderedPageBreak/>
        <w:t>Flückiger, R., Ruhrmann, S., Debbané, M., Michel, C., Hubl, D., Schimmelmann, B.</w:t>
      </w:r>
      <w:r w:rsidR="00F46C38" w:rsidRPr="00D45F6A">
        <w:rPr>
          <w:lang w:val="de-DE" w:eastAsia="en-US"/>
        </w:rPr>
        <w:t xml:space="preserve"> et al</w:t>
      </w:r>
      <w:r w:rsidRPr="00D45F6A">
        <w:rPr>
          <w:lang w:val="de-DE" w:eastAsia="en-US"/>
        </w:rPr>
        <w:t xml:space="preserve">., 2016. </w:t>
      </w:r>
      <w:r w:rsidRPr="00D45F6A">
        <w:rPr>
          <w:lang w:eastAsia="en-US"/>
        </w:rPr>
        <w:t xml:space="preserve">Psychosis-predictive value of self-reported schizotypy in a clinical high-risk sample. </w:t>
      </w:r>
      <w:r w:rsidRPr="00D45F6A">
        <w:rPr>
          <w:lang w:val="es-ES_tradnl" w:eastAsia="en-US"/>
        </w:rPr>
        <w:t>J. Abnorm</w:t>
      </w:r>
      <w:r w:rsidR="00F46C38" w:rsidRPr="00D45F6A">
        <w:rPr>
          <w:lang w:val="es-ES_tradnl" w:eastAsia="en-US"/>
        </w:rPr>
        <w:t>.</w:t>
      </w:r>
      <w:r w:rsidRPr="00D45F6A">
        <w:rPr>
          <w:lang w:val="es-ES_tradnl" w:eastAsia="en-US"/>
        </w:rPr>
        <w:t xml:space="preserve"> Psychol</w:t>
      </w:r>
      <w:r w:rsidR="00F46C38" w:rsidRPr="00D45F6A">
        <w:rPr>
          <w:lang w:val="es-ES_tradnl" w:eastAsia="en-US"/>
        </w:rPr>
        <w:t>.</w:t>
      </w:r>
      <w:r w:rsidRPr="00D45F6A">
        <w:rPr>
          <w:lang w:val="es-ES_tradnl" w:eastAsia="en-US"/>
        </w:rPr>
        <w:t xml:space="preserve"> 125, 923-932.</w:t>
      </w:r>
    </w:p>
    <w:p w14:paraId="25668A52" w14:textId="5CF9A6DD" w:rsidR="00123C6E" w:rsidRPr="00D45F6A" w:rsidRDefault="00123C6E" w:rsidP="00E019FD">
      <w:pPr>
        <w:ind w:firstLine="0"/>
        <w:rPr>
          <w:lang w:eastAsia="en-US"/>
        </w:rPr>
      </w:pPr>
      <w:r w:rsidRPr="00D45F6A">
        <w:rPr>
          <w:lang w:val="es-ES_tradnl" w:eastAsia="en-US"/>
        </w:rPr>
        <w:t xml:space="preserve">Fonseca-Pedrero, E., Ortuño-Sierra, J., De Álbeniz, Muñiz, A.P., Cohen. </w:t>
      </w:r>
      <w:r w:rsidRPr="00D45F6A">
        <w:rPr>
          <w:lang w:eastAsia="en-US"/>
        </w:rPr>
        <w:t>A.</w:t>
      </w:r>
      <w:r w:rsidR="008B2A48" w:rsidRPr="00D45F6A">
        <w:rPr>
          <w:lang w:eastAsia="en-US"/>
        </w:rPr>
        <w:t>,</w:t>
      </w:r>
      <w:r w:rsidRPr="00D45F6A">
        <w:rPr>
          <w:lang w:eastAsia="en-US"/>
        </w:rPr>
        <w:t xml:space="preserve"> 2017. A latent profile analysis of schizotypal dimensions: Associations with psychopathology and personality. Psychiatry Res. 253, 110-115.</w:t>
      </w:r>
    </w:p>
    <w:p w14:paraId="0F92D71E" w14:textId="69D52734" w:rsidR="007969A0" w:rsidRPr="00D45F6A" w:rsidRDefault="007969A0" w:rsidP="00E019FD">
      <w:pPr>
        <w:ind w:firstLine="0"/>
        <w:rPr>
          <w:lang w:eastAsia="en-US"/>
        </w:rPr>
      </w:pPr>
      <w:r w:rsidRPr="00D45F6A">
        <w:rPr>
          <w:lang w:eastAsia="en-US"/>
        </w:rPr>
        <w:t xml:space="preserve">Fonseca-Pedrero, E., Debbané, F., Ortuño-Sierra, J., Chan, R.C.K., Cicero, D.C., Zhang, </w:t>
      </w:r>
      <w:r w:rsidR="001C09FF" w:rsidRPr="00D45F6A">
        <w:rPr>
          <w:lang w:eastAsia="en-US"/>
        </w:rPr>
        <w:t xml:space="preserve">L.C. </w:t>
      </w:r>
      <w:r w:rsidRPr="00D45F6A">
        <w:rPr>
          <w:lang w:eastAsia="en-US"/>
        </w:rPr>
        <w:t>et al., 2018. The structure of schizotypal personality traits: A cross-national study. Psychol. Med. 48, 451-462.</w:t>
      </w:r>
    </w:p>
    <w:p w14:paraId="03DEEB27" w14:textId="5E0301BF" w:rsidR="00BC6CFB" w:rsidRPr="00D45F6A" w:rsidRDefault="00BC6CFB" w:rsidP="00E019FD">
      <w:pPr>
        <w:ind w:firstLine="0"/>
        <w:rPr>
          <w:lang w:eastAsia="en-US"/>
        </w:rPr>
      </w:pPr>
      <w:r w:rsidRPr="00D45F6A">
        <w:rPr>
          <w:lang w:eastAsia="en-US"/>
        </w:rPr>
        <w:t xml:space="preserve">Galliher, R.V., Bentley, C.G., 2010. Links between Rejection Sensitivity and Adolescent Romantic Relationship Functioning: The Mediating Role of Problem-Solving Behaviors. </w:t>
      </w:r>
      <w:r w:rsidR="00460BA7" w:rsidRPr="00D45F6A">
        <w:rPr>
          <w:lang w:eastAsia="en-US"/>
        </w:rPr>
        <w:t>J. Aggress. Maltreat. Trauma</w:t>
      </w:r>
      <w:r w:rsidRPr="00D45F6A">
        <w:rPr>
          <w:lang w:eastAsia="en-US"/>
        </w:rPr>
        <w:t>,</w:t>
      </w:r>
      <w:r w:rsidR="00460BA7" w:rsidRPr="00D45F6A">
        <w:rPr>
          <w:lang w:eastAsia="en-US"/>
        </w:rPr>
        <w:t xml:space="preserve"> 19</w:t>
      </w:r>
      <w:r w:rsidRPr="00D45F6A">
        <w:rPr>
          <w:lang w:eastAsia="en-US"/>
        </w:rPr>
        <w:t>, 603–623.</w:t>
      </w:r>
    </w:p>
    <w:p w14:paraId="300563D6" w14:textId="71DDD53B" w:rsidR="003C5432" w:rsidRPr="00D45F6A" w:rsidRDefault="003C5432" w:rsidP="00E019FD">
      <w:pPr>
        <w:ind w:firstLine="0"/>
        <w:rPr>
          <w:lang w:eastAsia="en-US"/>
        </w:rPr>
      </w:pPr>
      <w:r w:rsidRPr="00D45F6A">
        <w:rPr>
          <w:lang w:eastAsia="en-US"/>
        </w:rPr>
        <w:t>Gayer-Anderson, C., Morgan, C.</w:t>
      </w:r>
      <w:r w:rsidR="00E019FD" w:rsidRPr="00D45F6A">
        <w:rPr>
          <w:lang w:eastAsia="en-US"/>
        </w:rPr>
        <w:t>,</w:t>
      </w:r>
      <w:r w:rsidRPr="00D45F6A">
        <w:rPr>
          <w:lang w:eastAsia="en-US"/>
        </w:rPr>
        <w:t xml:space="preserve"> 2013. Social networks, support and early psychosis: A systematic review. </w:t>
      </w:r>
      <w:r w:rsidR="00E019FD" w:rsidRPr="00D45F6A">
        <w:rPr>
          <w:lang w:eastAsia="en-US"/>
        </w:rPr>
        <w:t>Epidemiol. Psychiatr. Sci.</w:t>
      </w:r>
      <w:r w:rsidRPr="00D45F6A">
        <w:rPr>
          <w:lang w:eastAsia="en-US"/>
        </w:rPr>
        <w:t xml:space="preserve"> 22, 131-146.</w:t>
      </w:r>
      <w:r w:rsidR="00E019FD" w:rsidRPr="00D45F6A">
        <w:rPr>
          <w:lang w:eastAsia="en-US"/>
        </w:rPr>
        <w:t xml:space="preserve"> DOI: 10.1017/S2045796012000406</w:t>
      </w:r>
    </w:p>
    <w:p w14:paraId="70D9136A" w14:textId="5979078C" w:rsidR="00B61268" w:rsidRPr="00D45F6A" w:rsidRDefault="00B61268" w:rsidP="00965191">
      <w:pPr>
        <w:ind w:firstLine="0"/>
        <w:rPr>
          <w:lang w:eastAsia="en-US"/>
        </w:rPr>
      </w:pPr>
      <w:r w:rsidRPr="00D45F6A">
        <w:rPr>
          <w:lang w:eastAsia="en-US"/>
        </w:rPr>
        <w:t xml:space="preserve">Geng, F.L., Xu, T., Wang, Y., Shi, H.S., Yan, C., Neumann, D. et al., 2013. Developmental trajectories of schizotypal personality disorder-like behavioural manifestations: A two-year longitudinal prospective study of college students. BMC Psychiatry 13, 323. </w:t>
      </w:r>
    </w:p>
    <w:p w14:paraId="61B7BFFD" w14:textId="664A1EA3" w:rsidR="00814E63" w:rsidRPr="00D45F6A" w:rsidRDefault="00965191" w:rsidP="00965191">
      <w:pPr>
        <w:ind w:firstLine="0"/>
        <w:rPr>
          <w:lang w:eastAsia="en-US"/>
        </w:rPr>
      </w:pPr>
      <w:r w:rsidRPr="00D45F6A">
        <w:rPr>
          <w:lang w:eastAsia="en-US"/>
        </w:rPr>
        <w:t>Goldberg, L.</w:t>
      </w:r>
      <w:r w:rsidR="00814E63" w:rsidRPr="00D45F6A">
        <w:rPr>
          <w:lang w:eastAsia="en-US"/>
        </w:rPr>
        <w:t xml:space="preserve">R. 1990. An alternative ‘‘description of personality”: The Big- Five factor structure. </w:t>
      </w:r>
      <w:r w:rsidRPr="00D45F6A">
        <w:rPr>
          <w:iCs/>
        </w:rPr>
        <w:t>J. Pers. Soc. Psychol.</w:t>
      </w:r>
      <w:r w:rsidRPr="00D45F6A">
        <w:t xml:space="preserve"> </w:t>
      </w:r>
      <w:r w:rsidR="00814E63" w:rsidRPr="00D45F6A">
        <w:rPr>
          <w:lang w:eastAsia="en-US"/>
        </w:rPr>
        <w:t xml:space="preserve">59, 1216–1229. </w:t>
      </w:r>
      <w:r w:rsidRPr="00D45F6A">
        <w:rPr>
          <w:lang w:eastAsia="en-US"/>
        </w:rPr>
        <w:t>DOI:10.1037/0022-3514.59.6.1216</w:t>
      </w:r>
    </w:p>
    <w:p w14:paraId="614D4744" w14:textId="44862F4D" w:rsidR="00814E63" w:rsidRPr="00D45F6A" w:rsidRDefault="00814E63" w:rsidP="0068675C">
      <w:pPr>
        <w:ind w:firstLine="0"/>
        <w:rPr>
          <w:lang w:eastAsia="en-US"/>
        </w:rPr>
      </w:pPr>
      <w:r w:rsidRPr="00D45F6A">
        <w:rPr>
          <w:lang w:eastAsia="en-US"/>
        </w:rPr>
        <w:t>Grant, P., Beck, A.</w:t>
      </w:r>
      <w:r w:rsidR="0068675C" w:rsidRPr="00D45F6A">
        <w:rPr>
          <w:lang w:eastAsia="en-US"/>
        </w:rPr>
        <w:t>,</w:t>
      </w:r>
      <w:r w:rsidRPr="00D45F6A">
        <w:rPr>
          <w:lang w:eastAsia="en-US"/>
        </w:rPr>
        <w:t xml:space="preserve"> 2009. Evaluation sensitivity as a moderator of communication disorder in schizophrenia. </w:t>
      </w:r>
      <w:r w:rsidRPr="00D45F6A">
        <w:rPr>
          <w:iCs/>
          <w:lang w:eastAsia="en-US"/>
        </w:rPr>
        <w:t>Psychol</w:t>
      </w:r>
      <w:r w:rsidR="0068675C" w:rsidRPr="00D45F6A">
        <w:rPr>
          <w:iCs/>
          <w:lang w:eastAsia="en-US"/>
        </w:rPr>
        <w:t>.</w:t>
      </w:r>
      <w:r w:rsidRPr="00D45F6A">
        <w:rPr>
          <w:iCs/>
          <w:lang w:eastAsia="en-US"/>
        </w:rPr>
        <w:t xml:space="preserve"> Med</w:t>
      </w:r>
      <w:r w:rsidR="0068675C" w:rsidRPr="00D45F6A">
        <w:rPr>
          <w:iCs/>
          <w:lang w:eastAsia="en-US"/>
        </w:rPr>
        <w:t>.</w:t>
      </w:r>
      <w:r w:rsidRPr="00D45F6A">
        <w:rPr>
          <w:lang w:eastAsia="en-US"/>
        </w:rPr>
        <w:t xml:space="preserve"> </w:t>
      </w:r>
      <w:r w:rsidR="0007554E" w:rsidRPr="00D45F6A">
        <w:rPr>
          <w:lang w:eastAsia="en-US"/>
        </w:rPr>
        <w:t>39</w:t>
      </w:r>
      <w:r w:rsidRPr="00D45F6A">
        <w:rPr>
          <w:lang w:eastAsia="en-US"/>
        </w:rPr>
        <w:t>, 1211-1219.</w:t>
      </w:r>
      <w:r w:rsidR="0068675C" w:rsidRPr="00D45F6A">
        <w:rPr>
          <w:lang w:eastAsia="en-US"/>
        </w:rPr>
        <w:t xml:space="preserve"> DOI: 10.1017/S0033291709005479</w:t>
      </w:r>
    </w:p>
    <w:p w14:paraId="1A6E20FF" w14:textId="0A0A1C7F" w:rsidR="00DA030D" w:rsidRPr="00D45F6A" w:rsidRDefault="00DA030D" w:rsidP="00D8753F">
      <w:pPr>
        <w:ind w:firstLine="0"/>
        <w:rPr>
          <w:lang w:eastAsia="en-US"/>
        </w:rPr>
      </w:pPr>
      <w:r w:rsidRPr="00D45F6A">
        <w:rPr>
          <w:lang w:eastAsia="en-US"/>
        </w:rPr>
        <w:lastRenderedPageBreak/>
        <w:t xml:space="preserve">Green, </w:t>
      </w:r>
      <w:r w:rsidR="00587649" w:rsidRPr="00D45F6A">
        <w:rPr>
          <w:lang w:eastAsia="en-US"/>
        </w:rPr>
        <w:t>M.J.,</w:t>
      </w:r>
      <w:r w:rsidRPr="00D45F6A">
        <w:rPr>
          <w:lang w:eastAsia="en-US"/>
        </w:rPr>
        <w:t xml:space="preserve"> Phillips</w:t>
      </w:r>
      <w:r w:rsidR="00587649" w:rsidRPr="00D45F6A">
        <w:rPr>
          <w:lang w:eastAsia="en-US"/>
        </w:rPr>
        <w:t>, M.L</w:t>
      </w:r>
      <w:r w:rsidRPr="00D45F6A">
        <w:rPr>
          <w:lang w:eastAsia="en-US"/>
        </w:rPr>
        <w:t>.</w:t>
      </w:r>
      <w:r w:rsidR="005D7DD1" w:rsidRPr="00D45F6A">
        <w:rPr>
          <w:lang w:eastAsia="en-US"/>
        </w:rPr>
        <w:t>,</w:t>
      </w:r>
      <w:r w:rsidRPr="00D45F6A">
        <w:rPr>
          <w:lang w:eastAsia="en-US"/>
        </w:rPr>
        <w:t xml:space="preserve"> 2004. Social threat perception and the evolution of paranoia. </w:t>
      </w:r>
      <w:r w:rsidR="004177B4" w:rsidRPr="00D45F6A">
        <w:rPr>
          <w:lang w:eastAsia="en-US"/>
        </w:rPr>
        <w:t>Neurosci. Biobehav. Rev.</w:t>
      </w:r>
      <w:r w:rsidR="00930F14" w:rsidRPr="00D45F6A">
        <w:rPr>
          <w:lang w:eastAsia="en-US"/>
        </w:rPr>
        <w:t xml:space="preserve"> 28</w:t>
      </w:r>
      <w:r w:rsidRPr="00D45F6A">
        <w:rPr>
          <w:lang w:eastAsia="en-US"/>
        </w:rPr>
        <w:t>, 333-342.</w:t>
      </w:r>
    </w:p>
    <w:p w14:paraId="6CB3ED4B" w14:textId="0223AB97" w:rsidR="00814E63" w:rsidRPr="00D45F6A" w:rsidRDefault="00814E63" w:rsidP="00D8753F">
      <w:pPr>
        <w:ind w:firstLine="0"/>
        <w:rPr>
          <w:lang w:eastAsia="en-US"/>
        </w:rPr>
      </w:pPr>
      <w:r w:rsidRPr="00D45F6A">
        <w:rPr>
          <w:lang w:eastAsia="en-US"/>
        </w:rPr>
        <w:t>Greven, C., Chamorro-Premuzic, T., Arteche, A., Furnham, A.</w:t>
      </w:r>
      <w:r w:rsidR="0068675C" w:rsidRPr="00D45F6A">
        <w:rPr>
          <w:lang w:eastAsia="en-US"/>
        </w:rPr>
        <w:t>,</w:t>
      </w:r>
      <w:r w:rsidRPr="00D45F6A">
        <w:rPr>
          <w:lang w:eastAsia="en-US"/>
        </w:rPr>
        <w:t xml:space="preserve"> 2008. A hierarchical integration of dispositional determinants of general health in students: The Big Five, trait emotional intelligence and humour styles. Pers</w:t>
      </w:r>
      <w:r w:rsidR="0068675C" w:rsidRPr="00D45F6A">
        <w:rPr>
          <w:lang w:eastAsia="en-US"/>
        </w:rPr>
        <w:t>.</w:t>
      </w:r>
      <w:r w:rsidRPr="00D45F6A">
        <w:rPr>
          <w:lang w:eastAsia="en-US"/>
        </w:rPr>
        <w:t xml:space="preserve"> Indiv</w:t>
      </w:r>
      <w:r w:rsidR="00344BD1" w:rsidRPr="00D45F6A">
        <w:rPr>
          <w:lang w:eastAsia="en-US"/>
        </w:rPr>
        <w:t>id</w:t>
      </w:r>
      <w:r w:rsidR="00D8753F" w:rsidRPr="00D45F6A">
        <w:rPr>
          <w:lang w:eastAsia="en-US"/>
        </w:rPr>
        <w:t>.</w:t>
      </w:r>
      <w:r w:rsidRPr="00D45F6A">
        <w:rPr>
          <w:lang w:eastAsia="en-US"/>
        </w:rPr>
        <w:t xml:space="preserve"> </w:t>
      </w:r>
      <w:r w:rsidR="00D8753F" w:rsidRPr="00D45F6A">
        <w:rPr>
          <w:lang w:eastAsia="en-US"/>
        </w:rPr>
        <w:t>D</w:t>
      </w:r>
      <w:r w:rsidRPr="00D45F6A">
        <w:rPr>
          <w:lang w:eastAsia="en-US"/>
        </w:rPr>
        <w:t>if</w:t>
      </w:r>
      <w:r w:rsidR="00344BD1" w:rsidRPr="00D45F6A">
        <w:rPr>
          <w:lang w:eastAsia="en-US"/>
        </w:rPr>
        <w:t>.</w:t>
      </w:r>
      <w:r w:rsidRPr="00D45F6A">
        <w:rPr>
          <w:lang w:eastAsia="en-US"/>
        </w:rPr>
        <w:t> 44, 1562-1573.</w:t>
      </w:r>
      <w:r w:rsidR="0068675C" w:rsidRPr="00D45F6A">
        <w:rPr>
          <w:lang w:eastAsia="en-US"/>
        </w:rPr>
        <w:t xml:space="preserve"> DOI: 10.1016/j.paid.2008.01.012</w:t>
      </w:r>
    </w:p>
    <w:p w14:paraId="4DA33E2C" w14:textId="127D37EB" w:rsidR="00814E63" w:rsidRPr="00D45F6A" w:rsidRDefault="00814E63" w:rsidP="00CD7DF7">
      <w:pPr>
        <w:ind w:firstLine="0"/>
        <w:rPr>
          <w:lang w:eastAsia="en-US"/>
        </w:rPr>
      </w:pPr>
      <w:r w:rsidRPr="00D45F6A">
        <w:rPr>
          <w:lang w:eastAsia="en-US"/>
        </w:rPr>
        <w:t>Hayes, A.F.</w:t>
      </w:r>
      <w:r w:rsidR="00CD7DF7" w:rsidRPr="00D45F6A">
        <w:rPr>
          <w:lang w:eastAsia="en-US"/>
        </w:rPr>
        <w:t>,</w:t>
      </w:r>
      <w:r w:rsidRPr="00D45F6A">
        <w:rPr>
          <w:lang w:eastAsia="en-US"/>
        </w:rPr>
        <w:t xml:space="preserve"> 2014. </w:t>
      </w:r>
      <w:r w:rsidRPr="00D45F6A">
        <w:rPr>
          <w:iCs/>
          <w:lang w:eastAsia="en-US"/>
        </w:rPr>
        <w:t xml:space="preserve">Introduction to </w:t>
      </w:r>
      <w:r w:rsidR="005D7DD1" w:rsidRPr="00D45F6A">
        <w:rPr>
          <w:iCs/>
          <w:lang w:eastAsia="en-US"/>
        </w:rPr>
        <w:t>M</w:t>
      </w:r>
      <w:r w:rsidRPr="00D45F6A">
        <w:rPr>
          <w:iCs/>
          <w:lang w:eastAsia="en-US"/>
        </w:rPr>
        <w:t xml:space="preserve">ediation, </w:t>
      </w:r>
      <w:r w:rsidR="005D7DD1" w:rsidRPr="00D45F6A">
        <w:rPr>
          <w:iCs/>
          <w:lang w:eastAsia="en-US"/>
        </w:rPr>
        <w:t>M</w:t>
      </w:r>
      <w:r w:rsidRPr="00D45F6A">
        <w:rPr>
          <w:iCs/>
          <w:lang w:eastAsia="en-US"/>
        </w:rPr>
        <w:t xml:space="preserve">oderation, and </w:t>
      </w:r>
      <w:r w:rsidR="005D7DD1" w:rsidRPr="00D45F6A">
        <w:rPr>
          <w:iCs/>
          <w:lang w:eastAsia="en-US"/>
        </w:rPr>
        <w:t>C</w:t>
      </w:r>
      <w:r w:rsidRPr="00D45F6A">
        <w:rPr>
          <w:iCs/>
          <w:lang w:eastAsia="en-US"/>
        </w:rPr>
        <w:t xml:space="preserve">onditional </w:t>
      </w:r>
      <w:r w:rsidR="005D7DD1" w:rsidRPr="00D45F6A">
        <w:rPr>
          <w:iCs/>
          <w:lang w:eastAsia="en-US"/>
        </w:rPr>
        <w:t>P</w:t>
      </w:r>
      <w:r w:rsidRPr="00D45F6A">
        <w:rPr>
          <w:iCs/>
          <w:lang w:eastAsia="en-US"/>
        </w:rPr>
        <w:t xml:space="preserve">rocess </w:t>
      </w:r>
      <w:r w:rsidR="005D7DD1" w:rsidRPr="00D45F6A">
        <w:rPr>
          <w:iCs/>
          <w:lang w:eastAsia="en-US"/>
        </w:rPr>
        <w:t>A</w:t>
      </w:r>
      <w:r w:rsidRPr="00D45F6A">
        <w:rPr>
          <w:iCs/>
          <w:lang w:eastAsia="en-US"/>
        </w:rPr>
        <w:t xml:space="preserve">nalysis: </w:t>
      </w:r>
      <w:r w:rsidR="005D7DD1" w:rsidRPr="00D45F6A">
        <w:rPr>
          <w:iCs/>
          <w:lang w:eastAsia="en-US"/>
        </w:rPr>
        <w:t>A</w:t>
      </w:r>
      <w:r w:rsidRPr="00D45F6A">
        <w:rPr>
          <w:iCs/>
          <w:lang w:eastAsia="en-US"/>
        </w:rPr>
        <w:t xml:space="preserve"> </w:t>
      </w:r>
      <w:r w:rsidR="005D7DD1" w:rsidRPr="00D45F6A">
        <w:rPr>
          <w:iCs/>
          <w:lang w:eastAsia="en-US"/>
        </w:rPr>
        <w:t>R</w:t>
      </w:r>
      <w:r w:rsidRPr="00D45F6A">
        <w:rPr>
          <w:iCs/>
          <w:lang w:eastAsia="en-US"/>
        </w:rPr>
        <w:t>egression-</w:t>
      </w:r>
      <w:r w:rsidR="005D7DD1" w:rsidRPr="00D45F6A">
        <w:rPr>
          <w:iCs/>
          <w:lang w:eastAsia="en-US"/>
        </w:rPr>
        <w:t>B</w:t>
      </w:r>
      <w:r w:rsidRPr="00D45F6A">
        <w:rPr>
          <w:iCs/>
          <w:lang w:eastAsia="en-US"/>
        </w:rPr>
        <w:t xml:space="preserve">ased </w:t>
      </w:r>
      <w:r w:rsidR="005D7DD1" w:rsidRPr="00D45F6A">
        <w:rPr>
          <w:iCs/>
          <w:lang w:eastAsia="en-US"/>
        </w:rPr>
        <w:t>A</w:t>
      </w:r>
      <w:r w:rsidRPr="00D45F6A">
        <w:rPr>
          <w:iCs/>
          <w:lang w:eastAsia="en-US"/>
        </w:rPr>
        <w:t>pproach</w:t>
      </w:r>
      <w:r w:rsidRPr="00D45F6A">
        <w:rPr>
          <w:lang w:eastAsia="en-US"/>
        </w:rPr>
        <w:t>.</w:t>
      </w:r>
      <w:r w:rsidR="00CD7DF7" w:rsidRPr="00D45F6A">
        <w:rPr>
          <w:lang w:eastAsia="en-US"/>
        </w:rPr>
        <w:t xml:space="preserve"> Guilford Press, New York, NY.</w:t>
      </w:r>
      <w:r w:rsidRPr="00D45F6A">
        <w:rPr>
          <w:lang w:eastAsia="en-US"/>
        </w:rPr>
        <w:t xml:space="preserve"> </w:t>
      </w:r>
    </w:p>
    <w:p w14:paraId="0A94F56E" w14:textId="68D6DAFB" w:rsidR="00814E63" w:rsidRPr="00D45F6A" w:rsidRDefault="00814E63" w:rsidP="00C77A09">
      <w:pPr>
        <w:ind w:firstLine="0"/>
        <w:rPr>
          <w:lang w:eastAsia="en-US"/>
        </w:rPr>
      </w:pPr>
      <w:r w:rsidRPr="00D45F6A">
        <w:rPr>
          <w:lang w:eastAsia="en-US"/>
        </w:rPr>
        <w:t xml:space="preserve">Jahshan, </w:t>
      </w:r>
      <w:r w:rsidR="00CD7DF7" w:rsidRPr="00D45F6A">
        <w:rPr>
          <w:lang w:eastAsia="en-US"/>
        </w:rPr>
        <w:t xml:space="preserve">C.S., </w:t>
      </w:r>
      <w:r w:rsidRPr="00D45F6A">
        <w:rPr>
          <w:lang w:eastAsia="en-US"/>
        </w:rPr>
        <w:t>Sergi</w:t>
      </w:r>
      <w:r w:rsidR="00CD7DF7" w:rsidRPr="00D45F6A">
        <w:rPr>
          <w:lang w:eastAsia="en-US"/>
        </w:rPr>
        <w:t>, M. J</w:t>
      </w:r>
      <w:r w:rsidRPr="00D45F6A">
        <w:rPr>
          <w:lang w:eastAsia="en-US"/>
        </w:rPr>
        <w:t>.</w:t>
      </w:r>
      <w:r w:rsidR="00CD7DF7" w:rsidRPr="00D45F6A">
        <w:rPr>
          <w:lang w:eastAsia="en-US"/>
        </w:rPr>
        <w:t>,</w:t>
      </w:r>
      <w:r w:rsidRPr="00D45F6A">
        <w:rPr>
          <w:lang w:eastAsia="en-US"/>
        </w:rPr>
        <w:t xml:space="preserve"> 2007. Theory of mind, neurocognition, and functional status in schizotypy. Schizophr</w:t>
      </w:r>
      <w:r w:rsidR="00C77A09" w:rsidRPr="00D45F6A">
        <w:rPr>
          <w:lang w:eastAsia="en-US"/>
        </w:rPr>
        <w:t>.</w:t>
      </w:r>
      <w:r w:rsidRPr="00D45F6A">
        <w:rPr>
          <w:lang w:eastAsia="en-US"/>
        </w:rPr>
        <w:t xml:space="preserve"> Res</w:t>
      </w:r>
      <w:r w:rsidR="00C77A09" w:rsidRPr="00D45F6A">
        <w:rPr>
          <w:lang w:eastAsia="en-US"/>
        </w:rPr>
        <w:t xml:space="preserve">. </w:t>
      </w:r>
      <w:r w:rsidRPr="00D45F6A">
        <w:rPr>
          <w:lang w:eastAsia="en-US"/>
        </w:rPr>
        <w:t>89, 278-286.</w:t>
      </w:r>
      <w:r w:rsidR="00C77A09" w:rsidRPr="00D45F6A">
        <w:rPr>
          <w:lang w:eastAsia="en-US"/>
        </w:rPr>
        <w:t xml:space="preserve"> DOI: 10.1016/j.schres.2006.09.004</w:t>
      </w:r>
    </w:p>
    <w:p w14:paraId="0F982F77" w14:textId="6CC6475A" w:rsidR="00814E63" w:rsidRPr="00D45F6A" w:rsidRDefault="00814E63" w:rsidP="00C77A09">
      <w:pPr>
        <w:ind w:firstLine="0"/>
        <w:rPr>
          <w:lang w:eastAsia="en-US"/>
        </w:rPr>
      </w:pPr>
      <w:r w:rsidRPr="00D45F6A">
        <w:rPr>
          <w:lang w:eastAsia="en-US"/>
        </w:rPr>
        <w:t xml:space="preserve">Jensen-Campbell, </w:t>
      </w:r>
      <w:r w:rsidR="00C77A09" w:rsidRPr="00D45F6A">
        <w:rPr>
          <w:lang w:eastAsia="en-US"/>
        </w:rPr>
        <w:t xml:space="preserve">L.A., </w:t>
      </w:r>
      <w:r w:rsidRPr="00D45F6A">
        <w:rPr>
          <w:lang w:eastAsia="en-US"/>
        </w:rPr>
        <w:t xml:space="preserve">Adams, </w:t>
      </w:r>
      <w:r w:rsidR="00C77A09" w:rsidRPr="00D45F6A">
        <w:rPr>
          <w:lang w:eastAsia="en-US"/>
        </w:rPr>
        <w:t xml:space="preserve">R., </w:t>
      </w:r>
      <w:r w:rsidRPr="00D45F6A">
        <w:rPr>
          <w:lang w:eastAsia="en-US"/>
        </w:rPr>
        <w:t xml:space="preserve">Perry, </w:t>
      </w:r>
      <w:r w:rsidR="00C77A09" w:rsidRPr="00D45F6A">
        <w:rPr>
          <w:lang w:eastAsia="en-US"/>
        </w:rPr>
        <w:t xml:space="preserve">D.G., </w:t>
      </w:r>
      <w:r w:rsidRPr="00D45F6A">
        <w:rPr>
          <w:lang w:eastAsia="en-US"/>
        </w:rPr>
        <w:t xml:space="preserve">Workman, </w:t>
      </w:r>
      <w:r w:rsidR="00C77A09" w:rsidRPr="00D45F6A">
        <w:rPr>
          <w:lang w:eastAsia="en-US"/>
        </w:rPr>
        <w:t xml:space="preserve">K.A., </w:t>
      </w:r>
      <w:r w:rsidRPr="00D45F6A">
        <w:rPr>
          <w:lang w:eastAsia="en-US"/>
        </w:rPr>
        <w:t xml:space="preserve">Furdella, </w:t>
      </w:r>
      <w:r w:rsidR="00C77A09" w:rsidRPr="00D45F6A">
        <w:rPr>
          <w:lang w:eastAsia="en-US"/>
        </w:rPr>
        <w:t xml:space="preserve">J.Q., </w:t>
      </w:r>
      <w:r w:rsidRPr="00D45F6A">
        <w:rPr>
          <w:lang w:eastAsia="en-US"/>
        </w:rPr>
        <w:t>Egan</w:t>
      </w:r>
      <w:r w:rsidR="00C77A09" w:rsidRPr="00D45F6A">
        <w:rPr>
          <w:lang w:eastAsia="en-US"/>
        </w:rPr>
        <w:t>, W.K</w:t>
      </w:r>
      <w:r w:rsidRPr="00D45F6A">
        <w:rPr>
          <w:lang w:eastAsia="en-US"/>
        </w:rPr>
        <w:t>.</w:t>
      </w:r>
      <w:r w:rsidR="00C77A09" w:rsidRPr="00D45F6A">
        <w:rPr>
          <w:lang w:eastAsia="en-US"/>
        </w:rPr>
        <w:t>,</w:t>
      </w:r>
      <w:r w:rsidRPr="00D45F6A">
        <w:rPr>
          <w:lang w:eastAsia="en-US"/>
        </w:rPr>
        <w:t xml:space="preserve"> 2002. </w:t>
      </w:r>
      <w:r w:rsidR="00B16BEA" w:rsidRPr="00D45F6A">
        <w:rPr>
          <w:lang w:eastAsia="en-US"/>
        </w:rPr>
        <w:t>Agreeableness, extraversion, and peer relations in early adolescence: winning friends and deflecting aggression</w:t>
      </w:r>
      <w:r w:rsidRPr="00D45F6A">
        <w:rPr>
          <w:lang w:eastAsia="en-US"/>
        </w:rPr>
        <w:t>. J</w:t>
      </w:r>
      <w:r w:rsidR="00C77A09" w:rsidRPr="00D45F6A">
        <w:rPr>
          <w:lang w:eastAsia="en-US"/>
        </w:rPr>
        <w:t>.</w:t>
      </w:r>
      <w:r w:rsidRPr="00D45F6A">
        <w:rPr>
          <w:lang w:eastAsia="en-US"/>
        </w:rPr>
        <w:t xml:space="preserve"> Res</w:t>
      </w:r>
      <w:r w:rsidR="00C77A09" w:rsidRPr="00D45F6A">
        <w:rPr>
          <w:lang w:eastAsia="en-US"/>
        </w:rPr>
        <w:t>.</w:t>
      </w:r>
      <w:r w:rsidRPr="00D45F6A">
        <w:rPr>
          <w:lang w:eastAsia="en-US"/>
        </w:rPr>
        <w:t xml:space="preserve"> Pers</w:t>
      </w:r>
      <w:r w:rsidR="00C77A09" w:rsidRPr="00D45F6A">
        <w:rPr>
          <w:lang w:eastAsia="en-US"/>
        </w:rPr>
        <w:t>.</w:t>
      </w:r>
      <w:r w:rsidR="005D7DD1" w:rsidRPr="00D45F6A" w:rsidDel="005D7DD1">
        <w:rPr>
          <w:lang w:eastAsia="en-US"/>
        </w:rPr>
        <w:t xml:space="preserve"> </w:t>
      </w:r>
      <w:r w:rsidRPr="00D45F6A">
        <w:rPr>
          <w:lang w:eastAsia="en-US"/>
        </w:rPr>
        <w:t>36, 224-251.</w:t>
      </w:r>
      <w:r w:rsidR="00C77A09" w:rsidRPr="00D45F6A">
        <w:rPr>
          <w:lang w:eastAsia="en-US"/>
        </w:rPr>
        <w:t xml:space="preserve"> DOI: 10.1006/jrpe.2002.2348</w:t>
      </w:r>
    </w:p>
    <w:p w14:paraId="5C61AC0A" w14:textId="0DAC3578" w:rsidR="00814E63" w:rsidRPr="00D45F6A" w:rsidRDefault="00B01F17" w:rsidP="00B01F17">
      <w:pPr>
        <w:ind w:firstLine="0"/>
        <w:rPr>
          <w:lang w:eastAsia="en-US"/>
        </w:rPr>
      </w:pPr>
      <w:r w:rsidRPr="00D45F6A">
        <w:rPr>
          <w:lang w:eastAsia="en-US"/>
        </w:rPr>
        <w:t>John, O.P., Donahue, E.M., Kentle, R.</w:t>
      </w:r>
      <w:r w:rsidR="00814E63" w:rsidRPr="00D45F6A">
        <w:rPr>
          <w:lang w:eastAsia="en-US"/>
        </w:rPr>
        <w:t>L.</w:t>
      </w:r>
      <w:r w:rsidRPr="00D45F6A">
        <w:rPr>
          <w:lang w:eastAsia="en-US"/>
        </w:rPr>
        <w:t>,</w:t>
      </w:r>
      <w:r w:rsidR="00814E63" w:rsidRPr="00D45F6A">
        <w:rPr>
          <w:lang w:eastAsia="en-US"/>
        </w:rPr>
        <w:t xml:space="preserve"> 1991. </w:t>
      </w:r>
      <w:r w:rsidR="00814E63" w:rsidRPr="00D45F6A">
        <w:rPr>
          <w:iCs/>
          <w:lang w:eastAsia="en-US"/>
        </w:rPr>
        <w:t>The Big Five Inventory—Versions 4a and 54.</w:t>
      </w:r>
      <w:r w:rsidR="00814E63" w:rsidRPr="00D45F6A">
        <w:rPr>
          <w:lang w:eastAsia="en-US"/>
        </w:rPr>
        <w:t xml:space="preserve"> University of California, Berkeley, Institute of Personality and Social Research</w:t>
      </w:r>
      <w:r w:rsidR="00C77A09" w:rsidRPr="00D45F6A">
        <w:rPr>
          <w:lang w:eastAsia="en-US"/>
        </w:rPr>
        <w:t xml:space="preserve">, </w:t>
      </w:r>
      <w:r w:rsidR="00C77A09" w:rsidRPr="00D45F6A">
        <w:rPr>
          <w:iCs/>
          <w:lang w:eastAsia="en-US"/>
        </w:rPr>
        <w:t>Berkeley,</w:t>
      </w:r>
      <w:r w:rsidR="00C77A09" w:rsidRPr="00D45F6A">
        <w:rPr>
          <w:lang w:eastAsia="en-US"/>
        </w:rPr>
        <w:t xml:space="preserve"> CA</w:t>
      </w:r>
      <w:r w:rsidR="00814E63" w:rsidRPr="00D45F6A">
        <w:rPr>
          <w:lang w:eastAsia="en-US"/>
        </w:rPr>
        <w:t>.</w:t>
      </w:r>
    </w:p>
    <w:p w14:paraId="5E18F08A" w14:textId="6E20ED3A" w:rsidR="004F751F" w:rsidRPr="00D45F6A" w:rsidRDefault="004F751F" w:rsidP="00764FA6">
      <w:pPr>
        <w:ind w:firstLine="0"/>
      </w:pPr>
      <w:r w:rsidRPr="00D45F6A">
        <w:t>Kashdan, T.</w:t>
      </w:r>
      <w:r w:rsidR="00764FA6" w:rsidRPr="00D45F6A">
        <w:t>,</w:t>
      </w:r>
      <w:r w:rsidRPr="00D45F6A">
        <w:t xml:space="preserve"> 2002. </w:t>
      </w:r>
      <w:r w:rsidR="00E371F2" w:rsidRPr="00D45F6A">
        <w:t>S</w:t>
      </w:r>
      <w:r w:rsidR="00B16BEA" w:rsidRPr="00D45F6A">
        <w:t xml:space="preserve">ocial anxiety dimensions, neuroticism, and the contours of positive psychological functioning. </w:t>
      </w:r>
      <w:r w:rsidRPr="00D45F6A">
        <w:rPr>
          <w:iCs/>
        </w:rPr>
        <w:t>Cognitive Ther</w:t>
      </w:r>
      <w:r w:rsidR="00764FA6" w:rsidRPr="00D45F6A">
        <w:rPr>
          <w:iCs/>
        </w:rPr>
        <w:t>.</w:t>
      </w:r>
      <w:r w:rsidRPr="00D45F6A">
        <w:rPr>
          <w:iCs/>
        </w:rPr>
        <w:t xml:space="preserve"> Res</w:t>
      </w:r>
      <w:r w:rsidR="00764FA6" w:rsidRPr="00D45F6A">
        <w:rPr>
          <w:iCs/>
        </w:rPr>
        <w:t>.</w:t>
      </w:r>
      <w:r w:rsidR="0007554E" w:rsidRPr="00D45F6A">
        <w:t xml:space="preserve"> 26</w:t>
      </w:r>
      <w:r w:rsidRPr="00D45F6A">
        <w:t>, 789-810.</w:t>
      </w:r>
      <w:r w:rsidR="00764FA6" w:rsidRPr="00D45F6A">
        <w:t xml:space="preserve"> DOI: 10.1023/A:1021293501345</w:t>
      </w:r>
    </w:p>
    <w:p w14:paraId="1D816C1F" w14:textId="3F65E6FA" w:rsidR="006C0A8D" w:rsidRPr="00D45F6A" w:rsidRDefault="006C0A8D" w:rsidP="00EA4448">
      <w:pPr>
        <w:ind w:firstLine="0"/>
      </w:pPr>
      <w:r w:rsidRPr="00D45F6A">
        <w:t>Kashdan, T., Steger, M.</w:t>
      </w:r>
      <w:r w:rsidR="00EA4448" w:rsidRPr="00D45F6A">
        <w:t>,</w:t>
      </w:r>
      <w:r w:rsidRPr="00D45F6A">
        <w:t xml:space="preserve"> 2006. </w:t>
      </w:r>
      <w:r w:rsidR="00E371F2" w:rsidRPr="00D45F6A">
        <w:t xml:space="preserve">Expanding the topography of social anxiety: an experience-sampling assessment of positive emotions, positive events, and emotion suppression. </w:t>
      </w:r>
      <w:r w:rsidR="00EA4448" w:rsidRPr="00D45F6A">
        <w:rPr>
          <w:iCs/>
        </w:rPr>
        <w:t>Psychol.</w:t>
      </w:r>
      <w:r w:rsidRPr="00D45F6A">
        <w:rPr>
          <w:iCs/>
        </w:rPr>
        <w:t xml:space="preserve"> Sci</w:t>
      </w:r>
      <w:r w:rsidR="00EA4448" w:rsidRPr="00D45F6A">
        <w:rPr>
          <w:iCs/>
        </w:rPr>
        <w:t>.</w:t>
      </w:r>
      <w:r w:rsidR="0007554E" w:rsidRPr="00D45F6A">
        <w:t xml:space="preserve"> 17</w:t>
      </w:r>
      <w:r w:rsidRPr="00D45F6A">
        <w:t>, 120-128.</w:t>
      </w:r>
      <w:r w:rsidR="00EA4448" w:rsidRPr="00D45F6A">
        <w:t xml:space="preserve"> DOI: 10.1111/j.1467-9280.2006.01674.x</w:t>
      </w:r>
    </w:p>
    <w:p w14:paraId="2A11E43C" w14:textId="4418D2AA" w:rsidR="00814E63" w:rsidRPr="00D45F6A" w:rsidRDefault="00814E63" w:rsidP="00786E3D">
      <w:pPr>
        <w:ind w:firstLine="0"/>
      </w:pPr>
      <w:r w:rsidRPr="00D45F6A">
        <w:t>Kendler, K.S., Ochs, A.L., Gorman, A.M., Hewitt, J.K., Ross, D.E., Mirsky, A.F.</w:t>
      </w:r>
      <w:r w:rsidR="004A3232" w:rsidRPr="00D45F6A">
        <w:t>,</w:t>
      </w:r>
      <w:r w:rsidRPr="00D45F6A">
        <w:t xml:space="preserve"> 1991. The structure of schizotypy: </w:t>
      </w:r>
      <w:r w:rsidR="004B5635" w:rsidRPr="00D45F6A">
        <w:t>a</w:t>
      </w:r>
      <w:r w:rsidRPr="00D45F6A">
        <w:t xml:space="preserve"> pilot multitrait twin study. Psychiatry Res</w:t>
      </w:r>
      <w:r w:rsidR="0086315F" w:rsidRPr="00D45F6A">
        <w:t>.</w:t>
      </w:r>
      <w:r w:rsidRPr="00D45F6A">
        <w:rPr>
          <w:i/>
          <w:iCs/>
        </w:rPr>
        <w:t xml:space="preserve"> </w:t>
      </w:r>
      <w:r w:rsidRPr="00D45F6A">
        <w:t xml:space="preserve">36, 19-36. </w:t>
      </w:r>
      <w:r w:rsidR="00EA4448" w:rsidRPr="00D45F6A">
        <w:t>DOI: 10.1016/0165-1781(91)90114-5</w:t>
      </w:r>
    </w:p>
    <w:p w14:paraId="0B6D9B28" w14:textId="42B36FAC" w:rsidR="00814E63" w:rsidRPr="00D45F6A" w:rsidRDefault="00814E63" w:rsidP="00EA4448">
      <w:pPr>
        <w:ind w:firstLine="0"/>
        <w:rPr>
          <w:lang w:eastAsia="en-US"/>
        </w:rPr>
      </w:pPr>
      <w:r w:rsidRPr="00D45F6A">
        <w:rPr>
          <w:lang w:eastAsia="en-US"/>
        </w:rPr>
        <w:lastRenderedPageBreak/>
        <w:t>Kwapil, T., Barrantes-Vidal, N., Silvia, P.</w:t>
      </w:r>
      <w:r w:rsidR="00EA4448" w:rsidRPr="00D45F6A">
        <w:rPr>
          <w:lang w:eastAsia="en-US"/>
        </w:rPr>
        <w:t>,</w:t>
      </w:r>
      <w:r w:rsidRPr="00D45F6A">
        <w:rPr>
          <w:lang w:eastAsia="en-US"/>
        </w:rPr>
        <w:t xml:space="preserve"> 2008. </w:t>
      </w:r>
      <w:r w:rsidR="004B5635" w:rsidRPr="00D45F6A">
        <w:rPr>
          <w:lang w:eastAsia="en-US"/>
        </w:rPr>
        <w:t xml:space="preserve">The dimensional structure of the </w:t>
      </w:r>
      <w:r w:rsidR="00F159DB" w:rsidRPr="00D45F6A">
        <w:rPr>
          <w:lang w:eastAsia="en-US"/>
        </w:rPr>
        <w:t>W</w:t>
      </w:r>
      <w:r w:rsidR="004B5635" w:rsidRPr="00D45F6A">
        <w:rPr>
          <w:lang w:eastAsia="en-US"/>
        </w:rPr>
        <w:t xml:space="preserve">isconsin </w:t>
      </w:r>
      <w:r w:rsidR="00F159DB" w:rsidRPr="00D45F6A">
        <w:rPr>
          <w:lang w:eastAsia="en-US"/>
        </w:rPr>
        <w:t>S</w:t>
      </w:r>
      <w:r w:rsidR="004B5635" w:rsidRPr="00D45F6A">
        <w:rPr>
          <w:lang w:eastAsia="en-US"/>
        </w:rPr>
        <w:t xml:space="preserve">chizotypy </w:t>
      </w:r>
      <w:r w:rsidR="00F159DB" w:rsidRPr="00D45F6A">
        <w:rPr>
          <w:lang w:eastAsia="en-US"/>
        </w:rPr>
        <w:t>S</w:t>
      </w:r>
      <w:r w:rsidR="004B5635" w:rsidRPr="00D45F6A">
        <w:rPr>
          <w:lang w:eastAsia="en-US"/>
        </w:rPr>
        <w:t xml:space="preserve">cales: factor identification and construct validity. </w:t>
      </w:r>
      <w:r w:rsidRPr="00D45F6A">
        <w:rPr>
          <w:iCs/>
          <w:lang w:eastAsia="en-US"/>
        </w:rPr>
        <w:t>Schizophr</w:t>
      </w:r>
      <w:r w:rsidR="00EA4448" w:rsidRPr="00D45F6A">
        <w:rPr>
          <w:iCs/>
          <w:lang w:eastAsia="en-US"/>
        </w:rPr>
        <w:t>.</w:t>
      </w:r>
      <w:r w:rsidRPr="00D45F6A">
        <w:rPr>
          <w:iCs/>
          <w:lang w:eastAsia="en-US"/>
        </w:rPr>
        <w:t xml:space="preserve"> Bull</w:t>
      </w:r>
      <w:r w:rsidR="00EA4448" w:rsidRPr="00D45F6A">
        <w:rPr>
          <w:iCs/>
          <w:lang w:eastAsia="en-US"/>
        </w:rPr>
        <w:t>.</w:t>
      </w:r>
      <w:r w:rsidR="0007554E" w:rsidRPr="00D45F6A">
        <w:rPr>
          <w:lang w:eastAsia="en-US"/>
        </w:rPr>
        <w:t xml:space="preserve"> 34</w:t>
      </w:r>
      <w:r w:rsidRPr="00D45F6A">
        <w:rPr>
          <w:lang w:eastAsia="en-US"/>
        </w:rPr>
        <w:t>, 444-457.</w:t>
      </w:r>
      <w:r w:rsidR="00EA4448" w:rsidRPr="00D45F6A">
        <w:rPr>
          <w:lang w:eastAsia="en-US"/>
        </w:rPr>
        <w:t xml:space="preserve"> DOI: 10.1093/schbul/sbm098</w:t>
      </w:r>
    </w:p>
    <w:p w14:paraId="37D3F97A" w14:textId="4B262F3D" w:rsidR="00C337EE" w:rsidRPr="00D45F6A" w:rsidRDefault="00C337EE" w:rsidP="00EA4448">
      <w:pPr>
        <w:ind w:firstLine="0"/>
        <w:rPr>
          <w:lang w:eastAsia="en-US"/>
        </w:rPr>
      </w:pPr>
      <w:r w:rsidRPr="00D45F6A">
        <w:rPr>
          <w:lang w:eastAsia="en-US"/>
        </w:rPr>
        <w:t xml:space="preserve">Kwapil, T.R., Gross, G.M., Siliva, P.J., Barrantes-Vidal, N. 2013. Prediction of psychopathology and functional impairment by positive and negative schizotypy in the Chapmans' ten-year longitudinal study. J. Abnorm. Psychol. 122, 807–815. </w:t>
      </w:r>
    </w:p>
    <w:p w14:paraId="3FC1A6E9" w14:textId="78D002FB" w:rsidR="00814E63" w:rsidRPr="00D45F6A" w:rsidRDefault="00814E63" w:rsidP="00EA4448">
      <w:pPr>
        <w:ind w:firstLine="0"/>
        <w:rPr>
          <w:lang w:eastAsia="en-US"/>
        </w:rPr>
      </w:pPr>
      <w:r w:rsidRPr="00D45F6A">
        <w:rPr>
          <w:lang w:eastAsia="en-US"/>
        </w:rPr>
        <w:t>Kwapil, T., Brown, L., Silvia, P., Myin-Germeys, I., Barrantes-Vidal, N.</w:t>
      </w:r>
      <w:r w:rsidR="00EA4448" w:rsidRPr="00D45F6A">
        <w:rPr>
          <w:lang w:eastAsia="en-US"/>
        </w:rPr>
        <w:t>,</w:t>
      </w:r>
      <w:r w:rsidRPr="00D45F6A">
        <w:rPr>
          <w:lang w:eastAsia="en-US"/>
        </w:rPr>
        <w:t xml:space="preserve"> 2012. The expression of positive and negative schizotypy in daily life: An experience sampling study. </w:t>
      </w:r>
      <w:r w:rsidR="001977E0" w:rsidRPr="00D45F6A">
        <w:rPr>
          <w:iCs/>
          <w:lang w:eastAsia="en-US"/>
        </w:rPr>
        <w:t>Psychol</w:t>
      </w:r>
      <w:r w:rsidR="00EA4448" w:rsidRPr="00D45F6A">
        <w:rPr>
          <w:iCs/>
          <w:lang w:eastAsia="en-US"/>
        </w:rPr>
        <w:t>.</w:t>
      </w:r>
      <w:r w:rsidR="001977E0" w:rsidRPr="00D45F6A">
        <w:rPr>
          <w:iCs/>
          <w:lang w:eastAsia="en-US"/>
        </w:rPr>
        <w:t xml:space="preserve"> Med</w:t>
      </w:r>
      <w:r w:rsidR="00EA4448" w:rsidRPr="00D45F6A">
        <w:rPr>
          <w:iCs/>
          <w:lang w:eastAsia="en-US"/>
        </w:rPr>
        <w:t>.</w:t>
      </w:r>
      <w:r w:rsidR="001977E0" w:rsidRPr="00D45F6A">
        <w:rPr>
          <w:iCs/>
          <w:lang w:eastAsia="en-US"/>
        </w:rPr>
        <w:t xml:space="preserve"> </w:t>
      </w:r>
      <w:r w:rsidR="0007554E" w:rsidRPr="00D45F6A">
        <w:rPr>
          <w:lang w:eastAsia="en-US"/>
        </w:rPr>
        <w:t>42</w:t>
      </w:r>
      <w:r w:rsidRPr="00D45F6A">
        <w:rPr>
          <w:lang w:eastAsia="en-US"/>
        </w:rPr>
        <w:t>, 2555-2566.</w:t>
      </w:r>
      <w:r w:rsidR="00EA4448" w:rsidRPr="00D45F6A">
        <w:rPr>
          <w:lang w:eastAsia="en-US"/>
        </w:rPr>
        <w:t xml:space="preserve"> DOI: 10.1017/S0033291712000827</w:t>
      </w:r>
    </w:p>
    <w:p w14:paraId="032D012E" w14:textId="00C41C7F" w:rsidR="00814E63" w:rsidRPr="00D45F6A" w:rsidRDefault="00814E63" w:rsidP="00EA4448">
      <w:pPr>
        <w:ind w:firstLine="0"/>
        <w:rPr>
          <w:lang w:eastAsia="en-US"/>
        </w:rPr>
      </w:pPr>
      <w:r w:rsidRPr="00D45F6A">
        <w:rPr>
          <w:lang w:eastAsia="en-US"/>
        </w:rPr>
        <w:t>Langens, T., Schüler, J.</w:t>
      </w:r>
      <w:r w:rsidR="0086315F" w:rsidRPr="00D45F6A">
        <w:rPr>
          <w:lang w:eastAsia="en-US"/>
        </w:rPr>
        <w:t>,</w:t>
      </w:r>
      <w:r w:rsidRPr="00D45F6A">
        <w:rPr>
          <w:lang w:eastAsia="en-US"/>
        </w:rPr>
        <w:t xml:space="preserve"> 2005. </w:t>
      </w:r>
      <w:r w:rsidR="004B5635" w:rsidRPr="00D45F6A">
        <w:rPr>
          <w:lang w:eastAsia="en-US"/>
        </w:rPr>
        <w:t>Written emotional expression and emotional well-being: the moderating role of fear of rejection. </w:t>
      </w:r>
      <w:r w:rsidRPr="00D45F6A">
        <w:rPr>
          <w:lang w:eastAsia="en-US"/>
        </w:rPr>
        <w:t>Pers</w:t>
      </w:r>
      <w:r w:rsidR="00EA4448" w:rsidRPr="00D45F6A">
        <w:rPr>
          <w:lang w:eastAsia="en-US"/>
        </w:rPr>
        <w:t>.</w:t>
      </w:r>
      <w:r w:rsidRPr="00D45F6A">
        <w:rPr>
          <w:lang w:eastAsia="en-US"/>
        </w:rPr>
        <w:t xml:space="preserve"> Soc</w:t>
      </w:r>
      <w:r w:rsidR="00EA4448" w:rsidRPr="00D45F6A">
        <w:rPr>
          <w:lang w:eastAsia="en-US"/>
        </w:rPr>
        <w:t>. Psychol.</w:t>
      </w:r>
      <w:r w:rsidRPr="00D45F6A">
        <w:rPr>
          <w:lang w:eastAsia="en-US"/>
        </w:rPr>
        <w:t xml:space="preserve"> Bull</w:t>
      </w:r>
      <w:r w:rsidR="00EA4448" w:rsidRPr="00D45F6A">
        <w:rPr>
          <w:lang w:eastAsia="en-US"/>
        </w:rPr>
        <w:t>.</w:t>
      </w:r>
      <w:r w:rsidRPr="00D45F6A">
        <w:rPr>
          <w:lang w:eastAsia="en-US"/>
        </w:rPr>
        <w:t> 31, 818-830.</w:t>
      </w:r>
      <w:r w:rsidR="00EA4448" w:rsidRPr="00D45F6A">
        <w:rPr>
          <w:lang w:eastAsia="en-US"/>
        </w:rPr>
        <w:t xml:space="preserve"> DOI: 10.1177/0146167204271556</w:t>
      </w:r>
    </w:p>
    <w:p w14:paraId="7092EE97" w14:textId="7E85F300" w:rsidR="00814E63" w:rsidRPr="00D45F6A" w:rsidRDefault="00814E63" w:rsidP="00EA4448">
      <w:pPr>
        <w:ind w:firstLine="0"/>
      </w:pPr>
      <w:r w:rsidRPr="00D45F6A">
        <w:t>Lee, H., Ku, J., Kim, J., Jang, D.P., Yoon, K.J., Kim, S.I., Kim, J.J.</w:t>
      </w:r>
      <w:r w:rsidR="0086315F" w:rsidRPr="00D45F6A">
        <w:t>,</w:t>
      </w:r>
      <w:r w:rsidRPr="00D45F6A">
        <w:t xml:space="preserve"> 2014. Aberrant neural responses to social rejection in patients with schizophrenia. Soc</w:t>
      </w:r>
      <w:r w:rsidR="00EA4448" w:rsidRPr="00D45F6A">
        <w:t>.</w:t>
      </w:r>
      <w:r w:rsidRPr="00D45F6A">
        <w:t xml:space="preserve"> </w:t>
      </w:r>
      <w:r w:rsidR="00EA4448" w:rsidRPr="00D45F6A">
        <w:t>N</w:t>
      </w:r>
      <w:r w:rsidRPr="00D45F6A">
        <w:t>eurosci</w:t>
      </w:r>
      <w:r w:rsidR="00EA4448" w:rsidRPr="00D45F6A">
        <w:t>.</w:t>
      </w:r>
      <w:r w:rsidRPr="00D45F6A">
        <w:rPr>
          <w:iCs/>
        </w:rPr>
        <w:t> 9,</w:t>
      </w:r>
      <w:r w:rsidRPr="00D45F6A">
        <w:t xml:space="preserve"> 412-423.</w:t>
      </w:r>
    </w:p>
    <w:p w14:paraId="4FD80F7E" w14:textId="4E4D3220" w:rsidR="00814E63" w:rsidRPr="00D45F6A" w:rsidRDefault="00814E63" w:rsidP="00786E3D">
      <w:pPr>
        <w:ind w:firstLine="0"/>
        <w:rPr>
          <w:lang w:eastAsia="en-US"/>
        </w:rPr>
      </w:pPr>
      <w:r w:rsidRPr="00D45F6A">
        <w:rPr>
          <w:lang w:eastAsia="en-US"/>
        </w:rPr>
        <w:t>Lemay, E., Clark, M.</w:t>
      </w:r>
      <w:r w:rsidR="00517328" w:rsidRPr="00D45F6A">
        <w:rPr>
          <w:lang w:eastAsia="en-US"/>
        </w:rPr>
        <w:t>,</w:t>
      </w:r>
      <w:r w:rsidRPr="00D45F6A">
        <w:rPr>
          <w:lang w:eastAsia="en-US"/>
        </w:rPr>
        <w:t xml:space="preserve"> 2008. "Walking on eggshells": How expressing relationship insecurities perpetuates them. </w:t>
      </w:r>
      <w:r w:rsidRPr="00D45F6A">
        <w:rPr>
          <w:iCs/>
          <w:lang w:eastAsia="en-US"/>
        </w:rPr>
        <w:t>J</w:t>
      </w:r>
      <w:r w:rsidR="0086315F" w:rsidRPr="00D45F6A">
        <w:rPr>
          <w:iCs/>
          <w:lang w:eastAsia="en-US"/>
        </w:rPr>
        <w:t>.</w:t>
      </w:r>
      <w:r w:rsidR="00F3730B" w:rsidRPr="00D45F6A">
        <w:rPr>
          <w:iCs/>
          <w:lang w:eastAsia="en-US"/>
        </w:rPr>
        <w:t xml:space="preserve"> </w:t>
      </w:r>
      <w:r w:rsidRPr="00D45F6A">
        <w:rPr>
          <w:iCs/>
          <w:lang w:eastAsia="en-US"/>
        </w:rPr>
        <w:t>Per</w:t>
      </w:r>
      <w:r w:rsidR="0086315F" w:rsidRPr="00D45F6A">
        <w:rPr>
          <w:iCs/>
          <w:lang w:eastAsia="en-US"/>
        </w:rPr>
        <w:t>.</w:t>
      </w:r>
      <w:r w:rsidR="004C2C1A" w:rsidRPr="00D45F6A">
        <w:rPr>
          <w:iCs/>
          <w:lang w:eastAsia="en-US"/>
        </w:rPr>
        <w:t xml:space="preserve"> </w:t>
      </w:r>
      <w:r w:rsidRPr="00D45F6A">
        <w:rPr>
          <w:iCs/>
          <w:lang w:eastAsia="en-US"/>
        </w:rPr>
        <w:t>Soc</w:t>
      </w:r>
      <w:r w:rsidR="0086315F" w:rsidRPr="00D45F6A">
        <w:rPr>
          <w:iCs/>
          <w:lang w:eastAsia="en-US"/>
        </w:rPr>
        <w:t>.</w:t>
      </w:r>
      <w:r w:rsidRPr="00D45F6A">
        <w:rPr>
          <w:iCs/>
          <w:lang w:eastAsia="en-US"/>
        </w:rPr>
        <w:t xml:space="preserve"> Psychol</w:t>
      </w:r>
      <w:r w:rsidR="0086315F" w:rsidRPr="00D45F6A">
        <w:rPr>
          <w:iCs/>
          <w:lang w:eastAsia="en-US"/>
        </w:rPr>
        <w:t>.</w:t>
      </w:r>
      <w:r w:rsidRPr="00D45F6A">
        <w:rPr>
          <w:lang w:eastAsia="en-US"/>
        </w:rPr>
        <w:t> </w:t>
      </w:r>
      <w:r w:rsidRPr="00D45F6A">
        <w:rPr>
          <w:iCs/>
          <w:lang w:eastAsia="en-US"/>
        </w:rPr>
        <w:t>95</w:t>
      </w:r>
      <w:r w:rsidRPr="00D45F6A">
        <w:rPr>
          <w:lang w:eastAsia="en-US"/>
        </w:rPr>
        <w:t>, 420-41.</w:t>
      </w:r>
      <w:r w:rsidR="00EA4448" w:rsidRPr="00D45F6A">
        <w:rPr>
          <w:lang w:eastAsia="en-US"/>
        </w:rPr>
        <w:t xml:space="preserve"> DOI: 10.1080/17470919.2014.907202</w:t>
      </w:r>
    </w:p>
    <w:p w14:paraId="629D2844" w14:textId="120BAF85" w:rsidR="004F0A73" w:rsidRPr="00D45F6A" w:rsidRDefault="004F0A73" w:rsidP="0071597C">
      <w:pPr>
        <w:ind w:firstLine="0"/>
      </w:pPr>
      <w:r w:rsidRPr="00D45F6A">
        <w:t>Lenzenweger, M. F., 2010. Schizotypy and schizophrenia: The view from experimental psychopathology. Guilford, New York NY.</w:t>
      </w:r>
    </w:p>
    <w:p w14:paraId="10634BDD" w14:textId="41DA5348" w:rsidR="00211E35" w:rsidRPr="00D45F6A" w:rsidRDefault="00211E35" w:rsidP="0071597C">
      <w:pPr>
        <w:ind w:firstLine="0"/>
      </w:pPr>
      <w:r w:rsidRPr="00D45F6A">
        <w:t>Liddle, P.</w:t>
      </w:r>
      <w:r w:rsidR="00E2588F" w:rsidRPr="00D45F6A">
        <w:t>,</w:t>
      </w:r>
      <w:r w:rsidRPr="00D45F6A">
        <w:t xml:space="preserve"> 1987. The symptoms of chronic schizophrenia. A re-examination of the positive- negative dichotomy. </w:t>
      </w:r>
      <w:r w:rsidRPr="00D45F6A">
        <w:rPr>
          <w:i/>
          <w:iCs/>
        </w:rPr>
        <w:t xml:space="preserve"> </w:t>
      </w:r>
      <w:r w:rsidRPr="00D45F6A">
        <w:t>Br</w:t>
      </w:r>
      <w:r w:rsidR="0071597C" w:rsidRPr="00D45F6A">
        <w:t>. J.</w:t>
      </w:r>
      <w:r w:rsidRPr="00D45F6A">
        <w:t xml:space="preserve"> Psychiatry 151, 145-151.</w:t>
      </w:r>
      <w:r w:rsidR="0071597C" w:rsidRPr="00D45F6A">
        <w:t xml:space="preserve"> DOI: 10.1192/bjp.151.2.145</w:t>
      </w:r>
    </w:p>
    <w:p w14:paraId="4CCE78DC" w14:textId="4DAADF99" w:rsidR="00517328" w:rsidRPr="00D45F6A" w:rsidRDefault="00517328" w:rsidP="00517328">
      <w:pPr>
        <w:ind w:firstLine="0"/>
      </w:pPr>
      <w:r w:rsidRPr="00D45F6A">
        <w:t>Linscott, R.J., Morton, S.E.; GROUP (Genetic Risk and Outcome of Psychosis) Investigators, in press. The Latent Taxonicity of Schizotypy in Biological Siblings of Probands With Schizophrenia. Schizophr Bull. doi:10.1093/schbul/sbx143.</w:t>
      </w:r>
    </w:p>
    <w:p w14:paraId="454DC45E" w14:textId="17A2E718" w:rsidR="002F70F5" w:rsidRPr="00D45F6A" w:rsidRDefault="004318F1" w:rsidP="00517328">
      <w:pPr>
        <w:ind w:firstLine="0"/>
      </w:pPr>
      <w:r w:rsidRPr="00D45F6A">
        <w:lastRenderedPageBreak/>
        <w:t xml:space="preserve">Livingston, </w:t>
      </w:r>
      <w:r w:rsidR="00B35E08" w:rsidRPr="00D45F6A">
        <w:t xml:space="preserve">N.A., </w:t>
      </w:r>
      <w:r w:rsidRPr="00D45F6A">
        <w:t>Christianson</w:t>
      </w:r>
      <w:r w:rsidR="00B35E08" w:rsidRPr="00D45F6A">
        <w:t>, N.,</w:t>
      </w:r>
      <w:r w:rsidRPr="00D45F6A">
        <w:t xml:space="preserve"> Cochran, </w:t>
      </w:r>
      <w:r w:rsidR="00B35E08" w:rsidRPr="00D45F6A">
        <w:t xml:space="preserve">B.N., </w:t>
      </w:r>
      <w:r w:rsidRPr="00D45F6A">
        <w:t>2016. Minority stress, psychological distress, and alcohol misuse among sexual minority young adults: A resiliency-based conditional process analysis. Addict</w:t>
      </w:r>
      <w:r w:rsidR="00C45BA1" w:rsidRPr="00D45F6A">
        <w:t>.</w:t>
      </w:r>
      <w:r w:rsidRPr="00D45F6A">
        <w:t xml:space="preserve"> Behav</w:t>
      </w:r>
      <w:r w:rsidR="00C45BA1" w:rsidRPr="00D45F6A">
        <w:t xml:space="preserve">., 63, </w:t>
      </w:r>
      <w:r w:rsidRPr="00D45F6A">
        <w:t>125–131.</w:t>
      </w:r>
    </w:p>
    <w:p w14:paraId="5A0F6844" w14:textId="6FB9C141" w:rsidR="00951A28" w:rsidRPr="00D45F6A" w:rsidRDefault="00951A28" w:rsidP="00517328">
      <w:pPr>
        <w:ind w:firstLine="0"/>
      </w:pPr>
      <w:r w:rsidRPr="00D45F6A">
        <w:t>Luther, L., Salyers, M., Firmin, R., Marggraf, M., Davis, B., Minor, K.</w:t>
      </w:r>
      <w:r w:rsidR="0071597C" w:rsidRPr="00D45F6A">
        <w:t xml:space="preserve">, </w:t>
      </w:r>
      <w:r w:rsidRPr="00D45F6A">
        <w:t xml:space="preserve">2016. Additional support for the cognitive model of schizophrenia: Evidence of elevated defeatist beliefs in schizotypy. </w:t>
      </w:r>
      <w:r w:rsidR="0071597C" w:rsidRPr="00D45F6A">
        <w:t>Compr. Psychiatry</w:t>
      </w:r>
      <w:r w:rsidR="00E2588F" w:rsidRPr="00D45F6A">
        <w:t xml:space="preserve"> </w:t>
      </w:r>
      <w:r w:rsidRPr="00D45F6A">
        <w:t xml:space="preserve">68, 40-47. </w:t>
      </w:r>
      <w:r w:rsidR="0071597C" w:rsidRPr="00D45F6A">
        <w:t>DOI: 10.1016/j.comppsych.2016.03.006</w:t>
      </w:r>
    </w:p>
    <w:p w14:paraId="4C6228BD" w14:textId="4437BB1F" w:rsidR="00814E63" w:rsidRPr="00D45F6A" w:rsidRDefault="00814E63" w:rsidP="0071597C">
      <w:pPr>
        <w:ind w:firstLine="0"/>
      </w:pPr>
      <w:r w:rsidRPr="00D45F6A">
        <w:t>Lysaker, P.H., Salvatore, G., Grant, M.L.</w:t>
      </w:r>
      <w:r w:rsidR="0071597C" w:rsidRPr="00D45F6A">
        <w:t>A., Procacci, M., Olesek, K.</w:t>
      </w:r>
      <w:r w:rsidRPr="00D45F6A">
        <w:t xml:space="preserve">L., Buck, K.D., </w:t>
      </w:r>
      <w:r w:rsidR="0071597C" w:rsidRPr="00D45F6A">
        <w:t xml:space="preserve">Nicolò, G., </w:t>
      </w:r>
      <w:r w:rsidRPr="00D45F6A">
        <w:t>Dimaggio, G.</w:t>
      </w:r>
      <w:r w:rsidR="0071597C" w:rsidRPr="00D45F6A">
        <w:t>,</w:t>
      </w:r>
      <w:r w:rsidRPr="00D45F6A">
        <w:t xml:space="preserve"> 2010. Deficits in theory of mind and social anxiety as independent paths to paranoid features in schizophrenia. </w:t>
      </w:r>
      <w:r w:rsidR="0071597C" w:rsidRPr="00D45F6A">
        <w:t>Schizophr Res.</w:t>
      </w:r>
      <w:r w:rsidRPr="00D45F6A">
        <w:t> 124, 81-85.</w:t>
      </w:r>
      <w:r w:rsidR="0071597C" w:rsidRPr="00D45F6A">
        <w:t xml:space="preserve"> DOI: 10.1016/j.schres.2010.06.019</w:t>
      </w:r>
    </w:p>
    <w:p w14:paraId="5DB509FD" w14:textId="29126C4E" w:rsidR="00814E63" w:rsidRPr="00D45F6A" w:rsidRDefault="00814E63" w:rsidP="00D8753F">
      <w:pPr>
        <w:ind w:firstLine="0"/>
      </w:pPr>
      <w:r w:rsidRPr="00D45F6A">
        <w:t xml:space="preserve">Masillo, A., Day, F., Laing, J., Howes, O., Fusar-Poli, P., Byrne, M., </w:t>
      </w:r>
      <w:r w:rsidR="00D8753F" w:rsidRPr="00D45F6A">
        <w:t xml:space="preserve">Bhattacharyya, S., Fiori Nastro, P., Girardi, P., McGuire, P.K., </w:t>
      </w:r>
      <w:r w:rsidRPr="00D45F6A">
        <w:t>Valmaggia, L.R.</w:t>
      </w:r>
      <w:r w:rsidR="00D8753F" w:rsidRPr="00D45F6A">
        <w:t>,</w:t>
      </w:r>
      <w:r w:rsidRPr="00D45F6A">
        <w:t xml:space="preserve"> 2012. Interpersonal sensitivity in the at-risk mental state for psychosis. Psychol</w:t>
      </w:r>
      <w:r w:rsidR="00D8753F" w:rsidRPr="00D45F6A">
        <w:t>.</w:t>
      </w:r>
      <w:r w:rsidRPr="00D45F6A">
        <w:t xml:space="preserve"> Med</w:t>
      </w:r>
      <w:r w:rsidR="00D8753F" w:rsidRPr="00D45F6A">
        <w:t>.</w:t>
      </w:r>
      <w:r w:rsidRPr="00D45F6A">
        <w:t> 42, 1835-1845.</w:t>
      </w:r>
      <w:r w:rsidR="00D8753F" w:rsidRPr="00D45F6A">
        <w:t xml:space="preserve"> DOI: 10.1017/S0033291711002996</w:t>
      </w:r>
    </w:p>
    <w:p w14:paraId="054D285F" w14:textId="42D1B039" w:rsidR="00814E63" w:rsidRPr="00D45F6A" w:rsidRDefault="00814E63" w:rsidP="00D8753F">
      <w:pPr>
        <w:ind w:firstLine="0"/>
        <w:rPr>
          <w:lang w:eastAsia="en-US"/>
        </w:rPr>
      </w:pPr>
      <w:r w:rsidRPr="00D45F6A">
        <w:rPr>
          <w:lang w:eastAsia="en-US"/>
        </w:rPr>
        <w:t>Mason, O., Claridge, G.</w:t>
      </w:r>
      <w:r w:rsidR="00D8753F" w:rsidRPr="00D45F6A">
        <w:rPr>
          <w:lang w:eastAsia="en-US"/>
        </w:rPr>
        <w:t>,</w:t>
      </w:r>
      <w:r w:rsidRPr="00D45F6A">
        <w:rPr>
          <w:lang w:eastAsia="en-US"/>
        </w:rPr>
        <w:t xml:space="preserve"> 2006. The Oxford-Liverpool Inventory of Feelings and Experiences (O-LIFE): Further description and extended norms. </w:t>
      </w:r>
      <w:r w:rsidRPr="00D45F6A">
        <w:rPr>
          <w:iCs/>
          <w:lang w:eastAsia="en-US"/>
        </w:rPr>
        <w:t>Schizophr</w:t>
      </w:r>
      <w:r w:rsidR="00D8753F" w:rsidRPr="00D45F6A">
        <w:rPr>
          <w:iCs/>
          <w:lang w:eastAsia="en-US"/>
        </w:rPr>
        <w:t>.</w:t>
      </w:r>
      <w:r w:rsidRPr="00D45F6A">
        <w:rPr>
          <w:iCs/>
          <w:lang w:eastAsia="en-US"/>
        </w:rPr>
        <w:t xml:space="preserve"> Res</w:t>
      </w:r>
      <w:r w:rsidR="00D8753F" w:rsidRPr="00D45F6A">
        <w:rPr>
          <w:iCs/>
          <w:lang w:eastAsia="en-US"/>
        </w:rPr>
        <w:t>.</w:t>
      </w:r>
      <w:r w:rsidR="0007554E" w:rsidRPr="00D45F6A">
        <w:rPr>
          <w:lang w:eastAsia="en-US"/>
        </w:rPr>
        <w:t xml:space="preserve"> 82</w:t>
      </w:r>
      <w:r w:rsidRPr="00D45F6A">
        <w:rPr>
          <w:lang w:eastAsia="en-US"/>
        </w:rPr>
        <w:t>, 203-211.</w:t>
      </w:r>
      <w:r w:rsidR="00D8753F" w:rsidRPr="00D45F6A">
        <w:rPr>
          <w:lang w:eastAsia="en-US"/>
        </w:rPr>
        <w:t xml:space="preserve"> DOI: 10.1016/j.schres.2005.12.845</w:t>
      </w:r>
    </w:p>
    <w:p w14:paraId="7C1288D8" w14:textId="31D42D3E" w:rsidR="00814E63" w:rsidRPr="00D45F6A" w:rsidRDefault="00814E63" w:rsidP="001A378A">
      <w:pPr>
        <w:ind w:firstLine="0"/>
        <w:rPr>
          <w:lang w:eastAsia="en-US"/>
        </w:rPr>
      </w:pPr>
      <w:r w:rsidRPr="00D45F6A">
        <w:rPr>
          <w:lang w:eastAsia="en-US"/>
        </w:rPr>
        <w:t>Mason, O., Claridge, G., Jackson, M.</w:t>
      </w:r>
      <w:r w:rsidR="001A378A" w:rsidRPr="00D45F6A">
        <w:rPr>
          <w:lang w:eastAsia="en-US"/>
        </w:rPr>
        <w:t>,</w:t>
      </w:r>
      <w:r w:rsidRPr="00D45F6A">
        <w:rPr>
          <w:lang w:eastAsia="en-US"/>
        </w:rPr>
        <w:t xml:space="preserve"> 1995. New scales for the assessment of schizotypy. </w:t>
      </w:r>
      <w:r w:rsidRPr="00D45F6A">
        <w:rPr>
          <w:iCs/>
          <w:lang w:eastAsia="en-US"/>
        </w:rPr>
        <w:t>Pers</w:t>
      </w:r>
      <w:r w:rsidR="00D8753F" w:rsidRPr="00D45F6A">
        <w:rPr>
          <w:iCs/>
          <w:lang w:eastAsia="en-US"/>
        </w:rPr>
        <w:t>.</w:t>
      </w:r>
      <w:r w:rsidRPr="00D45F6A">
        <w:rPr>
          <w:iCs/>
          <w:lang w:eastAsia="en-US"/>
        </w:rPr>
        <w:t xml:space="preserve"> Indiv</w:t>
      </w:r>
      <w:r w:rsidR="00E2588F" w:rsidRPr="00D45F6A">
        <w:rPr>
          <w:iCs/>
          <w:lang w:eastAsia="en-US"/>
        </w:rPr>
        <w:t>id</w:t>
      </w:r>
      <w:r w:rsidR="00D8753F" w:rsidRPr="00D45F6A">
        <w:rPr>
          <w:iCs/>
          <w:lang w:eastAsia="en-US"/>
        </w:rPr>
        <w:t>.</w:t>
      </w:r>
      <w:r w:rsidRPr="00D45F6A">
        <w:rPr>
          <w:iCs/>
          <w:lang w:eastAsia="en-US"/>
        </w:rPr>
        <w:t xml:space="preserve"> Dif</w:t>
      </w:r>
      <w:r w:rsidR="00E2588F" w:rsidRPr="00D45F6A">
        <w:rPr>
          <w:iCs/>
          <w:lang w:eastAsia="en-US"/>
        </w:rPr>
        <w:t>.</w:t>
      </w:r>
      <w:r w:rsidRPr="00D45F6A">
        <w:rPr>
          <w:lang w:eastAsia="en-US"/>
        </w:rPr>
        <w:t xml:space="preserve"> 18, 7–13.</w:t>
      </w:r>
      <w:r w:rsidR="00D8753F" w:rsidRPr="00D45F6A">
        <w:rPr>
          <w:lang w:eastAsia="en-US"/>
        </w:rPr>
        <w:t xml:space="preserve"> DOI: 10.1016/0191-8869(94)00132-C</w:t>
      </w:r>
    </w:p>
    <w:p w14:paraId="6361E22B" w14:textId="48D0E2FB" w:rsidR="00FB3E35" w:rsidRPr="00D45F6A" w:rsidRDefault="00FB3E35" w:rsidP="00A86111">
      <w:pPr>
        <w:ind w:firstLine="0"/>
        <w:rPr>
          <w:lang w:eastAsia="en-US"/>
        </w:rPr>
      </w:pPr>
      <w:r w:rsidRPr="00D45F6A">
        <w:rPr>
          <w:lang w:eastAsia="en-US"/>
        </w:rPr>
        <w:t>Mason, O., 2015. The Assessment of Schizotypy and Its Clinical Relevance. Schizophr. Bull. 41, S374-S385.</w:t>
      </w:r>
    </w:p>
    <w:p w14:paraId="60E2C7F3" w14:textId="3D2E68D5" w:rsidR="00A86111" w:rsidRPr="00D45F6A" w:rsidRDefault="00A86111" w:rsidP="00A86111">
      <w:pPr>
        <w:ind w:firstLine="0"/>
        <w:rPr>
          <w:lang w:eastAsia="en-US"/>
        </w:rPr>
      </w:pPr>
      <w:r w:rsidRPr="00D45F6A">
        <w:rPr>
          <w:lang w:eastAsia="en-US"/>
        </w:rPr>
        <w:t>Meehl, P.E., 1962. Schizotaxia, schizotypy, schizophrenia. Am. Psychologist 17,</w:t>
      </w:r>
      <w:r w:rsidR="003173E3" w:rsidRPr="00D45F6A">
        <w:rPr>
          <w:lang w:eastAsia="en-US"/>
        </w:rPr>
        <w:t xml:space="preserve"> </w:t>
      </w:r>
      <w:r w:rsidRPr="00D45F6A">
        <w:rPr>
          <w:lang w:eastAsia="en-US"/>
        </w:rPr>
        <w:t>827-838.</w:t>
      </w:r>
      <w:r w:rsidR="004F0A73" w:rsidRPr="00D45F6A">
        <w:rPr>
          <w:lang w:eastAsia="en-US"/>
        </w:rPr>
        <w:t xml:space="preserve"> doi: 10.1037/h0041029.</w:t>
      </w:r>
    </w:p>
    <w:p w14:paraId="1F8AE0CA" w14:textId="33D87712" w:rsidR="00615F42" w:rsidRPr="00D45F6A" w:rsidRDefault="00615F42" w:rsidP="00A86111">
      <w:pPr>
        <w:ind w:firstLine="0"/>
        <w:rPr>
          <w:lang w:eastAsia="en-US"/>
        </w:rPr>
      </w:pPr>
      <w:r w:rsidRPr="00D45F6A">
        <w:rPr>
          <w:lang w:eastAsia="en-US"/>
        </w:rPr>
        <w:lastRenderedPageBreak/>
        <w:t>Michail, M., Birchwood, M.</w:t>
      </w:r>
      <w:r w:rsidR="00C65B22" w:rsidRPr="00D45F6A">
        <w:rPr>
          <w:lang w:eastAsia="en-US"/>
        </w:rPr>
        <w:t>,</w:t>
      </w:r>
      <w:r w:rsidRPr="00D45F6A">
        <w:rPr>
          <w:lang w:eastAsia="en-US"/>
        </w:rPr>
        <w:t xml:space="preserve"> 2009. Social anxiety disorder in first-episode psychosis: Incidence, phenomenology and relationship with paranoia. Br</w:t>
      </w:r>
      <w:r w:rsidR="00C65B22" w:rsidRPr="00D45F6A">
        <w:rPr>
          <w:lang w:eastAsia="en-US"/>
        </w:rPr>
        <w:t>.</w:t>
      </w:r>
      <w:r w:rsidRPr="00D45F6A">
        <w:rPr>
          <w:lang w:eastAsia="en-US"/>
        </w:rPr>
        <w:t xml:space="preserve"> J</w:t>
      </w:r>
      <w:r w:rsidR="00C65B22" w:rsidRPr="00D45F6A">
        <w:rPr>
          <w:lang w:eastAsia="en-US"/>
        </w:rPr>
        <w:t>.</w:t>
      </w:r>
      <w:r w:rsidRPr="00D45F6A">
        <w:rPr>
          <w:lang w:eastAsia="en-US"/>
        </w:rPr>
        <w:t xml:space="preserve"> Psychiatr</w:t>
      </w:r>
      <w:r w:rsidR="00C65B22" w:rsidRPr="00D45F6A">
        <w:rPr>
          <w:lang w:eastAsia="en-US"/>
        </w:rPr>
        <w:t>y</w:t>
      </w:r>
      <w:r w:rsidR="0007554E" w:rsidRPr="00D45F6A">
        <w:rPr>
          <w:lang w:eastAsia="en-US"/>
        </w:rPr>
        <w:t xml:space="preserve"> 195</w:t>
      </w:r>
      <w:r w:rsidRPr="00D45F6A">
        <w:rPr>
          <w:lang w:eastAsia="en-US"/>
        </w:rPr>
        <w:t>, 234-</w:t>
      </w:r>
      <w:r w:rsidR="0029596F" w:rsidRPr="00D45F6A">
        <w:rPr>
          <w:lang w:eastAsia="en-US"/>
        </w:rPr>
        <w:t>2</w:t>
      </w:r>
      <w:r w:rsidRPr="00D45F6A">
        <w:rPr>
          <w:lang w:eastAsia="en-US"/>
        </w:rPr>
        <w:t>41.</w:t>
      </w:r>
      <w:r w:rsidR="00C65B22" w:rsidRPr="00D45F6A">
        <w:rPr>
          <w:lang w:eastAsia="en-US"/>
        </w:rPr>
        <w:t xml:space="preserve"> DOI: 10.1192/bjp.bp.108.053124</w:t>
      </w:r>
    </w:p>
    <w:p w14:paraId="6E18B97B" w14:textId="125CC0D3" w:rsidR="00814E63" w:rsidRPr="00D45F6A" w:rsidRDefault="00814E63" w:rsidP="00C65B22">
      <w:pPr>
        <w:ind w:firstLine="0"/>
        <w:rPr>
          <w:lang w:eastAsia="en-US"/>
        </w:rPr>
      </w:pPr>
      <w:r w:rsidRPr="00D45F6A">
        <w:rPr>
          <w:lang w:eastAsia="en-US"/>
        </w:rPr>
        <w:t xml:space="preserve">Morrison, A., French, P., Lewis, S., Roberts, M., Raja, S., Neil, S., </w:t>
      </w:r>
      <w:r w:rsidR="00C65B22" w:rsidRPr="00D45F6A">
        <w:rPr>
          <w:lang w:eastAsia="en-US"/>
        </w:rPr>
        <w:t xml:space="preserve">Parker, S., Green, J., Kilcommons, A., Walford, L., </w:t>
      </w:r>
      <w:r w:rsidRPr="00D45F6A">
        <w:rPr>
          <w:lang w:eastAsia="en-US"/>
        </w:rPr>
        <w:t>Bentall, R.</w:t>
      </w:r>
      <w:r w:rsidR="00C65B22" w:rsidRPr="00D45F6A">
        <w:rPr>
          <w:lang w:eastAsia="en-US"/>
        </w:rPr>
        <w:t>,</w:t>
      </w:r>
      <w:r w:rsidRPr="00D45F6A">
        <w:rPr>
          <w:lang w:eastAsia="en-US"/>
        </w:rPr>
        <w:t xml:space="preserve"> 2006. Psychological factors in people at ultra-high risk of psychosis: Comparisons with non-patients and associations with symptoms. </w:t>
      </w:r>
      <w:r w:rsidR="00C65B22" w:rsidRPr="00D45F6A">
        <w:rPr>
          <w:iCs/>
          <w:lang w:eastAsia="en-US"/>
        </w:rPr>
        <w:t>Psychol.</w:t>
      </w:r>
      <w:r w:rsidRPr="00D45F6A">
        <w:rPr>
          <w:iCs/>
          <w:lang w:eastAsia="en-US"/>
        </w:rPr>
        <w:t xml:space="preserve"> Med</w:t>
      </w:r>
      <w:r w:rsidR="00C65B22" w:rsidRPr="00D45F6A">
        <w:rPr>
          <w:iCs/>
          <w:lang w:eastAsia="en-US"/>
        </w:rPr>
        <w:t>.</w:t>
      </w:r>
      <w:r w:rsidR="0007554E" w:rsidRPr="00D45F6A">
        <w:rPr>
          <w:lang w:eastAsia="en-US"/>
        </w:rPr>
        <w:t xml:space="preserve"> 36</w:t>
      </w:r>
      <w:r w:rsidRPr="00D45F6A">
        <w:rPr>
          <w:lang w:eastAsia="en-US"/>
        </w:rPr>
        <w:t>, 1395-1404.</w:t>
      </w:r>
      <w:r w:rsidR="00C65B22" w:rsidRPr="00D45F6A">
        <w:rPr>
          <w:lang w:eastAsia="en-US"/>
        </w:rPr>
        <w:t xml:space="preserve"> DOI: 10.1017/S0033291706007768</w:t>
      </w:r>
    </w:p>
    <w:p w14:paraId="45909CFE" w14:textId="2E1E7EC1" w:rsidR="00814E63" w:rsidRPr="00D45F6A" w:rsidRDefault="00814E63" w:rsidP="00C65B22">
      <w:pPr>
        <w:ind w:firstLine="0"/>
        <w:rPr>
          <w:lang w:eastAsia="en-US"/>
        </w:rPr>
      </w:pPr>
      <w:r w:rsidRPr="00D45F6A">
        <w:rPr>
          <w:lang w:eastAsia="en-US"/>
        </w:rPr>
        <w:t>Ng, T., Johnson, H.</w:t>
      </w:r>
      <w:r w:rsidR="00C65B22" w:rsidRPr="00D45F6A">
        <w:rPr>
          <w:lang w:eastAsia="en-US"/>
        </w:rPr>
        <w:t>,</w:t>
      </w:r>
      <w:r w:rsidRPr="00D45F6A">
        <w:rPr>
          <w:lang w:eastAsia="en-US"/>
        </w:rPr>
        <w:t xml:space="preserve"> 2013. </w:t>
      </w:r>
      <w:r w:rsidR="00326EB1" w:rsidRPr="00D45F6A">
        <w:rPr>
          <w:lang w:eastAsia="en-US"/>
        </w:rPr>
        <w:t>Rejection sensitivity is associated with quality of life, psychosocial outcome, and the course of depression in euthymic patients with bipolar I disorder. </w:t>
      </w:r>
      <w:r w:rsidRPr="00D45F6A">
        <w:rPr>
          <w:lang w:eastAsia="en-US"/>
        </w:rPr>
        <w:t>Cognitive Ther</w:t>
      </w:r>
      <w:r w:rsidR="00C65B22" w:rsidRPr="00D45F6A">
        <w:rPr>
          <w:lang w:eastAsia="en-US"/>
        </w:rPr>
        <w:t>.</w:t>
      </w:r>
      <w:r w:rsidRPr="00D45F6A">
        <w:rPr>
          <w:lang w:eastAsia="en-US"/>
        </w:rPr>
        <w:t xml:space="preserve"> Res</w:t>
      </w:r>
      <w:r w:rsidR="00C65B22" w:rsidRPr="00D45F6A">
        <w:rPr>
          <w:lang w:eastAsia="en-US"/>
        </w:rPr>
        <w:t xml:space="preserve">. </w:t>
      </w:r>
      <w:r w:rsidRPr="00D45F6A">
        <w:rPr>
          <w:lang w:eastAsia="en-US"/>
        </w:rPr>
        <w:t>37, 1169-1178.</w:t>
      </w:r>
      <w:r w:rsidR="00C65B22" w:rsidRPr="00D45F6A">
        <w:rPr>
          <w:lang w:eastAsia="en-US"/>
        </w:rPr>
        <w:t xml:space="preserve"> DOI 10.1007/s10608-013-9552-1</w:t>
      </w:r>
    </w:p>
    <w:p w14:paraId="42FFC701" w14:textId="05C77B1B" w:rsidR="007F6D39" w:rsidRPr="00D45F6A" w:rsidRDefault="007F6D39" w:rsidP="00C65B22">
      <w:pPr>
        <w:ind w:firstLine="0"/>
      </w:pPr>
      <w:r w:rsidRPr="00D45F6A">
        <w:t>Örsel, S., Akdemir, A., Dağ, I., 2004. The sensitivity of quality-of-life scale WHOQOL-100 to psychopathological measures in schizophrenia. Compr.</w:t>
      </w:r>
      <w:r w:rsidR="00EF4D59" w:rsidRPr="00D45F6A">
        <w:t xml:space="preserve"> Psychiatry, 45, </w:t>
      </w:r>
      <w:r w:rsidRPr="00D45F6A">
        <w:t>57–61.</w:t>
      </w:r>
    </w:p>
    <w:p w14:paraId="04AA81B9" w14:textId="65A5E77D" w:rsidR="00F808B4" w:rsidRPr="00D45F6A" w:rsidRDefault="00F808B4" w:rsidP="00C65B22">
      <w:pPr>
        <w:ind w:firstLine="0"/>
      </w:pPr>
      <w:r w:rsidRPr="00D45F6A">
        <w:t>Park, A., Jensen-Campbell, L., Miller, H.</w:t>
      </w:r>
      <w:r w:rsidR="00C65B22" w:rsidRPr="00D45F6A">
        <w:t>,</w:t>
      </w:r>
      <w:r w:rsidRPr="00D45F6A">
        <w:t xml:space="preserve"> 2016. The effects of peer relational victimization on social cognition: </w:t>
      </w:r>
      <w:r w:rsidR="00326EB1" w:rsidRPr="00D45F6A">
        <w:t>r</w:t>
      </w:r>
      <w:r w:rsidRPr="00D45F6A">
        <w:t>ejection attribution bias or a more generalized sensitivity to social pain? J</w:t>
      </w:r>
      <w:r w:rsidR="00C65B22" w:rsidRPr="00D45F6A">
        <w:t>.</w:t>
      </w:r>
      <w:r w:rsidRPr="00D45F6A">
        <w:t xml:space="preserve"> Soc</w:t>
      </w:r>
      <w:r w:rsidR="00C65B22" w:rsidRPr="00D45F6A">
        <w:t>.</w:t>
      </w:r>
      <w:r w:rsidRPr="00D45F6A">
        <w:t xml:space="preserve"> Pers</w:t>
      </w:r>
      <w:r w:rsidR="00C65B22" w:rsidRPr="00D45F6A">
        <w:t>.</w:t>
      </w:r>
      <w:r w:rsidRPr="00D45F6A">
        <w:t xml:space="preserve"> Relat</w:t>
      </w:r>
      <w:r w:rsidR="00C65B22" w:rsidRPr="00D45F6A">
        <w:t>.</w:t>
      </w:r>
      <w:r w:rsidRPr="00D45F6A">
        <w:t> </w:t>
      </w:r>
      <w:r w:rsidR="008B6427" w:rsidRPr="00D45F6A">
        <w:t xml:space="preserve">34, 984-1006. </w:t>
      </w:r>
      <w:r w:rsidRPr="00D45F6A">
        <w:t>026540751666441.</w:t>
      </w:r>
      <w:r w:rsidR="00C65B22" w:rsidRPr="00D45F6A">
        <w:t xml:space="preserve"> DOI: 10.1177/0265407516664418</w:t>
      </w:r>
    </w:p>
    <w:p w14:paraId="6D6DDD00" w14:textId="77777777" w:rsidR="003058FC" w:rsidRPr="00D45F6A" w:rsidRDefault="003058FC" w:rsidP="003058FC">
      <w:pPr>
        <w:ind w:firstLine="0"/>
      </w:pPr>
      <w:r w:rsidRPr="00D45F6A">
        <w:t xml:space="preserve">Premkumar, P., Onwumere, J., Jacobo, A., Kessel, D., Kumari, V., Kuipers, E., Carretié, L., 2015. The relation between schizotypy and early attention to rejecting interactions: the influence of neuroticism. </w:t>
      </w:r>
      <w:r w:rsidRPr="00D45F6A">
        <w:rPr>
          <w:iCs/>
        </w:rPr>
        <w:t>World J. Biol. Psychiatry 16,</w:t>
      </w:r>
      <w:r w:rsidRPr="00D45F6A">
        <w:t xml:space="preserve"> 587-601. DOI: 10.3109/15622975.2015.1073855</w:t>
      </w:r>
    </w:p>
    <w:p w14:paraId="523ED738" w14:textId="77777777" w:rsidR="003058FC" w:rsidRPr="00D45F6A" w:rsidRDefault="003058FC" w:rsidP="003058FC">
      <w:pPr>
        <w:ind w:firstLine="0"/>
      </w:pPr>
      <w:r w:rsidRPr="00D45F6A">
        <w:t xml:space="preserve">Premkumar, P., Onwumere, J., Wilson, D., Sumich, A., Castro, A., Kumari, V., Kuipers, E., 2014. Greater positive schizotypy relates to reduced N100 activity during rejection scenes. </w:t>
      </w:r>
      <w:r w:rsidRPr="00D45F6A">
        <w:rPr>
          <w:iCs/>
        </w:rPr>
        <w:t>Neuropsychologia</w:t>
      </w:r>
      <w:r w:rsidRPr="00D45F6A">
        <w:t>, 61, 280-290. DOI: 10.1016/j.neuropsychologia.2014.06.031</w:t>
      </w:r>
    </w:p>
    <w:p w14:paraId="2E999FD2" w14:textId="77777777" w:rsidR="003058FC" w:rsidRPr="00D45F6A" w:rsidRDefault="003058FC" w:rsidP="003058FC">
      <w:pPr>
        <w:ind w:firstLine="0"/>
      </w:pPr>
      <w:r w:rsidRPr="00D45F6A">
        <w:lastRenderedPageBreak/>
        <w:t xml:space="preserve">Premkumar, P., Williams, S., Lythgoe, D., Andrew, C., Kuipers, E., Kumari, V., 2013. Neural processing of criticism and positive comments from relatives in individuals with schizotypal personality traits. </w:t>
      </w:r>
      <w:r w:rsidRPr="00D45F6A">
        <w:rPr>
          <w:iCs/>
        </w:rPr>
        <w:t xml:space="preserve">World J. Biol. Psychiatry </w:t>
      </w:r>
      <w:r w:rsidRPr="00D45F6A">
        <w:t>14, 57-70. DOI: 10.3109/15622975.2011.604101</w:t>
      </w:r>
    </w:p>
    <w:p w14:paraId="57E3991C" w14:textId="2EBE0B8B" w:rsidR="00814E63" w:rsidRPr="00D45F6A" w:rsidRDefault="00814E63" w:rsidP="00C65B22">
      <w:pPr>
        <w:ind w:firstLine="0"/>
      </w:pPr>
      <w:r w:rsidRPr="00D45F6A">
        <w:t>Premkumar, P., Ettinger, U., Inchley-Mort, S., Sumich, A., Williams, S.C.R., Kuipers, E., Kumari, V.</w:t>
      </w:r>
      <w:r w:rsidR="00C65B22" w:rsidRPr="00D45F6A">
        <w:t>,</w:t>
      </w:r>
      <w:r w:rsidRPr="00D45F6A">
        <w:t xml:space="preserve"> 2012. Neural processing of social rejection: The role of schizotypal personality traits. </w:t>
      </w:r>
      <w:r w:rsidRPr="00D45F6A">
        <w:rPr>
          <w:iCs/>
        </w:rPr>
        <w:t>Hum</w:t>
      </w:r>
      <w:r w:rsidR="00C65B22" w:rsidRPr="00D45F6A">
        <w:rPr>
          <w:iCs/>
        </w:rPr>
        <w:t>.</w:t>
      </w:r>
      <w:r w:rsidRPr="00D45F6A">
        <w:rPr>
          <w:iCs/>
        </w:rPr>
        <w:t xml:space="preserve"> Brain Mapp</w:t>
      </w:r>
      <w:r w:rsidR="00C65B22" w:rsidRPr="00D45F6A">
        <w:rPr>
          <w:iCs/>
        </w:rPr>
        <w:t>.</w:t>
      </w:r>
      <w:r w:rsidRPr="00D45F6A">
        <w:t xml:space="preserve"> 33, 695-706.</w:t>
      </w:r>
      <w:r w:rsidR="00C65B22" w:rsidRPr="00D45F6A">
        <w:t xml:space="preserve"> DOI: 10.1002/hbm.21243</w:t>
      </w:r>
    </w:p>
    <w:p w14:paraId="74B95A46" w14:textId="2DD1613A" w:rsidR="00814E63" w:rsidRPr="00D45F6A" w:rsidRDefault="00814E63" w:rsidP="00AE6B85">
      <w:pPr>
        <w:ind w:firstLine="0"/>
      </w:pPr>
      <w:r w:rsidRPr="00D45F6A">
        <w:t>Rabin, S., Hasson-Ohayon, I., Avidan, M., Rozencwaig, S., Shalev, H., Kravetz, S.</w:t>
      </w:r>
      <w:r w:rsidR="00AE6B85" w:rsidRPr="00D45F6A">
        <w:t>,</w:t>
      </w:r>
      <w:r w:rsidRPr="00D45F6A">
        <w:t xml:space="preserve"> 2014. </w:t>
      </w:r>
      <w:r w:rsidR="008B6427" w:rsidRPr="00D45F6A">
        <w:t>Metacognition in schizophrenia and schizotypy: relation to symptoms of schizophrenia, traits of schizotypy and social quality of life</w:t>
      </w:r>
      <w:r w:rsidRPr="00D45F6A">
        <w:t xml:space="preserve">. </w:t>
      </w:r>
      <w:r w:rsidR="00AE6B85" w:rsidRPr="00D45F6A">
        <w:rPr>
          <w:iCs/>
        </w:rPr>
        <w:t xml:space="preserve">Isr. J. Psychiatry Relat. Sci. </w:t>
      </w:r>
      <w:r w:rsidR="0007554E" w:rsidRPr="00D45F6A">
        <w:t>51</w:t>
      </w:r>
      <w:r w:rsidRPr="00D45F6A">
        <w:t>, 44-53.</w:t>
      </w:r>
    </w:p>
    <w:p w14:paraId="734AF022" w14:textId="46D6E3D4" w:rsidR="00947050" w:rsidRPr="00D45F6A" w:rsidRDefault="00947050" w:rsidP="00AE6B85">
      <w:pPr>
        <w:ind w:firstLine="0"/>
        <w:rPr>
          <w:lang w:eastAsia="en-US"/>
        </w:rPr>
      </w:pPr>
      <w:r w:rsidRPr="00D45F6A">
        <w:rPr>
          <w:lang w:eastAsia="en-US"/>
        </w:rPr>
        <w:t xml:space="preserve">Raine, A., 1991. The SPQ: A Scale for the Assessment of Schizotypal Personality Based on DSM–III–R Criteria. Schizophr. Bull. 17, 555–564. </w:t>
      </w:r>
    </w:p>
    <w:p w14:paraId="11FBAE30" w14:textId="548BB2AB" w:rsidR="00814E63" w:rsidRPr="00D45F6A" w:rsidRDefault="00814E63" w:rsidP="00AE6B85">
      <w:pPr>
        <w:ind w:firstLine="0"/>
        <w:rPr>
          <w:lang w:eastAsia="en-US"/>
        </w:rPr>
      </w:pPr>
      <w:r w:rsidRPr="00D45F6A">
        <w:rPr>
          <w:lang w:eastAsia="en-US"/>
        </w:rPr>
        <w:t xml:space="preserve">Ross, S., Lutz, C., </w:t>
      </w:r>
      <w:r w:rsidR="00AE6B85" w:rsidRPr="00D45F6A">
        <w:rPr>
          <w:lang w:eastAsia="en-US"/>
        </w:rPr>
        <w:t xml:space="preserve">Bailley, S., </w:t>
      </w:r>
      <w:r w:rsidRPr="00D45F6A">
        <w:rPr>
          <w:lang w:eastAsia="en-US"/>
        </w:rPr>
        <w:t>2002. Positive and Negative Symptoms of Schizotypy and the Five-Factor Model: A Domain and Facet Level Analysis. </w:t>
      </w:r>
      <w:r w:rsidR="00AE6B85" w:rsidRPr="00D45F6A">
        <w:rPr>
          <w:lang w:eastAsia="en-US"/>
        </w:rPr>
        <w:t>J. Pers. Assess.</w:t>
      </w:r>
      <w:r w:rsidRPr="00D45F6A">
        <w:rPr>
          <w:lang w:eastAsia="en-US"/>
        </w:rPr>
        <w:t> 79, 53-72.</w:t>
      </w:r>
      <w:r w:rsidR="00AE6B85" w:rsidRPr="00D45F6A">
        <w:rPr>
          <w:lang w:eastAsia="en-US"/>
        </w:rPr>
        <w:t xml:space="preserve"> DOI: 10.1207/S15327752JPA7901_04</w:t>
      </w:r>
    </w:p>
    <w:p w14:paraId="7F56271F" w14:textId="0E521BFC" w:rsidR="00814E63" w:rsidRPr="00D45F6A" w:rsidRDefault="00814E63" w:rsidP="00B017D3">
      <w:pPr>
        <w:ind w:firstLine="0"/>
      </w:pPr>
      <w:r w:rsidRPr="00D45F6A">
        <w:t>Rössler, W., Ajdacic-Gross, V., Müller, M., Rodgers, S., Haker, H., Hengartner, M.P.</w:t>
      </w:r>
      <w:r w:rsidR="001D53AD" w:rsidRPr="00D45F6A">
        <w:t>,</w:t>
      </w:r>
      <w:r w:rsidRPr="00D45F6A">
        <w:t xml:space="preserve"> 2015. Assessing sub-clinical psychosis phenotypes in the general population — A multidimensional approach. Schizophr</w:t>
      </w:r>
      <w:r w:rsidR="001D53AD" w:rsidRPr="00D45F6A">
        <w:t>.</w:t>
      </w:r>
      <w:r w:rsidRPr="00D45F6A">
        <w:t xml:space="preserve"> Res</w:t>
      </w:r>
      <w:r w:rsidR="001D53AD" w:rsidRPr="00D45F6A">
        <w:t>.</w:t>
      </w:r>
      <w:r w:rsidRPr="00D45F6A">
        <w:t xml:space="preserve"> 161, 194-201.</w:t>
      </w:r>
      <w:r w:rsidR="001D53AD" w:rsidRPr="00D45F6A">
        <w:t xml:space="preserve"> DOI: 10.1016/j.schres.2014.11.033</w:t>
      </w:r>
    </w:p>
    <w:p w14:paraId="034A3F02" w14:textId="7F0843D9" w:rsidR="00315BA1" w:rsidRPr="00D45F6A" w:rsidRDefault="00C76F41" w:rsidP="00B017D3">
      <w:pPr>
        <w:ind w:firstLine="0"/>
        <w:rPr>
          <w:lang w:val="fr-FR" w:eastAsia="en-US"/>
        </w:rPr>
      </w:pPr>
      <w:r w:rsidRPr="00D45F6A">
        <w:rPr>
          <w:lang w:eastAsia="en-US"/>
        </w:rPr>
        <w:t>Rubin, K. H., Coplan, R.J., Bowker, J.C.</w:t>
      </w:r>
      <w:r w:rsidR="00B017D3" w:rsidRPr="00D45F6A">
        <w:rPr>
          <w:lang w:eastAsia="en-US"/>
        </w:rPr>
        <w:t>,</w:t>
      </w:r>
      <w:r w:rsidRPr="00D45F6A">
        <w:rPr>
          <w:lang w:eastAsia="en-US"/>
        </w:rPr>
        <w:t xml:space="preserve"> 2009. Social withdrawal in childhood. </w:t>
      </w:r>
      <w:r w:rsidR="00B017D3" w:rsidRPr="00D45F6A">
        <w:rPr>
          <w:iCs/>
          <w:lang w:eastAsia="en-US"/>
        </w:rPr>
        <w:t>Annu Rev Psychol.</w:t>
      </w:r>
      <w:r w:rsidRPr="00D45F6A">
        <w:rPr>
          <w:lang w:eastAsia="en-US"/>
        </w:rPr>
        <w:t xml:space="preserve"> </w:t>
      </w:r>
      <w:r w:rsidRPr="00D45F6A">
        <w:rPr>
          <w:lang w:val="fr-FR" w:eastAsia="en-US"/>
        </w:rPr>
        <w:t xml:space="preserve">60, 141–171. </w:t>
      </w:r>
      <w:r w:rsidR="00B017D3" w:rsidRPr="00D45F6A">
        <w:rPr>
          <w:lang w:val="fr-FR" w:eastAsia="en-US"/>
        </w:rPr>
        <w:t>DOI: 10.1146/annurev.psych.60.110707.163642</w:t>
      </w:r>
    </w:p>
    <w:p w14:paraId="7CBBBDF6" w14:textId="7B1FC999" w:rsidR="00B5382D" w:rsidRPr="00D45F6A" w:rsidRDefault="00B5382D" w:rsidP="00B017D3">
      <w:pPr>
        <w:ind w:firstLine="0"/>
        <w:rPr>
          <w:lang w:eastAsia="en-US"/>
        </w:rPr>
      </w:pPr>
      <w:r w:rsidRPr="00D45F6A">
        <w:rPr>
          <w:lang w:val="fr-FR" w:eastAsia="en-US"/>
        </w:rPr>
        <w:t>Schippers, G., Marker, N., De Fuentes-Merillas, L.</w:t>
      </w:r>
      <w:r w:rsidR="00B017D3" w:rsidRPr="00D45F6A">
        <w:rPr>
          <w:lang w:val="fr-FR" w:eastAsia="en-US"/>
        </w:rPr>
        <w:t>, 2001</w:t>
      </w:r>
      <w:r w:rsidRPr="00D45F6A">
        <w:rPr>
          <w:lang w:val="fr-FR" w:eastAsia="en-US"/>
        </w:rPr>
        <w:t xml:space="preserve">. </w:t>
      </w:r>
      <w:r w:rsidRPr="00D45F6A">
        <w:rPr>
          <w:lang w:eastAsia="en-US"/>
        </w:rPr>
        <w:t>Social skills training, prosocial behavior, and aggressiveness in adult incarcerated offenders. Int</w:t>
      </w:r>
      <w:r w:rsidR="00B017D3" w:rsidRPr="00D45F6A">
        <w:rPr>
          <w:lang w:eastAsia="en-US"/>
        </w:rPr>
        <w:t>.</w:t>
      </w:r>
      <w:r w:rsidRPr="00D45F6A">
        <w:rPr>
          <w:lang w:eastAsia="en-US"/>
        </w:rPr>
        <w:t xml:space="preserve"> J</w:t>
      </w:r>
      <w:r w:rsidR="00B017D3" w:rsidRPr="00D45F6A">
        <w:rPr>
          <w:lang w:eastAsia="en-US"/>
        </w:rPr>
        <w:t>.</w:t>
      </w:r>
      <w:r w:rsidRPr="00D45F6A">
        <w:rPr>
          <w:lang w:eastAsia="en-US"/>
        </w:rPr>
        <w:t xml:space="preserve"> Offender Ther</w:t>
      </w:r>
      <w:r w:rsidR="00B017D3" w:rsidRPr="00D45F6A">
        <w:rPr>
          <w:lang w:eastAsia="en-US"/>
        </w:rPr>
        <w:t>.</w:t>
      </w:r>
      <w:r w:rsidRPr="00D45F6A">
        <w:rPr>
          <w:lang w:eastAsia="en-US"/>
        </w:rPr>
        <w:t xml:space="preserve"> Comparative Criminology 45, 244-251.</w:t>
      </w:r>
      <w:r w:rsidR="00B017D3" w:rsidRPr="00D45F6A">
        <w:rPr>
          <w:lang w:eastAsia="en-US"/>
        </w:rPr>
        <w:t xml:space="preserve"> DOI: 10.1177/0306624X01452009</w:t>
      </w:r>
    </w:p>
    <w:p w14:paraId="3FB9DCDB" w14:textId="0D85F6D5" w:rsidR="00485B16" w:rsidRPr="00D45F6A" w:rsidRDefault="00485B16" w:rsidP="00B017D3">
      <w:pPr>
        <w:ind w:firstLine="0"/>
        <w:rPr>
          <w:lang w:eastAsia="en-US"/>
        </w:rPr>
      </w:pPr>
      <w:r w:rsidRPr="00D45F6A">
        <w:rPr>
          <w:lang w:eastAsia="en-US"/>
        </w:rPr>
        <w:lastRenderedPageBreak/>
        <w:t xml:space="preserve">Salokangas, </w:t>
      </w:r>
      <w:r w:rsidR="00FF450A" w:rsidRPr="00D45F6A">
        <w:rPr>
          <w:lang w:eastAsia="en-US"/>
        </w:rPr>
        <w:t xml:space="preserve">R. K. R., </w:t>
      </w:r>
      <w:r w:rsidRPr="00D45F6A">
        <w:rPr>
          <w:lang w:eastAsia="en-US"/>
        </w:rPr>
        <w:t xml:space="preserve">Dingemans, </w:t>
      </w:r>
      <w:r w:rsidR="00FF450A" w:rsidRPr="00D45F6A">
        <w:rPr>
          <w:lang w:eastAsia="en-US"/>
        </w:rPr>
        <w:t xml:space="preserve">P., </w:t>
      </w:r>
      <w:r w:rsidRPr="00D45F6A">
        <w:rPr>
          <w:lang w:eastAsia="en-US"/>
        </w:rPr>
        <w:t>Heinimaa,</w:t>
      </w:r>
      <w:r w:rsidR="00FF450A" w:rsidRPr="00D45F6A">
        <w:rPr>
          <w:lang w:eastAsia="en-US"/>
        </w:rPr>
        <w:t xml:space="preserve"> M.,</w:t>
      </w:r>
      <w:r w:rsidRPr="00D45F6A">
        <w:rPr>
          <w:lang w:eastAsia="en-US"/>
        </w:rPr>
        <w:t xml:space="preserve"> Svirskis,</w:t>
      </w:r>
      <w:r w:rsidR="00FF450A" w:rsidRPr="00D45F6A">
        <w:rPr>
          <w:lang w:eastAsia="en-US"/>
        </w:rPr>
        <w:t xml:space="preserve"> T.,</w:t>
      </w:r>
      <w:r w:rsidRPr="00D45F6A">
        <w:rPr>
          <w:lang w:eastAsia="en-US"/>
        </w:rPr>
        <w:t xml:space="preserve"> Luutonen, </w:t>
      </w:r>
      <w:r w:rsidR="00FF450A" w:rsidRPr="00D45F6A">
        <w:rPr>
          <w:lang w:eastAsia="en-US"/>
        </w:rPr>
        <w:t xml:space="preserve">S., </w:t>
      </w:r>
      <w:r w:rsidRPr="00D45F6A">
        <w:rPr>
          <w:lang w:eastAsia="en-US"/>
        </w:rPr>
        <w:t xml:space="preserve">Hietala, </w:t>
      </w:r>
      <w:r w:rsidR="00FF450A" w:rsidRPr="00D45F6A">
        <w:rPr>
          <w:lang w:eastAsia="en-US"/>
        </w:rPr>
        <w:t xml:space="preserve">J., </w:t>
      </w:r>
      <w:r w:rsidR="00B017D3" w:rsidRPr="00D45F6A">
        <w:rPr>
          <w:lang w:eastAsia="en-US"/>
        </w:rPr>
        <w:t xml:space="preserve">Ruhrmann, S., Juckel, G., Graf von Reventlow, H., Linszen, D., Birchwood, M., Patterson, P., Schultze-Lutter, F., Klosterkötter, J., EPOS group. </w:t>
      </w:r>
      <w:r w:rsidRPr="00D45F6A">
        <w:rPr>
          <w:lang w:eastAsia="en-US"/>
        </w:rPr>
        <w:t>2013. Prediction of psychosis in clinical high-risk patients by the Schizotypal Personality Questionnaire. Results of the EPOS project. Eur</w:t>
      </w:r>
      <w:r w:rsidR="00B017D3" w:rsidRPr="00D45F6A">
        <w:rPr>
          <w:lang w:eastAsia="en-US"/>
        </w:rPr>
        <w:t>.</w:t>
      </w:r>
      <w:r w:rsidRPr="00D45F6A">
        <w:rPr>
          <w:lang w:eastAsia="en-US"/>
        </w:rPr>
        <w:t xml:space="preserve"> Psychiatry 28, 469-475.</w:t>
      </w:r>
      <w:r w:rsidR="00B017D3" w:rsidRPr="00D45F6A">
        <w:rPr>
          <w:lang w:eastAsia="en-US"/>
        </w:rPr>
        <w:t xml:space="preserve"> DOI: 10.1016/j.eurpsy.2013.01.001</w:t>
      </w:r>
    </w:p>
    <w:p w14:paraId="3127B441" w14:textId="675B13C8" w:rsidR="00170EF3" w:rsidRPr="00D45F6A" w:rsidRDefault="00170EF3" w:rsidP="00B017D3">
      <w:pPr>
        <w:ind w:firstLine="0"/>
        <w:rPr>
          <w:lang w:eastAsia="en-US"/>
        </w:rPr>
      </w:pPr>
      <w:r w:rsidRPr="00D45F6A">
        <w:rPr>
          <w:lang w:eastAsia="en-US"/>
        </w:rPr>
        <w:t>Skevington, S.M., 1999. Measuring quality of life in britain: Introducing the WHOQOL-100. Journal of Psychosomatic Research, 47(5), pp.449–459.</w:t>
      </w:r>
    </w:p>
    <w:p w14:paraId="118A5538" w14:textId="7B897273" w:rsidR="007C6A91" w:rsidRPr="00D45F6A" w:rsidRDefault="007C6A91" w:rsidP="00B017D3">
      <w:pPr>
        <w:ind w:firstLine="0"/>
        <w:rPr>
          <w:lang w:eastAsia="en-US"/>
        </w:rPr>
      </w:pPr>
      <w:r w:rsidRPr="00D45F6A">
        <w:rPr>
          <w:lang w:eastAsia="en-US"/>
        </w:rPr>
        <w:t>SPSS Inc. Released 2007. SPSS for Windows</w:t>
      </w:r>
      <w:r w:rsidR="00057249" w:rsidRPr="00D45F6A">
        <w:rPr>
          <w:lang w:eastAsia="en-US"/>
        </w:rPr>
        <w:t>, Version 24</w:t>
      </w:r>
      <w:r w:rsidRPr="00D45F6A">
        <w:rPr>
          <w:lang w:eastAsia="en-US"/>
        </w:rPr>
        <w:t>.0. Chicago, SPSS Inc.</w:t>
      </w:r>
    </w:p>
    <w:p w14:paraId="585A8317" w14:textId="2C12C7A9" w:rsidR="00814E63" w:rsidRPr="00D45F6A" w:rsidRDefault="00814E63" w:rsidP="00B017D3">
      <w:pPr>
        <w:ind w:firstLine="0"/>
        <w:rPr>
          <w:lang w:eastAsia="en-US"/>
        </w:rPr>
      </w:pPr>
      <w:r w:rsidRPr="00D45F6A">
        <w:rPr>
          <w:lang w:val="de-DE" w:eastAsia="en-US"/>
        </w:rPr>
        <w:t>Swamih, V., Pietschnig, J., Stieger, S., Voracek, M.</w:t>
      </w:r>
      <w:r w:rsidR="00B017D3" w:rsidRPr="00D45F6A">
        <w:rPr>
          <w:lang w:val="de-DE" w:eastAsia="en-US"/>
        </w:rPr>
        <w:t>,</w:t>
      </w:r>
      <w:r w:rsidRPr="00D45F6A">
        <w:rPr>
          <w:lang w:val="de-DE" w:eastAsia="en-US"/>
        </w:rPr>
        <w:t xml:space="preserve"> 2011. </w:t>
      </w:r>
      <w:r w:rsidRPr="00D45F6A">
        <w:rPr>
          <w:lang w:eastAsia="en-US"/>
        </w:rPr>
        <w:t>Alien psychology: Associations between extraterrestrial beliefs and paranormal ideation, superstitious beliefs, schizotypy, and the Big Five personality factors. Appl</w:t>
      </w:r>
      <w:r w:rsidR="00B017D3" w:rsidRPr="00D45F6A">
        <w:rPr>
          <w:lang w:eastAsia="en-US"/>
        </w:rPr>
        <w:t>.</w:t>
      </w:r>
      <w:r w:rsidRPr="00D45F6A">
        <w:rPr>
          <w:lang w:eastAsia="en-US"/>
        </w:rPr>
        <w:t xml:space="preserve"> Cognitive Psych</w:t>
      </w:r>
      <w:r w:rsidR="00B017D3" w:rsidRPr="00D45F6A">
        <w:rPr>
          <w:lang w:eastAsia="en-US"/>
        </w:rPr>
        <w:t>.</w:t>
      </w:r>
      <w:r w:rsidRPr="00D45F6A">
        <w:rPr>
          <w:lang w:eastAsia="en-US"/>
        </w:rPr>
        <w:t> 25, 647.</w:t>
      </w:r>
      <w:r w:rsidR="00B017D3" w:rsidRPr="00D45F6A">
        <w:rPr>
          <w:lang w:eastAsia="en-US"/>
        </w:rPr>
        <w:t xml:space="preserve"> DOI: 10.1002/acp.1736</w:t>
      </w:r>
    </w:p>
    <w:p w14:paraId="2363F8C7" w14:textId="6782565D" w:rsidR="00814E63" w:rsidRPr="00D45F6A" w:rsidRDefault="00814E63" w:rsidP="007E704D">
      <w:pPr>
        <w:ind w:firstLine="0"/>
        <w:rPr>
          <w:lang w:eastAsia="en-US"/>
        </w:rPr>
      </w:pPr>
      <w:r w:rsidRPr="00D45F6A">
        <w:rPr>
          <w:lang w:eastAsia="en-US"/>
        </w:rPr>
        <w:t>The WHOQOL Group. The World Health Organization Quality of Life Assessment (WHOQOL)</w:t>
      </w:r>
      <w:r w:rsidR="007E704D" w:rsidRPr="00D45F6A">
        <w:rPr>
          <w:lang w:eastAsia="en-US"/>
        </w:rPr>
        <w:t>.</w:t>
      </w:r>
      <w:r w:rsidRPr="00D45F6A">
        <w:rPr>
          <w:lang w:eastAsia="en-US"/>
        </w:rPr>
        <w:t xml:space="preserve"> 1998</w:t>
      </w:r>
      <w:r w:rsidR="007E704D" w:rsidRPr="00D45F6A">
        <w:rPr>
          <w:lang w:eastAsia="en-US"/>
        </w:rPr>
        <w:t>.</w:t>
      </w:r>
      <w:r w:rsidRPr="00D45F6A">
        <w:rPr>
          <w:lang w:eastAsia="en-US"/>
        </w:rPr>
        <w:t xml:space="preserve"> Development and general psychometric properties. Soc</w:t>
      </w:r>
      <w:r w:rsidR="00B017D3" w:rsidRPr="00D45F6A">
        <w:rPr>
          <w:lang w:eastAsia="en-US"/>
        </w:rPr>
        <w:t>.</w:t>
      </w:r>
      <w:r w:rsidRPr="00D45F6A">
        <w:rPr>
          <w:lang w:eastAsia="en-US"/>
        </w:rPr>
        <w:t xml:space="preserve"> Sci</w:t>
      </w:r>
      <w:r w:rsidR="00B017D3" w:rsidRPr="00D45F6A">
        <w:rPr>
          <w:lang w:eastAsia="en-US"/>
        </w:rPr>
        <w:t>.</w:t>
      </w:r>
      <w:r w:rsidRPr="00D45F6A">
        <w:rPr>
          <w:lang w:eastAsia="en-US"/>
        </w:rPr>
        <w:t xml:space="preserve"> Med</w:t>
      </w:r>
      <w:r w:rsidR="00B017D3" w:rsidRPr="00D45F6A">
        <w:rPr>
          <w:lang w:eastAsia="en-US"/>
        </w:rPr>
        <w:t>.</w:t>
      </w:r>
      <w:r w:rsidR="0007554E" w:rsidRPr="00D45F6A">
        <w:rPr>
          <w:lang w:eastAsia="en-US"/>
        </w:rPr>
        <w:t xml:space="preserve"> 46</w:t>
      </w:r>
      <w:r w:rsidRPr="00D45F6A">
        <w:rPr>
          <w:lang w:eastAsia="en-US"/>
        </w:rPr>
        <w:t>, 1569–1585.</w:t>
      </w:r>
    </w:p>
    <w:p w14:paraId="6CFC9D83" w14:textId="0E3821ED" w:rsidR="00653D5D" w:rsidRPr="00D45F6A" w:rsidRDefault="00653D5D" w:rsidP="007E704D">
      <w:pPr>
        <w:ind w:firstLine="0"/>
        <w:rPr>
          <w:lang w:eastAsia="en-US"/>
        </w:rPr>
      </w:pPr>
      <w:r w:rsidRPr="00D45F6A">
        <w:rPr>
          <w:lang w:val="de-DE" w:eastAsia="en-US"/>
        </w:rPr>
        <w:t>Thorup, A., Albert, N., Bertelsen, M., Petersen, L., Jeppesen, P., Le Quack, P., Krarup, G., Jørgensen, P., Nordentoft, M.</w:t>
      </w:r>
      <w:r w:rsidR="007E704D" w:rsidRPr="00D45F6A">
        <w:rPr>
          <w:lang w:val="de-DE" w:eastAsia="en-US"/>
        </w:rPr>
        <w:t>,</w:t>
      </w:r>
      <w:r w:rsidRPr="00D45F6A">
        <w:rPr>
          <w:lang w:val="de-DE" w:eastAsia="en-US"/>
        </w:rPr>
        <w:t xml:space="preserve"> 2014. </w:t>
      </w:r>
      <w:r w:rsidRPr="00D45F6A">
        <w:rPr>
          <w:lang w:eastAsia="en-US"/>
        </w:rPr>
        <w:t xml:space="preserve">Gender differences in first-episode psychosis at 5-year follow-up – two different courses of disease? Results from the OPUS study at 5-year follow-up. </w:t>
      </w:r>
      <w:r w:rsidRPr="00D45F6A">
        <w:rPr>
          <w:iCs/>
          <w:lang w:eastAsia="en-US"/>
        </w:rPr>
        <w:t>Eur</w:t>
      </w:r>
      <w:r w:rsidR="007E704D" w:rsidRPr="00D45F6A">
        <w:rPr>
          <w:iCs/>
          <w:lang w:eastAsia="en-US"/>
        </w:rPr>
        <w:t>.</w:t>
      </w:r>
      <w:r w:rsidRPr="00D45F6A">
        <w:rPr>
          <w:iCs/>
          <w:lang w:eastAsia="en-US"/>
        </w:rPr>
        <w:t xml:space="preserve"> Psychiatry</w:t>
      </w:r>
      <w:r w:rsidR="0007554E" w:rsidRPr="00D45F6A">
        <w:rPr>
          <w:lang w:eastAsia="en-US"/>
        </w:rPr>
        <w:t xml:space="preserve"> 29</w:t>
      </w:r>
      <w:r w:rsidRPr="00D45F6A">
        <w:rPr>
          <w:lang w:eastAsia="en-US"/>
        </w:rPr>
        <w:t xml:space="preserve">, 44-51. </w:t>
      </w:r>
      <w:r w:rsidR="007E704D" w:rsidRPr="00D45F6A">
        <w:rPr>
          <w:lang w:eastAsia="en-US"/>
        </w:rPr>
        <w:t>DOI: 10.1016/j.eurpsy.2012.11.005</w:t>
      </w:r>
    </w:p>
    <w:p w14:paraId="4D4BA197" w14:textId="1A7A4968" w:rsidR="00814E63" w:rsidRPr="00D45F6A" w:rsidRDefault="00814E63" w:rsidP="007E704D">
      <w:pPr>
        <w:ind w:firstLine="0"/>
        <w:rPr>
          <w:lang w:eastAsia="en-US"/>
        </w:rPr>
      </w:pPr>
      <w:r w:rsidRPr="00D45F6A">
        <w:rPr>
          <w:lang w:eastAsia="en-US"/>
        </w:rPr>
        <w:t>Torgersen, S., Edvardsen, J., Øien, P. A., Onstad, S., Skre, I., Lygren, S., Kringlen, E.</w:t>
      </w:r>
      <w:r w:rsidR="007E704D" w:rsidRPr="00D45F6A">
        <w:rPr>
          <w:lang w:eastAsia="en-US"/>
        </w:rPr>
        <w:t>,</w:t>
      </w:r>
      <w:r w:rsidRPr="00D45F6A">
        <w:rPr>
          <w:lang w:eastAsia="en-US"/>
        </w:rPr>
        <w:t xml:space="preserve"> 2002. Schizotypal personality disorder inside and outside the schizophrenic spectrum. </w:t>
      </w:r>
      <w:r w:rsidRPr="00D45F6A">
        <w:rPr>
          <w:iCs/>
          <w:lang w:eastAsia="en-US"/>
        </w:rPr>
        <w:t>Schizophr</w:t>
      </w:r>
      <w:r w:rsidR="007E704D" w:rsidRPr="00D45F6A">
        <w:rPr>
          <w:iCs/>
          <w:lang w:eastAsia="en-US"/>
        </w:rPr>
        <w:t>.</w:t>
      </w:r>
      <w:r w:rsidRPr="00D45F6A">
        <w:rPr>
          <w:iCs/>
          <w:lang w:eastAsia="en-US"/>
        </w:rPr>
        <w:t xml:space="preserve"> Res</w:t>
      </w:r>
      <w:r w:rsidR="007E704D" w:rsidRPr="00D45F6A">
        <w:rPr>
          <w:iCs/>
          <w:lang w:eastAsia="en-US"/>
        </w:rPr>
        <w:t>.</w:t>
      </w:r>
      <w:r w:rsidR="0007554E" w:rsidRPr="00D45F6A">
        <w:rPr>
          <w:lang w:eastAsia="en-US"/>
        </w:rPr>
        <w:t xml:space="preserve"> 54</w:t>
      </w:r>
      <w:r w:rsidRPr="00D45F6A">
        <w:rPr>
          <w:lang w:eastAsia="en-US"/>
        </w:rPr>
        <w:t>, 33-38.</w:t>
      </w:r>
      <w:r w:rsidR="007E704D" w:rsidRPr="00D45F6A">
        <w:rPr>
          <w:lang w:eastAsia="en-US"/>
        </w:rPr>
        <w:t xml:space="preserve"> DOI: 10.1016/S0920-9964(01)00349-8</w:t>
      </w:r>
    </w:p>
    <w:p w14:paraId="6982F9A4" w14:textId="31BC58E6" w:rsidR="00814E63" w:rsidRPr="00D45F6A" w:rsidRDefault="00814E63" w:rsidP="007E704D">
      <w:pPr>
        <w:ind w:firstLine="0"/>
        <w:rPr>
          <w:lang w:eastAsia="en-US"/>
        </w:rPr>
      </w:pPr>
      <w:r w:rsidRPr="00D45F6A">
        <w:rPr>
          <w:lang w:eastAsia="en-US"/>
        </w:rPr>
        <w:t>Trompenaars, F., Masthoff, E., Van Heck, G., De Vries, J., Hodiamont, P.</w:t>
      </w:r>
      <w:r w:rsidR="007E704D" w:rsidRPr="00D45F6A">
        <w:rPr>
          <w:lang w:eastAsia="en-US"/>
        </w:rPr>
        <w:t xml:space="preserve">, </w:t>
      </w:r>
      <w:r w:rsidRPr="00D45F6A">
        <w:rPr>
          <w:lang w:eastAsia="en-US"/>
        </w:rPr>
        <w:t>2007. Relationships between social functioning and quality of life in a population of Dutch adult psychiatric outpatients.</w:t>
      </w:r>
      <w:r w:rsidRPr="00D45F6A">
        <w:rPr>
          <w:i/>
          <w:iCs/>
          <w:lang w:eastAsia="en-US"/>
        </w:rPr>
        <w:t xml:space="preserve"> </w:t>
      </w:r>
      <w:r w:rsidR="007E704D" w:rsidRPr="00D45F6A">
        <w:rPr>
          <w:lang w:eastAsia="en-US"/>
        </w:rPr>
        <w:t>Int. J. Soc. Psychiatry.</w:t>
      </w:r>
      <w:r w:rsidRPr="00D45F6A">
        <w:rPr>
          <w:lang w:eastAsia="en-US"/>
        </w:rPr>
        <w:t> 53, 36-47.</w:t>
      </w:r>
      <w:r w:rsidR="007E704D" w:rsidRPr="00D45F6A">
        <w:rPr>
          <w:lang w:eastAsia="en-US"/>
        </w:rPr>
        <w:t xml:space="preserve"> DOI: 10.1177/0020764006074281</w:t>
      </w:r>
    </w:p>
    <w:p w14:paraId="60AFF5F9" w14:textId="21AB32D8" w:rsidR="00814E63" w:rsidRPr="00D45F6A" w:rsidRDefault="00814E63" w:rsidP="007E704D">
      <w:pPr>
        <w:ind w:firstLine="0"/>
        <w:rPr>
          <w:lang w:val="de-DE"/>
        </w:rPr>
      </w:pPr>
      <w:r w:rsidRPr="00D45F6A">
        <w:lastRenderedPageBreak/>
        <w:t>Velikonja, T., Fisher, H., Mason, O., Johnson, S.</w:t>
      </w:r>
      <w:r w:rsidR="007E704D" w:rsidRPr="00D45F6A">
        <w:t>,</w:t>
      </w:r>
      <w:r w:rsidRPr="00D45F6A">
        <w:t xml:space="preserve"> 2015. Childhood trauma and schizotypy: A systematic literature review. </w:t>
      </w:r>
      <w:r w:rsidR="007E704D" w:rsidRPr="00D45F6A">
        <w:rPr>
          <w:iCs/>
          <w:lang w:val="de-DE"/>
        </w:rPr>
        <w:t>Psychol.</w:t>
      </w:r>
      <w:r w:rsidR="00086A6B" w:rsidRPr="00D45F6A">
        <w:rPr>
          <w:iCs/>
          <w:lang w:val="de-DE"/>
        </w:rPr>
        <w:t xml:space="preserve"> Med</w:t>
      </w:r>
      <w:r w:rsidR="007E704D" w:rsidRPr="00D45F6A">
        <w:rPr>
          <w:iCs/>
          <w:lang w:val="de-DE"/>
        </w:rPr>
        <w:t>.</w:t>
      </w:r>
      <w:r w:rsidR="00086A6B" w:rsidRPr="00D45F6A">
        <w:rPr>
          <w:iCs/>
          <w:lang w:val="de-DE"/>
        </w:rPr>
        <w:t xml:space="preserve"> </w:t>
      </w:r>
      <w:r w:rsidR="0007554E" w:rsidRPr="00D45F6A">
        <w:rPr>
          <w:lang w:val="de-DE"/>
        </w:rPr>
        <w:t>45</w:t>
      </w:r>
      <w:r w:rsidRPr="00D45F6A">
        <w:rPr>
          <w:lang w:val="de-DE"/>
        </w:rPr>
        <w:t>, 947-963.</w:t>
      </w:r>
      <w:r w:rsidR="007E704D" w:rsidRPr="00D45F6A">
        <w:rPr>
          <w:lang w:val="de-DE"/>
        </w:rPr>
        <w:t xml:space="preserve"> DOI: 10.1017/S0033291714002086</w:t>
      </w:r>
    </w:p>
    <w:p w14:paraId="597C32CA" w14:textId="4D113D16" w:rsidR="004A3418" w:rsidRPr="00D45F6A" w:rsidRDefault="00814E63" w:rsidP="007E704D">
      <w:pPr>
        <w:ind w:firstLine="0"/>
        <w:rPr>
          <w:rFonts w:eastAsia="Times New Roman"/>
          <w:lang w:eastAsia="en-US"/>
        </w:rPr>
      </w:pPr>
      <w:r w:rsidRPr="00D45F6A">
        <w:rPr>
          <w:lang w:val="de-DE" w:eastAsia="en-US"/>
        </w:rPr>
        <w:t>Wang, J.</w:t>
      </w:r>
      <w:r w:rsidR="00716476" w:rsidRPr="00D45F6A">
        <w:rPr>
          <w:lang w:val="de-DE" w:eastAsia="en-US"/>
        </w:rPr>
        <w:t xml:space="preserve"> </w:t>
      </w:r>
      <w:r w:rsidRPr="00D45F6A">
        <w:rPr>
          <w:lang w:val="de-DE" w:eastAsia="en-US"/>
        </w:rPr>
        <w:t>M., Hartl, A.</w:t>
      </w:r>
      <w:r w:rsidR="009453B9" w:rsidRPr="00D45F6A">
        <w:rPr>
          <w:lang w:val="de-DE" w:eastAsia="en-US"/>
        </w:rPr>
        <w:t xml:space="preserve"> C., Laursen, B., Rubin, K.H</w:t>
      </w:r>
      <w:r w:rsidRPr="00D45F6A">
        <w:rPr>
          <w:lang w:val="de-DE" w:eastAsia="en-US"/>
        </w:rPr>
        <w:t>.</w:t>
      </w:r>
      <w:r w:rsidR="007E704D" w:rsidRPr="00D45F6A">
        <w:rPr>
          <w:lang w:val="de-DE" w:eastAsia="en-US"/>
        </w:rPr>
        <w:t>,</w:t>
      </w:r>
      <w:r w:rsidRPr="00D45F6A">
        <w:rPr>
          <w:lang w:val="de-DE" w:eastAsia="en-US"/>
        </w:rPr>
        <w:t xml:space="preserve"> 2017. </w:t>
      </w:r>
      <w:r w:rsidRPr="00D45F6A">
        <w:rPr>
          <w:lang w:eastAsia="en-US"/>
        </w:rPr>
        <w:t xml:space="preserve">The high costs of low agreeableness: </w:t>
      </w:r>
      <w:r w:rsidR="000541FC" w:rsidRPr="00D45F6A">
        <w:rPr>
          <w:lang w:eastAsia="en-US"/>
        </w:rPr>
        <w:t>l</w:t>
      </w:r>
      <w:r w:rsidRPr="00D45F6A">
        <w:rPr>
          <w:lang w:eastAsia="en-US"/>
        </w:rPr>
        <w:t>ow agreeableness exacerbates interpersonal consequences of rejection sensitivity in U.S. and Chinese adolescents. J</w:t>
      </w:r>
      <w:r w:rsidR="007E704D" w:rsidRPr="00D45F6A">
        <w:rPr>
          <w:lang w:eastAsia="en-US"/>
        </w:rPr>
        <w:t>.</w:t>
      </w:r>
      <w:r w:rsidRPr="00D45F6A">
        <w:rPr>
          <w:lang w:eastAsia="en-US"/>
        </w:rPr>
        <w:t xml:space="preserve"> Res</w:t>
      </w:r>
      <w:r w:rsidR="007E704D" w:rsidRPr="00D45F6A">
        <w:rPr>
          <w:lang w:eastAsia="en-US"/>
        </w:rPr>
        <w:t>.</w:t>
      </w:r>
      <w:r w:rsidRPr="00D45F6A">
        <w:rPr>
          <w:lang w:eastAsia="en-US"/>
        </w:rPr>
        <w:t xml:space="preserve"> Pers</w:t>
      </w:r>
      <w:r w:rsidR="007E704D" w:rsidRPr="00D45F6A">
        <w:rPr>
          <w:lang w:eastAsia="en-US"/>
        </w:rPr>
        <w:t>.</w:t>
      </w:r>
      <w:r w:rsidRPr="00D45F6A">
        <w:rPr>
          <w:lang w:eastAsia="en-US"/>
        </w:rPr>
        <w:t> 67, 36-43.</w:t>
      </w:r>
      <w:r w:rsidR="004A3418" w:rsidRPr="00D45F6A">
        <w:rPr>
          <w:rFonts w:eastAsia="Times New Roman"/>
          <w:lang w:eastAsia="en-US"/>
        </w:rPr>
        <w:t xml:space="preserve"> </w:t>
      </w:r>
      <w:r w:rsidR="007E704D" w:rsidRPr="00D45F6A">
        <w:rPr>
          <w:rFonts w:eastAsia="Times New Roman"/>
          <w:lang w:eastAsia="en-US"/>
        </w:rPr>
        <w:t>DOI: 10.1016/j.jrp.2016.02.005</w:t>
      </w:r>
    </w:p>
    <w:p w14:paraId="1380259B" w14:textId="2961458B" w:rsidR="00E94E1E" w:rsidRPr="00D45F6A" w:rsidRDefault="00E94E1E" w:rsidP="007E704D">
      <w:pPr>
        <w:ind w:firstLine="0"/>
        <w:rPr>
          <w:lang w:eastAsia="en-US"/>
        </w:rPr>
      </w:pPr>
      <w:r w:rsidRPr="00D45F6A">
        <w:rPr>
          <w:lang w:eastAsia="en-US"/>
        </w:rPr>
        <w:t>Weiss, R.S.</w:t>
      </w:r>
      <w:r w:rsidR="007E704D" w:rsidRPr="00D45F6A">
        <w:rPr>
          <w:lang w:eastAsia="en-US"/>
        </w:rPr>
        <w:t>,</w:t>
      </w:r>
      <w:r w:rsidRPr="00D45F6A">
        <w:rPr>
          <w:lang w:eastAsia="en-US"/>
        </w:rPr>
        <w:t xml:space="preserve"> 1974. The provisions of social relationships</w:t>
      </w:r>
      <w:r w:rsidR="007E704D" w:rsidRPr="00D45F6A">
        <w:rPr>
          <w:lang w:eastAsia="en-US"/>
        </w:rPr>
        <w:t>,</w:t>
      </w:r>
      <w:r w:rsidRPr="00D45F6A">
        <w:rPr>
          <w:lang w:eastAsia="en-US"/>
        </w:rPr>
        <w:t xml:space="preserve"> </w:t>
      </w:r>
      <w:r w:rsidR="007E704D" w:rsidRPr="00D45F6A">
        <w:rPr>
          <w:lang w:eastAsia="en-US"/>
        </w:rPr>
        <w:t>i</w:t>
      </w:r>
      <w:r w:rsidRPr="00D45F6A">
        <w:rPr>
          <w:lang w:eastAsia="en-US"/>
        </w:rPr>
        <w:t>n</w:t>
      </w:r>
      <w:r w:rsidR="007E704D" w:rsidRPr="00D45F6A">
        <w:rPr>
          <w:lang w:eastAsia="en-US"/>
        </w:rPr>
        <w:t xml:space="preserve">: </w:t>
      </w:r>
      <w:r w:rsidRPr="00D45F6A">
        <w:rPr>
          <w:lang w:eastAsia="en-US"/>
        </w:rPr>
        <w:t>Rubin</w:t>
      </w:r>
      <w:r w:rsidR="007E704D" w:rsidRPr="00D45F6A">
        <w:rPr>
          <w:lang w:eastAsia="en-US"/>
        </w:rPr>
        <w:t>, Z.</w:t>
      </w:r>
      <w:r w:rsidRPr="00D45F6A">
        <w:rPr>
          <w:lang w:eastAsia="en-US"/>
        </w:rPr>
        <w:t xml:space="preserve"> (Ed.), Doing unto others</w:t>
      </w:r>
      <w:r w:rsidR="00591567" w:rsidRPr="00D45F6A">
        <w:rPr>
          <w:lang w:eastAsia="en-US"/>
        </w:rPr>
        <w:t>,</w:t>
      </w:r>
      <w:r w:rsidR="007E704D" w:rsidRPr="00D45F6A">
        <w:rPr>
          <w:lang w:eastAsia="en-US"/>
        </w:rPr>
        <w:t xml:space="preserve"> Prentice-Hall, Englewood Cliffs, NJ,</w:t>
      </w:r>
      <w:r w:rsidRPr="00D45F6A">
        <w:rPr>
          <w:lang w:eastAsia="en-US"/>
        </w:rPr>
        <w:t xml:space="preserve"> </w:t>
      </w:r>
      <w:r w:rsidR="007E704D" w:rsidRPr="00D45F6A">
        <w:rPr>
          <w:lang w:eastAsia="en-US"/>
        </w:rPr>
        <w:t>pp. 17–26</w:t>
      </w:r>
    </w:p>
    <w:p w14:paraId="0CB5475A" w14:textId="74CEC173" w:rsidR="00B45379" w:rsidRPr="00D45F6A" w:rsidRDefault="00B45379" w:rsidP="00786E3D">
      <w:pPr>
        <w:ind w:firstLine="0"/>
        <w:rPr>
          <w:lang w:eastAsia="en-US"/>
        </w:rPr>
      </w:pPr>
      <w:r w:rsidRPr="00D45F6A">
        <w:rPr>
          <w:lang w:val="de-DE" w:eastAsia="en-US"/>
        </w:rPr>
        <w:t>Winarick,</w:t>
      </w:r>
      <w:r w:rsidR="00381150" w:rsidRPr="00D45F6A">
        <w:rPr>
          <w:lang w:val="de-DE" w:eastAsia="en-US"/>
        </w:rPr>
        <w:t xml:space="preserve"> D.J.</w:t>
      </w:r>
      <w:r w:rsidRPr="00D45F6A">
        <w:rPr>
          <w:lang w:val="de-DE" w:eastAsia="en-US"/>
        </w:rPr>
        <w:t xml:space="preserve"> Bornstein</w:t>
      </w:r>
      <w:r w:rsidR="00381150" w:rsidRPr="00D45F6A">
        <w:rPr>
          <w:lang w:val="de-DE" w:eastAsia="en-US"/>
        </w:rPr>
        <w:t>, R.F</w:t>
      </w:r>
      <w:r w:rsidRPr="00D45F6A">
        <w:rPr>
          <w:lang w:val="de-DE" w:eastAsia="en-US"/>
        </w:rPr>
        <w:t>.</w:t>
      </w:r>
      <w:r w:rsidR="003949B7" w:rsidRPr="00D45F6A">
        <w:rPr>
          <w:lang w:val="de-DE" w:eastAsia="en-US"/>
        </w:rPr>
        <w:t>,</w:t>
      </w:r>
      <w:r w:rsidRPr="00D45F6A">
        <w:rPr>
          <w:lang w:val="de-DE" w:eastAsia="en-US"/>
        </w:rPr>
        <w:t xml:space="preserve"> 2015. </w:t>
      </w:r>
      <w:r w:rsidRPr="00D45F6A">
        <w:rPr>
          <w:lang w:eastAsia="en-US"/>
        </w:rPr>
        <w:t xml:space="preserve">Toward resolution of a longstanding controversy in personality disorder diagnosis: Contrasting correlates of schizoid and avoidant traits. </w:t>
      </w:r>
      <w:r w:rsidR="003949B7" w:rsidRPr="00D45F6A">
        <w:rPr>
          <w:lang w:eastAsia="en-US"/>
        </w:rPr>
        <w:t>Pers. Individ. Dif.</w:t>
      </w:r>
      <w:r w:rsidRPr="00D45F6A">
        <w:rPr>
          <w:lang w:eastAsia="en-US"/>
        </w:rPr>
        <w:t xml:space="preserve"> 79, 25-29. </w:t>
      </w:r>
    </w:p>
    <w:p w14:paraId="217F049D" w14:textId="5669B02E" w:rsidR="004A3418" w:rsidRPr="00D45F6A" w:rsidRDefault="004A3418" w:rsidP="00786E3D">
      <w:pPr>
        <w:ind w:firstLine="0"/>
        <w:rPr>
          <w:lang w:eastAsia="en-US"/>
        </w:rPr>
      </w:pPr>
      <w:r w:rsidRPr="00D45F6A">
        <w:rPr>
          <w:lang w:eastAsia="en-US"/>
        </w:rPr>
        <w:t>Zborowski, M., Garske, J.</w:t>
      </w:r>
      <w:r w:rsidR="003949B7" w:rsidRPr="00D45F6A">
        <w:rPr>
          <w:lang w:eastAsia="en-US"/>
        </w:rPr>
        <w:t>,</w:t>
      </w:r>
      <w:r w:rsidRPr="00D45F6A">
        <w:rPr>
          <w:lang w:eastAsia="en-US"/>
        </w:rPr>
        <w:t xml:space="preserve"> 1993. Interpersonal deviance and consequent social impact in hypothetically schizophrenia-prone men. </w:t>
      </w:r>
      <w:r w:rsidRPr="00D45F6A">
        <w:rPr>
          <w:iCs/>
          <w:lang w:eastAsia="en-US"/>
        </w:rPr>
        <w:t>J</w:t>
      </w:r>
      <w:r w:rsidR="003949B7" w:rsidRPr="00D45F6A">
        <w:rPr>
          <w:iCs/>
          <w:lang w:eastAsia="en-US"/>
        </w:rPr>
        <w:t>.</w:t>
      </w:r>
      <w:r w:rsidR="00A62574" w:rsidRPr="00D45F6A">
        <w:rPr>
          <w:iCs/>
          <w:lang w:eastAsia="en-US"/>
        </w:rPr>
        <w:t xml:space="preserve"> </w:t>
      </w:r>
      <w:r w:rsidRPr="00D45F6A">
        <w:rPr>
          <w:iCs/>
          <w:lang w:eastAsia="en-US"/>
        </w:rPr>
        <w:t>Abnorm</w:t>
      </w:r>
      <w:r w:rsidR="003949B7" w:rsidRPr="00D45F6A">
        <w:rPr>
          <w:iCs/>
          <w:lang w:eastAsia="en-US"/>
        </w:rPr>
        <w:t>.</w:t>
      </w:r>
      <w:r w:rsidRPr="00D45F6A">
        <w:rPr>
          <w:iCs/>
          <w:lang w:eastAsia="en-US"/>
        </w:rPr>
        <w:t xml:space="preserve"> Psychol</w:t>
      </w:r>
      <w:r w:rsidR="003949B7" w:rsidRPr="00D45F6A">
        <w:rPr>
          <w:iCs/>
          <w:lang w:eastAsia="en-US"/>
        </w:rPr>
        <w:t>.</w:t>
      </w:r>
      <w:r w:rsidRPr="00D45F6A">
        <w:rPr>
          <w:lang w:eastAsia="en-US"/>
        </w:rPr>
        <w:t> </w:t>
      </w:r>
      <w:r w:rsidRPr="00D45F6A">
        <w:rPr>
          <w:iCs/>
          <w:lang w:eastAsia="en-US"/>
        </w:rPr>
        <w:t>102</w:t>
      </w:r>
      <w:r w:rsidRPr="00D45F6A">
        <w:rPr>
          <w:lang w:eastAsia="en-US"/>
        </w:rPr>
        <w:t>, 482.</w:t>
      </w:r>
    </w:p>
    <w:p w14:paraId="35389ED9" w14:textId="659B9321" w:rsidR="00357D1A" w:rsidRPr="00D45F6A" w:rsidRDefault="00357D1A" w:rsidP="00C55C26">
      <w:pPr>
        <w:ind w:firstLine="0"/>
        <w:rPr>
          <w:lang w:eastAsia="en-US"/>
        </w:rPr>
      </w:pPr>
      <w:r w:rsidRPr="00D45F6A">
        <w:rPr>
          <w:lang w:eastAsia="en-US"/>
        </w:rPr>
        <w:t>Zlomke, K., Jeter, K., Cook, N.</w:t>
      </w:r>
      <w:r w:rsidR="00C55C26" w:rsidRPr="00D45F6A">
        <w:rPr>
          <w:lang w:eastAsia="en-US"/>
        </w:rPr>
        <w:t>,</w:t>
      </w:r>
      <w:r w:rsidRPr="00D45F6A">
        <w:rPr>
          <w:lang w:eastAsia="en-US"/>
        </w:rPr>
        <w:t xml:space="preserve"> 2016. Recalled childhood teasing in relation to adult rejection and evaluation sensitivity. </w:t>
      </w:r>
      <w:r w:rsidRPr="00D45F6A">
        <w:rPr>
          <w:iCs/>
          <w:lang w:eastAsia="en-US"/>
        </w:rPr>
        <w:t>Pers</w:t>
      </w:r>
      <w:r w:rsidR="00C55C26" w:rsidRPr="00D45F6A">
        <w:rPr>
          <w:iCs/>
          <w:lang w:eastAsia="en-US"/>
        </w:rPr>
        <w:t>.</w:t>
      </w:r>
      <w:r w:rsidRPr="00D45F6A">
        <w:rPr>
          <w:iCs/>
          <w:lang w:eastAsia="en-US"/>
        </w:rPr>
        <w:t xml:space="preserve"> Indiv</w:t>
      </w:r>
      <w:r w:rsidR="003949B7" w:rsidRPr="00D45F6A">
        <w:rPr>
          <w:iCs/>
          <w:lang w:eastAsia="en-US"/>
        </w:rPr>
        <w:t>id</w:t>
      </w:r>
      <w:r w:rsidR="00C55C26" w:rsidRPr="00D45F6A">
        <w:rPr>
          <w:iCs/>
          <w:lang w:eastAsia="en-US"/>
        </w:rPr>
        <w:t>.</w:t>
      </w:r>
      <w:r w:rsidRPr="00D45F6A">
        <w:rPr>
          <w:iCs/>
          <w:lang w:eastAsia="en-US"/>
        </w:rPr>
        <w:t xml:space="preserve"> Dif</w:t>
      </w:r>
      <w:r w:rsidR="003949B7" w:rsidRPr="00D45F6A">
        <w:rPr>
          <w:iCs/>
          <w:lang w:eastAsia="en-US"/>
        </w:rPr>
        <w:t>.</w:t>
      </w:r>
      <w:r w:rsidRPr="00D45F6A">
        <w:rPr>
          <w:lang w:eastAsia="en-US"/>
        </w:rPr>
        <w:t xml:space="preserve"> 89, 129-133.</w:t>
      </w:r>
      <w:r w:rsidR="00C55C26" w:rsidRPr="00D45F6A">
        <w:rPr>
          <w:lang w:eastAsia="en-US"/>
        </w:rPr>
        <w:t xml:space="preserve"> DOI: 10.1016/j.paid.2015.01.026</w:t>
      </w:r>
    </w:p>
    <w:p w14:paraId="6A735CA4" w14:textId="70AC6A37" w:rsidR="00F544A0" w:rsidRPr="00D45F6A" w:rsidRDefault="00F544A0">
      <w:pPr>
        <w:spacing w:before="0" w:after="0" w:line="240" w:lineRule="auto"/>
        <w:ind w:firstLine="0"/>
        <w:rPr>
          <w:lang w:eastAsia="en-US"/>
        </w:rPr>
      </w:pPr>
      <w:r w:rsidRPr="00D45F6A">
        <w:rPr>
          <w:lang w:eastAsia="en-US"/>
        </w:rPr>
        <w:br w:type="page"/>
      </w:r>
    </w:p>
    <w:p w14:paraId="2173BBB0" w14:textId="042C3336" w:rsidR="004A3418" w:rsidRPr="00D45F6A" w:rsidRDefault="00F544A0" w:rsidP="00107084">
      <w:pPr>
        <w:rPr>
          <w:lang w:eastAsia="en-US"/>
        </w:rPr>
      </w:pPr>
      <w:r w:rsidRPr="00D45F6A">
        <w:rPr>
          <w:lang w:eastAsia="en-US"/>
        </w:rPr>
        <w:lastRenderedPageBreak/>
        <w:t>Figure legend</w:t>
      </w:r>
    </w:p>
    <w:p w14:paraId="35ADAFD5" w14:textId="1C68554C" w:rsidR="00F544A0" w:rsidRPr="00D45F6A" w:rsidRDefault="00F544A0" w:rsidP="00F544A0">
      <w:pPr>
        <w:rPr>
          <w:lang w:eastAsia="en-US"/>
        </w:rPr>
      </w:pPr>
      <w:r w:rsidRPr="00D45F6A">
        <w:rPr>
          <w:lang w:eastAsia="en-US"/>
        </w:rPr>
        <w:t xml:space="preserve">Figure 1.  A psychosocial model of the relation between schizotypy and rejection sensitivity. </w:t>
      </w:r>
    </w:p>
    <w:p w14:paraId="2D3DFCB6" w14:textId="30152552" w:rsidR="00F544A0" w:rsidRPr="00D45F6A" w:rsidRDefault="00F544A0" w:rsidP="00F544A0">
      <w:pPr>
        <w:rPr>
          <w:lang w:eastAsia="en-US"/>
        </w:rPr>
      </w:pPr>
      <w:r w:rsidRPr="00D45F6A">
        <w:rPr>
          <w:lang w:eastAsia="en-US"/>
        </w:rPr>
        <w:t xml:space="preserve">Figure 2. </w:t>
      </w:r>
      <w:r w:rsidR="004D036C" w:rsidRPr="004D036C">
        <w:rPr>
          <w:lang w:eastAsia="en-US"/>
        </w:rPr>
        <w:t>Regression path from (a) the cognitive disorganisation subscale of schizotypy to rejection sensitivity, and (b) the introvertive anhedonia subscale of schi- zotypy to rejection sensitivity, mediated by psychological quality of life, social quality of life, neuroticism, and agreeableness. an is the standardized regression coefficient between the predictor (cognitive disorganisation or introvertive anhedonia) and the mediator; bn is the standardized regression coefficient between the mediator and rejection sensitivity while holding cognitive disorganisation constant; c is the total effect of the predictor on rejection sensitivity, c’ is the direct effect of the predictor on rejection sensitivity; a1 and b1 denote where psychological QOL is the mediator, a2 and b2 denote where social QOL is the mediator, a3 and b3 denote neuroticism is the mediator, a4 and b4 denote where agreeableness is the mediator; *p &lt; 0.05; **p &lt; 0.001.</w:t>
      </w:r>
    </w:p>
    <w:p w14:paraId="0B7E4C2A" w14:textId="755140AF" w:rsidR="00F544A0" w:rsidRPr="00D45F6A" w:rsidRDefault="00F544A0" w:rsidP="00F544A0">
      <w:pPr>
        <w:rPr>
          <w:lang w:eastAsia="en-US"/>
        </w:rPr>
      </w:pPr>
      <w:r w:rsidRPr="00D45F6A">
        <w:rPr>
          <w:lang w:eastAsia="en-US"/>
        </w:rPr>
        <w:t xml:space="preserve">Figure 3. </w:t>
      </w:r>
      <w:r w:rsidR="004D036C" w:rsidRPr="004D036C">
        <w:rPr>
          <w:lang w:eastAsia="en-US"/>
        </w:rPr>
        <w:t>Plot of (a) the cognitive disorganisation subscale of schizotypy and rejection sensitivity, and (b) the introvertive anhedonia subscale of schizotypy and rejection sensitivity in low (n = 159) and high (n = 159) psychosocial functioning groups.</w:t>
      </w:r>
    </w:p>
    <w:p w14:paraId="145B0D00" w14:textId="040E87C1" w:rsidR="00F544A0" w:rsidRPr="00D45F6A" w:rsidRDefault="00F544A0" w:rsidP="00F544A0">
      <w:pPr>
        <w:rPr>
          <w:lang w:eastAsia="en-US"/>
        </w:rPr>
      </w:pPr>
    </w:p>
    <w:p w14:paraId="6FF42494" w14:textId="72D021CD" w:rsidR="00F544A0" w:rsidRPr="00D45F6A" w:rsidRDefault="00F544A0" w:rsidP="00107084">
      <w:pPr>
        <w:rPr>
          <w:lang w:eastAsia="en-US"/>
        </w:rPr>
      </w:pPr>
    </w:p>
    <w:p w14:paraId="102923E4" w14:textId="77777777" w:rsidR="00F544A0" w:rsidRPr="00D45F6A" w:rsidRDefault="00F544A0" w:rsidP="00107084">
      <w:pPr>
        <w:rPr>
          <w:lang w:eastAsia="en-US"/>
        </w:rPr>
      </w:pPr>
    </w:p>
    <w:p w14:paraId="6EB8121C" w14:textId="77777777" w:rsidR="00533491" w:rsidRPr="00D45F6A" w:rsidRDefault="00533491" w:rsidP="00107084">
      <w:pPr>
        <w:rPr>
          <w:lang w:eastAsia="en-US"/>
        </w:rPr>
      </w:pPr>
    </w:p>
    <w:p w14:paraId="269BBAF4" w14:textId="77777777" w:rsidR="002F6C8E" w:rsidRPr="00D45F6A" w:rsidRDefault="002F6C8E" w:rsidP="00107084">
      <w:pPr>
        <w:rPr>
          <w:lang w:eastAsia="en-US"/>
        </w:rPr>
      </w:pPr>
      <w:r w:rsidRPr="00D45F6A">
        <w:rPr>
          <w:lang w:eastAsia="en-US"/>
        </w:rPr>
        <w:br w:type="page"/>
      </w:r>
    </w:p>
    <w:p w14:paraId="3F5FE301" w14:textId="77777777" w:rsidR="00284E7D" w:rsidRPr="00D45F6A" w:rsidRDefault="00284E7D" w:rsidP="00107084">
      <w:pPr>
        <w:rPr>
          <w:lang w:eastAsia="en-US"/>
        </w:rPr>
        <w:sectPr w:rsidR="00284E7D" w:rsidRPr="00D45F6A" w:rsidSect="005B49F7">
          <w:pgSz w:w="11906" w:h="16838" w:code="9"/>
          <w:pgMar w:top="1440" w:right="1440" w:bottom="1440" w:left="1440" w:header="720" w:footer="720" w:gutter="0"/>
          <w:cols w:space="720"/>
          <w:docGrid w:linePitch="360"/>
        </w:sectPr>
      </w:pPr>
    </w:p>
    <w:p w14:paraId="46D8F59F" w14:textId="77777777" w:rsidR="00AE4F03" w:rsidRPr="00D45F6A" w:rsidRDefault="00AE4F03" w:rsidP="00107084">
      <w:pPr>
        <w:rPr>
          <w:lang w:eastAsia="en-US"/>
        </w:rPr>
      </w:pPr>
      <w:r w:rsidRPr="00D45F6A">
        <w:rPr>
          <w:lang w:eastAsia="en-US"/>
        </w:rPr>
        <w:lastRenderedPageBreak/>
        <w:t>Table 1</w:t>
      </w:r>
      <w:r w:rsidR="000178A7" w:rsidRPr="00D45F6A">
        <w:rPr>
          <w:lang w:eastAsia="en-US"/>
        </w:rPr>
        <w:t>.</w:t>
      </w:r>
      <w:r w:rsidR="00F95076" w:rsidRPr="00D45F6A">
        <w:rPr>
          <w:lang w:eastAsia="en-US"/>
        </w:rPr>
        <w:t xml:space="preserve"> </w:t>
      </w:r>
      <w:r w:rsidR="00376948" w:rsidRPr="00D45F6A">
        <w:rPr>
          <w:lang w:eastAsia="en-US"/>
        </w:rPr>
        <w:t>Sample</w:t>
      </w:r>
      <w:r w:rsidR="003E6F3B" w:rsidRPr="00D45F6A">
        <w:rPr>
          <w:lang w:eastAsia="en-US"/>
        </w:rPr>
        <w:t xml:space="preserve"> d</w:t>
      </w:r>
      <w:r w:rsidR="00F95076" w:rsidRPr="00D45F6A">
        <w:rPr>
          <w:lang w:eastAsia="en-US"/>
        </w:rPr>
        <w:t xml:space="preserve">escriptive statistics </w:t>
      </w:r>
    </w:p>
    <w:tbl>
      <w:tblPr>
        <w:tblStyle w:val="TableGrid"/>
        <w:tblW w:w="133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2"/>
        <w:gridCol w:w="1619"/>
        <w:gridCol w:w="1513"/>
        <w:gridCol w:w="1260"/>
        <w:gridCol w:w="1328"/>
        <w:gridCol w:w="2092"/>
        <w:gridCol w:w="2340"/>
      </w:tblGrid>
      <w:tr w:rsidR="00B67219" w:rsidRPr="00D45F6A" w14:paraId="3D834412" w14:textId="77777777" w:rsidTr="004C77D3">
        <w:tc>
          <w:tcPr>
            <w:tcW w:w="3222" w:type="dxa"/>
            <w:tcBorders>
              <w:top w:val="single" w:sz="4" w:space="0" w:color="auto"/>
              <w:bottom w:val="single" w:sz="4" w:space="0" w:color="auto"/>
            </w:tcBorders>
          </w:tcPr>
          <w:p w14:paraId="0C53BD11" w14:textId="77777777" w:rsidR="00B67219" w:rsidRPr="00D45F6A" w:rsidRDefault="00B67219" w:rsidP="002927B5">
            <w:pPr>
              <w:pStyle w:val="Table"/>
            </w:pPr>
          </w:p>
        </w:tc>
        <w:tc>
          <w:tcPr>
            <w:tcW w:w="1619" w:type="dxa"/>
            <w:tcBorders>
              <w:top w:val="single" w:sz="4" w:space="0" w:color="auto"/>
              <w:bottom w:val="single" w:sz="4" w:space="0" w:color="auto"/>
            </w:tcBorders>
          </w:tcPr>
          <w:p w14:paraId="0388E2A9" w14:textId="77777777" w:rsidR="00B67219" w:rsidRPr="00D45F6A" w:rsidRDefault="00B67219" w:rsidP="002927B5">
            <w:pPr>
              <w:pStyle w:val="Table"/>
            </w:pPr>
            <w:r w:rsidRPr="00D45F6A">
              <w:t>Mean (S.D.) or percentage</w:t>
            </w:r>
          </w:p>
        </w:tc>
        <w:tc>
          <w:tcPr>
            <w:tcW w:w="1513" w:type="dxa"/>
            <w:tcBorders>
              <w:top w:val="single" w:sz="4" w:space="0" w:color="auto"/>
              <w:bottom w:val="single" w:sz="4" w:space="0" w:color="auto"/>
            </w:tcBorders>
          </w:tcPr>
          <w:p w14:paraId="356C2AB0" w14:textId="77777777" w:rsidR="00B67219" w:rsidRPr="00D45F6A" w:rsidRDefault="00B67219" w:rsidP="002927B5">
            <w:pPr>
              <w:pStyle w:val="Table"/>
            </w:pPr>
            <w:r w:rsidRPr="00D45F6A">
              <w:t>Range</w:t>
            </w:r>
          </w:p>
        </w:tc>
        <w:tc>
          <w:tcPr>
            <w:tcW w:w="1260" w:type="dxa"/>
            <w:tcBorders>
              <w:top w:val="single" w:sz="4" w:space="0" w:color="auto"/>
              <w:bottom w:val="single" w:sz="4" w:space="0" w:color="auto"/>
            </w:tcBorders>
          </w:tcPr>
          <w:p w14:paraId="11AE6BBF" w14:textId="77777777" w:rsidR="00B67219" w:rsidRPr="00D45F6A" w:rsidRDefault="00B67219" w:rsidP="002927B5">
            <w:pPr>
              <w:pStyle w:val="Table"/>
            </w:pPr>
            <w:r w:rsidRPr="00D45F6A">
              <w:t xml:space="preserve">Skewness </w:t>
            </w:r>
          </w:p>
        </w:tc>
        <w:tc>
          <w:tcPr>
            <w:tcW w:w="1328" w:type="dxa"/>
            <w:tcBorders>
              <w:top w:val="single" w:sz="4" w:space="0" w:color="auto"/>
              <w:bottom w:val="single" w:sz="4" w:space="0" w:color="auto"/>
            </w:tcBorders>
          </w:tcPr>
          <w:p w14:paraId="6B682EA3" w14:textId="77777777" w:rsidR="00B67219" w:rsidRPr="00D45F6A" w:rsidRDefault="00B67219" w:rsidP="002927B5">
            <w:pPr>
              <w:pStyle w:val="Table"/>
            </w:pPr>
            <w:r w:rsidRPr="00D45F6A">
              <w:t xml:space="preserve">Kurtosis </w:t>
            </w:r>
          </w:p>
        </w:tc>
        <w:tc>
          <w:tcPr>
            <w:tcW w:w="2092" w:type="dxa"/>
            <w:tcBorders>
              <w:top w:val="single" w:sz="4" w:space="0" w:color="auto"/>
              <w:bottom w:val="single" w:sz="4" w:space="0" w:color="auto"/>
            </w:tcBorders>
          </w:tcPr>
          <w:p w14:paraId="16D22285" w14:textId="77777777" w:rsidR="00B67219" w:rsidRPr="00D45F6A" w:rsidRDefault="00B67219" w:rsidP="002927B5">
            <w:pPr>
              <w:pStyle w:val="Table"/>
            </w:pPr>
            <w:r w:rsidRPr="00D45F6A">
              <w:t>Normative sample mean (S.D.)</w:t>
            </w:r>
          </w:p>
        </w:tc>
        <w:tc>
          <w:tcPr>
            <w:tcW w:w="2340" w:type="dxa"/>
            <w:tcBorders>
              <w:top w:val="single" w:sz="4" w:space="0" w:color="auto"/>
              <w:bottom w:val="single" w:sz="4" w:space="0" w:color="auto"/>
            </w:tcBorders>
          </w:tcPr>
          <w:p w14:paraId="1683132C" w14:textId="77777777" w:rsidR="00B67219" w:rsidRPr="00D45F6A" w:rsidRDefault="00B67219" w:rsidP="002927B5">
            <w:pPr>
              <w:pStyle w:val="Table"/>
            </w:pPr>
            <w:r w:rsidRPr="00D45F6A">
              <w:t>Internal reliability (Cronbach’s alpha)</w:t>
            </w:r>
          </w:p>
        </w:tc>
      </w:tr>
      <w:tr w:rsidR="00B67219" w:rsidRPr="00D45F6A" w14:paraId="026E0322" w14:textId="77777777" w:rsidTr="004C77D3">
        <w:trPr>
          <w:trHeight w:val="495"/>
        </w:trPr>
        <w:tc>
          <w:tcPr>
            <w:tcW w:w="3222" w:type="dxa"/>
            <w:tcBorders>
              <w:top w:val="single" w:sz="4" w:space="0" w:color="auto"/>
            </w:tcBorders>
          </w:tcPr>
          <w:p w14:paraId="6FD72C25" w14:textId="77777777" w:rsidR="00B67219" w:rsidRPr="00D45F6A" w:rsidRDefault="00B67219" w:rsidP="002927B5">
            <w:pPr>
              <w:pStyle w:val="Table"/>
            </w:pPr>
            <w:r w:rsidRPr="00D45F6A">
              <w:t>Age in years, mean (S.D.)</w:t>
            </w:r>
          </w:p>
        </w:tc>
        <w:tc>
          <w:tcPr>
            <w:tcW w:w="1619" w:type="dxa"/>
            <w:tcBorders>
              <w:top w:val="single" w:sz="4" w:space="0" w:color="auto"/>
            </w:tcBorders>
          </w:tcPr>
          <w:p w14:paraId="2CC57DD4" w14:textId="77777777" w:rsidR="00B67219" w:rsidRPr="00D45F6A" w:rsidRDefault="00B67219" w:rsidP="002927B5">
            <w:pPr>
              <w:pStyle w:val="Table"/>
            </w:pPr>
            <w:r w:rsidRPr="00D45F6A">
              <w:t>24.6 (7.88)</w:t>
            </w:r>
          </w:p>
        </w:tc>
        <w:tc>
          <w:tcPr>
            <w:tcW w:w="1513" w:type="dxa"/>
            <w:tcBorders>
              <w:top w:val="single" w:sz="4" w:space="0" w:color="auto"/>
            </w:tcBorders>
          </w:tcPr>
          <w:p w14:paraId="2F79078E" w14:textId="77777777" w:rsidR="00B67219" w:rsidRPr="00D45F6A" w:rsidRDefault="00B67219" w:rsidP="002927B5">
            <w:pPr>
              <w:pStyle w:val="Table"/>
            </w:pPr>
            <w:r w:rsidRPr="00D45F6A">
              <w:t>19-66</w:t>
            </w:r>
          </w:p>
        </w:tc>
        <w:tc>
          <w:tcPr>
            <w:tcW w:w="1260" w:type="dxa"/>
            <w:tcBorders>
              <w:top w:val="single" w:sz="4" w:space="0" w:color="auto"/>
            </w:tcBorders>
          </w:tcPr>
          <w:p w14:paraId="5123AEBF" w14:textId="77777777" w:rsidR="00B67219" w:rsidRPr="00D45F6A" w:rsidRDefault="00B67219" w:rsidP="004C77D3">
            <w:pPr>
              <w:pStyle w:val="Table"/>
              <w:jc w:val="right"/>
            </w:pPr>
            <w:r w:rsidRPr="00D45F6A">
              <w:t>3.07</w:t>
            </w:r>
          </w:p>
        </w:tc>
        <w:tc>
          <w:tcPr>
            <w:tcW w:w="1328" w:type="dxa"/>
            <w:tcBorders>
              <w:top w:val="single" w:sz="4" w:space="0" w:color="auto"/>
            </w:tcBorders>
          </w:tcPr>
          <w:p w14:paraId="60F3BF42" w14:textId="77777777" w:rsidR="00B67219" w:rsidRPr="00D45F6A" w:rsidRDefault="00B67219" w:rsidP="004C77D3">
            <w:pPr>
              <w:pStyle w:val="Table"/>
              <w:jc w:val="right"/>
            </w:pPr>
            <w:r w:rsidRPr="00D45F6A">
              <w:t>10.41</w:t>
            </w:r>
          </w:p>
        </w:tc>
        <w:tc>
          <w:tcPr>
            <w:tcW w:w="2092" w:type="dxa"/>
            <w:tcBorders>
              <w:top w:val="single" w:sz="4" w:space="0" w:color="auto"/>
            </w:tcBorders>
          </w:tcPr>
          <w:p w14:paraId="01FD3A12" w14:textId="77777777" w:rsidR="00B67219" w:rsidRPr="00D45F6A" w:rsidRDefault="00B67219" w:rsidP="002927B5">
            <w:pPr>
              <w:pStyle w:val="Table"/>
            </w:pPr>
          </w:p>
        </w:tc>
        <w:tc>
          <w:tcPr>
            <w:tcW w:w="2340" w:type="dxa"/>
            <w:tcBorders>
              <w:top w:val="single" w:sz="4" w:space="0" w:color="auto"/>
            </w:tcBorders>
          </w:tcPr>
          <w:p w14:paraId="6AA97803" w14:textId="77777777" w:rsidR="00B67219" w:rsidRPr="00D45F6A" w:rsidRDefault="00B67219" w:rsidP="002927B5">
            <w:pPr>
              <w:pStyle w:val="Table"/>
            </w:pPr>
          </w:p>
        </w:tc>
      </w:tr>
      <w:tr w:rsidR="006B14CD" w:rsidRPr="00D45F6A" w14:paraId="61998D20" w14:textId="77777777" w:rsidTr="004C77D3">
        <w:tc>
          <w:tcPr>
            <w:tcW w:w="3222" w:type="dxa"/>
          </w:tcPr>
          <w:p w14:paraId="224F4196" w14:textId="67B2F24A" w:rsidR="006B14CD" w:rsidRPr="00D45F6A" w:rsidRDefault="002B2B36" w:rsidP="003A08C2">
            <w:pPr>
              <w:pStyle w:val="Table"/>
            </w:pPr>
            <w:r w:rsidRPr="00D45F6A">
              <w:t>Gender (</w:t>
            </w:r>
            <w:r w:rsidR="006B14CD" w:rsidRPr="00D45F6A">
              <w:t>female</w:t>
            </w:r>
            <w:r w:rsidRPr="00D45F6A">
              <w:t>, %</w:t>
            </w:r>
            <w:r w:rsidR="006B14CD" w:rsidRPr="00D45F6A">
              <w:t>)</w:t>
            </w:r>
          </w:p>
        </w:tc>
        <w:tc>
          <w:tcPr>
            <w:tcW w:w="1619" w:type="dxa"/>
          </w:tcPr>
          <w:p w14:paraId="5593E38B" w14:textId="0E912377" w:rsidR="006B14CD" w:rsidRPr="00D45F6A" w:rsidRDefault="002B2B36" w:rsidP="002927B5">
            <w:pPr>
              <w:pStyle w:val="Table"/>
            </w:pPr>
            <w:r w:rsidRPr="00D45F6A">
              <w:t>82</w:t>
            </w:r>
          </w:p>
        </w:tc>
        <w:tc>
          <w:tcPr>
            <w:tcW w:w="1513" w:type="dxa"/>
          </w:tcPr>
          <w:p w14:paraId="258D3359" w14:textId="77777777" w:rsidR="006B14CD" w:rsidRPr="00D45F6A" w:rsidRDefault="006B14CD" w:rsidP="002927B5">
            <w:pPr>
              <w:pStyle w:val="Table"/>
            </w:pPr>
          </w:p>
        </w:tc>
        <w:tc>
          <w:tcPr>
            <w:tcW w:w="1260" w:type="dxa"/>
          </w:tcPr>
          <w:p w14:paraId="34F7ADBB" w14:textId="77777777" w:rsidR="006B14CD" w:rsidRPr="00D45F6A" w:rsidRDefault="006B14CD">
            <w:pPr>
              <w:pStyle w:val="Table"/>
              <w:jc w:val="right"/>
            </w:pPr>
          </w:p>
        </w:tc>
        <w:tc>
          <w:tcPr>
            <w:tcW w:w="1328" w:type="dxa"/>
          </w:tcPr>
          <w:p w14:paraId="1CD0B4F4" w14:textId="77777777" w:rsidR="006B14CD" w:rsidRPr="00D45F6A" w:rsidRDefault="006B14CD">
            <w:pPr>
              <w:pStyle w:val="Table"/>
              <w:jc w:val="right"/>
            </w:pPr>
          </w:p>
        </w:tc>
        <w:tc>
          <w:tcPr>
            <w:tcW w:w="2092" w:type="dxa"/>
          </w:tcPr>
          <w:p w14:paraId="0DBABC33" w14:textId="77777777" w:rsidR="006B14CD" w:rsidRPr="00D45F6A" w:rsidRDefault="006B14CD" w:rsidP="002927B5">
            <w:pPr>
              <w:pStyle w:val="Table"/>
            </w:pPr>
          </w:p>
        </w:tc>
        <w:tc>
          <w:tcPr>
            <w:tcW w:w="2340" w:type="dxa"/>
          </w:tcPr>
          <w:p w14:paraId="4FD2B5E9" w14:textId="77777777" w:rsidR="006B14CD" w:rsidRPr="00D45F6A" w:rsidRDefault="006B14CD" w:rsidP="002927B5">
            <w:pPr>
              <w:pStyle w:val="Table"/>
            </w:pPr>
          </w:p>
        </w:tc>
      </w:tr>
      <w:tr w:rsidR="006B14CD" w:rsidRPr="00D45F6A" w14:paraId="6C0D30E9" w14:textId="77777777" w:rsidTr="004C77D3">
        <w:tc>
          <w:tcPr>
            <w:tcW w:w="3222" w:type="dxa"/>
          </w:tcPr>
          <w:p w14:paraId="67A36466" w14:textId="1B5926B2" w:rsidR="006B14CD" w:rsidRPr="00D45F6A" w:rsidRDefault="006B14CD" w:rsidP="003A08C2">
            <w:pPr>
              <w:pStyle w:val="Table"/>
            </w:pPr>
            <w:r w:rsidRPr="00D45F6A">
              <w:t>Ethnicity</w:t>
            </w:r>
            <w:r w:rsidR="002B2B36" w:rsidRPr="00D45F6A">
              <w:t xml:space="preserve"> (White – UK/ White other/ Asian/ Afro-Caribbean heritage/ Other, %)</w:t>
            </w:r>
          </w:p>
        </w:tc>
        <w:tc>
          <w:tcPr>
            <w:tcW w:w="1619" w:type="dxa"/>
          </w:tcPr>
          <w:p w14:paraId="024F7DB7" w14:textId="78E808F8" w:rsidR="006B14CD" w:rsidRPr="00D45F6A" w:rsidRDefault="002B2B36" w:rsidP="002927B5">
            <w:pPr>
              <w:pStyle w:val="Table"/>
            </w:pPr>
            <w:r w:rsidRPr="00D45F6A">
              <w:t>70/6.6/15.7/4/3</w:t>
            </w:r>
          </w:p>
        </w:tc>
        <w:tc>
          <w:tcPr>
            <w:tcW w:w="1513" w:type="dxa"/>
          </w:tcPr>
          <w:p w14:paraId="3E969518" w14:textId="77777777" w:rsidR="006B14CD" w:rsidRPr="00D45F6A" w:rsidRDefault="006B14CD" w:rsidP="002927B5">
            <w:pPr>
              <w:pStyle w:val="Table"/>
            </w:pPr>
          </w:p>
        </w:tc>
        <w:tc>
          <w:tcPr>
            <w:tcW w:w="1260" w:type="dxa"/>
          </w:tcPr>
          <w:p w14:paraId="31E29BBA" w14:textId="77777777" w:rsidR="006B14CD" w:rsidRPr="00D45F6A" w:rsidRDefault="006B14CD">
            <w:pPr>
              <w:pStyle w:val="Table"/>
              <w:jc w:val="right"/>
            </w:pPr>
          </w:p>
        </w:tc>
        <w:tc>
          <w:tcPr>
            <w:tcW w:w="1328" w:type="dxa"/>
          </w:tcPr>
          <w:p w14:paraId="5D7D0F87" w14:textId="77777777" w:rsidR="006B14CD" w:rsidRPr="00D45F6A" w:rsidRDefault="006B14CD">
            <w:pPr>
              <w:pStyle w:val="Table"/>
              <w:jc w:val="right"/>
            </w:pPr>
          </w:p>
        </w:tc>
        <w:tc>
          <w:tcPr>
            <w:tcW w:w="2092" w:type="dxa"/>
          </w:tcPr>
          <w:p w14:paraId="21C98988" w14:textId="77777777" w:rsidR="006B14CD" w:rsidRPr="00D45F6A" w:rsidRDefault="006B14CD" w:rsidP="002927B5">
            <w:pPr>
              <w:pStyle w:val="Table"/>
            </w:pPr>
          </w:p>
        </w:tc>
        <w:tc>
          <w:tcPr>
            <w:tcW w:w="2340" w:type="dxa"/>
          </w:tcPr>
          <w:p w14:paraId="4BADF7EE" w14:textId="77777777" w:rsidR="006B14CD" w:rsidRPr="00D45F6A" w:rsidRDefault="006B14CD" w:rsidP="002927B5">
            <w:pPr>
              <w:pStyle w:val="Table"/>
            </w:pPr>
          </w:p>
        </w:tc>
      </w:tr>
      <w:tr w:rsidR="006B14CD" w:rsidRPr="00D45F6A" w14:paraId="3A82157B" w14:textId="77777777" w:rsidTr="004C77D3">
        <w:tc>
          <w:tcPr>
            <w:tcW w:w="3222" w:type="dxa"/>
          </w:tcPr>
          <w:p w14:paraId="32F65F90" w14:textId="0AB727F0" w:rsidR="006B14CD" w:rsidRPr="00D45F6A" w:rsidRDefault="006B14CD" w:rsidP="003A08C2">
            <w:pPr>
              <w:pStyle w:val="Table"/>
            </w:pPr>
            <w:r w:rsidRPr="00D45F6A">
              <w:t>Educational level</w:t>
            </w:r>
            <w:r w:rsidR="002B2B36" w:rsidRPr="00D45F6A">
              <w:t xml:space="preserve"> (A-level or equivalent/BA or similar/MA or similar/PhD/ </w:t>
            </w:r>
            <w:r w:rsidR="00712EC2" w:rsidRPr="00D45F6A">
              <w:t xml:space="preserve">missing, </w:t>
            </w:r>
            <w:r w:rsidR="002B2B36" w:rsidRPr="00D45F6A">
              <w:t>%)</w:t>
            </w:r>
          </w:p>
        </w:tc>
        <w:tc>
          <w:tcPr>
            <w:tcW w:w="1619" w:type="dxa"/>
          </w:tcPr>
          <w:p w14:paraId="30BCDA13" w14:textId="2F83D25E" w:rsidR="006B14CD" w:rsidRPr="00D45F6A" w:rsidRDefault="00712EC2" w:rsidP="002927B5">
            <w:pPr>
              <w:pStyle w:val="Table"/>
            </w:pPr>
            <w:r w:rsidRPr="00D45F6A">
              <w:t>20/5/4/1/70</w:t>
            </w:r>
          </w:p>
        </w:tc>
        <w:tc>
          <w:tcPr>
            <w:tcW w:w="1513" w:type="dxa"/>
          </w:tcPr>
          <w:p w14:paraId="5806DEAC" w14:textId="77777777" w:rsidR="006B14CD" w:rsidRPr="00D45F6A" w:rsidRDefault="006B14CD" w:rsidP="002927B5">
            <w:pPr>
              <w:pStyle w:val="Table"/>
            </w:pPr>
          </w:p>
        </w:tc>
        <w:tc>
          <w:tcPr>
            <w:tcW w:w="1260" w:type="dxa"/>
          </w:tcPr>
          <w:p w14:paraId="1A99492C" w14:textId="77777777" w:rsidR="006B14CD" w:rsidRPr="00D45F6A" w:rsidRDefault="006B14CD">
            <w:pPr>
              <w:pStyle w:val="Table"/>
              <w:jc w:val="right"/>
            </w:pPr>
          </w:p>
        </w:tc>
        <w:tc>
          <w:tcPr>
            <w:tcW w:w="1328" w:type="dxa"/>
          </w:tcPr>
          <w:p w14:paraId="0598EAEA" w14:textId="77777777" w:rsidR="006B14CD" w:rsidRPr="00D45F6A" w:rsidRDefault="006B14CD">
            <w:pPr>
              <w:pStyle w:val="Table"/>
              <w:jc w:val="right"/>
            </w:pPr>
          </w:p>
        </w:tc>
        <w:tc>
          <w:tcPr>
            <w:tcW w:w="2092" w:type="dxa"/>
          </w:tcPr>
          <w:p w14:paraId="5678C2E3" w14:textId="77777777" w:rsidR="006B14CD" w:rsidRPr="00D45F6A" w:rsidRDefault="006B14CD" w:rsidP="002927B5">
            <w:pPr>
              <w:pStyle w:val="Table"/>
            </w:pPr>
          </w:p>
        </w:tc>
        <w:tc>
          <w:tcPr>
            <w:tcW w:w="2340" w:type="dxa"/>
          </w:tcPr>
          <w:p w14:paraId="71D95AEC" w14:textId="77777777" w:rsidR="006B14CD" w:rsidRPr="00D45F6A" w:rsidRDefault="006B14CD" w:rsidP="002927B5">
            <w:pPr>
              <w:pStyle w:val="Table"/>
            </w:pPr>
          </w:p>
        </w:tc>
      </w:tr>
      <w:tr w:rsidR="00B67219" w:rsidRPr="00D45F6A" w14:paraId="48704A1C" w14:textId="77777777" w:rsidTr="009735D6">
        <w:tc>
          <w:tcPr>
            <w:tcW w:w="3222" w:type="dxa"/>
          </w:tcPr>
          <w:p w14:paraId="6F8134C1" w14:textId="77777777" w:rsidR="00B67219" w:rsidRPr="00D45F6A" w:rsidRDefault="00B67219" w:rsidP="002927B5">
            <w:pPr>
              <w:pStyle w:val="Table"/>
            </w:pPr>
            <w:r w:rsidRPr="00D45F6A">
              <w:t>ARSQ</w:t>
            </w:r>
            <w:r w:rsidRPr="00D45F6A">
              <w:rPr>
                <w:vertAlign w:val="superscript"/>
              </w:rPr>
              <w:t>a</w:t>
            </w:r>
          </w:p>
        </w:tc>
        <w:tc>
          <w:tcPr>
            <w:tcW w:w="1619" w:type="dxa"/>
          </w:tcPr>
          <w:p w14:paraId="4AD1C72D" w14:textId="77777777" w:rsidR="00B67219" w:rsidRPr="00D45F6A" w:rsidRDefault="00B67219" w:rsidP="002927B5">
            <w:pPr>
              <w:pStyle w:val="Table"/>
            </w:pPr>
            <w:r w:rsidRPr="00D45F6A">
              <w:t>9.48 (3.94)</w:t>
            </w:r>
          </w:p>
        </w:tc>
        <w:tc>
          <w:tcPr>
            <w:tcW w:w="1513" w:type="dxa"/>
          </w:tcPr>
          <w:p w14:paraId="6CD2D4F3" w14:textId="77777777" w:rsidR="00B67219" w:rsidRPr="00D45F6A" w:rsidRDefault="00B67219" w:rsidP="002927B5">
            <w:pPr>
              <w:pStyle w:val="Table"/>
            </w:pPr>
            <w:r w:rsidRPr="00D45F6A">
              <w:t>1.39-23.44</w:t>
            </w:r>
          </w:p>
        </w:tc>
        <w:tc>
          <w:tcPr>
            <w:tcW w:w="1260" w:type="dxa"/>
          </w:tcPr>
          <w:p w14:paraId="6F4052AE" w14:textId="30D928A4" w:rsidR="00B67219" w:rsidRPr="00D45F6A" w:rsidRDefault="005D6170" w:rsidP="004C77D3">
            <w:pPr>
              <w:pStyle w:val="Table"/>
              <w:jc w:val="right"/>
            </w:pPr>
            <w:r w:rsidRPr="00D45F6A">
              <w:t>0</w:t>
            </w:r>
            <w:r w:rsidR="00B67219" w:rsidRPr="00D45F6A">
              <w:t xml:space="preserve">.6 </w:t>
            </w:r>
          </w:p>
        </w:tc>
        <w:tc>
          <w:tcPr>
            <w:tcW w:w="1328" w:type="dxa"/>
          </w:tcPr>
          <w:p w14:paraId="11B0C657" w14:textId="15F8E66F" w:rsidR="00B67219" w:rsidRPr="00D45F6A" w:rsidRDefault="005D6170" w:rsidP="004C77D3">
            <w:pPr>
              <w:pStyle w:val="Table"/>
              <w:jc w:val="right"/>
            </w:pPr>
            <w:r w:rsidRPr="00D45F6A">
              <w:t>0</w:t>
            </w:r>
            <w:r w:rsidR="00B67219" w:rsidRPr="00D45F6A">
              <w:t xml:space="preserve">.37 </w:t>
            </w:r>
          </w:p>
        </w:tc>
        <w:tc>
          <w:tcPr>
            <w:tcW w:w="2092" w:type="dxa"/>
          </w:tcPr>
          <w:p w14:paraId="45B5A516" w14:textId="77777777" w:rsidR="00B67219" w:rsidRPr="00D45F6A" w:rsidRDefault="00B67219" w:rsidP="002927B5">
            <w:pPr>
              <w:pStyle w:val="Table"/>
            </w:pPr>
            <w:r w:rsidRPr="00D45F6A">
              <w:t>8.61 (3.61)</w:t>
            </w:r>
          </w:p>
        </w:tc>
        <w:tc>
          <w:tcPr>
            <w:tcW w:w="2340" w:type="dxa"/>
          </w:tcPr>
          <w:p w14:paraId="648B20A5" w14:textId="08ACF569" w:rsidR="00B67219" w:rsidRPr="00D45F6A" w:rsidRDefault="005D6170" w:rsidP="002927B5">
            <w:pPr>
              <w:pStyle w:val="Table"/>
            </w:pPr>
            <w:r w:rsidRPr="00D45F6A">
              <w:t>0</w:t>
            </w:r>
            <w:r w:rsidR="00B67219" w:rsidRPr="00D45F6A">
              <w:t>.8</w:t>
            </w:r>
            <w:r w:rsidR="005F1A7D" w:rsidRPr="00D45F6A">
              <w:t>1</w:t>
            </w:r>
          </w:p>
        </w:tc>
      </w:tr>
      <w:tr w:rsidR="00B67219" w:rsidRPr="00D45F6A" w14:paraId="7994E9AC" w14:textId="77777777" w:rsidTr="009735D6">
        <w:tc>
          <w:tcPr>
            <w:tcW w:w="3222" w:type="dxa"/>
            <w:tcBorders>
              <w:bottom w:val="single" w:sz="4" w:space="0" w:color="auto"/>
            </w:tcBorders>
          </w:tcPr>
          <w:p w14:paraId="16D7EACB" w14:textId="77777777" w:rsidR="00B67219" w:rsidRPr="00D45F6A" w:rsidRDefault="00B67219" w:rsidP="002927B5">
            <w:pPr>
              <w:pStyle w:val="Table"/>
            </w:pPr>
            <w:r w:rsidRPr="00D45F6A">
              <w:t>O-LIFE</w:t>
            </w:r>
            <w:r w:rsidRPr="00D45F6A">
              <w:rPr>
                <w:vertAlign w:val="superscript"/>
              </w:rPr>
              <w:t>b</w:t>
            </w:r>
          </w:p>
          <w:p w14:paraId="74572052" w14:textId="77777777" w:rsidR="00B67219" w:rsidRPr="00D45F6A" w:rsidRDefault="00B67219" w:rsidP="002927B5">
            <w:pPr>
              <w:pStyle w:val="Table"/>
            </w:pPr>
            <w:r w:rsidRPr="00D45F6A">
              <w:t xml:space="preserve">  Unusual experiences</w:t>
            </w:r>
          </w:p>
          <w:p w14:paraId="14426706" w14:textId="3610FE65" w:rsidR="00B67219" w:rsidRPr="00D45F6A" w:rsidRDefault="00B67219" w:rsidP="0095647E">
            <w:pPr>
              <w:pStyle w:val="Table"/>
            </w:pPr>
            <w:r w:rsidRPr="00D45F6A">
              <w:t xml:space="preserve">  Cognitive disorganisation</w:t>
            </w:r>
          </w:p>
        </w:tc>
        <w:tc>
          <w:tcPr>
            <w:tcW w:w="1619" w:type="dxa"/>
            <w:tcBorders>
              <w:bottom w:val="single" w:sz="4" w:space="0" w:color="auto"/>
            </w:tcBorders>
          </w:tcPr>
          <w:p w14:paraId="52771896" w14:textId="77777777" w:rsidR="00B67219" w:rsidRPr="00D45F6A" w:rsidRDefault="00B67219" w:rsidP="002927B5">
            <w:pPr>
              <w:pStyle w:val="Table"/>
            </w:pPr>
          </w:p>
          <w:p w14:paraId="3DF7104E" w14:textId="77777777" w:rsidR="00B67219" w:rsidRPr="00D45F6A" w:rsidRDefault="00B67219" w:rsidP="002927B5">
            <w:pPr>
              <w:pStyle w:val="Table"/>
            </w:pPr>
            <w:r w:rsidRPr="00D45F6A">
              <w:t>7.67 (5.55)</w:t>
            </w:r>
          </w:p>
          <w:p w14:paraId="627E7C01" w14:textId="44FC3F62" w:rsidR="00B67219" w:rsidRPr="00D45F6A" w:rsidRDefault="00B67219" w:rsidP="0095647E">
            <w:pPr>
              <w:pStyle w:val="Table"/>
            </w:pPr>
            <w:r w:rsidRPr="00D45F6A">
              <w:t>13.31 (6.01)</w:t>
            </w:r>
          </w:p>
        </w:tc>
        <w:tc>
          <w:tcPr>
            <w:tcW w:w="1513" w:type="dxa"/>
            <w:tcBorders>
              <w:bottom w:val="single" w:sz="4" w:space="0" w:color="auto"/>
            </w:tcBorders>
          </w:tcPr>
          <w:p w14:paraId="296829A7" w14:textId="77777777" w:rsidR="00B67219" w:rsidRPr="00D45F6A" w:rsidRDefault="00B67219" w:rsidP="002927B5">
            <w:pPr>
              <w:pStyle w:val="Table"/>
            </w:pPr>
          </w:p>
          <w:p w14:paraId="1C12A5BD" w14:textId="77777777" w:rsidR="00B67219" w:rsidRPr="00D45F6A" w:rsidRDefault="00B67219" w:rsidP="002927B5">
            <w:pPr>
              <w:pStyle w:val="Table"/>
            </w:pPr>
            <w:r w:rsidRPr="00D45F6A">
              <w:t>0-26</w:t>
            </w:r>
          </w:p>
          <w:p w14:paraId="7899D12A" w14:textId="1C187283" w:rsidR="00B67219" w:rsidRPr="00D45F6A" w:rsidRDefault="00B67219" w:rsidP="0095647E">
            <w:pPr>
              <w:pStyle w:val="Table"/>
            </w:pPr>
            <w:r w:rsidRPr="00D45F6A">
              <w:t>0-24</w:t>
            </w:r>
          </w:p>
        </w:tc>
        <w:tc>
          <w:tcPr>
            <w:tcW w:w="1260" w:type="dxa"/>
            <w:tcBorders>
              <w:bottom w:val="single" w:sz="4" w:space="0" w:color="auto"/>
            </w:tcBorders>
          </w:tcPr>
          <w:p w14:paraId="3FFA2760" w14:textId="77777777" w:rsidR="00B67219" w:rsidRPr="00D45F6A" w:rsidRDefault="00B67219" w:rsidP="004C77D3">
            <w:pPr>
              <w:pStyle w:val="Table"/>
              <w:jc w:val="right"/>
            </w:pPr>
          </w:p>
          <w:p w14:paraId="7AC57619" w14:textId="6E4F82C0" w:rsidR="00B67219" w:rsidRPr="00D45F6A" w:rsidRDefault="005D6170" w:rsidP="004C77D3">
            <w:pPr>
              <w:pStyle w:val="Table"/>
              <w:jc w:val="right"/>
            </w:pPr>
            <w:r w:rsidRPr="00D45F6A">
              <w:t>0</w:t>
            </w:r>
            <w:r w:rsidR="00B67219" w:rsidRPr="00D45F6A">
              <w:t>.68</w:t>
            </w:r>
          </w:p>
          <w:p w14:paraId="7E2620D8" w14:textId="70EDD23F" w:rsidR="00B67219" w:rsidRPr="00D45F6A" w:rsidRDefault="00B67219" w:rsidP="0095647E">
            <w:pPr>
              <w:pStyle w:val="Table"/>
              <w:jc w:val="right"/>
            </w:pPr>
            <w:r w:rsidRPr="00D45F6A">
              <w:t>-</w:t>
            </w:r>
            <w:r w:rsidR="005D6170" w:rsidRPr="00D45F6A">
              <w:t>0</w:t>
            </w:r>
            <w:r w:rsidRPr="00D45F6A">
              <w:t>.19</w:t>
            </w:r>
          </w:p>
        </w:tc>
        <w:tc>
          <w:tcPr>
            <w:tcW w:w="1328" w:type="dxa"/>
            <w:tcBorders>
              <w:bottom w:val="single" w:sz="4" w:space="0" w:color="auto"/>
            </w:tcBorders>
          </w:tcPr>
          <w:p w14:paraId="17C6F6BB" w14:textId="77777777" w:rsidR="00B67219" w:rsidRPr="00D45F6A" w:rsidRDefault="00B67219" w:rsidP="004C77D3">
            <w:pPr>
              <w:pStyle w:val="Table"/>
              <w:jc w:val="right"/>
            </w:pPr>
          </w:p>
          <w:p w14:paraId="46F42BF1" w14:textId="7B57F622" w:rsidR="00B67219" w:rsidRPr="00D45F6A" w:rsidRDefault="005D6170" w:rsidP="004C77D3">
            <w:pPr>
              <w:pStyle w:val="Table"/>
              <w:jc w:val="right"/>
            </w:pPr>
            <w:r w:rsidRPr="00D45F6A">
              <w:t>0</w:t>
            </w:r>
            <w:r w:rsidR="00B67219" w:rsidRPr="00D45F6A">
              <w:t>.09</w:t>
            </w:r>
          </w:p>
          <w:p w14:paraId="2A749036" w14:textId="6EA79FBD" w:rsidR="00B67219" w:rsidRPr="00D45F6A" w:rsidRDefault="00B67219" w:rsidP="0095647E">
            <w:pPr>
              <w:pStyle w:val="Table"/>
              <w:jc w:val="right"/>
            </w:pPr>
            <w:r w:rsidRPr="00D45F6A">
              <w:t>-</w:t>
            </w:r>
            <w:r w:rsidR="005D6170" w:rsidRPr="00D45F6A">
              <w:t>0</w:t>
            </w:r>
            <w:r w:rsidRPr="00D45F6A">
              <w:t>.86</w:t>
            </w:r>
          </w:p>
        </w:tc>
        <w:tc>
          <w:tcPr>
            <w:tcW w:w="2092" w:type="dxa"/>
            <w:tcBorders>
              <w:bottom w:val="single" w:sz="4" w:space="0" w:color="auto"/>
            </w:tcBorders>
          </w:tcPr>
          <w:p w14:paraId="54CD2D86" w14:textId="77777777" w:rsidR="00B67219" w:rsidRPr="00D45F6A" w:rsidRDefault="00B67219" w:rsidP="002927B5">
            <w:pPr>
              <w:pStyle w:val="Table"/>
            </w:pPr>
          </w:p>
          <w:p w14:paraId="5E585993" w14:textId="77777777" w:rsidR="00B67219" w:rsidRPr="00D45F6A" w:rsidRDefault="00B67219" w:rsidP="002927B5">
            <w:pPr>
              <w:pStyle w:val="Table"/>
            </w:pPr>
            <w:r w:rsidRPr="00D45F6A">
              <w:t>8.82 (6.61)</w:t>
            </w:r>
          </w:p>
          <w:p w14:paraId="13BDB4F4" w14:textId="2FA80262" w:rsidR="00B67219" w:rsidRPr="00D45F6A" w:rsidRDefault="00B67219" w:rsidP="0095647E">
            <w:pPr>
              <w:pStyle w:val="Table"/>
            </w:pPr>
            <w:r w:rsidRPr="00D45F6A">
              <w:t>10.73 (5.87)</w:t>
            </w:r>
          </w:p>
        </w:tc>
        <w:tc>
          <w:tcPr>
            <w:tcW w:w="2340" w:type="dxa"/>
            <w:tcBorders>
              <w:bottom w:val="single" w:sz="4" w:space="0" w:color="auto"/>
            </w:tcBorders>
          </w:tcPr>
          <w:p w14:paraId="6FD3A784" w14:textId="77777777" w:rsidR="00B67219" w:rsidRPr="00D45F6A" w:rsidRDefault="00B67219" w:rsidP="002927B5">
            <w:pPr>
              <w:pStyle w:val="Table"/>
            </w:pPr>
          </w:p>
          <w:p w14:paraId="25CE599B" w14:textId="788A7640" w:rsidR="00B67219" w:rsidRPr="00D45F6A" w:rsidRDefault="005D6170" w:rsidP="002927B5">
            <w:pPr>
              <w:pStyle w:val="Table"/>
            </w:pPr>
            <w:r w:rsidRPr="00D45F6A">
              <w:t>0</w:t>
            </w:r>
            <w:r w:rsidR="005F1A7D" w:rsidRPr="00D45F6A">
              <w:t>.85</w:t>
            </w:r>
          </w:p>
          <w:p w14:paraId="1F0ABA2C" w14:textId="4D4DA071" w:rsidR="00B67219" w:rsidRPr="00D45F6A" w:rsidRDefault="005D6170" w:rsidP="0095647E">
            <w:pPr>
              <w:pStyle w:val="Table"/>
            </w:pPr>
            <w:r w:rsidRPr="00D45F6A">
              <w:t>0</w:t>
            </w:r>
            <w:r w:rsidR="005F1A7D" w:rsidRPr="00D45F6A">
              <w:t>.88</w:t>
            </w:r>
          </w:p>
        </w:tc>
      </w:tr>
    </w:tbl>
    <w:p w14:paraId="4D9875EB" w14:textId="536BA776" w:rsidR="00A96888" w:rsidRPr="00D45F6A" w:rsidRDefault="0095647E">
      <w:r w:rsidRPr="00D45F6A">
        <w:rPr>
          <w:lang w:eastAsia="en-US"/>
        </w:rPr>
        <w:lastRenderedPageBreak/>
        <w:t>Table 1 continued</w:t>
      </w:r>
    </w:p>
    <w:tbl>
      <w:tblPr>
        <w:tblStyle w:val="TableGrid"/>
        <w:tblW w:w="13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3"/>
        <w:gridCol w:w="334"/>
        <w:gridCol w:w="1244"/>
        <w:gridCol w:w="334"/>
        <w:gridCol w:w="1141"/>
        <w:gridCol w:w="335"/>
        <w:gridCol w:w="895"/>
        <w:gridCol w:w="334"/>
        <w:gridCol w:w="962"/>
        <w:gridCol w:w="334"/>
        <w:gridCol w:w="1704"/>
        <w:gridCol w:w="334"/>
        <w:gridCol w:w="1946"/>
        <w:gridCol w:w="332"/>
      </w:tblGrid>
      <w:tr w:rsidR="00A96888" w:rsidRPr="00D45F6A" w14:paraId="46DDC58A" w14:textId="77777777" w:rsidTr="00A96888">
        <w:trPr>
          <w:gridAfter w:val="1"/>
          <w:wAfter w:w="332" w:type="dxa"/>
        </w:trPr>
        <w:tc>
          <w:tcPr>
            <w:tcW w:w="2803" w:type="dxa"/>
            <w:tcBorders>
              <w:top w:val="single" w:sz="4" w:space="0" w:color="auto"/>
              <w:bottom w:val="single" w:sz="4" w:space="0" w:color="auto"/>
            </w:tcBorders>
          </w:tcPr>
          <w:p w14:paraId="6CF09235" w14:textId="77777777" w:rsidR="00A96888" w:rsidRPr="00D45F6A" w:rsidRDefault="00A96888" w:rsidP="000C6C5F">
            <w:pPr>
              <w:pStyle w:val="Table"/>
            </w:pPr>
          </w:p>
        </w:tc>
        <w:tc>
          <w:tcPr>
            <w:tcW w:w="1578" w:type="dxa"/>
            <w:gridSpan w:val="2"/>
            <w:tcBorders>
              <w:top w:val="single" w:sz="4" w:space="0" w:color="auto"/>
              <w:bottom w:val="single" w:sz="4" w:space="0" w:color="auto"/>
            </w:tcBorders>
          </w:tcPr>
          <w:p w14:paraId="6425F34A" w14:textId="77777777" w:rsidR="00A96888" w:rsidRPr="00D45F6A" w:rsidRDefault="00A96888" w:rsidP="000C6C5F">
            <w:pPr>
              <w:pStyle w:val="Table"/>
            </w:pPr>
            <w:r w:rsidRPr="00D45F6A">
              <w:t>Mean (S.D.) or percentage</w:t>
            </w:r>
          </w:p>
        </w:tc>
        <w:tc>
          <w:tcPr>
            <w:tcW w:w="1475" w:type="dxa"/>
            <w:gridSpan w:val="2"/>
            <w:tcBorders>
              <w:top w:val="single" w:sz="4" w:space="0" w:color="auto"/>
              <w:bottom w:val="single" w:sz="4" w:space="0" w:color="auto"/>
            </w:tcBorders>
          </w:tcPr>
          <w:p w14:paraId="1EF3376D" w14:textId="77777777" w:rsidR="00A96888" w:rsidRPr="00D45F6A" w:rsidRDefault="00A96888" w:rsidP="000C6C5F">
            <w:pPr>
              <w:pStyle w:val="Table"/>
            </w:pPr>
            <w:r w:rsidRPr="00D45F6A">
              <w:t>Range</w:t>
            </w:r>
          </w:p>
        </w:tc>
        <w:tc>
          <w:tcPr>
            <w:tcW w:w="1230" w:type="dxa"/>
            <w:gridSpan w:val="2"/>
            <w:tcBorders>
              <w:top w:val="single" w:sz="4" w:space="0" w:color="auto"/>
              <w:bottom w:val="single" w:sz="4" w:space="0" w:color="auto"/>
            </w:tcBorders>
          </w:tcPr>
          <w:p w14:paraId="73A20665" w14:textId="77777777" w:rsidR="00A96888" w:rsidRPr="00D45F6A" w:rsidRDefault="00A96888" w:rsidP="000C6C5F">
            <w:pPr>
              <w:pStyle w:val="Table"/>
            </w:pPr>
            <w:r w:rsidRPr="00D45F6A">
              <w:t xml:space="preserve">Skewness </w:t>
            </w:r>
          </w:p>
        </w:tc>
        <w:tc>
          <w:tcPr>
            <w:tcW w:w="1296" w:type="dxa"/>
            <w:gridSpan w:val="2"/>
            <w:tcBorders>
              <w:top w:val="single" w:sz="4" w:space="0" w:color="auto"/>
              <w:bottom w:val="single" w:sz="4" w:space="0" w:color="auto"/>
            </w:tcBorders>
          </w:tcPr>
          <w:p w14:paraId="29DC3A91" w14:textId="77777777" w:rsidR="00A96888" w:rsidRPr="00D45F6A" w:rsidRDefault="00A96888" w:rsidP="000C6C5F">
            <w:pPr>
              <w:pStyle w:val="Table"/>
            </w:pPr>
            <w:r w:rsidRPr="00D45F6A">
              <w:t xml:space="preserve">Kurtosis </w:t>
            </w:r>
          </w:p>
        </w:tc>
        <w:tc>
          <w:tcPr>
            <w:tcW w:w="2038" w:type="dxa"/>
            <w:gridSpan w:val="2"/>
            <w:tcBorders>
              <w:top w:val="single" w:sz="4" w:space="0" w:color="auto"/>
              <w:bottom w:val="single" w:sz="4" w:space="0" w:color="auto"/>
            </w:tcBorders>
          </w:tcPr>
          <w:p w14:paraId="00BF997B" w14:textId="77777777" w:rsidR="00A96888" w:rsidRPr="00D45F6A" w:rsidRDefault="00A96888" w:rsidP="000C6C5F">
            <w:pPr>
              <w:pStyle w:val="Table"/>
            </w:pPr>
            <w:r w:rsidRPr="00D45F6A">
              <w:t>Normative sample mean (S.D.)</w:t>
            </w:r>
          </w:p>
        </w:tc>
        <w:tc>
          <w:tcPr>
            <w:tcW w:w="2280" w:type="dxa"/>
            <w:gridSpan w:val="2"/>
            <w:tcBorders>
              <w:top w:val="single" w:sz="4" w:space="0" w:color="auto"/>
              <w:bottom w:val="single" w:sz="4" w:space="0" w:color="auto"/>
            </w:tcBorders>
          </w:tcPr>
          <w:p w14:paraId="516FBE20" w14:textId="77777777" w:rsidR="00A96888" w:rsidRPr="00D45F6A" w:rsidRDefault="00A96888" w:rsidP="000C6C5F">
            <w:pPr>
              <w:pStyle w:val="Table"/>
            </w:pPr>
            <w:r w:rsidRPr="00D45F6A">
              <w:t>Internal reliability (Cronbach’s alpha)</w:t>
            </w:r>
          </w:p>
        </w:tc>
      </w:tr>
      <w:tr w:rsidR="00A96888" w:rsidRPr="00D45F6A" w14:paraId="3518F5A7" w14:textId="77777777" w:rsidTr="00A96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7" w:type="dxa"/>
            <w:gridSpan w:val="2"/>
            <w:tcBorders>
              <w:top w:val="nil"/>
              <w:left w:val="nil"/>
              <w:bottom w:val="nil"/>
              <w:right w:val="nil"/>
            </w:tcBorders>
          </w:tcPr>
          <w:p w14:paraId="27199465" w14:textId="77777777" w:rsidR="00A96888" w:rsidRPr="00D45F6A" w:rsidRDefault="00A96888" w:rsidP="00A96888">
            <w:pPr>
              <w:pStyle w:val="Table"/>
            </w:pPr>
            <w:r w:rsidRPr="00D45F6A">
              <w:t xml:space="preserve">  Introvertive anhedonia</w:t>
            </w:r>
          </w:p>
          <w:p w14:paraId="3ECC9495" w14:textId="1B5EB79E" w:rsidR="00A96888" w:rsidRPr="00D45F6A" w:rsidRDefault="00A96888" w:rsidP="00A96888">
            <w:pPr>
              <w:pStyle w:val="Table"/>
              <w:rPr>
                <w:lang w:val="fr-FR"/>
              </w:rPr>
            </w:pPr>
            <w:r w:rsidRPr="00D45F6A">
              <w:t xml:space="preserve">  Impulsive non-conformity</w:t>
            </w:r>
          </w:p>
        </w:tc>
        <w:tc>
          <w:tcPr>
            <w:tcW w:w="1578" w:type="dxa"/>
            <w:gridSpan w:val="2"/>
            <w:tcBorders>
              <w:top w:val="nil"/>
              <w:left w:val="nil"/>
              <w:bottom w:val="nil"/>
              <w:right w:val="nil"/>
            </w:tcBorders>
          </w:tcPr>
          <w:p w14:paraId="065EF90C" w14:textId="77777777" w:rsidR="00A96888" w:rsidRPr="00D45F6A" w:rsidRDefault="00A96888" w:rsidP="00A96888">
            <w:pPr>
              <w:pStyle w:val="Table"/>
            </w:pPr>
            <w:r w:rsidRPr="00D45F6A">
              <w:t>7.39 (4.55)</w:t>
            </w:r>
          </w:p>
          <w:p w14:paraId="496CF005" w14:textId="04850326" w:rsidR="00A96888" w:rsidRPr="00D45F6A" w:rsidRDefault="00A96888" w:rsidP="00A96888">
            <w:pPr>
              <w:pStyle w:val="Table"/>
              <w:rPr>
                <w:lang w:val="fr-FR"/>
              </w:rPr>
            </w:pPr>
            <w:r w:rsidRPr="00D45F6A">
              <w:t>9.81 (3.34)</w:t>
            </w:r>
          </w:p>
        </w:tc>
        <w:tc>
          <w:tcPr>
            <w:tcW w:w="1476" w:type="dxa"/>
            <w:gridSpan w:val="2"/>
            <w:tcBorders>
              <w:top w:val="nil"/>
              <w:left w:val="nil"/>
              <w:bottom w:val="nil"/>
              <w:right w:val="nil"/>
            </w:tcBorders>
          </w:tcPr>
          <w:p w14:paraId="04750550" w14:textId="77777777" w:rsidR="0095647E" w:rsidRPr="00D45F6A" w:rsidRDefault="0095647E" w:rsidP="0095647E">
            <w:pPr>
              <w:pStyle w:val="Table"/>
            </w:pPr>
            <w:r w:rsidRPr="00D45F6A">
              <w:t>0-23</w:t>
            </w:r>
          </w:p>
          <w:p w14:paraId="7340CC20" w14:textId="18598643" w:rsidR="00A96888" w:rsidRPr="00D45F6A" w:rsidRDefault="0095647E" w:rsidP="0095647E">
            <w:pPr>
              <w:pStyle w:val="Table"/>
            </w:pPr>
            <w:r w:rsidRPr="00D45F6A">
              <w:t>3-20</w:t>
            </w:r>
          </w:p>
        </w:tc>
        <w:tc>
          <w:tcPr>
            <w:tcW w:w="1229" w:type="dxa"/>
            <w:gridSpan w:val="2"/>
            <w:tcBorders>
              <w:top w:val="nil"/>
              <w:left w:val="nil"/>
              <w:bottom w:val="nil"/>
              <w:right w:val="nil"/>
            </w:tcBorders>
          </w:tcPr>
          <w:p w14:paraId="549E1874" w14:textId="77777777" w:rsidR="0095647E" w:rsidRPr="00D45F6A" w:rsidRDefault="0095647E" w:rsidP="0095647E">
            <w:pPr>
              <w:pStyle w:val="Table"/>
              <w:jc w:val="right"/>
            </w:pPr>
            <w:r w:rsidRPr="00D45F6A">
              <w:t>0.85</w:t>
            </w:r>
          </w:p>
          <w:p w14:paraId="17E3DF70" w14:textId="501CF1E2" w:rsidR="00A96888" w:rsidRPr="00D45F6A" w:rsidRDefault="0095647E" w:rsidP="0095647E">
            <w:pPr>
              <w:pStyle w:val="Table"/>
              <w:jc w:val="right"/>
            </w:pPr>
            <w:r w:rsidRPr="00D45F6A">
              <w:t>0.31</w:t>
            </w:r>
          </w:p>
        </w:tc>
        <w:tc>
          <w:tcPr>
            <w:tcW w:w="1296" w:type="dxa"/>
            <w:gridSpan w:val="2"/>
            <w:tcBorders>
              <w:top w:val="nil"/>
              <w:left w:val="nil"/>
              <w:bottom w:val="nil"/>
              <w:right w:val="nil"/>
            </w:tcBorders>
          </w:tcPr>
          <w:p w14:paraId="717B8314" w14:textId="77777777" w:rsidR="0095647E" w:rsidRPr="00D45F6A" w:rsidRDefault="0095647E" w:rsidP="0095647E">
            <w:pPr>
              <w:pStyle w:val="Table"/>
              <w:jc w:val="right"/>
            </w:pPr>
            <w:r w:rsidRPr="00D45F6A">
              <w:t>0.21</w:t>
            </w:r>
          </w:p>
          <w:p w14:paraId="1BFF9040" w14:textId="2A607A99" w:rsidR="00A96888" w:rsidRPr="00D45F6A" w:rsidRDefault="0095647E" w:rsidP="0095647E">
            <w:pPr>
              <w:pStyle w:val="Table"/>
              <w:jc w:val="right"/>
            </w:pPr>
            <w:r w:rsidRPr="00D45F6A">
              <w:t>-0.09</w:t>
            </w:r>
          </w:p>
        </w:tc>
        <w:tc>
          <w:tcPr>
            <w:tcW w:w="2038" w:type="dxa"/>
            <w:gridSpan w:val="2"/>
            <w:tcBorders>
              <w:top w:val="nil"/>
              <w:left w:val="nil"/>
              <w:bottom w:val="nil"/>
              <w:right w:val="nil"/>
            </w:tcBorders>
          </w:tcPr>
          <w:p w14:paraId="16DF0046" w14:textId="77777777" w:rsidR="0095647E" w:rsidRPr="00D45F6A" w:rsidRDefault="0095647E" w:rsidP="0095647E">
            <w:pPr>
              <w:pStyle w:val="Table"/>
            </w:pPr>
            <w:r w:rsidRPr="00D45F6A">
              <w:t>6.63 (4.49)</w:t>
            </w:r>
          </w:p>
          <w:p w14:paraId="364DA272" w14:textId="041A436B" w:rsidR="00A96888" w:rsidRPr="00D45F6A" w:rsidRDefault="0095647E" w:rsidP="0095647E">
            <w:pPr>
              <w:pStyle w:val="Table"/>
            </w:pPr>
            <w:r w:rsidRPr="00D45F6A">
              <w:t>7.69 (4.12)</w:t>
            </w:r>
          </w:p>
        </w:tc>
        <w:tc>
          <w:tcPr>
            <w:tcW w:w="2278" w:type="dxa"/>
            <w:gridSpan w:val="2"/>
            <w:tcBorders>
              <w:top w:val="nil"/>
              <w:left w:val="nil"/>
              <w:bottom w:val="nil"/>
              <w:right w:val="nil"/>
            </w:tcBorders>
          </w:tcPr>
          <w:p w14:paraId="65E029AD" w14:textId="77777777" w:rsidR="0095647E" w:rsidRPr="00D45F6A" w:rsidRDefault="0095647E" w:rsidP="0095647E">
            <w:pPr>
              <w:pStyle w:val="Table"/>
            </w:pPr>
            <w:r w:rsidRPr="00D45F6A">
              <w:t>0.77</w:t>
            </w:r>
          </w:p>
          <w:p w14:paraId="5B5DB5EC" w14:textId="63ABB50D" w:rsidR="00A96888" w:rsidRPr="00D45F6A" w:rsidRDefault="0095647E" w:rsidP="0095647E">
            <w:pPr>
              <w:pStyle w:val="Table"/>
            </w:pPr>
            <w:r w:rsidRPr="00D45F6A">
              <w:t>0.62</w:t>
            </w:r>
          </w:p>
        </w:tc>
      </w:tr>
      <w:tr w:rsidR="00C3442D" w:rsidRPr="00D45F6A" w14:paraId="4D6667A1" w14:textId="77777777" w:rsidTr="00956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7" w:type="dxa"/>
            <w:gridSpan w:val="2"/>
            <w:tcBorders>
              <w:top w:val="nil"/>
              <w:left w:val="nil"/>
              <w:bottom w:val="nil"/>
              <w:right w:val="nil"/>
            </w:tcBorders>
          </w:tcPr>
          <w:p w14:paraId="14304030" w14:textId="77777777" w:rsidR="00C3442D" w:rsidRPr="00D45F6A" w:rsidRDefault="00C3442D" w:rsidP="00891D53">
            <w:pPr>
              <w:pStyle w:val="Table"/>
              <w:rPr>
                <w:lang w:val="fr-FR"/>
              </w:rPr>
            </w:pPr>
            <w:r w:rsidRPr="00D45F6A">
              <w:rPr>
                <w:lang w:val="fr-FR"/>
              </w:rPr>
              <w:t>WHOQOL</w:t>
            </w:r>
            <w:r w:rsidRPr="00D45F6A">
              <w:rPr>
                <w:vertAlign w:val="superscript"/>
                <w:lang w:val="fr-FR"/>
              </w:rPr>
              <w:t>c</w:t>
            </w:r>
          </w:p>
          <w:p w14:paraId="1A1B1DF3" w14:textId="77777777" w:rsidR="00C3442D" w:rsidRPr="00D45F6A" w:rsidRDefault="00C3442D" w:rsidP="00891D53">
            <w:pPr>
              <w:pStyle w:val="Table"/>
              <w:rPr>
                <w:lang w:val="fr-FR"/>
              </w:rPr>
            </w:pPr>
            <w:r w:rsidRPr="00D45F6A">
              <w:rPr>
                <w:lang w:val="fr-FR"/>
              </w:rPr>
              <w:t xml:space="preserve">  Physical</w:t>
            </w:r>
          </w:p>
          <w:p w14:paraId="1D58A2B6" w14:textId="77777777" w:rsidR="00C3442D" w:rsidRPr="00D45F6A" w:rsidRDefault="00C3442D" w:rsidP="00891D53">
            <w:pPr>
              <w:pStyle w:val="Table"/>
              <w:rPr>
                <w:lang w:val="fr-FR"/>
              </w:rPr>
            </w:pPr>
            <w:r w:rsidRPr="00D45F6A">
              <w:rPr>
                <w:lang w:val="fr-FR"/>
              </w:rPr>
              <w:t xml:space="preserve">  Psychological</w:t>
            </w:r>
          </w:p>
          <w:p w14:paraId="6C66D2C4" w14:textId="77777777" w:rsidR="00C3442D" w:rsidRPr="00D45F6A" w:rsidRDefault="00C3442D" w:rsidP="00891D53">
            <w:pPr>
              <w:pStyle w:val="Table"/>
              <w:rPr>
                <w:lang w:val="fr-FR"/>
              </w:rPr>
            </w:pPr>
            <w:r w:rsidRPr="00D45F6A">
              <w:rPr>
                <w:lang w:val="fr-FR"/>
              </w:rPr>
              <w:t xml:space="preserve">  Social</w:t>
            </w:r>
          </w:p>
          <w:p w14:paraId="3FB0A150" w14:textId="77777777" w:rsidR="00C3442D" w:rsidRPr="00D45F6A" w:rsidRDefault="00C3442D" w:rsidP="00891D53">
            <w:pPr>
              <w:pStyle w:val="Table"/>
              <w:rPr>
                <w:lang w:val="fr-FR"/>
              </w:rPr>
            </w:pPr>
            <w:r w:rsidRPr="00D45F6A">
              <w:rPr>
                <w:lang w:val="fr-FR"/>
              </w:rPr>
              <w:t xml:space="preserve">  Environmental</w:t>
            </w:r>
          </w:p>
        </w:tc>
        <w:tc>
          <w:tcPr>
            <w:tcW w:w="1578" w:type="dxa"/>
            <w:gridSpan w:val="2"/>
            <w:tcBorders>
              <w:top w:val="nil"/>
              <w:left w:val="nil"/>
              <w:bottom w:val="nil"/>
              <w:right w:val="nil"/>
            </w:tcBorders>
          </w:tcPr>
          <w:p w14:paraId="76295A7E" w14:textId="77777777" w:rsidR="00C3442D" w:rsidRPr="00D45F6A" w:rsidRDefault="00C3442D" w:rsidP="00891D53">
            <w:pPr>
              <w:pStyle w:val="Table"/>
              <w:rPr>
                <w:lang w:val="fr-FR"/>
              </w:rPr>
            </w:pPr>
          </w:p>
          <w:p w14:paraId="2B818B36" w14:textId="77777777" w:rsidR="00C3442D" w:rsidRPr="00D45F6A" w:rsidRDefault="00C3442D" w:rsidP="00891D53">
            <w:pPr>
              <w:pStyle w:val="Table"/>
            </w:pPr>
            <w:r w:rsidRPr="00D45F6A">
              <w:t>15.59 (2.11)</w:t>
            </w:r>
          </w:p>
          <w:p w14:paraId="23C65EC6" w14:textId="77777777" w:rsidR="00C3442D" w:rsidRPr="00D45F6A" w:rsidRDefault="00C3442D" w:rsidP="00891D53">
            <w:pPr>
              <w:pStyle w:val="Table"/>
            </w:pPr>
            <w:r w:rsidRPr="00D45F6A">
              <w:t>13.26 (2.51)</w:t>
            </w:r>
          </w:p>
          <w:p w14:paraId="0C2EA8B3" w14:textId="77777777" w:rsidR="00C3442D" w:rsidRPr="00D45F6A" w:rsidRDefault="00C3442D" w:rsidP="00891D53">
            <w:pPr>
              <w:pStyle w:val="Table"/>
            </w:pPr>
            <w:r w:rsidRPr="00D45F6A">
              <w:t>15.23 (2.63)</w:t>
            </w:r>
          </w:p>
          <w:p w14:paraId="750A9B8A" w14:textId="77777777" w:rsidR="00C3442D" w:rsidRPr="00D45F6A" w:rsidRDefault="00C3442D" w:rsidP="00891D53">
            <w:pPr>
              <w:pStyle w:val="Table"/>
            </w:pPr>
            <w:r w:rsidRPr="00D45F6A">
              <w:t>14.95 (1.92)</w:t>
            </w:r>
          </w:p>
        </w:tc>
        <w:tc>
          <w:tcPr>
            <w:tcW w:w="1476" w:type="dxa"/>
            <w:gridSpan w:val="2"/>
            <w:tcBorders>
              <w:top w:val="nil"/>
              <w:left w:val="nil"/>
              <w:bottom w:val="nil"/>
              <w:right w:val="nil"/>
            </w:tcBorders>
          </w:tcPr>
          <w:p w14:paraId="32FDE609" w14:textId="77777777" w:rsidR="00C3442D" w:rsidRPr="00D45F6A" w:rsidRDefault="00C3442D" w:rsidP="00891D53">
            <w:pPr>
              <w:pStyle w:val="Table"/>
              <w:jc w:val="right"/>
            </w:pPr>
          </w:p>
          <w:p w14:paraId="516EA622" w14:textId="77777777" w:rsidR="00C3442D" w:rsidRPr="00D45F6A" w:rsidRDefault="00C3442D" w:rsidP="00891D53">
            <w:pPr>
              <w:pStyle w:val="Table"/>
              <w:jc w:val="right"/>
            </w:pPr>
            <w:r w:rsidRPr="00D45F6A">
              <w:t>8.14-19.57</w:t>
            </w:r>
          </w:p>
          <w:p w14:paraId="1CE84F67" w14:textId="77777777" w:rsidR="00C3442D" w:rsidRPr="00D45F6A" w:rsidRDefault="00C3442D" w:rsidP="00891D53">
            <w:pPr>
              <w:pStyle w:val="Table"/>
              <w:jc w:val="right"/>
            </w:pPr>
            <w:r w:rsidRPr="00D45F6A">
              <w:t>6.17-19.33</w:t>
            </w:r>
          </w:p>
          <w:p w14:paraId="173AEF39" w14:textId="77777777" w:rsidR="00C3442D" w:rsidRPr="00D45F6A" w:rsidRDefault="00C3442D" w:rsidP="00891D53">
            <w:pPr>
              <w:pStyle w:val="Table"/>
              <w:jc w:val="right"/>
            </w:pPr>
            <w:r w:rsidRPr="00D45F6A">
              <w:t>5.67-20.0</w:t>
            </w:r>
          </w:p>
          <w:p w14:paraId="4AF81827" w14:textId="77777777" w:rsidR="00C3442D" w:rsidRPr="00D45F6A" w:rsidRDefault="00C3442D" w:rsidP="00891D53">
            <w:pPr>
              <w:pStyle w:val="Table"/>
              <w:jc w:val="right"/>
            </w:pPr>
            <w:r w:rsidRPr="00D45F6A">
              <w:t>10.13-19.63</w:t>
            </w:r>
          </w:p>
        </w:tc>
        <w:tc>
          <w:tcPr>
            <w:tcW w:w="1229" w:type="dxa"/>
            <w:gridSpan w:val="2"/>
            <w:tcBorders>
              <w:top w:val="nil"/>
              <w:left w:val="nil"/>
              <w:bottom w:val="nil"/>
              <w:right w:val="nil"/>
            </w:tcBorders>
          </w:tcPr>
          <w:p w14:paraId="2AC35DB8" w14:textId="77777777" w:rsidR="00C3442D" w:rsidRPr="00D45F6A" w:rsidRDefault="00C3442D" w:rsidP="00891D53">
            <w:pPr>
              <w:pStyle w:val="Table"/>
              <w:jc w:val="right"/>
            </w:pPr>
          </w:p>
          <w:p w14:paraId="23EF359C" w14:textId="1362879F" w:rsidR="00C3442D" w:rsidRPr="00D45F6A" w:rsidRDefault="00C3442D" w:rsidP="00891D53">
            <w:pPr>
              <w:pStyle w:val="Table"/>
              <w:jc w:val="right"/>
            </w:pPr>
            <w:r w:rsidRPr="00D45F6A">
              <w:t>-</w:t>
            </w:r>
            <w:r w:rsidR="005D6170" w:rsidRPr="00D45F6A">
              <w:t>0</w:t>
            </w:r>
            <w:r w:rsidRPr="00D45F6A">
              <w:t>.87</w:t>
            </w:r>
          </w:p>
          <w:p w14:paraId="2AE86C61" w14:textId="7D0CE8DB" w:rsidR="00C3442D" w:rsidRPr="00D45F6A" w:rsidRDefault="00C3442D" w:rsidP="00891D53">
            <w:pPr>
              <w:pStyle w:val="Table"/>
              <w:jc w:val="right"/>
            </w:pPr>
            <w:r w:rsidRPr="00D45F6A">
              <w:t>-</w:t>
            </w:r>
            <w:r w:rsidR="005D6170" w:rsidRPr="00D45F6A">
              <w:t>0</w:t>
            </w:r>
            <w:r w:rsidRPr="00D45F6A">
              <w:t>.21</w:t>
            </w:r>
          </w:p>
          <w:p w14:paraId="31927C63" w14:textId="6F82AE42" w:rsidR="00C3442D" w:rsidRPr="00D45F6A" w:rsidRDefault="00C3442D" w:rsidP="00891D53">
            <w:pPr>
              <w:pStyle w:val="Table"/>
              <w:jc w:val="right"/>
            </w:pPr>
            <w:r w:rsidRPr="00D45F6A">
              <w:t>-</w:t>
            </w:r>
            <w:r w:rsidR="005D6170" w:rsidRPr="00D45F6A">
              <w:t>0</w:t>
            </w:r>
            <w:r w:rsidRPr="00D45F6A">
              <w:t>.42</w:t>
            </w:r>
          </w:p>
          <w:p w14:paraId="5BBAAFD0" w14:textId="6CBF8D81" w:rsidR="00C3442D" w:rsidRPr="00D45F6A" w:rsidRDefault="00C3442D" w:rsidP="00891D53">
            <w:pPr>
              <w:pStyle w:val="Table"/>
              <w:jc w:val="right"/>
            </w:pPr>
            <w:r w:rsidRPr="00D45F6A">
              <w:t>-</w:t>
            </w:r>
            <w:r w:rsidR="005D6170" w:rsidRPr="00D45F6A">
              <w:t>0</w:t>
            </w:r>
            <w:r w:rsidRPr="00D45F6A">
              <w:t>.03</w:t>
            </w:r>
          </w:p>
        </w:tc>
        <w:tc>
          <w:tcPr>
            <w:tcW w:w="1296" w:type="dxa"/>
            <w:gridSpan w:val="2"/>
            <w:tcBorders>
              <w:top w:val="nil"/>
              <w:left w:val="nil"/>
              <w:bottom w:val="nil"/>
              <w:right w:val="nil"/>
            </w:tcBorders>
          </w:tcPr>
          <w:p w14:paraId="23F7B434" w14:textId="77777777" w:rsidR="00C3442D" w:rsidRPr="00D45F6A" w:rsidRDefault="00C3442D" w:rsidP="00891D53">
            <w:pPr>
              <w:pStyle w:val="Table"/>
              <w:jc w:val="right"/>
            </w:pPr>
          </w:p>
          <w:p w14:paraId="70C8E91B" w14:textId="45F9A8CA" w:rsidR="00C3442D" w:rsidRPr="00D45F6A" w:rsidRDefault="005D6170" w:rsidP="00891D53">
            <w:pPr>
              <w:pStyle w:val="Table"/>
              <w:jc w:val="right"/>
            </w:pPr>
            <w:r w:rsidRPr="00D45F6A">
              <w:t>0</w:t>
            </w:r>
            <w:r w:rsidR="00C3442D" w:rsidRPr="00D45F6A">
              <w:t>.74</w:t>
            </w:r>
          </w:p>
          <w:p w14:paraId="66A3B62E" w14:textId="734E0BD2" w:rsidR="00C3442D" w:rsidRPr="00D45F6A" w:rsidRDefault="00C3442D" w:rsidP="00891D53">
            <w:pPr>
              <w:pStyle w:val="Table"/>
              <w:jc w:val="right"/>
            </w:pPr>
            <w:r w:rsidRPr="00D45F6A">
              <w:t>-</w:t>
            </w:r>
            <w:r w:rsidR="005D6170" w:rsidRPr="00D45F6A">
              <w:t>0</w:t>
            </w:r>
            <w:r w:rsidRPr="00D45F6A">
              <w:t>.41</w:t>
            </w:r>
          </w:p>
          <w:p w14:paraId="3190E8D7" w14:textId="03641876" w:rsidR="00C3442D" w:rsidRPr="00D45F6A" w:rsidRDefault="00C3442D" w:rsidP="00891D53">
            <w:pPr>
              <w:pStyle w:val="Table"/>
              <w:jc w:val="right"/>
            </w:pPr>
            <w:r w:rsidRPr="00D45F6A">
              <w:t>-</w:t>
            </w:r>
            <w:r w:rsidR="005D6170" w:rsidRPr="00D45F6A">
              <w:t>0</w:t>
            </w:r>
            <w:r w:rsidRPr="00D45F6A">
              <w:t>.1</w:t>
            </w:r>
          </w:p>
          <w:p w14:paraId="1F4149B0" w14:textId="0BA479D7" w:rsidR="00C3442D" w:rsidRPr="00D45F6A" w:rsidRDefault="00C3442D" w:rsidP="00891D53">
            <w:pPr>
              <w:pStyle w:val="Table"/>
              <w:jc w:val="right"/>
            </w:pPr>
            <w:r w:rsidRPr="00D45F6A">
              <w:t>-</w:t>
            </w:r>
            <w:r w:rsidR="005D6170" w:rsidRPr="00D45F6A">
              <w:t>0</w:t>
            </w:r>
            <w:r w:rsidRPr="00D45F6A">
              <w:t>.37</w:t>
            </w:r>
          </w:p>
        </w:tc>
        <w:tc>
          <w:tcPr>
            <w:tcW w:w="2038" w:type="dxa"/>
            <w:gridSpan w:val="2"/>
            <w:tcBorders>
              <w:top w:val="nil"/>
              <w:left w:val="nil"/>
              <w:bottom w:val="nil"/>
              <w:right w:val="nil"/>
            </w:tcBorders>
          </w:tcPr>
          <w:p w14:paraId="26B4A6A7" w14:textId="77777777" w:rsidR="00C3442D" w:rsidRPr="00D45F6A" w:rsidRDefault="00C3442D" w:rsidP="00891D53">
            <w:pPr>
              <w:pStyle w:val="Table"/>
            </w:pPr>
          </w:p>
          <w:p w14:paraId="7B6A139B" w14:textId="77777777" w:rsidR="00C3442D" w:rsidRPr="00D45F6A" w:rsidRDefault="00C3442D" w:rsidP="00891D53">
            <w:pPr>
              <w:pStyle w:val="Table"/>
            </w:pPr>
            <w:r w:rsidRPr="00D45F6A">
              <w:t>13.85 (1.58)</w:t>
            </w:r>
          </w:p>
          <w:p w14:paraId="2F7F1154" w14:textId="77777777" w:rsidR="00C3442D" w:rsidRPr="00D45F6A" w:rsidRDefault="00C3442D" w:rsidP="00891D53">
            <w:pPr>
              <w:pStyle w:val="Table"/>
            </w:pPr>
            <w:r w:rsidRPr="00D45F6A">
              <w:t>13.80 (0.58)</w:t>
            </w:r>
          </w:p>
          <w:p w14:paraId="38C88C46" w14:textId="77777777" w:rsidR="00C3442D" w:rsidRPr="00D45F6A" w:rsidRDefault="00C3442D" w:rsidP="00891D53">
            <w:pPr>
              <w:pStyle w:val="Table"/>
            </w:pPr>
            <w:r w:rsidRPr="00D45F6A">
              <w:t>14.20 (0.40)</w:t>
            </w:r>
          </w:p>
          <w:p w14:paraId="00BA1B39" w14:textId="77777777" w:rsidR="00C3442D" w:rsidRPr="00D45F6A" w:rsidRDefault="00C3442D" w:rsidP="00891D53">
            <w:pPr>
              <w:pStyle w:val="Table"/>
            </w:pPr>
            <w:r w:rsidRPr="00D45F6A">
              <w:t>13.60 (0.40)</w:t>
            </w:r>
          </w:p>
        </w:tc>
        <w:tc>
          <w:tcPr>
            <w:tcW w:w="2278" w:type="dxa"/>
            <w:gridSpan w:val="2"/>
            <w:tcBorders>
              <w:top w:val="nil"/>
              <w:left w:val="nil"/>
              <w:bottom w:val="nil"/>
              <w:right w:val="nil"/>
            </w:tcBorders>
          </w:tcPr>
          <w:p w14:paraId="7EB2F940" w14:textId="77777777" w:rsidR="00C3442D" w:rsidRPr="00D45F6A" w:rsidRDefault="00C3442D" w:rsidP="00891D53">
            <w:pPr>
              <w:pStyle w:val="Table"/>
            </w:pPr>
          </w:p>
          <w:p w14:paraId="3310F826" w14:textId="15CD38E8" w:rsidR="00C3442D" w:rsidRPr="00D45F6A" w:rsidRDefault="005D6170" w:rsidP="00891D53">
            <w:pPr>
              <w:pStyle w:val="Table"/>
            </w:pPr>
            <w:r w:rsidRPr="00D45F6A">
              <w:t>0</w:t>
            </w:r>
            <w:r w:rsidR="00C3442D" w:rsidRPr="00D45F6A">
              <w:t>.81</w:t>
            </w:r>
          </w:p>
          <w:p w14:paraId="2D0C9E66" w14:textId="142877A5" w:rsidR="00C3442D" w:rsidRPr="00D45F6A" w:rsidRDefault="005D6170" w:rsidP="00891D53">
            <w:pPr>
              <w:pStyle w:val="Table"/>
            </w:pPr>
            <w:r w:rsidRPr="00D45F6A">
              <w:t>0</w:t>
            </w:r>
            <w:r w:rsidR="00C3442D" w:rsidRPr="00D45F6A">
              <w:t>.81</w:t>
            </w:r>
          </w:p>
          <w:p w14:paraId="58258BAA" w14:textId="320B0B5C" w:rsidR="00C3442D" w:rsidRPr="00D45F6A" w:rsidRDefault="005D6170" w:rsidP="00891D53">
            <w:pPr>
              <w:pStyle w:val="Table"/>
            </w:pPr>
            <w:r w:rsidRPr="00D45F6A">
              <w:t>0</w:t>
            </w:r>
            <w:r w:rsidR="00C3442D" w:rsidRPr="00D45F6A">
              <w:t>.87</w:t>
            </w:r>
          </w:p>
          <w:p w14:paraId="336BE614" w14:textId="3FE2D6D7" w:rsidR="00C3442D" w:rsidRPr="00D45F6A" w:rsidRDefault="005D6170" w:rsidP="00891D53">
            <w:pPr>
              <w:pStyle w:val="Table"/>
            </w:pPr>
            <w:r w:rsidRPr="00D45F6A">
              <w:t>0</w:t>
            </w:r>
            <w:r w:rsidR="00C3442D" w:rsidRPr="00D45F6A">
              <w:t>.91</w:t>
            </w:r>
          </w:p>
        </w:tc>
      </w:tr>
      <w:tr w:rsidR="0095647E" w:rsidRPr="00D45F6A" w14:paraId="0AC8CFBB" w14:textId="77777777" w:rsidTr="00A96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7" w:type="dxa"/>
            <w:gridSpan w:val="2"/>
            <w:tcBorders>
              <w:top w:val="nil"/>
              <w:left w:val="nil"/>
              <w:bottom w:val="single" w:sz="4" w:space="0" w:color="auto"/>
              <w:right w:val="nil"/>
            </w:tcBorders>
          </w:tcPr>
          <w:p w14:paraId="27BBE689" w14:textId="77777777" w:rsidR="0095647E" w:rsidRPr="00D45F6A" w:rsidRDefault="0095647E" w:rsidP="0095647E">
            <w:pPr>
              <w:pStyle w:val="Table"/>
            </w:pPr>
            <w:r w:rsidRPr="00D45F6A">
              <w:t>Big Five Inventory</w:t>
            </w:r>
            <w:r w:rsidRPr="00D45F6A">
              <w:rPr>
                <w:vertAlign w:val="superscript"/>
              </w:rPr>
              <w:t>d</w:t>
            </w:r>
          </w:p>
          <w:p w14:paraId="6E87DF59" w14:textId="77777777" w:rsidR="0095647E" w:rsidRPr="00D45F6A" w:rsidRDefault="0095647E" w:rsidP="0095647E">
            <w:pPr>
              <w:pStyle w:val="Table"/>
            </w:pPr>
            <w:r w:rsidRPr="00D45F6A">
              <w:t xml:space="preserve">  Extraversion</w:t>
            </w:r>
          </w:p>
          <w:p w14:paraId="6D904168" w14:textId="77777777" w:rsidR="0095647E" w:rsidRPr="00D45F6A" w:rsidRDefault="0095647E" w:rsidP="0095647E">
            <w:pPr>
              <w:pStyle w:val="Table"/>
            </w:pPr>
            <w:r w:rsidRPr="00D45F6A">
              <w:t xml:space="preserve">  Neuroticism</w:t>
            </w:r>
          </w:p>
          <w:p w14:paraId="488EA46A" w14:textId="496A0C50" w:rsidR="0095647E" w:rsidRPr="00D45F6A" w:rsidRDefault="0095647E" w:rsidP="0095647E">
            <w:pPr>
              <w:pStyle w:val="Table"/>
              <w:rPr>
                <w:lang w:val="fr-FR"/>
              </w:rPr>
            </w:pPr>
            <w:r w:rsidRPr="00D45F6A">
              <w:t xml:space="preserve">  Conscientiousness</w:t>
            </w:r>
          </w:p>
        </w:tc>
        <w:tc>
          <w:tcPr>
            <w:tcW w:w="1578" w:type="dxa"/>
            <w:gridSpan w:val="2"/>
            <w:tcBorders>
              <w:top w:val="nil"/>
              <w:left w:val="nil"/>
              <w:bottom w:val="single" w:sz="4" w:space="0" w:color="auto"/>
              <w:right w:val="nil"/>
            </w:tcBorders>
          </w:tcPr>
          <w:p w14:paraId="6237B900" w14:textId="77777777" w:rsidR="0095647E" w:rsidRPr="00D45F6A" w:rsidRDefault="0095647E" w:rsidP="00891D53">
            <w:pPr>
              <w:pStyle w:val="Table"/>
              <w:rPr>
                <w:lang w:val="fr-FR"/>
              </w:rPr>
            </w:pPr>
          </w:p>
          <w:p w14:paraId="0EC10F24" w14:textId="77777777" w:rsidR="0095647E" w:rsidRPr="00D45F6A" w:rsidRDefault="0095647E" w:rsidP="0095647E">
            <w:pPr>
              <w:pStyle w:val="Table"/>
            </w:pPr>
            <w:r w:rsidRPr="00D45F6A">
              <w:t>25.35 (6.06)</w:t>
            </w:r>
          </w:p>
          <w:p w14:paraId="1F6E9F43" w14:textId="77777777" w:rsidR="0095647E" w:rsidRPr="00D45F6A" w:rsidRDefault="0095647E" w:rsidP="0095647E">
            <w:pPr>
              <w:pStyle w:val="Table"/>
            </w:pPr>
            <w:r w:rsidRPr="00D45F6A">
              <w:t>25.16 (5.93)</w:t>
            </w:r>
          </w:p>
          <w:p w14:paraId="2346403D" w14:textId="71E0963E" w:rsidR="0095647E" w:rsidRPr="00D45F6A" w:rsidRDefault="0095647E" w:rsidP="0095647E">
            <w:pPr>
              <w:pStyle w:val="Table"/>
              <w:rPr>
                <w:lang w:val="fr-FR"/>
              </w:rPr>
            </w:pPr>
            <w:r w:rsidRPr="00D45F6A">
              <w:t>30.27 (5.48)</w:t>
            </w:r>
          </w:p>
        </w:tc>
        <w:tc>
          <w:tcPr>
            <w:tcW w:w="1476" w:type="dxa"/>
            <w:gridSpan w:val="2"/>
            <w:tcBorders>
              <w:top w:val="nil"/>
              <w:left w:val="nil"/>
              <w:bottom w:val="single" w:sz="4" w:space="0" w:color="auto"/>
              <w:right w:val="nil"/>
            </w:tcBorders>
          </w:tcPr>
          <w:p w14:paraId="2A1971BD" w14:textId="77777777" w:rsidR="0095647E" w:rsidRPr="00D45F6A" w:rsidRDefault="0095647E" w:rsidP="00891D53">
            <w:pPr>
              <w:pStyle w:val="Table"/>
              <w:jc w:val="right"/>
            </w:pPr>
          </w:p>
          <w:p w14:paraId="2D2D18D5" w14:textId="77777777" w:rsidR="0095647E" w:rsidRPr="00D45F6A" w:rsidRDefault="0095647E" w:rsidP="0095647E">
            <w:pPr>
              <w:pStyle w:val="Table"/>
              <w:jc w:val="right"/>
            </w:pPr>
            <w:r w:rsidRPr="00D45F6A">
              <w:t>9-39</w:t>
            </w:r>
          </w:p>
          <w:p w14:paraId="361E6D8F" w14:textId="77777777" w:rsidR="0095647E" w:rsidRPr="00D45F6A" w:rsidRDefault="0095647E" w:rsidP="0095647E">
            <w:pPr>
              <w:pStyle w:val="Table"/>
              <w:jc w:val="right"/>
            </w:pPr>
            <w:r w:rsidRPr="00D45F6A">
              <w:t>8-39</w:t>
            </w:r>
          </w:p>
          <w:p w14:paraId="591B33CF" w14:textId="5382C2B1" w:rsidR="0095647E" w:rsidRPr="00D45F6A" w:rsidRDefault="0095647E" w:rsidP="0095647E">
            <w:pPr>
              <w:pStyle w:val="Table"/>
              <w:jc w:val="right"/>
            </w:pPr>
            <w:r w:rsidRPr="00D45F6A">
              <w:t>15-44</w:t>
            </w:r>
          </w:p>
        </w:tc>
        <w:tc>
          <w:tcPr>
            <w:tcW w:w="1229" w:type="dxa"/>
            <w:gridSpan w:val="2"/>
            <w:tcBorders>
              <w:top w:val="nil"/>
              <w:left w:val="nil"/>
              <w:bottom w:val="single" w:sz="4" w:space="0" w:color="auto"/>
              <w:right w:val="nil"/>
            </w:tcBorders>
          </w:tcPr>
          <w:p w14:paraId="6CB1E26E" w14:textId="77777777" w:rsidR="0095647E" w:rsidRPr="00D45F6A" w:rsidRDefault="0095647E" w:rsidP="00891D53">
            <w:pPr>
              <w:pStyle w:val="Table"/>
              <w:jc w:val="right"/>
            </w:pPr>
          </w:p>
          <w:p w14:paraId="7F488E11" w14:textId="77777777" w:rsidR="0095647E" w:rsidRPr="00D45F6A" w:rsidRDefault="0095647E" w:rsidP="0095647E">
            <w:pPr>
              <w:pStyle w:val="Table"/>
              <w:jc w:val="right"/>
            </w:pPr>
            <w:r w:rsidRPr="00D45F6A">
              <w:t>-0.15</w:t>
            </w:r>
          </w:p>
          <w:p w14:paraId="1D7F28F9" w14:textId="77777777" w:rsidR="0095647E" w:rsidRPr="00D45F6A" w:rsidRDefault="0095647E" w:rsidP="0095647E">
            <w:pPr>
              <w:pStyle w:val="Table"/>
              <w:jc w:val="right"/>
            </w:pPr>
            <w:r w:rsidRPr="00D45F6A">
              <w:t>-0.19</w:t>
            </w:r>
          </w:p>
          <w:p w14:paraId="039F6944" w14:textId="081D940D" w:rsidR="0095647E" w:rsidRPr="00D45F6A" w:rsidRDefault="0095647E" w:rsidP="0095647E">
            <w:pPr>
              <w:pStyle w:val="Table"/>
              <w:jc w:val="right"/>
            </w:pPr>
            <w:r w:rsidRPr="00D45F6A">
              <w:t>0.14</w:t>
            </w:r>
          </w:p>
        </w:tc>
        <w:tc>
          <w:tcPr>
            <w:tcW w:w="1296" w:type="dxa"/>
            <w:gridSpan w:val="2"/>
            <w:tcBorders>
              <w:top w:val="nil"/>
              <w:left w:val="nil"/>
              <w:bottom w:val="single" w:sz="4" w:space="0" w:color="auto"/>
              <w:right w:val="nil"/>
            </w:tcBorders>
          </w:tcPr>
          <w:p w14:paraId="7203DBF0" w14:textId="77777777" w:rsidR="0095647E" w:rsidRPr="00D45F6A" w:rsidRDefault="0095647E" w:rsidP="00891D53">
            <w:pPr>
              <w:pStyle w:val="Table"/>
              <w:jc w:val="right"/>
            </w:pPr>
          </w:p>
          <w:p w14:paraId="19198438" w14:textId="77777777" w:rsidR="0095647E" w:rsidRPr="00D45F6A" w:rsidRDefault="0095647E" w:rsidP="0095647E">
            <w:pPr>
              <w:pStyle w:val="Table"/>
              <w:jc w:val="right"/>
            </w:pPr>
            <w:r w:rsidRPr="00D45F6A">
              <w:t>-0.54</w:t>
            </w:r>
          </w:p>
          <w:p w14:paraId="02F21FE8" w14:textId="77777777" w:rsidR="0095647E" w:rsidRPr="00D45F6A" w:rsidRDefault="0095647E" w:rsidP="0095647E">
            <w:pPr>
              <w:pStyle w:val="Table"/>
              <w:jc w:val="right"/>
            </w:pPr>
            <w:r w:rsidRPr="00D45F6A">
              <w:t>-0.48</w:t>
            </w:r>
          </w:p>
          <w:p w14:paraId="1595F9BF" w14:textId="35FEB975" w:rsidR="0095647E" w:rsidRPr="00D45F6A" w:rsidRDefault="0095647E" w:rsidP="0095647E">
            <w:pPr>
              <w:pStyle w:val="Table"/>
              <w:jc w:val="right"/>
            </w:pPr>
            <w:r w:rsidRPr="00D45F6A">
              <w:t>-0.14</w:t>
            </w:r>
          </w:p>
        </w:tc>
        <w:tc>
          <w:tcPr>
            <w:tcW w:w="2038" w:type="dxa"/>
            <w:gridSpan w:val="2"/>
            <w:tcBorders>
              <w:top w:val="nil"/>
              <w:left w:val="nil"/>
              <w:bottom w:val="single" w:sz="4" w:space="0" w:color="auto"/>
              <w:right w:val="nil"/>
            </w:tcBorders>
          </w:tcPr>
          <w:p w14:paraId="4E689B7B" w14:textId="77777777" w:rsidR="0095647E" w:rsidRPr="00D45F6A" w:rsidRDefault="0095647E" w:rsidP="00891D53">
            <w:pPr>
              <w:pStyle w:val="Table"/>
            </w:pPr>
          </w:p>
          <w:p w14:paraId="1E219940" w14:textId="77777777" w:rsidR="0095647E" w:rsidRPr="00D45F6A" w:rsidRDefault="0095647E" w:rsidP="0095647E">
            <w:pPr>
              <w:pStyle w:val="Table"/>
            </w:pPr>
            <w:r w:rsidRPr="00D45F6A">
              <w:t>25.77 (6.95)</w:t>
            </w:r>
          </w:p>
          <w:p w14:paraId="0A00DE61" w14:textId="77777777" w:rsidR="0095647E" w:rsidRPr="00D45F6A" w:rsidRDefault="0095647E" w:rsidP="0095647E">
            <w:pPr>
              <w:pStyle w:val="Table"/>
            </w:pPr>
            <w:r w:rsidRPr="00D45F6A">
              <w:t>24.66 (7.09)</w:t>
            </w:r>
          </w:p>
          <w:p w14:paraId="359AD606" w14:textId="5E5FF692" w:rsidR="0095647E" w:rsidRPr="00D45F6A" w:rsidRDefault="0095647E" w:rsidP="0095647E">
            <w:pPr>
              <w:pStyle w:val="Table"/>
            </w:pPr>
            <w:r w:rsidRPr="00D45F6A">
              <w:t>31.42 (6.57)</w:t>
            </w:r>
          </w:p>
        </w:tc>
        <w:tc>
          <w:tcPr>
            <w:tcW w:w="2278" w:type="dxa"/>
            <w:gridSpan w:val="2"/>
            <w:tcBorders>
              <w:top w:val="nil"/>
              <w:left w:val="nil"/>
              <w:bottom w:val="single" w:sz="4" w:space="0" w:color="auto"/>
              <w:right w:val="nil"/>
            </w:tcBorders>
          </w:tcPr>
          <w:p w14:paraId="27DC7EA2" w14:textId="77777777" w:rsidR="0095647E" w:rsidRPr="00D45F6A" w:rsidRDefault="0095647E" w:rsidP="00891D53">
            <w:pPr>
              <w:pStyle w:val="Table"/>
            </w:pPr>
          </w:p>
          <w:p w14:paraId="50F2C51F" w14:textId="77777777" w:rsidR="0095647E" w:rsidRPr="00D45F6A" w:rsidRDefault="0095647E" w:rsidP="0095647E">
            <w:pPr>
              <w:pStyle w:val="Table"/>
            </w:pPr>
            <w:r w:rsidRPr="00D45F6A">
              <w:t>0.88</w:t>
            </w:r>
          </w:p>
          <w:p w14:paraId="0C811FEA" w14:textId="77777777" w:rsidR="0095647E" w:rsidRPr="00D45F6A" w:rsidRDefault="0095647E" w:rsidP="0095647E">
            <w:pPr>
              <w:pStyle w:val="Table"/>
            </w:pPr>
            <w:r w:rsidRPr="00D45F6A">
              <w:t>0.84</w:t>
            </w:r>
          </w:p>
          <w:p w14:paraId="10118285" w14:textId="597CAA37" w:rsidR="0095647E" w:rsidRPr="00D45F6A" w:rsidRDefault="0095647E" w:rsidP="0095647E">
            <w:pPr>
              <w:pStyle w:val="Table"/>
            </w:pPr>
            <w:r w:rsidRPr="00D45F6A">
              <w:t>0.81</w:t>
            </w:r>
          </w:p>
        </w:tc>
      </w:tr>
    </w:tbl>
    <w:p w14:paraId="1B3A70D7" w14:textId="2C76F034" w:rsidR="0011788C" w:rsidRPr="00D45F6A" w:rsidRDefault="0095647E" w:rsidP="00EF6D96">
      <w:r w:rsidRPr="00D45F6A">
        <w:lastRenderedPageBreak/>
        <w:t>Table 1 continued</w:t>
      </w:r>
    </w:p>
    <w:tbl>
      <w:tblPr>
        <w:tblStyle w:val="TableGrid"/>
        <w:tblW w:w="13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3"/>
        <w:gridCol w:w="77"/>
        <w:gridCol w:w="1501"/>
        <w:gridCol w:w="118"/>
        <w:gridCol w:w="1357"/>
        <w:gridCol w:w="156"/>
        <w:gridCol w:w="1074"/>
        <w:gridCol w:w="186"/>
        <w:gridCol w:w="1110"/>
        <w:gridCol w:w="218"/>
        <w:gridCol w:w="1820"/>
        <w:gridCol w:w="272"/>
        <w:gridCol w:w="2008"/>
        <w:gridCol w:w="332"/>
      </w:tblGrid>
      <w:tr w:rsidR="0095647E" w:rsidRPr="00D45F6A" w14:paraId="23A27C85" w14:textId="77777777" w:rsidTr="000C6C5F">
        <w:trPr>
          <w:gridAfter w:val="1"/>
          <w:wAfter w:w="332" w:type="dxa"/>
        </w:trPr>
        <w:tc>
          <w:tcPr>
            <w:tcW w:w="2803" w:type="dxa"/>
            <w:tcBorders>
              <w:top w:val="single" w:sz="4" w:space="0" w:color="auto"/>
              <w:bottom w:val="single" w:sz="4" w:space="0" w:color="auto"/>
            </w:tcBorders>
          </w:tcPr>
          <w:p w14:paraId="69E9D8D9" w14:textId="77777777" w:rsidR="0095647E" w:rsidRPr="00D45F6A" w:rsidRDefault="0095647E" w:rsidP="000C6C5F">
            <w:pPr>
              <w:pStyle w:val="Table"/>
            </w:pPr>
          </w:p>
        </w:tc>
        <w:tc>
          <w:tcPr>
            <w:tcW w:w="1578" w:type="dxa"/>
            <w:gridSpan w:val="2"/>
            <w:tcBorders>
              <w:top w:val="single" w:sz="4" w:space="0" w:color="auto"/>
              <w:bottom w:val="single" w:sz="4" w:space="0" w:color="auto"/>
            </w:tcBorders>
          </w:tcPr>
          <w:p w14:paraId="4B30F47E" w14:textId="77777777" w:rsidR="0095647E" w:rsidRPr="00D45F6A" w:rsidRDefault="0095647E" w:rsidP="000C6C5F">
            <w:pPr>
              <w:pStyle w:val="Table"/>
            </w:pPr>
            <w:r w:rsidRPr="00D45F6A">
              <w:t>Mean (S.D.) or percentage</w:t>
            </w:r>
          </w:p>
        </w:tc>
        <w:tc>
          <w:tcPr>
            <w:tcW w:w="1475" w:type="dxa"/>
            <w:gridSpan w:val="2"/>
            <w:tcBorders>
              <w:top w:val="single" w:sz="4" w:space="0" w:color="auto"/>
              <w:bottom w:val="single" w:sz="4" w:space="0" w:color="auto"/>
            </w:tcBorders>
          </w:tcPr>
          <w:p w14:paraId="302062B0" w14:textId="77777777" w:rsidR="0095647E" w:rsidRPr="00D45F6A" w:rsidRDefault="0095647E" w:rsidP="000C6C5F">
            <w:pPr>
              <w:pStyle w:val="Table"/>
            </w:pPr>
            <w:r w:rsidRPr="00D45F6A">
              <w:t>Range</w:t>
            </w:r>
          </w:p>
        </w:tc>
        <w:tc>
          <w:tcPr>
            <w:tcW w:w="1230" w:type="dxa"/>
            <w:gridSpan w:val="2"/>
            <w:tcBorders>
              <w:top w:val="single" w:sz="4" w:space="0" w:color="auto"/>
              <w:bottom w:val="single" w:sz="4" w:space="0" w:color="auto"/>
            </w:tcBorders>
          </w:tcPr>
          <w:p w14:paraId="6576B667" w14:textId="77777777" w:rsidR="0095647E" w:rsidRPr="00D45F6A" w:rsidRDefault="0095647E" w:rsidP="000C6C5F">
            <w:pPr>
              <w:pStyle w:val="Table"/>
            </w:pPr>
            <w:r w:rsidRPr="00D45F6A">
              <w:t xml:space="preserve">Skewness </w:t>
            </w:r>
          </w:p>
        </w:tc>
        <w:tc>
          <w:tcPr>
            <w:tcW w:w="1296" w:type="dxa"/>
            <w:gridSpan w:val="2"/>
            <w:tcBorders>
              <w:top w:val="single" w:sz="4" w:space="0" w:color="auto"/>
              <w:bottom w:val="single" w:sz="4" w:space="0" w:color="auto"/>
            </w:tcBorders>
          </w:tcPr>
          <w:p w14:paraId="16407DAA" w14:textId="77777777" w:rsidR="0095647E" w:rsidRPr="00D45F6A" w:rsidRDefault="0095647E" w:rsidP="000C6C5F">
            <w:pPr>
              <w:pStyle w:val="Table"/>
            </w:pPr>
            <w:r w:rsidRPr="00D45F6A">
              <w:t xml:space="preserve">Kurtosis </w:t>
            </w:r>
          </w:p>
        </w:tc>
        <w:tc>
          <w:tcPr>
            <w:tcW w:w="2038" w:type="dxa"/>
            <w:gridSpan w:val="2"/>
            <w:tcBorders>
              <w:top w:val="single" w:sz="4" w:space="0" w:color="auto"/>
              <w:bottom w:val="single" w:sz="4" w:space="0" w:color="auto"/>
            </w:tcBorders>
          </w:tcPr>
          <w:p w14:paraId="432199FB" w14:textId="77777777" w:rsidR="0095647E" w:rsidRPr="00D45F6A" w:rsidRDefault="0095647E" w:rsidP="000C6C5F">
            <w:pPr>
              <w:pStyle w:val="Table"/>
            </w:pPr>
            <w:r w:rsidRPr="00D45F6A">
              <w:t>Normative sample mean (S.D.)</w:t>
            </w:r>
          </w:p>
        </w:tc>
        <w:tc>
          <w:tcPr>
            <w:tcW w:w="2280" w:type="dxa"/>
            <w:gridSpan w:val="2"/>
            <w:tcBorders>
              <w:top w:val="single" w:sz="4" w:space="0" w:color="auto"/>
              <w:bottom w:val="single" w:sz="4" w:space="0" w:color="auto"/>
            </w:tcBorders>
          </w:tcPr>
          <w:p w14:paraId="7B1D0700" w14:textId="77777777" w:rsidR="0095647E" w:rsidRPr="00D45F6A" w:rsidRDefault="0095647E" w:rsidP="000C6C5F">
            <w:pPr>
              <w:pStyle w:val="Table"/>
            </w:pPr>
            <w:r w:rsidRPr="00D45F6A">
              <w:t>Internal reliability (Cronbach’s alpha)</w:t>
            </w:r>
          </w:p>
        </w:tc>
      </w:tr>
      <w:tr w:rsidR="00B67219" w:rsidRPr="00D45F6A" w14:paraId="577B4954" w14:textId="77777777" w:rsidTr="004C77D3">
        <w:tc>
          <w:tcPr>
            <w:tcW w:w="2880" w:type="dxa"/>
            <w:gridSpan w:val="2"/>
            <w:tcBorders>
              <w:top w:val="single" w:sz="4" w:space="0" w:color="auto"/>
              <w:bottom w:val="single" w:sz="4" w:space="0" w:color="auto"/>
            </w:tcBorders>
          </w:tcPr>
          <w:p w14:paraId="5B1C1D9A" w14:textId="3A8911BA" w:rsidR="0095647E" w:rsidRPr="00D45F6A" w:rsidRDefault="0095647E" w:rsidP="0095647E">
            <w:pPr>
              <w:pStyle w:val="Table"/>
            </w:pPr>
            <w:r w:rsidRPr="00D45F6A">
              <w:t xml:space="preserve">  Agreeableness</w:t>
            </w:r>
          </w:p>
          <w:p w14:paraId="6729451E" w14:textId="60A873B6" w:rsidR="00B67219" w:rsidRPr="00D45F6A" w:rsidRDefault="0095647E" w:rsidP="0095647E">
            <w:pPr>
              <w:pStyle w:val="Table"/>
            </w:pPr>
            <w:r w:rsidRPr="00D45F6A">
              <w:t xml:space="preserve">  Openness</w:t>
            </w:r>
          </w:p>
        </w:tc>
        <w:tc>
          <w:tcPr>
            <w:tcW w:w="1619" w:type="dxa"/>
            <w:gridSpan w:val="2"/>
            <w:tcBorders>
              <w:top w:val="single" w:sz="4" w:space="0" w:color="auto"/>
              <w:bottom w:val="single" w:sz="4" w:space="0" w:color="auto"/>
            </w:tcBorders>
          </w:tcPr>
          <w:p w14:paraId="4A1EEBCC" w14:textId="77777777" w:rsidR="00B67219" w:rsidRPr="00D45F6A" w:rsidRDefault="00B67219" w:rsidP="002927B5">
            <w:pPr>
              <w:pStyle w:val="Table"/>
            </w:pPr>
            <w:r w:rsidRPr="00D45F6A">
              <w:t>33.26 (5.08)</w:t>
            </w:r>
          </w:p>
          <w:p w14:paraId="1F48BE10" w14:textId="77777777" w:rsidR="00B67219" w:rsidRPr="00D45F6A" w:rsidRDefault="00B67219" w:rsidP="002927B5">
            <w:pPr>
              <w:pStyle w:val="Table"/>
            </w:pPr>
            <w:r w:rsidRPr="00D45F6A">
              <w:t>33.44 (5.58)</w:t>
            </w:r>
          </w:p>
        </w:tc>
        <w:tc>
          <w:tcPr>
            <w:tcW w:w="1513" w:type="dxa"/>
            <w:gridSpan w:val="2"/>
            <w:tcBorders>
              <w:top w:val="single" w:sz="4" w:space="0" w:color="auto"/>
              <w:bottom w:val="single" w:sz="4" w:space="0" w:color="auto"/>
            </w:tcBorders>
          </w:tcPr>
          <w:p w14:paraId="483F5810" w14:textId="77777777" w:rsidR="00B67219" w:rsidRPr="00D45F6A" w:rsidRDefault="00B67219" w:rsidP="0011788C">
            <w:pPr>
              <w:pStyle w:val="Table"/>
              <w:jc w:val="right"/>
            </w:pPr>
            <w:r w:rsidRPr="00D45F6A">
              <w:t>13-45</w:t>
            </w:r>
          </w:p>
          <w:p w14:paraId="41222F69" w14:textId="77777777" w:rsidR="00B67219" w:rsidRPr="00D45F6A" w:rsidRDefault="00B67219" w:rsidP="0011788C">
            <w:pPr>
              <w:pStyle w:val="Table"/>
              <w:jc w:val="right"/>
            </w:pPr>
            <w:r w:rsidRPr="00D45F6A">
              <w:t>17-50</w:t>
            </w:r>
          </w:p>
        </w:tc>
        <w:tc>
          <w:tcPr>
            <w:tcW w:w="1260" w:type="dxa"/>
            <w:gridSpan w:val="2"/>
            <w:tcBorders>
              <w:top w:val="single" w:sz="4" w:space="0" w:color="auto"/>
              <w:bottom w:val="single" w:sz="4" w:space="0" w:color="auto"/>
            </w:tcBorders>
          </w:tcPr>
          <w:p w14:paraId="69795EE6" w14:textId="2568113B" w:rsidR="00B67219" w:rsidRPr="00D45F6A" w:rsidRDefault="00B67219" w:rsidP="0011788C">
            <w:pPr>
              <w:pStyle w:val="Table"/>
              <w:jc w:val="right"/>
            </w:pPr>
            <w:r w:rsidRPr="00D45F6A">
              <w:t>-</w:t>
            </w:r>
            <w:r w:rsidR="005D6170" w:rsidRPr="00D45F6A">
              <w:t>0</w:t>
            </w:r>
            <w:r w:rsidRPr="00D45F6A">
              <w:t>.36</w:t>
            </w:r>
          </w:p>
          <w:p w14:paraId="703A9690" w14:textId="118B6F99" w:rsidR="00B67219" w:rsidRPr="00D45F6A" w:rsidRDefault="005D6170" w:rsidP="0011788C">
            <w:pPr>
              <w:pStyle w:val="Table"/>
              <w:jc w:val="right"/>
            </w:pPr>
            <w:r w:rsidRPr="00D45F6A">
              <w:t>0</w:t>
            </w:r>
            <w:r w:rsidR="00B67219" w:rsidRPr="00D45F6A">
              <w:t>.01</w:t>
            </w:r>
          </w:p>
        </w:tc>
        <w:tc>
          <w:tcPr>
            <w:tcW w:w="1328" w:type="dxa"/>
            <w:gridSpan w:val="2"/>
            <w:tcBorders>
              <w:top w:val="single" w:sz="4" w:space="0" w:color="auto"/>
              <w:bottom w:val="single" w:sz="4" w:space="0" w:color="auto"/>
            </w:tcBorders>
          </w:tcPr>
          <w:p w14:paraId="2B9602FF" w14:textId="2469CF5D" w:rsidR="00B67219" w:rsidRPr="00D45F6A" w:rsidRDefault="00B67219" w:rsidP="0011788C">
            <w:pPr>
              <w:pStyle w:val="Table"/>
              <w:jc w:val="right"/>
            </w:pPr>
            <w:r w:rsidRPr="00D45F6A">
              <w:t>-</w:t>
            </w:r>
            <w:r w:rsidR="005D6170" w:rsidRPr="00D45F6A">
              <w:t>0</w:t>
            </w:r>
            <w:r w:rsidRPr="00D45F6A">
              <w:t>.64</w:t>
            </w:r>
          </w:p>
          <w:p w14:paraId="34FDB01A" w14:textId="2D44EA9E" w:rsidR="00B67219" w:rsidRPr="00D45F6A" w:rsidRDefault="005D6170" w:rsidP="0011788C">
            <w:pPr>
              <w:pStyle w:val="Table"/>
              <w:jc w:val="right"/>
            </w:pPr>
            <w:r w:rsidRPr="00D45F6A">
              <w:t>0</w:t>
            </w:r>
            <w:r w:rsidR="00B67219" w:rsidRPr="00D45F6A">
              <w:t>.22</w:t>
            </w:r>
          </w:p>
        </w:tc>
        <w:tc>
          <w:tcPr>
            <w:tcW w:w="2092" w:type="dxa"/>
            <w:gridSpan w:val="2"/>
            <w:tcBorders>
              <w:top w:val="single" w:sz="4" w:space="0" w:color="auto"/>
              <w:bottom w:val="single" w:sz="4" w:space="0" w:color="auto"/>
            </w:tcBorders>
          </w:tcPr>
          <w:p w14:paraId="595200E2" w14:textId="77777777" w:rsidR="00B67219" w:rsidRPr="00D45F6A" w:rsidRDefault="00B67219" w:rsidP="002927B5">
            <w:pPr>
              <w:pStyle w:val="Table"/>
            </w:pPr>
            <w:r w:rsidRPr="00D45F6A">
              <w:t>34.06 (5.70)</w:t>
            </w:r>
          </w:p>
          <w:p w14:paraId="39F8B7CB" w14:textId="77777777" w:rsidR="00B67219" w:rsidRPr="00D45F6A" w:rsidRDefault="00B67219" w:rsidP="002927B5">
            <w:pPr>
              <w:pStyle w:val="Table"/>
            </w:pPr>
            <w:r w:rsidRPr="00D45F6A">
              <w:t>38.51 (6.16)</w:t>
            </w:r>
          </w:p>
        </w:tc>
        <w:tc>
          <w:tcPr>
            <w:tcW w:w="2340" w:type="dxa"/>
            <w:gridSpan w:val="2"/>
            <w:tcBorders>
              <w:top w:val="single" w:sz="4" w:space="0" w:color="auto"/>
              <w:bottom w:val="single" w:sz="4" w:space="0" w:color="auto"/>
            </w:tcBorders>
          </w:tcPr>
          <w:p w14:paraId="55B4B54E" w14:textId="0A44EED7" w:rsidR="00B67219" w:rsidRPr="00D45F6A" w:rsidRDefault="005D6170" w:rsidP="002927B5">
            <w:pPr>
              <w:pStyle w:val="Table"/>
            </w:pPr>
            <w:r w:rsidRPr="00D45F6A">
              <w:t>0</w:t>
            </w:r>
            <w:r w:rsidR="005F1A7D" w:rsidRPr="00D45F6A">
              <w:t>.75</w:t>
            </w:r>
          </w:p>
          <w:p w14:paraId="109C4E7A" w14:textId="47E9856A" w:rsidR="00B67219" w:rsidRPr="00D45F6A" w:rsidRDefault="005D6170" w:rsidP="002927B5">
            <w:pPr>
              <w:pStyle w:val="Table"/>
            </w:pPr>
            <w:r w:rsidRPr="00D45F6A">
              <w:t>0</w:t>
            </w:r>
            <w:r w:rsidR="00B67219" w:rsidRPr="00D45F6A">
              <w:t>.7</w:t>
            </w:r>
            <w:r w:rsidR="005F1A7D" w:rsidRPr="00D45F6A">
              <w:t>8</w:t>
            </w:r>
          </w:p>
        </w:tc>
      </w:tr>
    </w:tbl>
    <w:p w14:paraId="459642B2" w14:textId="77777777" w:rsidR="00A46971" w:rsidRPr="00D45F6A" w:rsidRDefault="00A46971" w:rsidP="00107084">
      <w:pPr>
        <w:rPr>
          <w:lang w:eastAsia="en-US"/>
        </w:rPr>
      </w:pPr>
    </w:p>
    <w:p w14:paraId="2FB8FF65" w14:textId="449393D1" w:rsidR="00EC59F5" w:rsidRPr="00D45F6A" w:rsidRDefault="002E222D" w:rsidP="00107084">
      <w:pPr>
        <w:rPr>
          <w:lang w:eastAsia="en-US"/>
        </w:rPr>
        <w:sectPr w:rsidR="00EC59F5" w:rsidRPr="00D45F6A" w:rsidSect="005B49F7">
          <w:pgSz w:w="16838" w:h="11906" w:orient="landscape" w:code="9"/>
          <w:pgMar w:top="1440" w:right="1440" w:bottom="1440" w:left="1440" w:header="720" w:footer="720" w:gutter="0"/>
          <w:cols w:space="720"/>
          <w:docGrid w:linePitch="360"/>
        </w:sectPr>
      </w:pPr>
      <w:r w:rsidRPr="00D45F6A">
        <w:rPr>
          <w:lang w:eastAsia="en-US"/>
        </w:rPr>
        <w:t>ARSQ: Adult Rejection Sensitivity scale, O-LIFE: Oxford-Liverpool Inventory of Feelings and Experiences, WHOQOL: World Health Organisation Quality of Life</w:t>
      </w:r>
      <w:r w:rsidR="00C87F64" w:rsidRPr="00D45F6A">
        <w:rPr>
          <w:lang w:eastAsia="en-US"/>
        </w:rPr>
        <w:t xml:space="preserve">; </w:t>
      </w:r>
      <w:r w:rsidR="00C87F64" w:rsidRPr="00D45F6A">
        <w:rPr>
          <w:vertAlign w:val="superscript"/>
          <w:lang w:eastAsia="en-US"/>
        </w:rPr>
        <w:t>a</w:t>
      </w:r>
      <w:r w:rsidR="00C87F64" w:rsidRPr="00D45F6A">
        <w:rPr>
          <w:lang w:eastAsia="en-US"/>
        </w:rPr>
        <w:t xml:space="preserve">normative </w:t>
      </w:r>
      <w:r w:rsidR="00B250F1" w:rsidRPr="00D45F6A">
        <w:rPr>
          <w:lang w:eastAsia="en-US"/>
        </w:rPr>
        <w:t>scores</w:t>
      </w:r>
      <w:r w:rsidR="00C87F64" w:rsidRPr="00D45F6A">
        <w:rPr>
          <w:lang w:eastAsia="en-US"/>
        </w:rPr>
        <w:t xml:space="preserve"> </w:t>
      </w:r>
      <w:r w:rsidR="002502EF" w:rsidRPr="00D45F6A">
        <w:rPr>
          <w:lang w:eastAsia="en-US"/>
        </w:rPr>
        <w:t>bas</w:t>
      </w:r>
      <w:r w:rsidR="001A51DD" w:rsidRPr="00D45F6A">
        <w:rPr>
          <w:lang w:eastAsia="en-US"/>
        </w:rPr>
        <w:t xml:space="preserve">ed on a sample of young adults </w:t>
      </w:r>
      <w:r w:rsidR="00E27FC2" w:rsidRPr="00D45F6A">
        <w:rPr>
          <w:lang w:eastAsia="en-US"/>
        </w:rPr>
        <w:t xml:space="preserve">in </w:t>
      </w:r>
      <w:r w:rsidR="001A51DD" w:rsidRPr="00D45F6A">
        <w:rPr>
          <w:lang w:eastAsia="en-US"/>
        </w:rPr>
        <w:t>North America</w:t>
      </w:r>
      <w:r w:rsidR="002502EF" w:rsidRPr="00D45F6A">
        <w:rPr>
          <w:lang w:eastAsia="en-US"/>
        </w:rPr>
        <w:t xml:space="preserve"> (</w:t>
      </w:r>
      <w:r w:rsidR="002502EF" w:rsidRPr="00D45F6A">
        <w:rPr>
          <w:i/>
          <w:lang w:eastAsia="en-US"/>
        </w:rPr>
        <w:t>n</w:t>
      </w:r>
      <w:r w:rsidR="002502EF" w:rsidRPr="00D45F6A">
        <w:rPr>
          <w:lang w:eastAsia="en-US"/>
        </w:rPr>
        <w:t xml:space="preserve">=685, </w:t>
      </w:r>
      <w:r w:rsidR="00C87F64" w:rsidRPr="00D45F6A">
        <w:rPr>
          <w:lang w:eastAsia="en-US"/>
        </w:rPr>
        <w:t>Berenson et al.</w:t>
      </w:r>
      <w:r w:rsidR="002502EF" w:rsidRPr="00D45F6A">
        <w:rPr>
          <w:lang w:eastAsia="en-US"/>
        </w:rPr>
        <w:t>,</w:t>
      </w:r>
      <w:r w:rsidR="00B250F1" w:rsidRPr="00D45F6A">
        <w:rPr>
          <w:lang w:eastAsia="en-US"/>
        </w:rPr>
        <w:t xml:space="preserve"> 2011</w:t>
      </w:r>
      <w:r w:rsidR="000E3C0C" w:rsidRPr="00D45F6A">
        <w:rPr>
          <w:lang w:eastAsia="en-US"/>
        </w:rPr>
        <w:t>);</w:t>
      </w:r>
      <w:r w:rsidR="00B250F1" w:rsidRPr="00D45F6A">
        <w:rPr>
          <w:lang w:eastAsia="en-US"/>
        </w:rPr>
        <w:t xml:space="preserve"> </w:t>
      </w:r>
      <w:r w:rsidR="00B250F1" w:rsidRPr="00D45F6A">
        <w:rPr>
          <w:vertAlign w:val="superscript"/>
          <w:lang w:eastAsia="en-US"/>
        </w:rPr>
        <w:t>b</w:t>
      </w:r>
      <w:r w:rsidR="00B250F1" w:rsidRPr="00D45F6A">
        <w:rPr>
          <w:lang w:eastAsia="en-US"/>
        </w:rPr>
        <w:t xml:space="preserve">normative scores </w:t>
      </w:r>
      <w:r w:rsidR="00243A04" w:rsidRPr="00D45F6A">
        <w:rPr>
          <w:lang w:eastAsia="en-US"/>
        </w:rPr>
        <w:t>based on</w:t>
      </w:r>
      <w:r w:rsidR="002502EF" w:rsidRPr="00D45F6A">
        <w:rPr>
          <w:lang w:eastAsia="en-US"/>
        </w:rPr>
        <w:t xml:space="preserve"> a sample of </w:t>
      </w:r>
      <w:r w:rsidR="001000BE" w:rsidRPr="00D45F6A">
        <w:rPr>
          <w:lang w:eastAsia="en-US"/>
        </w:rPr>
        <w:t xml:space="preserve">healthy </w:t>
      </w:r>
      <w:r w:rsidR="002502EF" w:rsidRPr="00D45F6A">
        <w:rPr>
          <w:lang w:eastAsia="en-US"/>
        </w:rPr>
        <w:t>adults in</w:t>
      </w:r>
      <w:r w:rsidR="00243A04" w:rsidRPr="00D45F6A">
        <w:rPr>
          <w:lang w:eastAsia="en-US"/>
        </w:rPr>
        <w:t xml:space="preserve"> </w:t>
      </w:r>
      <w:r w:rsidR="001000BE" w:rsidRPr="00D45F6A">
        <w:rPr>
          <w:lang w:eastAsia="en-US"/>
        </w:rPr>
        <w:t xml:space="preserve">Britain </w:t>
      </w:r>
      <w:r w:rsidR="00243A04" w:rsidRPr="00D45F6A">
        <w:rPr>
          <w:lang w:eastAsia="en-US"/>
        </w:rPr>
        <w:t>(</w:t>
      </w:r>
      <w:r w:rsidR="00243A04" w:rsidRPr="00D45F6A">
        <w:rPr>
          <w:i/>
          <w:lang w:eastAsia="en-US"/>
        </w:rPr>
        <w:t>n</w:t>
      </w:r>
      <w:r w:rsidR="00243A04" w:rsidRPr="00D45F6A">
        <w:rPr>
          <w:lang w:eastAsia="en-US"/>
        </w:rPr>
        <w:t xml:space="preserve">=1,962; </w:t>
      </w:r>
      <w:r w:rsidR="00B250F1" w:rsidRPr="00D45F6A">
        <w:rPr>
          <w:lang w:eastAsia="en-US"/>
        </w:rPr>
        <w:t>Mason et</w:t>
      </w:r>
      <w:r w:rsidR="000E3C0C" w:rsidRPr="00D45F6A">
        <w:rPr>
          <w:lang w:eastAsia="en-US"/>
        </w:rPr>
        <w:t xml:space="preserve"> al.</w:t>
      </w:r>
      <w:r w:rsidR="00243A04" w:rsidRPr="00D45F6A">
        <w:rPr>
          <w:lang w:eastAsia="en-US"/>
        </w:rPr>
        <w:t>,</w:t>
      </w:r>
      <w:r w:rsidR="00B250F1" w:rsidRPr="00D45F6A">
        <w:rPr>
          <w:lang w:eastAsia="en-US"/>
        </w:rPr>
        <w:t xml:space="preserve"> 2006</w:t>
      </w:r>
      <w:r w:rsidR="000E3C0C" w:rsidRPr="00D45F6A">
        <w:rPr>
          <w:lang w:eastAsia="en-US"/>
        </w:rPr>
        <w:t>)</w:t>
      </w:r>
      <w:r w:rsidR="00B250F1" w:rsidRPr="00D45F6A">
        <w:rPr>
          <w:lang w:eastAsia="en-US"/>
        </w:rPr>
        <w:t xml:space="preserve">; </w:t>
      </w:r>
      <w:r w:rsidR="00B250F1" w:rsidRPr="00D45F6A">
        <w:rPr>
          <w:vertAlign w:val="superscript"/>
          <w:lang w:eastAsia="en-US"/>
        </w:rPr>
        <w:t>c</w:t>
      </w:r>
      <w:r w:rsidR="00B250F1" w:rsidRPr="00D45F6A">
        <w:rPr>
          <w:lang w:eastAsia="en-US"/>
        </w:rPr>
        <w:t xml:space="preserve">normative scores </w:t>
      </w:r>
      <w:r w:rsidR="00BB2586" w:rsidRPr="00D45F6A">
        <w:rPr>
          <w:lang w:eastAsia="en-US"/>
        </w:rPr>
        <w:t xml:space="preserve">of a multicultural sample of ill and well people </w:t>
      </w:r>
      <w:r w:rsidR="00F77789" w:rsidRPr="00D45F6A">
        <w:rPr>
          <w:lang w:eastAsia="en-US"/>
        </w:rPr>
        <w:t>adjusted for age, gender</w:t>
      </w:r>
      <w:r w:rsidR="00A91E7C" w:rsidRPr="00D45F6A">
        <w:rPr>
          <w:lang w:eastAsia="en-US"/>
        </w:rPr>
        <w:t>,</w:t>
      </w:r>
      <w:r w:rsidR="00F77789" w:rsidRPr="00D45F6A">
        <w:rPr>
          <w:lang w:eastAsia="en-US"/>
        </w:rPr>
        <w:t xml:space="preserve"> and illness status (</w:t>
      </w:r>
      <w:r w:rsidR="00F77789" w:rsidRPr="00D45F6A">
        <w:rPr>
          <w:i/>
          <w:lang w:eastAsia="en-US"/>
        </w:rPr>
        <w:t>n</w:t>
      </w:r>
      <w:r w:rsidR="00F77789" w:rsidRPr="00D45F6A">
        <w:rPr>
          <w:lang w:eastAsia="en-US"/>
        </w:rPr>
        <w:t>=4,802, WHOQOL Group, 1998)</w:t>
      </w:r>
      <w:r w:rsidR="00B250F1" w:rsidRPr="00D45F6A">
        <w:rPr>
          <w:lang w:eastAsia="en-US"/>
        </w:rPr>
        <w:t xml:space="preserve">; </w:t>
      </w:r>
      <w:r w:rsidR="00B250F1" w:rsidRPr="00D45F6A">
        <w:rPr>
          <w:vertAlign w:val="superscript"/>
          <w:lang w:eastAsia="en-US"/>
        </w:rPr>
        <w:t>d</w:t>
      </w:r>
      <w:r w:rsidR="00B250F1" w:rsidRPr="00D45F6A">
        <w:rPr>
          <w:lang w:eastAsia="en-US"/>
        </w:rPr>
        <w:t xml:space="preserve">normative scores </w:t>
      </w:r>
      <w:r w:rsidR="00C3475C" w:rsidRPr="00D45F6A">
        <w:rPr>
          <w:lang w:eastAsia="en-US"/>
        </w:rPr>
        <w:t xml:space="preserve">based on </w:t>
      </w:r>
      <w:r w:rsidR="0062736C" w:rsidRPr="00D45F6A">
        <w:rPr>
          <w:lang w:eastAsia="en-US"/>
        </w:rPr>
        <w:t xml:space="preserve">a sample of </w:t>
      </w:r>
      <w:r w:rsidR="00C3475C" w:rsidRPr="00D45F6A">
        <w:rPr>
          <w:lang w:eastAsia="en-US"/>
        </w:rPr>
        <w:t xml:space="preserve">University students </w:t>
      </w:r>
      <w:r w:rsidR="00243A04" w:rsidRPr="00D45F6A">
        <w:rPr>
          <w:lang w:eastAsia="en-US"/>
        </w:rPr>
        <w:t xml:space="preserve">in Britain </w:t>
      </w:r>
      <w:r w:rsidR="00C3475C" w:rsidRPr="00D45F6A">
        <w:rPr>
          <w:lang w:eastAsia="en-US"/>
        </w:rPr>
        <w:t>(</w:t>
      </w:r>
      <w:r w:rsidR="00C3475C" w:rsidRPr="00D45F6A">
        <w:rPr>
          <w:i/>
          <w:lang w:eastAsia="en-US"/>
        </w:rPr>
        <w:t>n</w:t>
      </w:r>
      <w:r w:rsidR="00C3475C" w:rsidRPr="00D45F6A">
        <w:rPr>
          <w:lang w:eastAsia="en-US"/>
        </w:rPr>
        <w:t>=1,038;</w:t>
      </w:r>
      <w:r w:rsidR="00B250F1" w:rsidRPr="00D45F6A">
        <w:rPr>
          <w:lang w:eastAsia="en-US"/>
        </w:rPr>
        <w:t xml:space="preserve"> </w:t>
      </w:r>
      <w:r w:rsidR="00B16220" w:rsidRPr="00D45F6A">
        <w:rPr>
          <w:lang w:eastAsia="en-US"/>
        </w:rPr>
        <w:t>Greven et al.</w:t>
      </w:r>
      <w:r w:rsidR="00C3475C" w:rsidRPr="00D45F6A">
        <w:rPr>
          <w:lang w:eastAsia="en-US"/>
        </w:rPr>
        <w:t>,</w:t>
      </w:r>
      <w:r w:rsidR="00B16220" w:rsidRPr="00D45F6A">
        <w:rPr>
          <w:lang w:eastAsia="en-US"/>
        </w:rPr>
        <w:t xml:space="preserve"> 2008</w:t>
      </w:r>
      <w:r w:rsidR="000E3C0C" w:rsidRPr="00D45F6A">
        <w:rPr>
          <w:lang w:eastAsia="en-US"/>
        </w:rPr>
        <w:t>)</w:t>
      </w:r>
      <w:r w:rsidR="00B16220" w:rsidRPr="00D45F6A">
        <w:rPr>
          <w:lang w:eastAsia="en-US"/>
        </w:rPr>
        <w:t>.</w:t>
      </w:r>
    </w:p>
    <w:p w14:paraId="427314DB" w14:textId="26FEEC3C" w:rsidR="00AE06D0" w:rsidRPr="00D45F6A" w:rsidRDefault="00AE06D0">
      <w:r w:rsidRPr="00D45F6A">
        <w:lastRenderedPageBreak/>
        <w:t xml:space="preserve">Table 2. </w:t>
      </w:r>
      <w:r w:rsidR="00A46971" w:rsidRPr="00D45F6A">
        <w:t>Pearson c</w:t>
      </w:r>
      <w:r w:rsidRPr="00D45F6A">
        <w:t xml:space="preserve">orrelations between rejection sensitivity, schizotypy, quality of life and the five-factor personality model </w:t>
      </w:r>
    </w:p>
    <w:tbl>
      <w:tblPr>
        <w:tblW w:w="16949" w:type="dxa"/>
        <w:tblInd w:w="-1268" w:type="dxa"/>
        <w:tblLayout w:type="fixed"/>
        <w:tblCellMar>
          <w:left w:w="0" w:type="dxa"/>
          <w:right w:w="0" w:type="dxa"/>
        </w:tblCellMar>
        <w:tblLook w:val="04A0" w:firstRow="1" w:lastRow="0" w:firstColumn="1" w:lastColumn="0" w:noHBand="0" w:noVBand="1"/>
      </w:tblPr>
      <w:tblGrid>
        <w:gridCol w:w="1710"/>
        <w:gridCol w:w="938"/>
        <w:gridCol w:w="960"/>
        <w:gridCol w:w="1062"/>
        <w:gridCol w:w="1080"/>
        <w:gridCol w:w="937"/>
        <w:gridCol w:w="1043"/>
        <w:gridCol w:w="1080"/>
        <w:gridCol w:w="1000"/>
        <w:gridCol w:w="937"/>
        <w:gridCol w:w="937"/>
        <w:gridCol w:w="937"/>
        <w:gridCol w:w="937"/>
        <w:gridCol w:w="937"/>
        <w:gridCol w:w="937"/>
        <w:gridCol w:w="698"/>
        <w:gridCol w:w="819"/>
      </w:tblGrid>
      <w:tr w:rsidR="00C801A9" w:rsidRPr="00D45F6A" w14:paraId="5E96436F" w14:textId="77777777" w:rsidTr="00836C16">
        <w:trPr>
          <w:trHeight w:val="327"/>
        </w:trPr>
        <w:tc>
          <w:tcPr>
            <w:tcW w:w="1710" w:type="dxa"/>
            <w:tcBorders>
              <w:top w:val="single" w:sz="4" w:space="0" w:color="auto"/>
              <w:bottom w:val="single" w:sz="4" w:space="0" w:color="auto"/>
              <w:right w:val="single" w:sz="4" w:space="0" w:color="auto"/>
            </w:tcBorders>
            <w:shd w:val="clear" w:color="auto" w:fill="auto"/>
            <w:tcMar>
              <w:top w:w="0" w:type="dxa"/>
              <w:left w:w="75" w:type="dxa"/>
              <w:bottom w:w="0" w:type="dxa"/>
              <w:right w:w="75" w:type="dxa"/>
            </w:tcMar>
          </w:tcPr>
          <w:p w14:paraId="5241F60F" w14:textId="77777777" w:rsidR="00AE06D0" w:rsidRPr="00D45F6A" w:rsidRDefault="00AE06D0" w:rsidP="004C77D3">
            <w:pPr>
              <w:pStyle w:val="Table"/>
              <w:spacing w:before="0" w:after="0"/>
              <w:rPr>
                <w:sz w:val="22"/>
              </w:rPr>
            </w:pPr>
          </w:p>
        </w:tc>
        <w:tc>
          <w:tcPr>
            <w:tcW w:w="938" w:type="dxa"/>
            <w:tcBorders>
              <w:top w:val="single" w:sz="4" w:space="0" w:color="auto"/>
              <w:left w:val="single" w:sz="4" w:space="0" w:color="auto"/>
              <w:bottom w:val="single" w:sz="4" w:space="0" w:color="auto"/>
            </w:tcBorders>
            <w:shd w:val="clear" w:color="auto" w:fill="FFFFFF"/>
            <w:tcMar>
              <w:top w:w="0" w:type="dxa"/>
              <w:left w:w="75" w:type="dxa"/>
              <w:bottom w:w="0" w:type="dxa"/>
              <w:right w:w="75" w:type="dxa"/>
            </w:tcMar>
            <w:vAlign w:val="bottom"/>
          </w:tcPr>
          <w:p w14:paraId="478983F3" w14:textId="77777777" w:rsidR="00AE06D0" w:rsidRPr="00D45F6A" w:rsidRDefault="00AE06D0" w:rsidP="004C77D3">
            <w:pPr>
              <w:pStyle w:val="Table"/>
              <w:spacing w:before="0" w:after="0"/>
              <w:rPr>
                <w:color w:val="010204"/>
                <w:sz w:val="22"/>
              </w:rPr>
            </w:pPr>
            <w:r w:rsidRPr="00D45F6A">
              <w:rPr>
                <w:sz w:val="22"/>
              </w:rPr>
              <w:t>1</w:t>
            </w:r>
          </w:p>
        </w:tc>
        <w:tc>
          <w:tcPr>
            <w:tcW w:w="96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0197EDB4" w14:textId="77777777" w:rsidR="00AE06D0" w:rsidRPr="00D45F6A" w:rsidRDefault="00AE06D0" w:rsidP="004C77D3">
            <w:pPr>
              <w:pStyle w:val="Table"/>
              <w:spacing w:before="0" w:after="0"/>
              <w:rPr>
                <w:color w:val="010204"/>
                <w:sz w:val="22"/>
              </w:rPr>
            </w:pPr>
            <w:r w:rsidRPr="00D45F6A">
              <w:rPr>
                <w:sz w:val="22"/>
              </w:rPr>
              <w:t>2</w:t>
            </w:r>
          </w:p>
        </w:tc>
        <w:tc>
          <w:tcPr>
            <w:tcW w:w="1062"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C86BF7F" w14:textId="77777777" w:rsidR="00AE06D0" w:rsidRPr="00D45F6A" w:rsidRDefault="00AE06D0" w:rsidP="004C77D3">
            <w:pPr>
              <w:pStyle w:val="Table"/>
              <w:spacing w:before="0" w:after="0"/>
              <w:rPr>
                <w:color w:val="010204"/>
                <w:sz w:val="22"/>
              </w:rPr>
            </w:pPr>
            <w:r w:rsidRPr="00D45F6A">
              <w:rPr>
                <w:sz w:val="22"/>
              </w:rPr>
              <w:t>3</w:t>
            </w:r>
          </w:p>
        </w:tc>
        <w:tc>
          <w:tcPr>
            <w:tcW w:w="108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186D5251" w14:textId="77777777" w:rsidR="00AE06D0" w:rsidRPr="00D45F6A" w:rsidRDefault="00AE06D0" w:rsidP="004C77D3">
            <w:pPr>
              <w:pStyle w:val="Table"/>
              <w:spacing w:before="0" w:after="0"/>
              <w:rPr>
                <w:color w:val="010204"/>
                <w:sz w:val="22"/>
              </w:rPr>
            </w:pPr>
            <w:r w:rsidRPr="00D45F6A">
              <w:rPr>
                <w:sz w:val="22"/>
              </w:rPr>
              <w:t>4</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4FBB0F0" w14:textId="77777777" w:rsidR="00AE06D0" w:rsidRPr="00D45F6A" w:rsidRDefault="00AE06D0" w:rsidP="004C77D3">
            <w:pPr>
              <w:pStyle w:val="Table"/>
              <w:spacing w:before="0" w:after="0"/>
              <w:ind w:right="-122"/>
              <w:rPr>
                <w:color w:val="010204"/>
                <w:sz w:val="22"/>
              </w:rPr>
            </w:pPr>
            <w:r w:rsidRPr="00D45F6A">
              <w:rPr>
                <w:sz w:val="22"/>
              </w:rPr>
              <w:t>5</w:t>
            </w:r>
          </w:p>
        </w:tc>
        <w:tc>
          <w:tcPr>
            <w:tcW w:w="1043"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6BFB3EA" w14:textId="77777777" w:rsidR="00AE06D0" w:rsidRPr="00D45F6A" w:rsidRDefault="00AE06D0" w:rsidP="004C77D3">
            <w:pPr>
              <w:pStyle w:val="Table"/>
              <w:spacing w:before="0" w:after="0"/>
              <w:rPr>
                <w:color w:val="010204"/>
                <w:sz w:val="22"/>
              </w:rPr>
            </w:pPr>
            <w:r w:rsidRPr="00D45F6A">
              <w:rPr>
                <w:sz w:val="22"/>
              </w:rPr>
              <w:t>6</w:t>
            </w:r>
          </w:p>
        </w:tc>
        <w:tc>
          <w:tcPr>
            <w:tcW w:w="108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7365F1D8" w14:textId="77777777" w:rsidR="00AE06D0" w:rsidRPr="00D45F6A" w:rsidRDefault="00AE06D0" w:rsidP="004C77D3">
            <w:pPr>
              <w:pStyle w:val="Table"/>
              <w:spacing w:before="0" w:after="0"/>
              <w:rPr>
                <w:color w:val="010204"/>
                <w:sz w:val="22"/>
              </w:rPr>
            </w:pPr>
            <w:r w:rsidRPr="00D45F6A">
              <w:rPr>
                <w:sz w:val="22"/>
              </w:rPr>
              <w:t>7</w:t>
            </w:r>
          </w:p>
        </w:tc>
        <w:tc>
          <w:tcPr>
            <w:tcW w:w="100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28FBE381" w14:textId="77777777" w:rsidR="00AE06D0" w:rsidRPr="00D45F6A" w:rsidRDefault="00AE06D0" w:rsidP="004C77D3">
            <w:pPr>
              <w:pStyle w:val="Table"/>
              <w:spacing w:before="0" w:after="0"/>
              <w:rPr>
                <w:color w:val="010204"/>
                <w:sz w:val="22"/>
              </w:rPr>
            </w:pPr>
            <w:r w:rsidRPr="00D45F6A">
              <w:rPr>
                <w:sz w:val="22"/>
              </w:rPr>
              <w:t>8</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6253A567" w14:textId="77777777" w:rsidR="00AE06D0" w:rsidRPr="00D45F6A" w:rsidRDefault="00AE06D0" w:rsidP="004C77D3">
            <w:pPr>
              <w:pStyle w:val="Table"/>
              <w:spacing w:before="0" w:after="0"/>
              <w:rPr>
                <w:color w:val="010204"/>
                <w:sz w:val="22"/>
              </w:rPr>
            </w:pPr>
            <w:r w:rsidRPr="00D45F6A">
              <w:rPr>
                <w:sz w:val="22"/>
              </w:rPr>
              <w:t>9</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DFD3C95" w14:textId="77777777" w:rsidR="00AE06D0" w:rsidRPr="00D45F6A" w:rsidRDefault="00AE06D0" w:rsidP="004C77D3">
            <w:pPr>
              <w:pStyle w:val="Table"/>
              <w:spacing w:before="0" w:after="0"/>
              <w:rPr>
                <w:color w:val="010204"/>
                <w:sz w:val="22"/>
              </w:rPr>
            </w:pPr>
            <w:r w:rsidRPr="00D45F6A">
              <w:rPr>
                <w:sz w:val="22"/>
              </w:rPr>
              <w:t>10</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709E3A4" w14:textId="77777777" w:rsidR="00AE06D0" w:rsidRPr="00D45F6A" w:rsidRDefault="00AE06D0" w:rsidP="004C77D3">
            <w:pPr>
              <w:pStyle w:val="Table"/>
              <w:spacing w:before="0" w:after="0"/>
              <w:rPr>
                <w:color w:val="010204"/>
                <w:sz w:val="22"/>
              </w:rPr>
            </w:pPr>
            <w:r w:rsidRPr="00D45F6A">
              <w:rPr>
                <w:sz w:val="22"/>
              </w:rPr>
              <w:t>11</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116ED74F" w14:textId="77777777" w:rsidR="00AE06D0" w:rsidRPr="00D45F6A" w:rsidRDefault="00AE06D0" w:rsidP="004C77D3">
            <w:pPr>
              <w:pStyle w:val="Table"/>
              <w:spacing w:before="0" w:after="0"/>
              <w:rPr>
                <w:color w:val="010204"/>
                <w:sz w:val="22"/>
              </w:rPr>
            </w:pPr>
            <w:r w:rsidRPr="00D45F6A">
              <w:rPr>
                <w:sz w:val="22"/>
              </w:rPr>
              <w:t>12</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6446A52C" w14:textId="77777777" w:rsidR="00AE06D0" w:rsidRPr="00D45F6A" w:rsidRDefault="00AE06D0" w:rsidP="004C77D3">
            <w:pPr>
              <w:pStyle w:val="Table"/>
              <w:spacing w:before="0" w:after="0"/>
              <w:rPr>
                <w:color w:val="010204"/>
                <w:sz w:val="22"/>
              </w:rPr>
            </w:pPr>
            <w:r w:rsidRPr="00D45F6A">
              <w:rPr>
                <w:sz w:val="22"/>
              </w:rPr>
              <w:t>13</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053B8106" w14:textId="77777777" w:rsidR="00AE06D0" w:rsidRPr="00D45F6A" w:rsidRDefault="00AE06D0" w:rsidP="004C77D3">
            <w:pPr>
              <w:pStyle w:val="Table"/>
              <w:spacing w:before="0" w:after="0"/>
              <w:rPr>
                <w:color w:val="010204"/>
                <w:sz w:val="22"/>
              </w:rPr>
            </w:pPr>
            <w:r w:rsidRPr="00D45F6A">
              <w:rPr>
                <w:sz w:val="22"/>
              </w:rPr>
              <w:t>14</w:t>
            </w:r>
          </w:p>
        </w:tc>
        <w:tc>
          <w:tcPr>
            <w:tcW w:w="698"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56D17634" w14:textId="77777777" w:rsidR="00AE06D0" w:rsidRPr="00D45F6A" w:rsidRDefault="00AE06D0" w:rsidP="004C77D3">
            <w:pPr>
              <w:pStyle w:val="Table"/>
              <w:spacing w:before="0" w:after="0"/>
              <w:rPr>
                <w:color w:val="010204"/>
                <w:sz w:val="22"/>
              </w:rPr>
            </w:pPr>
            <w:r w:rsidRPr="00D45F6A">
              <w:rPr>
                <w:sz w:val="22"/>
              </w:rPr>
              <w:t>15</w:t>
            </w:r>
          </w:p>
        </w:tc>
        <w:tc>
          <w:tcPr>
            <w:tcW w:w="819"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CB09D7B" w14:textId="77777777" w:rsidR="00AE06D0" w:rsidRPr="00D45F6A" w:rsidRDefault="00AE06D0" w:rsidP="004C77D3">
            <w:pPr>
              <w:pStyle w:val="Table"/>
              <w:spacing w:before="0" w:after="0"/>
              <w:rPr>
                <w:color w:val="010204"/>
                <w:sz w:val="22"/>
              </w:rPr>
            </w:pPr>
            <w:r w:rsidRPr="00D45F6A">
              <w:rPr>
                <w:sz w:val="22"/>
              </w:rPr>
              <w:t>16</w:t>
            </w:r>
          </w:p>
        </w:tc>
      </w:tr>
      <w:tr w:rsidR="00C801A9" w:rsidRPr="00D45F6A" w14:paraId="03BA3FE6" w14:textId="77777777" w:rsidTr="00836C16">
        <w:trPr>
          <w:trHeight w:val="435"/>
        </w:trPr>
        <w:tc>
          <w:tcPr>
            <w:tcW w:w="1710" w:type="dxa"/>
            <w:tcBorders>
              <w:top w:val="single" w:sz="4" w:space="0" w:color="auto"/>
              <w:right w:val="single" w:sz="4" w:space="0" w:color="auto"/>
            </w:tcBorders>
            <w:shd w:val="clear" w:color="auto" w:fill="auto"/>
            <w:tcMar>
              <w:top w:w="0" w:type="dxa"/>
              <w:left w:w="75" w:type="dxa"/>
              <w:bottom w:w="0" w:type="dxa"/>
              <w:right w:w="75" w:type="dxa"/>
            </w:tcMar>
            <w:hideMark/>
          </w:tcPr>
          <w:p w14:paraId="45A5EBAA" w14:textId="77777777" w:rsidR="00AE06D0" w:rsidRPr="00D45F6A" w:rsidRDefault="00AE06D0" w:rsidP="004C77D3">
            <w:pPr>
              <w:pStyle w:val="Table"/>
              <w:spacing w:before="0" w:after="0"/>
              <w:rPr>
                <w:sz w:val="22"/>
              </w:rPr>
            </w:pPr>
            <w:r w:rsidRPr="00D45F6A">
              <w:rPr>
                <w:sz w:val="22"/>
              </w:rPr>
              <w:t>1. Rejection sensitivity</w:t>
            </w:r>
          </w:p>
        </w:tc>
        <w:tc>
          <w:tcPr>
            <w:tcW w:w="938" w:type="dxa"/>
            <w:tcBorders>
              <w:top w:val="single" w:sz="4" w:space="0" w:color="auto"/>
              <w:left w:val="single" w:sz="4" w:space="0" w:color="auto"/>
            </w:tcBorders>
            <w:shd w:val="clear" w:color="auto" w:fill="FFFFFF"/>
            <w:tcMar>
              <w:top w:w="0" w:type="dxa"/>
              <w:left w:w="75" w:type="dxa"/>
              <w:bottom w:w="0" w:type="dxa"/>
              <w:right w:w="75" w:type="dxa"/>
            </w:tcMar>
            <w:hideMark/>
          </w:tcPr>
          <w:p w14:paraId="094EB9A5" w14:textId="77777777" w:rsidR="00AE06D0" w:rsidRPr="00D45F6A" w:rsidRDefault="00AE06D0" w:rsidP="004C77D3">
            <w:pPr>
              <w:pStyle w:val="Table"/>
              <w:spacing w:before="0" w:after="0"/>
              <w:rPr>
                <w:color w:val="010204"/>
                <w:sz w:val="22"/>
              </w:rPr>
            </w:pPr>
            <w:r w:rsidRPr="00D45F6A">
              <w:rPr>
                <w:color w:val="010204"/>
                <w:sz w:val="22"/>
              </w:rPr>
              <w:t>1.000</w:t>
            </w:r>
          </w:p>
        </w:tc>
        <w:tc>
          <w:tcPr>
            <w:tcW w:w="960" w:type="dxa"/>
            <w:tcBorders>
              <w:top w:val="single" w:sz="4" w:space="0" w:color="auto"/>
            </w:tcBorders>
            <w:shd w:val="clear" w:color="auto" w:fill="FFFFFF"/>
            <w:tcMar>
              <w:top w:w="0" w:type="dxa"/>
              <w:left w:w="75" w:type="dxa"/>
              <w:bottom w:w="0" w:type="dxa"/>
              <w:right w:w="75" w:type="dxa"/>
            </w:tcMar>
          </w:tcPr>
          <w:p w14:paraId="2C349D19" w14:textId="77777777" w:rsidR="00AE06D0" w:rsidRPr="00D45F6A" w:rsidRDefault="00AE06D0" w:rsidP="004C77D3">
            <w:pPr>
              <w:pStyle w:val="Table"/>
              <w:spacing w:before="0" w:after="0"/>
              <w:rPr>
                <w:color w:val="010204"/>
                <w:sz w:val="22"/>
              </w:rPr>
            </w:pPr>
          </w:p>
        </w:tc>
        <w:tc>
          <w:tcPr>
            <w:tcW w:w="1062" w:type="dxa"/>
            <w:tcBorders>
              <w:top w:val="single" w:sz="4" w:space="0" w:color="auto"/>
            </w:tcBorders>
            <w:shd w:val="clear" w:color="auto" w:fill="FFFFFF"/>
            <w:tcMar>
              <w:top w:w="0" w:type="dxa"/>
              <w:left w:w="75" w:type="dxa"/>
              <w:bottom w:w="0" w:type="dxa"/>
              <w:right w:w="75" w:type="dxa"/>
            </w:tcMar>
          </w:tcPr>
          <w:p w14:paraId="797B9DB9" w14:textId="77777777" w:rsidR="00AE06D0" w:rsidRPr="00D45F6A" w:rsidRDefault="00AE06D0" w:rsidP="004C77D3">
            <w:pPr>
              <w:pStyle w:val="Table"/>
              <w:spacing w:before="0" w:after="0"/>
              <w:rPr>
                <w:color w:val="010204"/>
                <w:sz w:val="22"/>
              </w:rPr>
            </w:pPr>
          </w:p>
        </w:tc>
        <w:tc>
          <w:tcPr>
            <w:tcW w:w="1080" w:type="dxa"/>
            <w:tcBorders>
              <w:top w:val="single" w:sz="4" w:space="0" w:color="auto"/>
            </w:tcBorders>
            <w:shd w:val="clear" w:color="auto" w:fill="FFFFFF"/>
            <w:tcMar>
              <w:top w:w="0" w:type="dxa"/>
              <w:left w:w="75" w:type="dxa"/>
              <w:bottom w:w="0" w:type="dxa"/>
              <w:right w:w="75" w:type="dxa"/>
            </w:tcMar>
          </w:tcPr>
          <w:p w14:paraId="165EB3A7"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4A1EC171" w14:textId="77777777" w:rsidR="00AE06D0" w:rsidRPr="00D45F6A" w:rsidRDefault="00AE06D0" w:rsidP="004C77D3">
            <w:pPr>
              <w:pStyle w:val="Table"/>
              <w:spacing w:before="0" w:after="0"/>
              <w:ind w:right="-122"/>
              <w:rPr>
                <w:color w:val="010204"/>
                <w:sz w:val="22"/>
              </w:rPr>
            </w:pPr>
          </w:p>
        </w:tc>
        <w:tc>
          <w:tcPr>
            <w:tcW w:w="1043" w:type="dxa"/>
            <w:tcBorders>
              <w:top w:val="single" w:sz="4" w:space="0" w:color="auto"/>
            </w:tcBorders>
            <w:shd w:val="clear" w:color="auto" w:fill="FFFFFF"/>
            <w:tcMar>
              <w:top w:w="0" w:type="dxa"/>
              <w:left w:w="75" w:type="dxa"/>
              <w:bottom w:w="0" w:type="dxa"/>
              <w:right w:w="75" w:type="dxa"/>
            </w:tcMar>
          </w:tcPr>
          <w:p w14:paraId="18EFF999" w14:textId="77777777" w:rsidR="00AE06D0" w:rsidRPr="00D45F6A" w:rsidRDefault="00AE06D0" w:rsidP="004C77D3">
            <w:pPr>
              <w:pStyle w:val="Table"/>
              <w:spacing w:before="0" w:after="0"/>
              <w:rPr>
                <w:color w:val="010204"/>
                <w:sz w:val="22"/>
              </w:rPr>
            </w:pPr>
          </w:p>
        </w:tc>
        <w:tc>
          <w:tcPr>
            <w:tcW w:w="1080" w:type="dxa"/>
            <w:tcBorders>
              <w:top w:val="single" w:sz="4" w:space="0" w:color="auto"/>
            </w:tcBorders>
            <w:shd w:val="clear" w:color="auto" w:fill="FFFFFF"/>
            <w:tcMar>
              <w:top w:w="0" w:type="dxa"/>
              <w:left w:w="75" w:type="dxa"/>
              <w:bottom w:w="0" w:type="dxa"/>
              <w:right w:w="75" w:type="dxa"/>
            </w:tcMar>
          </w:tcPr>
          <w:p w14:paraId="49472B7D" w14:textId="77777777" w:rsidR="00AE06D0" w:rsidRPr="00D45F6A" w:rsidRDefault="00AE06D0" w:rsidP="004C77D3">
            <w:pPr>
              <w:pStyle w:val="Table"/>
              <w:spacing w:before="0" w:after="0"/>
              <w:rPr>
                <w:color w:val="010204"/>
                <w:sz w:val="22"/>
              </w:rPr>
            </w:pPr>
          </w:p>
        </w:tc>
        <w:tc>
          <w:tcPr>
            <w:tcW w:w="1000" w:type="dxa"/>
            <w:tcBorders>
              <w:top w:val="single" w:sz="4" w:space="0" w:color="auto"/>
            </w:tcBorders>
            <w:shd w:val="clear" w:color="auto" w:fill="FFFFFF"/>
            <w:tcMar>
              <w:top w:w="0" w:type="dxa"/>
              <w:left w:w="75" w:type="dxa"/>
              <w:bottom w:w="0" w:type="dxa"/>
              <w:right w:w="75" w:type="dxa"/>
            </w:tcMar>
          </w:tcPr>
          <w:p w14:paraId="4A5C2A22"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4CC93E61"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5F6AFBE2"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264DF57B"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17CF2423"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00AA0BE4" w14:textId="77777777" w:rsidR="00AE06D0" w:rsidRPr="00D45F6A" w:rsidRDefault="00AE06D0" w:rsidP="004C77D3">
            <w:pPr>
              <w:pStyle w:val="Table"/>
              <w:spacing w:before="0" w:after="0"/>
              <w:rPr>
                <w:color w:val="010204"/>
                <w:sz w:val="22"/>
              </w:rPr>
            </w:pPr>
          </w:p>
        </w:tc>
        <w:tc>
          <w:tcPr>
            <w:tcW w:w="937" w:type="dxa"/>
            <w:tcBorders>
              <w:top w:val="single" w:sz="4" w:space="0" w:color="auto"/>
            </w:tcBorders>
            <w:shd w:val="clear" w:color="auto" w:fill="FFFFFF"/>
            <w:tcMar>
              <w:top w:w="0" w:type="dxa"/>
              <w:left w:w="75" w:type="dxa"/>
              <w:bottom w:w="0" w:type="dxa"/>
              <w:right w:w="75" w:type="dxa"/>
            </w:tcMar>
          </w:tcPr>
          <w:p w14:paraId="1696CDA6" w14:textId="77777777" w:rsidR="00AE06D0" w:rsidRPr="00D45F6A" w:rsidRDefault="00AE06D0" w:rsidP="004C77D3">
            <w:pPr>
              <w:pStyle w:val="Table"/>
              <w:spacing w:before="0" w:after="0"/>
              <w:rPr>
                <w:color w:val="010204"/>
                <w:sz w:val="22"/>
              </w:rPr>
            </w:pPr>
          </w:p>
        </w:tc>
        <w:tc>
          <w:tcPr>
            <w:tcW w:w="698" w:type="dxa"/>
            <w:tcBorders>
              <w:top w:val="single" w:sz="4" w:space="0" w:color="auto"/>
            </w:tcBorders>
            <w:shd w:val="clear" w:color="auto" w:fill="FFFFFF"/>
            <w:tcMar>
              <w:top w:w="0" w:type="dxa"/>
              <w:left w:w="75" w:type="dxa"/>
              <w:bottom w:w="0" w:type="dxa"/>
              <w:right w:w="75" w:type="dxa"/>
            </w:tcMar>
          </w:tcPr>
          <w:p w14:paraId="325C060A" w14:textId="77777777" w:rsidR="00AE06D0" w:rsidRPr="00D45F6A" w:rsidRDefault="00AE06D0" w:rsidP="004C77D3">
            <w:pPr>
              <w:pStyle w:val="Table"/>
              <w:spacing w:before="0" w:after="0"/>
              <w:rPr>
                <w:color w:val="010204"/>
                <w:sz w:val="22"/>
              </w:rPr>
            </w:pPr>
          </w:p>
        </w:tc>
        <w:tc>
          <w:tcPr>
            <w:tcW w:w="819" w:type="dxa"/>
            <w:tcBorders>
              <w:top w:val="single" w:sz="4" w:space="0" w:color="auto"/>
            </w:tcBorders>
            <w:shd w:val="clear" w:color="auto" w:fill="FFFFFF"/>
            <w:tcMar>
              <w:top w:w="0" w:type="dxa"/>
              <w:left w:w="75" w:type="dxa"/>
              <w:bottom w:w="0" w:type="dxa"/>
              <w:right w:w="75" w:type="dxa"/>
            </w:tcMar>
          </w:tcPr>
          <w:p w14:paraId="0F607D79" w14:textId="77777777" w:rsidR="00AE06D0" w:rsidRPr="00D45F6A" w:rsidRDefault="00AE06D0" w:rsidP="004C77D3">
            <w:pPr>
              <w:pStyle w:val="Table"/>
              <w:spacing w:before="0" w:after="0"/>
              <w:rPr>
                <w:color w:val="010204"/>
                <w:sz w:val="22"/>
              </w:rPr>
            </w:pPr>
          </w:p>
        </w:tc>
      </w:tr>
      <w:tr w:rsidR="00C801A9" w:rsidRPr="00D45F6A" w14:paraId="083C5AA7" w14:textId="77777777" w:rsidTr="00836C16">
        <w:trPr>
          <w:trHeight w:val="273"/>
        </w:trPr>
        <w:tc>
          <w:tcPr>
            <w:tcW w:w="1710" w:type="dxa"/>
            <w:tcBorders>
              <w:right w:val="single" w:sz="4" w:space="0" w:color="auto"/>
            </w:tcBorders>
            <w:shd w:val="clear" w:color="auto" w:fill="auto"/>
            <w:tcMar>
              <w:top w:w="0" w:type="dxa"/>
              <w:left w:w="75" w:type="dxa"/>
              <w:bottom w:w="0" w:type="dxa"/>
              <w:right w:w="75" w:type="dxa"/>
            </w:tcMar>
            <w:hideMark/>
          </w:tcPr>
          <w:p w14:paraId="1B32077A" w14:textId="77777777" w:rsidR="00AE06D0" w:rsidRPr="00D45F6A" w:rsidRDefault="00AE06D0" w:rsidP="004C77D3">
            <w:pPr>
              <w:pStyle w:val="Table"/>
              <w:spacing w:before="0" w:after="0"/>
              <w:rPr>
                <w:sz w:val="22"/>
              </w:rPr>
            </w:pPr>
            <w:r w:rsidRPr="00D45F6A">
              <w:rPr>
                <w:sz w:val="22"/>
              </w:rPr>
              <w:t>2. age</w:t>
            </w:r>
          </w:p>
        </w:tc>
        <w:tc>
          <w:tcPr>
            <w:tcW w:w="938" w:type="dxa"/>
            <w:tcBorders>
              <w:left w:val="single" w:sz="4" w:space="0" w:color="auto"/>
            </w:tcBorders>
            <w:shd w:val="clear" w:color="auto" w:fill="FFFFFF"/>
            <w:tcMar>
              <w:top w:w="0" w:type="dxa"/>
              <w:left w:w="75" w:type="dxa"/>
              <w:bottom w:w="0" w:type="dxa"/>
              <w:right w:w="75" w:type="dxa"/>
            </w:tcMar>
            <w:hideMark/>
          </w:tcPr>
          <w:p w14:paraId="695595E4" w14:textId="77777777" w:rsidR="00AE06D0" w:rsidRPr="00D45F6A" w:rsidRDefault="00AE06D0" w:rsidP="004C77D3">
            <w:pPr>
              <w:pStyle w:val="Table"/>
              <w:spacing w:before="0" w:after="0"/>
              <w:rPr>
                <w:color w:val="010204"/>
                <w:sz w:val="22"/>
              </w:rPr>
            </w:pPr>
            <w:r w:rsidRPr="00D45F6A">
              <w:rPr>
                <w:color w:val="010204"/>
                <w:sz w:val="22"/>
              </w:rPr>
              <w:t>-0.011</w:t>
            </w:r>
          </w:p>
        </w:tc>
        <w:tc>
          <w:tcPr>
            <w:tcW w:w="960" w:type="dxa"/>
            <w:shd w:val="clear" w:color="auto" w:fill="FFFFFF"/>
            <w:tcMar>
              <w:top w:w="0" w:type="dxa"/>
              <w:left w:w="75" w:type="dxa"/>
              <w:bottom w:w="0" w:type="dxa"/>
              <w:right w:w="75" w:type="dxa"/>
            </w:tcMar>
            <w:hideMark/>
          </w:tcPr>
          <w:p w14:paraId="136447BA" w14:textId="77777777" w:rsidR="00AE06D0" w:rsidRPr="00D45F6A" w:rsidRDefault="00AE06D0" w:rsidP="004C77D3">
            <w:pPr>
              <w:pStyle w:val="Table"/>
              <w:spacing w:before="0" w:after="0"/>
              <w:rPr>
                <w:color w:val="010204"/>
                <w:sz w:val="22"/>
              </w:rPr>
            </w:pPr>
            <w:r w:rsidRPr="00D45F6A">
              <w:rPr>
                <w:color w:val="010204"/>
                <w:sz w:val="22"/>
              </w:rPr>
              <w:t>1.000</w:t>
            </w:r>
          </w:p>
        </w:tc>
        <w:tc>
          <w:tcPr>
            <w:tcW w:w="1062" w:type="dxa"/>
            <w:shd w:val="clear" w:color="auto" w:fill="FFFFFF"/>
            <w:tcMar>
              <w:top w:w="0" w:type="dxa"/>
              <w:left w:w="75" w:type="dxa"/>
              <w:bottom w:w="0" w:type="dxa"/>
              <w:right w:w="75" w:type="dxa"/>
            </w:tcMar>
          </w:tcPr>
          <w:p w14:paraId="092057FB" w14:textId="77777777" w:rsidR="00AE06D0" w:rsidRPr="00D45F6A" w:rsidRDefault="00AE06D0" w:rsidP="004C77D3">
            <w:pPr>
              <w:pStyle w:val="Table"/>
              <w:spacing w:before="0" w:after="0"/>
              <w:rPr>
                <w:color w:val="010204"/>
                <w:sz w:val="22"/>
              </w:rPr>
            </w:pPr>
          </w:p>
        </w:tc>
        <w:tc>
          <w:tcPr>
            <w:tcW w:w="1080" w:type="dxa"/>
            <w:shd w:val="clear" w:color="auto" w:fill="FFFFFF"/>
            <w:tcMar>
              <w:top w:w="0" w:type="dxa"/>
              <w:left w:w="75" w:type="dxa"/>
              <w:bottom w:w="0" w:type="dxa"/>
              <w:right w:w="75" w:type="dxa"/>
            </w:tcMar>
          </w:tcPr>
          <w:p w14:paraId="38DBEE82"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859BF26" w14:textId="77777777" w:rsidR="00AE06D0" w:rsidRPr="00D45F6A" w:rsidRDefault="00AE06D0" w:rsidP="004C77D3">
            <w:pPr>
              <w:pStyle w:val="Table"/>
              <w:spacing w:before="0" w:after="0"/>
              <w:ind w:right="-122"/>
              <w:rPr>
                <w:color w:val="010204"/>
                <w:sz w:val="22"/>
              </w:rPr>
            </w:pPr>
          </w:p>
        </w:tc>
        <w:tc>
          <w:tcPr>
            <w:tcW w:w="1043" w:type="dxa"/>
            <w:shd w:val="clear" w:color="auto" w:fill="FFFFFF"/>
            <w:tcMar>
              <w:top w:w="0" w:type="dxa"/>
              <w:left w:w="75" w:type="dxa"/>
              <w:bottom w:w="0" w:type="dxa"/>
              <w:right w:w="75" w:type="dxa"/>
            </w:tcMar>
          </w:tcPr>
          <w:p w14:paraId="56071169" w14:textId="77777777" w:rsidR="00AE06D0" w:rsidRPr="00D45F6A" w:rsidRDefault="00AE06D0" w:rsidP="004C77D3">
            <w:pPr>
              <w:pStyle w:val="Table"/>
              <w:spacing w:before="0" w:after="0"/>
              <w:rPr>
                <w:color w:val="010204"/>
                <w:sz w:val="22"/>
              </w:rPr>
            </w:pPr>
          </w:p>
        </w:tc>
        <w:tc>
          <w:tcPr>
            <w:tcW w:w="1080" w:type="dxa"/>
            <w:shd w:val="clear" w:color="auto" w:fill="FFFFFF"/>
            <w:tcMar>
              <w:top w:w="0" w:type="dxa"/>
              <w:left w:w="75" w:type="dxa"/>
              <w:bottom w:w="0" w:type="dxa"/>
              <w:right w:w="75" w:type="dxa"/>
            </w:tcMar>
          </w:tcPr>
          <w:p w14:paraId="6833C59B" w14:textId="77777777" w:rsidR="00AE06D0" w:rsidRPr="00D45F6A" w:rsidRDefault="00AE06D0" w:rsidP="004C77D3">
            <w:pPr>
              <w:pStyle w:val="Table"/>
              <w:spacing w:before="0" w:after="0"/>
              <w:rPr>
                <w:color w:val="010204"/>
                <w:sz w:val="22"/>
              </w:rPr>
            </w:pPr>
          </w:p>
        </w:tc>
        <w:tc>
          <w:tcPr>
            <w:tcW w:w="1000" w:type="dxa"/>
            <w:shd w:val="clear" w:color="auto" w:fill="FFFFFF"/>
            <w:tcMar>
              <w:top w:w="0" w:type="dxa"/>
              <w:left w:w="75" w:type="dxa"/>
              <w:bottom w:w="0" w:type="dxa"/>
              <w:right w:w="75" w:type="dxa"/>
            </w:tcMar>
          </w:tcPr>
          <w:p w14:paraId="2530AAB2"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7112AE8"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48A7E19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B875458"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41BBAE07"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810185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C827441"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33B2D9B9"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6F576EA3" w14:textId="77777777" w:rsidR="00AE06D0" w:rsidRPr="00D45F6A" w:rsidRDefault="00AE06D0" w:rsidP="004C77D3">
            <w:pPr>
              <w:pStyle w:val="Table"/>
              <w:spacing w:before="0" w:after="0"/>
              <w:rPr>
                <w:color w:val="010204"/>
                <w:sz w:val="22"/>
              </w:rPr>
            </w:pPr>
          </w:p>
        </w:tc>
      </w:tr>
      <w:tr w:rsidR="00C801A9" w:rsidRPr="00D45F6A" w14:paraId="5C0B91AE"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0E6E80D4" w14:textId="01FA2F80" w:rsidR="00AE06D0" w:rsidRPr="00D45F6A" w:rsidRDefault="00AE06D0" w:rsidP="004C77D3">
            <w:pPr>
              <w:pStyle w:val="Table"/>
              <w:spacing w:before="0" w:after="0"/>
              <w:rPr>
                <w:sz w:val="22"/>
              </w:rPr>
            </w:pPr>
            <w:r w:rsidRPr="00D45F6A">
              <w:rPr>
                <w:sz w:val="22"/>
              </w:rPr>
              <w:t>3. Gender</w:t>
            </w:r>
            <w:r w:rsidR="00A91E7C" w:rsidRPr="00D45F6A">
              <w:rPr>
                <w:rFonts w:ascii="Calibri" w:hAnsi="Calibri"/>
                <w:sz w:val="22"/>
              </w:rPr>
              <w:t>†</w:t>
            </w:r>
          </w:p>
        </w:tc>
        <w:tc>
          <w:tcPr>
            <w:tcW w:w="938" w:type="dxa"/>
            <w:tcBorders>
              <w:left w:val="single" w:sz="4" w:space="0" w:color="auto"/>
            </w:tcBorders>
            <w:shd w:val="clear" w:color="auto" w:fill="FFFFFF"/>
            <w:tcMar>
              <w:top w:w="0" w:type="dxa"/>
              <w:left w:w="75" w:type="dxa"/>
              <w:bottom w:w="0" w:type="dxa"/>
              <w:right w:w="75" w:type="dxa"/>
            </w:tcMar>
            <w:hideMark/>
          </w:tcPr>
          <w:p w14:paraId="4050F56B" w14:textId="5E40C440"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0.038</w:t>
            </w:r>
          </w:p>
        </w:tc>
        <w:tc>
          <w:tcPr>
            <w:tcW w:w="960" w:type="dxa"/>
            <w:shd w:val="clear" w:color="auto" w:fill="FFFFFF"/>
            <w:tcMar>
              <w:top w:w="0" w:type="dxa"/>
              <w:left w:w="75" w:type="dxa"/>
              <w:bottom w:w="0" w:type="dxa"/>
              <w:right w:w="75" w:type="dxa"/>
            </w:tcMar>
            <w:hideMark/>
          </w:tcPr>
          <w:p w14:paraId="7CE3F0BF" w14:textId="77777777" w:rsidR="00AE06D0" w:rsidRPr="00D45F6A" w:rsidRDefault="00AE06D0" w:rsidP="004C77D3">
            <w:pPr>
              <w:pStyle w:val="Table"/>
              <w:spacing w:before="0" w:after="0"/>
              <w:rPr>
                <w:color w:val="010204"/>
                <w:sz w:val="22"/>
              </w:rPr>
            </w:pPr>
            <w:r w:rsidRPr="00D45F6A">
              <w:rPr>
                <w:color w:val="010204"/>
                <w:sz w:val="22"/>
              </w:rPr>
              <w:t>-0.109</w:t>
            </w:r>
            <w:r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4F97B849" w14:textId="77777777" w:rsidR="00AE06D0" w:rsidRPr="00D45F6A" w:rsidRDefault="00AE06D0" w:rsidP="004C77D3">
            <w:pPr>
              <w:pStyle w:val="Table"/>
              <w:spacing w:before="0" w:after="0"/>
              <w:rPr>
                <w:color w:val="010204"/>
                <w:sz w:val="22"/>
              </w:rPr>
            </w:pPr>
            <w:r w:rsidRPr="00D45F6A">
              <w:rPr>
                <w:color w:val="010204"/>
                <w:sz w:val="22"/>
              </w:rPr>
              <w:t>1.000</w:t>
            </w:r>
          </w:p>
        </w:tc>
        <w:tc>
          <w:tcPr>
            <w:tcW w:w="1080" w:type="dxa"/>
            <w:shd w:val="clear" w:color="auto" w:fill="FFFFFF"/>
            <w:tcMar>
              <w:top w:w="0" w:type="dxa"/>
              <w:left w:w="75" w:type="dxa"/>
              <w:bottom w:w="0" w:type="dxa"/>
              <w:right w:w="75" w:type="dxa"/>
            </w:tcMar>
          </w:tcPr>
          <w:p w14:paraId="0A85ADC0"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45676170" w14:textId="77777777" w:rsidR="00AE06D0" w:rsidRPr="00D45F6A" w:rsidRDefault="00AE06D0" w:rsidP="004C77D3">
            <w:pPr>
              <w:pStyle w:val="Table"/>
              <w:spacing w:before="0" w:after="0"/>
              <w:ind w:right="-122"/>
              <w:rPr>
                <w:color w:val="010204"/>
                <w:sz w:val="22"/>
              </w:rPr>
            </w:pPr>
          </w:p>
        </w:tc>
        <w:tc>
          <w:tcPr>
            <w:tcW w:w="1043" w:type="dxa"/>
            <w:shd w:val="clear" w:color="auto" w:fill="FFFFFF"/>
            <w:tcMar>
              <w:top w:w="0" w:type="dxa"/>
              <w:left w:w="75" w:type="dxa"/>
              <w:bottom w:w="0" w:type="dxa"/>
              <w:right w:w="75" w:type="dxa"/>
            </w:tcMar>
          </w:tcPr>
          <w:p w14:paraId="2A11D27E" w14:textId="77777777" w:rsidR="00AE06D0" w:rsidRPr="00D45F6A" w:rsidRDefault="00AE06D0" w:rsidP="004C77D3">
            <w:pPr>
              <w:pStyle w:val="Table"/>
              <w:spacing w:before="0" w:after="0"/>
              <w:rPr>
                <w:color w:val="010204"/>
                <w:sz w:val="22"/>
              </w:rPr>
            </w:pPr>
          </w:p>
        </w:tc>
        <w:tc>
          <w:tcPr>
            <w:tcW w:w="1080" w:type="dxa"/>
            <w:shd w:val="clear" w:color="auto" w:fill="FFFFFF"/>
            <w:tcMar>
              <w:top w:w="0" w:type="dxa"/>
              <w:left w:w="75" w:type="dxa"/>
              <w:bottom w:w="0" w:type="dxa"/>
              <w:right w:w="75" w:type="dxa"/>
            </w:tcMar>
          </w:tcPr>
          <w:p w14:paraId="08C4E639" w14:textId="77777777" w:rsidR="00AE06D0" w:rsidRPr="00D45F6A" w:rsidRDefault="00AE06D0" w:rsidP="004C77D3">
            <w:pPr>
              <w:pStyle w:val="Table"/>
              <w:spacing w:before="0" w:after="0"/>
              <w:rPr>
                <w:color w:val="010204"/>
                <w:sz w:val="22"/>
              </w:rPr>
            </w:pPr>
          </w:p>
        </w:tc>
        <w:tc>
          <w:tcPr>
            <w:tcW w:w="1000" w:type="dxa"/>
            <w:shd w:val="clear" w:color="auto" w:fill="FFFFFF"/>
            <w:tcMar>
              <w:top w:w="0" w:type="dxa"/>
              <w:left w:w="75" w:type="dxa"/>
              <w:bottom w:w="0" w:type="dxa"/>
              <w:right w:w="75" w:type="dxa"/>
            </w:tcMar>
          </w:tcPr>
          <w:p w14:paraId="04C0BFE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18E8DF4"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4E8BAB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F4F8F5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A3AD16C"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1D810DC1"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AF95FB4"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4BD97E3E"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71CCE21E" w14:textId="77777777" w:rsidR="00AE06D0" w:rsidRPr="00D45F6A" w:rsidRDefault="00AE06D0" w:rsidP="004C77D3">
            <w:pPr>
              <w:pStyle w:val="Table"/>
              <w:spacing w:before="0" w:after="0"/>
              <w:rPr>
                <w:color w:val="010204"/>
                <w:sz w:val="22"/>
              </w:rPr>
            </w:pPr>
          </w:p>
        </w:tc>
      </w:tr>
      <w:tr w:rsidR="00C801A9" w:rsidRPr="00D45F6A" w14:paraId="3EC398C1"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42E0B8EC" w14:textId="75B5AEAD" w:rsidR="00AE06D0" w:rsidRPr="00D45F6A" w:rsidRDefault="00AE06D0" w:rsidP="004C77D3">
            <w:pPr>
              <w:pStyle w:val="Table"/>
              <w:spacing w:before="0" w:after="0"/>
              <w:rPr>
                <w:sz w:val="22"/>
              </w:rPr>
            </w:pPr>
            <w:r w:rsidRPr="00D45F6A">
              <w:rPr>
                <w:sz w:val="22"/>
              </w:rPr>
              <w:t>4. Unusual experiences</w:t>
            </w:r>
            <w:r w:rsidR="008D77AD" w:rsidRPr="00D45F6A">
              <w:rPr>
                <w:sz w:val="22"/>
              </w:rPr>
              <w:t xml:space="preserve"> </w:t>
            </w:r>
          </w:p>
        </w:tc>
        <w:tc>
          <w:tcPr>
            <w:tcW w:w="938" w:type="dxa"/>
            <w:tcBorders>
              <w:left w:val="single" w:sz="4" w:space="0" w:color="auto"/>
            </w:tcBorders>
            <w:shd w:val="clear" w:color="auto" w:fill="FFFFFF"/>
            <w:tcMar>
              <w:top w:w="0" w:type="dxa"/>
              <w:left w:w="75" w:type="dxa"/>
              <w:bottom w:w="0" w:type="dxa"/>
              <w:right w:w="75" w:type="dxa"/>
            </w:tcMar>
            <w:hideMark/>
          </w:tcPr>
          <w:p w14:paraId="4223011D" w14:textId="55FB2479"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0.188</w:t>
            </w:r>
            <w:r w:rsidR="00AE06D0"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53EE8508" w14:textId="77777777" w:rsidR="00AE06D0" w:rsidRPr="00D45F6A" w:rsidRDefault="00AE06D0" w:rsidP="004C77D3">
            <w:pPr>
              <w:pStyle w:val="Table"/>
              <w:spacing w:before="0" w:after="0"/>
              <w:rPr>
                <w:color w:val="010204"/>
                <w:sz w:val="22"/>
              </w:rPr>
            </w:pPr>
            <w:r w:rsidRPr="00D45F6A">
              <w:rPr>
                <w:color w:val="010204"/>
                <w:sz w:val="22"/>
              </w:rPr>
              <w:t>-0.123</w:t>
            </w:r>
            <w:r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00727966" w14:textId="1795A413"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0.134</w:t>
            </w:r>
            <w:r w:rsidR="00AE06D0"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42A7EA56"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shd w:val="clear" w:color="auto" w:fill="FFFFFF"/>
            <w:tcMar>
              <w:top w:w="0" w:type="dxa"/>
              <w:left w:w="75" w:type="dxa"/>
              <w:bottom w:w="0" w:type="dxa"/>
              <w:right w:w="75" w:type="dxa"/>
            </w:tcMar>
          </w:tcPr>
          <w:p w14:paraId="3ED5CC7F" w14:textId="77777777" w:rsidR="00AE06D0" w:rsidRPr="00D45F6A" w:rsidRDefault="00AE06D0" w:rsidP="004C77D3">
            <w:pPr>
              <w:pStyle w:val="Table"/>
              <w:spacing w:before="0" w:after="0"/>
              <w:ind w:right="-122"/>
              <w:rPr>
                <w:color w:val="010204"/>
                <w:sz w:val="22"/>
              </w:rPr>
            </w:pPr>
          </w:p>
        </w:tc>
        <w:tc>
          <w:tcPr>
            <w:tcW w:w="1043" w:type="dxa"/>
            <w:shd w:val="clear" w:color="auto" w:fill="FFFFFF"/>
            <w:tcMar>
              <w:top w:w="0" w:type="dxa"/>
              <w:left w:w="75" w:type="dxa"/>
              <w:bottom w:w="0" w:type="dxa"/>
              <w:right w:w="75" w:type="dxa"/>
            </w:tcMar>
          </w:tcPr>
          <w:p w14:paraId="2B12EE9E" w14:textId="77777777" w:rsidR="00AE06D0" w:rsidRPr="00D45F6A" w:rsidRDefault="00AE06D0" w:rsidP="004C77D3">
            <w:pPr>
              <w:pStyle w:val="Table"/>
              <w:spacing w:before="0" w:after="0"/>
              <w:rPr>
                <w:color w:val="010204"/>
                <w:sz w:val="22"/>
              </w:rPr>
            </w:pPr>
          </w:p>
        </w:tc>
        <w:tc>
          <w:tcPr>
            <w:tcW w:w="1080" w:type="dxa"/>
            <w:shd w:val="clear" w:color="auto" w:fill="FFFFFF"/>
            <w:tcMar>
              <w:top w:w="0" w:type="dxa"/>
              <w:left w:w="75" w:type="dxa"/>
              <w:bottom w:w="0" w:type="dxa"/>
              <w:right w:w="75" w:type="dxa"/>
            </w:tcMar>
          </w:tcPr>
          <w:p w14:paraId="1058EC02" w14:textId="77777777" w:rsidR="00AE06D0" w:rsidRPr="00D45F6A" w:rsidRDefault="00AE06D0" w:rsidP="004C77D3">
            <w:pPr>
              <w:pStyle w:val="Table"/>
              <w:spacing w:before="0" w:after="0"/>
              <w:rPr>
                <w:color w:val="010204"/>
                <w:sz w:val="22"/>
              </w:rPr>
            </w:pPr>
          </w:p>
        </w:tc>
        <w:tc>
          <w:tcPr>
            <w:tcW w:w="1000" w:type="dxa"/>
            <w:shd w:val="clear" w:color="auto" w:fill="FFFFFF"/>
            <w:tcMar>
              <w:top w:w="0" w:type="dxa"/>
              <w:left w:w="75" w:type="dxa"/>
              <w:bottom w:w="0" w:type="dxa"/>
              <w:right w:w="75" w:type="dxa"/>
            </w:tcMar>
          </w:tcPr>
          <w:p w14:paraId="3E62BC94"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CE947EA"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4C78C728"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07D19C7"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A52D5BC"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6DE837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21660A81"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62ADB906"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3DA003EE" w14:textId="77777777" w:rsidR="00AE06D0" w:rsidRPr="00D45F6A" w:rsidRDefault="00AE06D0" w:rsidP="004C77D3">
            <w:pPr>
              <w:pStyle w:val="Table"/>
              <w:spacing w:before="0" w:after="0"/>
              <w:rPr>
                <w:color w:val="010204"/>
                <w:sz w:val="22"/>
              </w:rPr>
            </w:pPr>
          </w:p>
        </w:tc>
      </w:tr>
      <w:tr w:rsidR="00C801A9" w:rsidRPr="00D45F6A" w14:paraId="70E61CD2"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70C7EF0A" w14:textId="77777777" w:rsidR="00AE06D0" w:rsidRPr="00D45F6A" w:rsidRDefault="00AE06D0" w:rsidP="004C77D3">
            <w:pPr>
              <w:pStyle w:val="Table"/>
              <w:spacing w:before="0" w:after="0"/>
              <w:rPr>
                <w:sz w:val="22"/>
              </w:rPr>
            </w:pPr>
            <w:r w:rsidRPr="00D45F6A">
              <w:rPr>
                <w:sz w:val="22"/>
              </w:rPr>
              <w:t>5. Cognitive disorganisation</w:t>
            </w:r>
          </w:p>
        </w:tc>
        <w:tc>
          <w:tcPr>
            <w:tcW w:w="938" w:type="dxa"/>
            <w:tcBorders>
              <w:left w:val="single" w:sz="4" w:space="0" w:color="auto"/>
            </w:tcBorders>
            <w:shd w:val="clear" w:color="auto" w:fill="FFFFFF"/>
            <w:tcMar>
              <w:top w:w="0" w:type="dxa"/>
              <w:left w:w="75" w:type="dxa"/>
              <w:bottom w:w="0" w:type="dxa"/>
              <w:right w:w="75" w:type="dxa"/>
            </w:tcMar>
            <w:hideMark/>
          </w:tcPr>
          <w:p w14:paraId="412A450C" w14:textId="1EB3191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0.502</w:t>
            </w:r>
            <w:r w:rsidR="00AE06D0"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0DA7C54A" w14:textId="77777777" w:rsidR="00AE06D0" w:rsidRPr="00D45F6A" w:rsidRDefault="00AE06D0" w:rsidP="004C77D3">
            <w:pPr>
              <w:pStyle w:val="Table"/>
              <w:spacing w:before="0" w:after="0"/>
              <w:rPr>
                <w:color w:val="010204"/>
                <w:sz w:val="22"/>
              </w:rPr>
            </w:pPr>
            <w:r w:rsidRPr="00D45F6A">
              <w:rPr>
                <w:color w:val="010204"/>
                <w:sz w:val="22"/>
              </w:rPr>
              <w:t>-0.161</w:t>
            </w:r>
            <w:r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784858E2" w14:textId="62C4221A"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0.118</w:t>
            </w:r>
            <w:r w:rsidR="00AE06D0"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0A86CE5D" w14:textId="71ED4D9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0.494</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70A78DCA" w14:textId="77777777" w:rsidR="00AE06D0" w:rsidRPr="00D45F6A" w:rsidRDefault="00AE06D0" w:rsidP="004C77D3">
            <w:pPr>
              <w:pStyle w:val="Table"/>
              <w:spacing w:before="0" w:after="0"/>
              <w:ind w:right="-122"/>
              <w:rPr>
                <w:color w:val="010204"/>
                <w:sz w:val="22"/>
              </w:rPr>
            </w:pPr>
            <w:r w:rsidRPr="00D45F6A">
              <w:rPr>
                <w:color w:val="010204"/>
                <w:sz w:val="22"/>
              </w:rPr>
              <w:t>1.000</w:t>
            </w:r>
          </w:p>
        </w:tc>
        <w:tc>
          <w:tcPr>
            <w:tcW w:w="1043" w:type="dxa"/>
            <w:shd w:val="clear" w:color="auto" w:fill="FFFFFF"/>
            <w:tcMar>
              <w:top w:w="0" w:type="dxa"/>
              <w:left w:w="75" w:type="dxa"/>
              <w:bottom w:w="0" w:type="dxa"/>
              <w:right w:w="75" w:type="dxa"/>
            </w:tcMar>
          </w:tcPr>
          <w:p w14:paraId="66F76D93" w14:textId="77777777" w:rsidR="00AE06D0" w:rsidRPr="00D45F6A" w:rsidRDefault="00AE06D0" w:rsidP="004C77D3">
            <w:pPr>
              <w:pStyle w:val="Table"/>
              <w:spacing w:before="0" w:after="0"/>
              <w:rPr>
                <w:color w:val="010204"/>
                <w:sz w:val="22"/>
              </w:rPr>
            </w:pPr>
          </w:p>
        </w:tc>
        <w:tc>
          <w:tcPr>
            <w:tcW w:w="1080" w:type="dxa"/>
            <w:shd w:val="clear" w:color="auto" w:fill="FFFFFF"/>
            <w:tcMar>
              <w:top w:w="0" w:type="dxa"/>
              <w:left w:w="75" w:type="dxa"/>
              <w:bottom w:w="0" w:type="dxa"/>
              <w:right w:w="75" w:type="dxa"/>
            </w:tcMar>
          </w:tcPr>
          <w:p w14:paraId="3D338F86" w14:textId="77777777" w:rsidR="00AE06D0" w:rsidRPr="00D45F6A" w:rsidRDefault="00AE06D0" w:rsidP="004C77D3">
            <w:pPr>
              <w:pStyle w:val="Table"/>
              <w:spacing w:before="0" w:after="0"/>
              <w:rPr>
                <w:color w:val="010204"/>
                <w:sz w:val="22"/>
              </w:rPr>
            </w:pPr>
          </w:p>
        </w:tc>
        <w:tc>
          <w:tcPr>
            <w:tcW w:w="1000" w:type="dxa"/>
            <w:shd w:val="clear" w:color="auto" w:fill="FFFFFF"/>
            <w:tcMar>
              <w:top w:w="0" w:type="dxa"/>
              <w:left w:w="75" w:type="dxa"/>
              <w:bottom w:w="0" w:type="dxa"/>
              <w:right w:w="75" w:type="dxa"/>
            </w:tcMar>
          </w:tcPr>
          <w:p w14:paraId="7E15C977"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24DEC681"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1172087A"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EBBD9FB"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7A64BB9"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1B3D45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1AE70406"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2B9226FC"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20EE4BFE" w14:textId="77777777" w:rsidR="00AE06D0" w:rsidRPr="00D45F6A" w:rsidRDefault="00AE06D0" w:rsidP="004C77D3">
            <w:pPr>
              <w:pStyle w:val="Table"/>
              <w:spacing w:before="0" w:after="0"/>
              <w:rPr>
                <w:color w:val="010204"/>
                <w:sz w:val="22"/>
              </w:rPr>
            </w:pPr>
          </w:p>
        </w:tc>
      </w:tr>
      <w:tr w:rsidR="00C801A9" w:rsidRPr="00D45F6A" w14:paraId="5915F459"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46ECA46B" w14:textId="77777777" w:rsidR="00AE06D0" w:rsidRPr="00D45F6A" w:rsidRDefault="00AE06D0" w:rsidP="004C77D3">
            <w:pPr>
              <w:pStyle w:val="Table"/>
              <w:spacing w:before="0" w:after="0"/>
              <w:rPr>
                <w:sz w:val="22"/>
              </w:rPr>
            </w:pPr>
            <w:r w:rsidRPr="00D45F6A">
              <w:rPr>
                <w:sz w:val="22"/>
              </w:rPr>
              <w:t>6. Introvertive anhedonia</w:t>
            </w:r>
          </w:p>
        </w:tc>
        <w:tc>
          <w:tcPr>
            <w:tcW w:w="938" w:type="dxa"/>
            <w:tcBorders>
              <w:left w:val="single" w:sz="4" w:space="0" w:color="auto"/>
            </w:tcBorders>
            <w:shd w:val="clear" w:color="auto" w:fill="FFFFFF"/>
            <w:tcMar>
              <w:top w:w="0" w:type="dxa"/>
              <w:left w:w="75" w:type="dxa"/>
              <w:bottom w:w="0" w:type="dxa"/>
              <w:right w:w="75" w:type="dxa"/>
            </w:tcMar>
            <w:hideMark/>
          </w:tcPr>
          <w:p w14:paraId="7F6C67B9" w14:textId="57D646BE"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0.402</w:t>
            </w:r>
            <w:r w:rsidR="00AE06D0"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7CD40FA7" w14:textId="714799FF"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0.090</w:t>
            </w:r>
          </w:p>
        </w:tc>
        <w:tc>
          <w:tcPr>
            <w:tcW w:w="1062" w:type="dxa"/>
            <w:shd w:val="clear" w:color="auto" w:fill="FFFFFF"/>
            <w:tcMar>
              <w:top w:w="0" w:type="dxa"/>
              <w:left w:w="75" w:type="dxa"/>
              <w:bottom w:w="0" w:type="dxa"/>
              <w:right w:w="75" w:type="dxa"/>
            </w:tcMar>
            <w:hideMark/>
          </w:tcPr>
          <w:p w14:paraId="6E6965C9" w14:textId="195D17F0"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0.021</w:t>
            </w:r>
          </w:p>
        </w:tc>
        <w:tc>
          <w:tcPr>
            <w:tcW w:w="1080" w:type="dxa"/>
            <w:shd w:val="clear" w:color="auto" w:fill="FFFFFF"/>
            <w:tcMar>
              <w:top w:w="0" w:type="dxa"/>
              <w:left w:w="75" w:type="dxa"/>
              <w:bottom w:w="0" w:type="dxa"/>
              <w:right w:w="75" w:type="dxa"/>
            </w:tcMar>
            <w:hideMark/>
          </w:tcPr>
          <w:p w14:paraId="5C72D46B" w14:textId="37C69EC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0.233</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3C4BE536" w14:textId="6B01BE98" w:rsidR="00AE06D0" w:rsidRPr="00D45F6A" w:rsidRDefault="008D77AD" w:rsidP="004C77D3">
            <w:pPr>
              <w:pStyle w:val="Table"/>
              <w:spacing w:before="0" w:after="0"/>
              <w:ind w:right="-122"/>
              <w:rPr>
                <w:color w:val="010204"/>
                <w:sz w:val="22"/>
              </w:rPr>
            </w:pPr>
            <w:r w:rsidRPr="00D45F6A">
              <w:rPr>
                <w:color w:val="010204"/>
                <w:sz w:val="22"/>
              </w:rPr>
              <w:t xml:space="preserve"> </w:t>
            </w:r>
            <w:r w:rsidR="00AE06D0" w:rsidRPr="00D45F6A">
              <w:rPr>
                <w:color w:val="010204"/>
                <w:sz w:val="22"/>
              </w:rPr>
              <w:t>0.378</w:t>
            </w:r>
            <w:r w:rsidR="00AE06D0"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46A52860" w14:textId="77777777" w:rsidR="00AE06D0" w:rsidRPr="00D45F6A" w:rsidRDefault="00AE06D0" w:rsidP="004C77D3">
            <w:pPr>
              <w:pStyle w:val="Table"/>
              <w:spacing w:before="0" w:after="0"/>
              <w:rPr>
                <w:color w:val="010204"/>
                <w:sz w:val="22"/>
              </w:rPr>
            </w:pPr>
            <w:r w:rsidRPr="00D45F6A">
              <w:rPr>
                <w:color w:val="010204"/>
                <w:sz w:val="22"/>
              </w:rPr>
              <w:t>1.000</w:t>
            </w:r>
          </w:p>
        </w:tc>
        <w:tc>
          <w:tcPr>
            <w:tcW w:w="1080" w:type="dxa"/>
            <w:shd w:val="clear" w:color="auto" w:fill="FFFFFF"/>
            <w:tcMar>
              <w:top w:w="0" w:type="dxa"/>
              <w:left w:w="75" w:type="dxa"/>
              <w:bottom w:w="0" w:type="dxa"/>
              <w:right w:w="75" w:type="dxa"/>
            </w:tcMar>
          </w:tcPr>
          <w:p w14:paraId="490AC9F5" w14:textId="77777777" w:rsidR="00AE06D0" w:rsidRPr="00D45F6A" w:rsidRDefault="00AE06D0" w:rsidP="004C77D3">
            <w:pPr>
              <w:pStyle w:val="Table"/>
              <w:spacing w:before="0" w:after="0"/>
              <w:rPr>
                <w:color w:val="010204"/>
                <w:sz w:val="22"/>
              </w:rPr>
            </w:pPr>
          </w:p>
        </w:tc>
        <w:tc>
          <w:tcPr>
            <w:tcW w:w="1000" w:type="dxa"/>
            <w:shd w:val="clear" w:color="auto" w:fill="FFFFFF"/>
            <w:tcMar>
              <w:top w:w="0" w:type="dxa"/>
              <w:left w:w="75" w:type="dxa"/>
              <w:bottom w:w="0" w:type="dxa"/>
              <w:right w:w="75" w:type="dxa"/>
            </w:tcMar>
          </w:tcPr>
          <w:p w14:paraId="3DF2A91A"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214E0FE8"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4AC4F95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19F6CEF"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C22C1DF"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3C7478E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B501D7F"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2B888594"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2F793C95" w14:textId="77777777" w:rsidR="00AE06D0" w:rsidRPr="00D45F6A" w:rsidRDefault="00AE06D0" w:rsidP="004C77D3">
            <w:pPr>
              <w:pStyle w:val="Table"/>
              <w:spacing w:before="0" w:after="0"/>
              <w:rPr>
                <w:color w:val="010204"/>
                <w:sz w:val="22"/>
              </w:rPr>
            </w:pPr>
          </w:p>
        </w:tc>
      </w:tr>
      <w:tr w:rsidR="00C801A9" w:rsidRPr="00D45F6A" w14:paraId="1A88E327"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3A4BDA77" w14:textId="77777777" w:rsidR="00AE06D0" w:rsidRPr="00D45F6A" w:rsidRDefault="00AE06D0" w:rsidP="004C77D3">
            <w:pPr>
              <w:pStyle w:val="Table"/>
              <w:spacing w:before="0" w:after="0"/>
              <w:rPr>
                <w:sz w:val="22"/>
              </w:rPr>
            </w:pPr>
            <w:r w:rsidRPr="00D45F6A">
              <w:rPr>
                <w:sz w:val="22"/>
              </w:rPr>
              <w:t>7. Impulsive non-conformity</w:t>
            </w:r>
          </w:p>
        </w:tc>
        <w:tc>
          <w:tcPr>
            <w:tcW w:w="938" w:type="dxa"/>
            <w:tcBorders>
              <w:left w:val="single" w:sz="4" w:space="0" w:color="auto"/>
            </w:tcBorders>
            <w:shd w:val="clear" w:color="auto" w:fill="FFFFFF"/>
            <w:tcMar>
              <w:top w:w="0" w:type="dxa"/>
              <w:left w:w="75" w:type="dxa"/>
              <w:bottom w:w="0" w:type="dxa"/>
              <w:right w:w="75" w:type="dxa"/>
            </w:tcMar>
            <w:hideMark/>
          </w:tcPr>
          <w:p w14:paraId="0B08E2CC" w14:textId="5264DA7D"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0.186</w:t>
            </w:r>
            <w:r w:rsidR="00AE06D0"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6EF15E3C" w14:textId="77777777" w:rsidR="00AE06D0" w:rsidRPr="00D45F6A" w:rsidRDefault="00AE06D0" w:rsidP="004C77D3">
            <w:pPr>
              <w:pStyle w:val="Table"/>
              <w:spacing w:before="0" w:after="0"/>
              <w:rPr>
                <w:color w:val="010204"/>
                <w:sz w:val="22"/>
              </w:rPr>
            </w:pPr>
            <w:r w:rsidRPr="00D45F6A">
              <w:rPr>
                <w:color w:val="010204"/>
                <w:sz w:val="22"/>
              </w:rPr>
              <w:t>-0.122</w:t>
            </w:r>
            <w:r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3CB9117E" w14:textId="77777777" w:rsidR="00AE06D0" w:rsidRPr="00D45F6A" w:rsidRDefault="00AE06D0" w:rsidP="004C77D3">
            <w:pPr>
              <w:pStyle w:val="Table"/>
              <w:spacing w:before="0" w:after="0"/>
              <w:rPr>
                <w:color w:val="010204"/>
                <w:sz w:val="22"/>
              </w:rPr>
            </w:pPr>
            <w:r w:rsidRPr="00D45F6A">
              <w:rPr>
                <w:color w:val="010204"/>
                <w:sz w:val="22"/>
              </w:rPr>
              <w:t>-0.026</w:t>
            </w:r>
          </w:p>
        </w:tc>
        <w:tc>
          <w:tcPr>
            <w:tcW w:w="1080" w:type="dxa"/>
            <w:shd w:val="clear" w:color="auto" w:fill="FFFFFF"/>
            <w:tcMar>
              <w:top w:w="0" w:type="dxa"/>
              <w:left w:w="75" w:type="dxa"/>
              <w:bottom w:w="0" w:type="dxa"/>
              <w:right w:w="75" w:type="dxa"/>
            </w:tcMar>
            <w:hideMark/>
          </w:tcPr>
          <w:p w14:paraId="22E0E59E" w14:textId="59C61B1F"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0.478</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8D5A5E2" w14:textId="3CF9BEBC" w:rsidR="00AE06D0" w:rsidRPr="00D45F6A" w:rsidRDefault="008D77AD" w:rsidP="004C77D3">
            <w:pPr>
              <w:pStyle w:val="Table"/>
              <w:spacing w:before="0" w:after="0"/>
              <w:ind w:right="-122"/>
              <w:rPr>
                <w:color w:val="010204"/>
                <w:sz w:val="22"/>
              </w:rPr>
            </w:pPr>
            <w:r w:rsidRPr="00D45F6A">
              <w:rPr>
                <w:color w:val="010204"/>
                <w:sz w:val="22"/>
              </w:rPr>
              <w:t xml:space="preserve"> </w:t>
            </w:r>
            <w:r w:rsidR="00AE06D0" w:rsidRPr="00D45F6A">
              <w:rPr>
                <w:color w:val="010204"/>
                <w:sz w:val="22"/>
              </w:rPr>
              <w:t>0.444</w:t>
            </w:r>
            <w:r w:rsidR="00AE06D0"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27498D85" w14:textId="144D5FF9"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0.121</w:t>
            </w:r>
            <w:r w:rsidR="00AE06D0"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4BC6E68E" w14:textId="77777777" w:rsidR="00AE06D0" w:rsidRPr="00D45F6A" w:rsidRDefault="00AE06D0" w:rsidP="004C77D3">
            <w:pPr>
              <w:pStyle w:val="Table"/>
              <w:spacing w:before="0" w:after="0"/>
              <w:rPr>
                <w:color w:val="010204"/>
                <w:sz w:val="22"/>
              </w:rPr>
            </w:pPr>
            <w:r w:rsidRPr="00D45F6A">
              <w:rPr>
                <w:color w:val="010204"/>
                <w:sz w:val="22"/>
              </w:rPr>
              <w:t>1.000</w:t>
            </w:r>
          </w:p>
        </w:tc>
        <w:tc>
          <w:tcPr>
            <w:tcW w:w="1000" w:type="dxa"/>
            <w:shd w:val="clear" w:color="auto" w:fill="FFFFFF"/>
            <w:tcMar>
              <w:top w:w="0" w:type="dxa"/>
              <w:left w:w="75" w:type="dxa"/>
              <w:bottom w:w="0" w:type="dxa"/>
              <w:right w:w="75" w:type="dxa"/>
            </w:tcMar>
          </w:tcPr>
          <w:p w14:paraId="2887BB1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A222617"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B1C4967"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738B06F"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34D57F1F"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D7A9835"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32E2230"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7BE26BDE"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38511B16" w14:textId="77777777" w:rsidR="00AE06D0" w:rsidRPr="00D45F6A" w:rsidRDefault="00AE06D0" w:rsidP="004C77D3">
            <w:pPr>
              <w:pStyle w:val="Table"/>
              <w:spacing w:before="0" w:after="0"/>
              <w:rPr>
                <w:color w:val="010204"/>
                <w:sz w:val="22"/>
              </w:rPr>
            </w:pPr>
          </w:p>
        </w:tc>
      </w:tr>
      <w:tr w:rsidR="00C801A9" w:rsidRPr="00D45F6A" w14:paraId="26A88C34"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107EFF93" w14:textId="77777777" w:rsidR="00AE06D0" w:rsidRPr="00D45F6A" w:rsidRDefault="00AE06D0" w:rsidP="004C77D3">
            <w:pPr>
              <w:pStyle w:val="Table"/>
              <w:spacing w:before="0" w:after="0"/>
              <w:rPr>
                <w:sz w:val="22"/>
              </w:rPr>
            </w:pPr>
            <w:r w:rsidRPr="00D45F6A">
              <w:rPr>
                <w:sz w:val="22"/>
              </w:rPr>
              <w:t>8. QOL - Physical</w:t>
            </w:r>
          </w:p>
        </w:tc>
        <w:tc>
          <w:tcPr>
            <w:tcW w:w="938" w:type="dxa"/>
            <w:tcBorders>
              <w:left w:val="single" w:sz="4" w:space="0" w:color="auto"/>
            </w:tcBorders>
            <w:shd w:val="clear" w:color="auto" w:fill="FFFFFF"/>
            <w:tcMar>
              <w:top w:w="0" w:type="dxa"/>
              <w:left w:w="75" w:type="dxa"/>
              <w:bottom w:w="0" w:type="dxa"/>
              <w:right w:w="75" w:type="dxa"/>
            </w:tcMar>
            <w:hideMark/>
          </w:tcPr>
          <w:p w14:paraId="731F6AEA" w14:textId="77777777" w:rsidR="00AE06D0" w:rsidRPr="00D45F6A" w:rsidRDefault="00AE06D0" w:rsidP="004C77D3">
            <w:pPr>
              <w:pStyle w:val="Table"/>
              <w:spacing w:before="0" w:after="0"/>
              <w:rPr>
                <w:color w:val="010204"/>
                <w:sz w:val="22"/>
              </w:rPr>
            </w:pPr>
            <w:r w:rsidRPr="00D45F6A">
              <w:rPr>
                <w:color w:val="010204"/>
                <w:sz w:val="22"/>
              </w:rPr>
              <w:t>-0.362</w:t>
            </w:r>
            <w:r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17557BE9" w14:textId="77777777" w:rsidR="00AE06D0" w:rsidRPr="00D45F6A" w:rsidRDefault="00AE06D0" w:rsidP="004C77D3">
            <w:pPr>
              <w:pStyle w:val="Table"/>
              <w:spacing w:before="0" w:after="0"/>
              <w:rPr>
                <w:color w:val="010204"/>
                <w:sz w:val="22"/>
              </w:rPr>
            </w:pPr>
            <w:r w:rsidRPr="00D45F6A">
              <w:rPr>
                <w:color w:val="010204"/>
                <w:sz w:val="22"/>
              </w:rPr>
              <w:t>-0.016</w:t>
            </w:r>
          </w:p>
        </w:tc>
        <w:tc>
          <w:tcPr>
            <w:tcW w:w="1062" w:type="dxa"/>
            <w:shd w:val="clear" w:color="auto" w:fill="FFFFFF"/>
            <w:tcMar>
              <w:top w:w="0" w:type="dxa"/>
              <w:left w:w="75" w:type="dxa"/>
              <w:bottom w:w="0" w:type="dxa"/>
              <w:right w:w="75" w:type="dxa"/>
            </w:tcMar>
            <w:hideMark/>
          </w:tcPr>
          <w:p w14:paraId="457F5882" w14:textId="77777777" w:rsidR="00AE06D0" w:rsidRPr="00D45F6A" w:rsidRDefault="00AE06D0" w:rsidP="004C77D3">
            <w:pPr>
              <w:pStyle w:val="Table"/>
              <w:spacing w:before="0" w:after="0"/>
              <w:rPr>
                <w:color w:val="010204"/>
                <w:sz w:val="22"/>
              </w:rPr>
            </w:pPr>
            <w:r w:rsidRPr="00D45F6A">
              <w:rPr>
                <w:color w:val="010204"/>
                <w:sz w:val="22"/>
              </w:rPr>
              <w:t>-0.014</w:t>
            </w:r>
          </w:p>
        </w:tc>
        <w:tc>
          <w:tcPr>
            <w:tcW w:w="1080" w:type="dxa"/>
            <w:shd w:val="clear" w:color="auto" w:fill="FFFFFF"/>
            <w:tcMar>
              <w:top w:w="0" w:type="dxa"/>
              <w:left w:w="75" w:type="dxa"/>
              <w:bottom w:w="0" w:type="dxa"/>
              <w:right w:w="75" w:type="dxa"/>
            </w:tcMar>
            <w:hideMark/>
          </w:tcPr>
          <w:p w14:paraId="41735C47" w14:textId="77777777" w:rsidR="00AE06D0" w:rsidRPr="00D45F6A" w:rsidRDefault="00AE06D0" w:rsidP="004C77D3">
            <w:pPr>
              <w:pStyle w:val="Table"/>
              <w:spacing w:before="0" w:after="0"/>
              <w:rPr>
                <w:color w:val="010204"/>
                <w:sz w:val="22"/>
              </w:rPr>
            </w:pPr>
            <w:r w:rsidRPr="00D45F6A">
              <w:rPr>
                <w:color w:val="010204"/>
                <w:sz w:val="22"/>
              </w:rPr>
              <w:t>-0.471</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1A7DC99" w14:textId="77777777" w:rsidR="00AE06D0" w:rsidRPr="00D45F6A" w:rsidRDefault="00AE06D0" w:rsidP="004C77D3">
            <w:pPr>
              <w:pStyle w:val="Table"/>
              <w:spacing w:before="0" w:after="0"/>
              <w:ind w:right="-122"/>
              <w:rPr>
                <w:color w:val="010204"/>
                <w:sz w:val="22"/>
              </w:rPr>
            </w:pPr>
            <w:r w:rsidRPr="00D45F6A">
              <w:rPr>
                <w:color w:val="010204"/>
                <w:sz w:val="22"/>
              </w:rPr>
              <w:t>-0.536</w:t>
            </w:r>
            <w:r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1FC69407" w14:textId="77777777" w:rsidR="00AE06D0" w:rsidRPr="00D45F6A" w:rsidRDefault="00AE06D0" w:rsidP="004C77D3">
            <w:pPr>
              <w:pStyle w:val="Table"/>
              <w:spacing w:before="0" w:after="0"/>
              <w:rPr>
                <w:color w:val="010204"/>
                <w:sz w:val="22"/>
              </w:rPr>
            </w:pPr>
            <w:r w:rsidRPr="00D45F6A">
              <w:rPr>
                <w:color w:val="010204"/>
                <w:sz w:val="22"/>
              </w:rPr>
              <w:t>-0.361</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20299E19" w14:textId="77777777" w:rsidR="00AE06D0" w:rsidRPr="00D45F6A" w:rsidRDefault="00AE06D0" w:rsidP="004C77D3">
            <w:pPr>
              <w:pStyle w:val="Table"/>
              <w:spacing w:before="0" w:after="0"/>
              <w:rPr>
                <w:color w:val="010204"/>
                <w:sz w:val="22"/>
              </w:rPr>
            </w:pPr>
            <w:r w:rsidRPr="00D45F6A">
              <w:rPr>
                <w:color w:val="010204"/>
                <w:sz w:val="22"/>
              </w:rPr>
              <w:t>-0.321</w:t>
            </w:r>
            <w:r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77A2E3FB"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shd w:val="clear" w:color="auto" w:fill="FFFFFF"/>
            <w:tcMar>
              <w:top w:w="0" w:type="dxa"/>
              <w:left w:w="75" w:type="dxa"/>
              <w:bottom w:w="0" w:type="dxa"/>
              <w:right w:w="75" w:type="dxa"/>
            </w:tcMar>
          </w:tcPr>
          <w:p w14:paraId="3F1113E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D353C98"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4E62451F"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2B028F0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1C36C8EE"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CC718D1"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7D0FF944"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68DAA2E8" w14:textId="77777777" w:rsidR="00AE06D0" w:rsidRPr="00D45F6A" w:rsidRDefault="00AE06D0" w:rsidP="004C77D3">
            <w:pPr>
              <w:pStyle w:val="Table"/>
              <w:spacing w:before="0" w:after="0"/>
              <w:rPr>
                <w:color w:val="010204"/>
                <w:sz w:val="22"/>
              </w:rPr>
            </w:pPr>
          </w:p>
        </w:tc>
      </w:tr>
      <w:tr w:rsidR="00C801A9" w:rsidRPr="00D45F6A" w14:paraId="4314CDD9"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2B176C47" w14:textId="77777777" w:rsidR="00AE06D0" w:rsidRPr="00D45F6A" w:rsidRDefault="00AE06D0" w:rsidP="004C77D3">
            <w:pPr>
              <w:pStyle w:val="Table"/>
              <w:spacing w:before="0" w:after="0"/>
              <w:rPr>
                <w:sz w:val="22"/>
              </w:rPr>
            </w:pPr>
            <w:r w:rsidRPr="00D45F6A">
              <w:rPr>
                <w:sz w:val="22"/>
              </w:rPr>
              <w:t>9. QOL - Psychological</w:t>
            </w:r>
          </w:p>
        </w:tc>
        <w:tc>
          <w:tcPr>
            <w:tcW w:w="938" w:type="dxa"/>
            <w:tcBorders>
              <w:left w:val="single" w:sz="4" w:space="0" w:color="auto"/>
            </w:tcBorders>
            <w:shd w:val="clear" w:color="auto" w:fill="FFFFFF"/>
            <w:tcMar>
              <w:top w:w="0" w:type="dxa"/>
              <w:left w:w="75" w:type="dxa"/>
              <w:bottom w:w="0" w:type="dxa"/>
              <w:right w:w="75" w:type="dxa"/>
            </w:tcMar>
            <w:hideMark/>
          </w:tcPr>
          <w:p w14:paraId="3CA19AE9" w14:textId="77777777" w:rsidR="00AE06D0" w:rsidRPr="00D45F6A" w:rsidRDefault="00AE06D0" w:rsidP="004C77D3">
            <w:pPr>
              <w:pStyle w:val="Table"/>
              <w:spacing w:before="0" w:after="0"/>
              <w:rPr>
                <w:color w:val="010204"/>
                <w:sz w:val="22"/>
              </w:rPr>
            </w:pPr>
            <w:r w:rsidRPr="00D45F6A">
              <w:rPr>
                <w:color w:val="010204"/>
                <w:sz w:val="22"/>
              </w:rPr>
              <w:t>-0.587</w:t>
            </w:r>
            <w:r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1EC0C28D" w14:textId="62EBCD43"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0.172</w:t>
            </w:r>
            <w:r w:rsidR="00AE06D0"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63F44FE5" w14:textId="77777777" w:rsidR="00AE06D0" w:rsidRPr="00D45F6A" w:rsidRDefault="00AE06D0" w:rsidP="004C77D3">
            <w:pPr>
              <w:pStyle w:val="Table"/>
              <w:spacing w:before="0" w:after="0"/>
              <w:rPr>
                <w:color w:val="010204"/>
                <w:sz w:val="22"/>
              </w:rPr>
            </w:pPr>
            <w:r w:rsidRPr="00D45F6A">
              <w:rPr>
                <w:color w:val="010204"/>
                <w:sz w:val="22"/>
              </w:rPr>
              <w:t>-0.125</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2EA9F8A2" w14:textId="77777777" w:rsidR="00AE06D0" w:rsidRPr="00D45F6A" w:rsidRDefault="00AE06D0" w:rsidP="004C77D3">
            <w:pPr>
              <w:pStyle w:val="Table"/>
              <w:spacing w:before="0" w:after="0"/>
              <w:rPr>
                <w:color w:val="010204"/>
                <w:sz w:val="22"/>
              </w:rPr>
            </w:pPr>
            <w:r w:rsidRPr="00D45F6A">
              <w:rPr>
                <w:color w:val="010204"/>
                <w:sz w:val="22"/>
              </w:rPr>
              <w:t>-0.285</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49B41CAB" w14:textId="77777777" w:rsidR="00AE06D0" w:rsidRPr="00D45F6A" w:rsidRDefault="00AE06D0" w:rsidP="004C77D3">
            <w:pPr>
              <w:pStyle w:val="Table"/>
              <w:spacing w:before="0" w:after="0"/>
              <w:ind w:right="-122"/>
              <w:rPr>
                <w:color w:val="010204"/>
                <w:sz w:val="22"/>
              </w:rPr>
            </w:pPr>
            <w:r w:rsidRPr="00D45F6A">
              <w:rPr>
                <w:color w:val="010204"/>
                <w:sz w:val="22"/>
              </w:rPr>
              <w:t>-0.718</w:t>
            </w:r>
            <w:r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1DBCA058" w14:textId="77777777" w:rsidR="00AE06D0" w:rsidRPr="00D45F6A" w:rsidRDefault="00AE06D0" w:rsidP="004C77D3">
            <w:pPr>
              <w:pStyle w:val="Table"/>
              <w:spacing w:before="0" w:after="0"/>
              <w:rPr>
                <w:color w:val="010204"/>
                <w:sz w:val="22"/>
              </w:rPr>
            </w:pPr>
            <w:r w:rsidRPr="00D45F6A">
              <w:rPr>
                <w:color w:val="010204"/>
                <w:sz w:val="22"/>
              </w:rPr>
              <w:t>-0.433</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686009BC" w14:textId="77777777" w:rsidR="00AE06D0" w:rsidRPr="00D45F6A" w:rsidRDefault="00AE06D0" w:rsidP="004C77D3">
            <w:pPr>
              <w:pStyle w:val="Table"/>
              <w:spacing w:before="0" w:after="0"/>
              <w:rPr>
                <w:color w:val="010204"/>
                <w:sz w:val="22"/>
              </w:rPr>
            </w:pPr>
            <w:r w:rsidRPr="00D45F6A">
              <w:rPr>
                <w:color w:val="010204"/>
                <w:sz w:val="22"/>
              </w:rPr>
              <w:t>-0.292</w:t>
            </w:r>
            <w:r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47627339" w14:textId="6CBEFC6C"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0.576</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6EB2A33"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shd w:val="clear" w:color="auto" w:fill="FFFFFF"/>
            <w:tcMar>
              <w:top w:w="0" w:type="dxa"/>
              <w:left w:w="75" w:type="dxa"/>
              <w:bottom w:w="0" w:type="dxa"/>
              <w:right w:w="75" w:type="dxa"/>
            </w:tcMar>
          </w:tcPr>
          <w:p w14:paraId="26BEADDC"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C20A7C3"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BD0D1B0"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65090B80"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270B210B"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70FF59EA"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0F296BAF" w14:textId="77777777" w:rsidR="00AE06D0" w:rsidRPr="00D45F6A" w:rsidRDefault="00AE06D0" w:rsidP="004C77D3">
            <w:pPr>
              <w:pStyle w:val="Table"/>
              <w:spacing w:before="0" w:after="0"/>
              <w:rPr>
                <w:color w:val="010204"/>
                <w:sz w:val="22"/>
              </w:rPr>
            </w:pPr>
          </w:p>
        </w:tc>
      </w:tr>
      <w:tr w:rsidR="00C801A9" w:rsidRPr="00D45F6A" w14:paraId="41CF3D4E" w14:textId="77777777" w:rsidTr="00836C16">
        <w:trPr>
          <w:trHeight w:val="291"/>
        </w:trPr>
        <w:tc>
          <w:tcPr>
            <w:tcW w:w="1710" w:type="dxa"/>
            <w:tcBorders>
              <w:right w:val="single" w:sz="4" w:space="0" w:color="auto"/>
            </w:tcBorders>
            <w:shd w:val="clear" w:color="auto" w:fill="auto"/>
            <w:tcMar>
              <w:top w:w="0" w:type="dxa"/>
              <w:left w:w="75" w:type="dxa"/>
              <w:bottom w:w="0" w:type="dxa"/>
              <w:right w:w="75" w:type="dxa"/>
            </w:tcMar>
            <w:hideMark/>
          </w:tcPr>
          <w:p w14:paraId="1029DD4B" w14:textId="77777777" w:rsidR="00AE06D0" w:rsidRPr="00D45F6A" w:rsidRDefault="00AE06D0" w:rsidP="004C77D3">
            <w:pPr>
              <w:pStyle w:val="Table"/>
              <w:spacing w:before="0" w:after="0"/>
              <w:rPr>
                <w:sz w:val="22"/>
              </w:rPr>
            </w:pPr>
            <w:r w:rsidRPr="00D45F6A">
              <w:rPr>
                <w:sz w:val="22"/>
              </w:rPr>
              <w:t>10. QOL – Social</w:t>
            </w:r>
          </w:p>
        </w:tc>
        <w:tc>
          <w:tcPr>
            <w:tcW w:w="938" w:type="dxa"/>
            <w:tcBorders>
              <w:left w:val="single" w:sz="4" w:space="0" w:color="auto"/>
            </w:tcBorders>
            <w:shd w:val="clear" w:color="auto" w:fill="FFFFFF"/>
            <w:tcMar>
              <w:top w:w="0" w:type="dxa"/>
              <w:left w:w="75" w:type="dxa"/>
              <w:bottom w:w="0" w:type="dxa"/>
              <w:right w:w="75" w:type="dxa"/>
            </w:tcMar>
            <w:hideMark/>
          </w:tcPr>
          <w:p w14:paraId="311B4975" w14:textId="77777777" w:rsidR="00AE06D0" w:rsidRPr="00D45F6A" w:rsidRDefault="00AE06D0" w:rsidP="004C77D3">
            <w:pPr>
              <w:pStyle w:val="Table"/>
              <w:spacing w:before="0" w:after="0"/>
              <w:rPr>
                <w:color w:val="010204"/>
                <w:sz w:val="22"/>
              </w:rPr>
            </w:pPr>
            <w:r w:rsidRPr="00D45F6A">
              <w:rPr>
                <w:color w:val="010204"/>
                <w:sz w:val="22"/>
              </w:rPr>
              <w:t>-0.496</w:t>
            </w:r>
            <w:r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7EDDE4B8" w14:textId="77777777" w:rsidR="00AE06D0" w:rsidRPr="00D45F6A" w:rsidRDefault="00AE06D0" w:rsidP="004C77D3">
            <w:pPr>
              <w:pStyle w:val="Table"/>
              <w:spacing w:before="0" w:after="0"/>
              <w:rPr>
                <w:color w:val="010204"/>
                <w:sz w:val="22"/>
              </w:rPr>
            </w:pPr>
            <w:r w:rsidRPr="00D45F6A">
              <w:rPr>
                <w:color w:val="010204"/>
                <w:sz w:val="22"/>
              </w:rPr>
              <w:t>-0.113</w:t>
            </w:r>
            <w:r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219C512B" w14:textId="236C1985"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0.029</w:t>
            </w:r>
          </w:p>
        </w:tc>
        <w:tc>
          <w:tcPr>
            <w:tcW w:w="1080" w:type="dxa"/>
            <w:shd w:val="clear" w:color="auto" w:fill="FFFFFF"/>
            <w:tcMar>
              <w:top w:w="0" w:type="dxa"/>
              <w:left w:w="75" w:type="dxa"/>
              <w:bottom w:w="0" w:type="dxa"/>
              <w:right w:w="75" w:type="dxa"/>
            </w:tcMar>
            <w:hideMark/>
          </w:tcPr>
          <w:p w14:paraId="04E2AEE0" w14:textId="77777777" w:rsidR="00AE06D0" w:rsidRPr="00D45F6A" w:rsidRDefault="00AE06D0" w:rsidP="004C77D3">
            <w:pPr>
              <w:pStyle w:val="Table"/>
              <w:spacing w:before="0" w:after="0"/>
              <w:rPr>
                <w:color w:val="010204"/>
                <w:sz w:val="22"/>
              </w:rPr>
            </w:pPr>
            <w:r w:rsidRPr="00D45F6A">
              <w:rPr>
                <w:color w:val="010204"/>
                <w:sz w:val="22"/>
              </w:rPr>
              <w:t>-0.236</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75B6919" w14:textId="77777777" w:rsidR="00AE06D0" w:rsidRPr="00D45F6A" w:rsidRDefault="00AE06D0" w:rsidP="004C77D3">
            <w:pPr>
              <w:pStyle w:val="Table"/>
              <w:spacing w:before="0" w:after="0"/>
              <w:ind w:right="-122"/>
              <w:rPr>
                <w:color w:val="010204"/>
                <w:sz w:val="22"/>
              </w:rPr>
            </w:pPr>
            <w:r w:rsidRPr="00D45F6A">
              <w:rPr>
                <w:color w:val="010204"/>
                <w:sz w:val="22"/>
              </w:rPr>
              <w:t>-0.427</w:t>
            </w:r>
            <w:r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58DB8D84" w14:textId="77777777" w:rsidR="00AE06D0" w:rsidRPr="00D45F6A" w:rsidRDefault="00AE06D0" w:rsidP="004C77D3">
            <w:pPr>
              <w:pStyle w:val="Table"/>
              <w:spacing w:before="0" w:after="0"/>
              <w:rPr>
                <w:color w:val="010204"/>
                <w:sz w:val="22"/>
              </w:rPr>
            </w:pPr>
            <w:r w:rsidRPr="00D45F6A">
              <w:rPr>
                <w:color w:val="010204"/>
                <w:sz w:val="22"/>
              </w:rPr>
              <w:t>-0.466</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79D0EBF3" w14:textId="77777777" w:rsidR="00AE06D0" w:rsidRPr="00D45F6A" w:rsidRDefault="00AE06D0" w:rsidP="004C77D3">
            <w:pPr>
              <w:pStyle w:val="Table"/>
              <w:spacing w:before="0" w:after="0"/>
              <w:rPr>
                <w:color w:val="010204"/>
                <w:sz w:val="22"/>
              </w:rPr>
            </w:pPr>
            <w:r w:rsidRPr="00D45F6A">
              <w:rPr>
                <w:color w:val="010204"/>
                <w:sz w:val="22"/>
              </w:rPr>
              <w:t>-0.210</w:t>
            </w:r>
            <w:r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5EF8B1CD" w14:textId="75E6B67D"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0.475</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5C9EE4D" w14:textId="75A435B4"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0.585</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EC7B7DF"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shd w:val="clear" w:color="auto" w:fill="FFFFFF"/>
            <w:tcMar>
              <w:top w:w="0" w:type="dxa"/>
              <w:left w:w="75" w:type="dxa"/>
              <w:bottom w:w="0" w:type="dxa"/>
              <w:right w:w="75" w:type="dxa"/>
            </w:tcMar>
          </w:tcPr>
          <w:p w14:paraId="3EE5ACD2"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0C23C0B8"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52A510CF"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2182B75C"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2EC0F5F3"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3BA84797" w14:textId="77777777" w:rsidR="00AE06D0" w:rsidRPr="00D45F6A" w:rsidRDefault="00AE06D0" w:rsidP="004C77D3">
            <w:pPr>
              <w:pStyle w:val="Table"/>
              <w:spacing w:before="0" w:after="0"/>
              <w:rPr>
                <w:color w:val="010204"/>
                <w:sz w:val="22"/>
              </w:rPr>
            </w:pPr>
          </w:p>
        </w:tc>
      </w:tr>
      <w:tr w:rsidR="00836C16" w:rsidRPr="00D45F6A" w14:paraId="62925AEA" w14:textId="77777777" w:rsidTr="007102CB">
        <w:trPr>
          <w:trHeight w:hRule="exact" w:val="978"/>
        </w:trPr>
        <w:tc>
          <w:tcPr>
            <w:tcW w:w="1710" w:type="dxa"/>
            <w:tcBorders>
              <w:right w:val="single" w:sz="4" w:space="0" w:color="auto"/>
            </w:tcBorders>
            <w:shd w:val="clear" w:color="auto" w:fill="auto"/>
            <w:tcMar>
              <w:top w:w="0" w:type="dxa"/>
              <w:left w:w="75" w:type="dxa"/>
              <w:bottom w:w="0" w:type="dxa"/>
              <w:right w:w="75" w:type="dxa"/>
            </w:tcMar>
            <w:hideMark/>
          </w:tcPr>
          <w:p w14:paraId="466F9DD2" w14:textId="77777777" w:rsidR="00AE06D0" w:rsidRPr="00D45F6A" w:rsidRDefault="00AE06D0" w:rsidP="004C77D3">
            <w:pPr>
              <w:pStyle w:val="Table"/>
              <w:spacing w:before="0" w:after="0"/>
              <w:rPr>
                <w:sz w:val="22"/>
              </w:rPr>
            </w:pPr>
            <w:r w:rsidRPr="00D45F6A">
              <w:rPr>
                <w:sz w:val="22"/>
              </w:rPr>
              <w:t>11. QOL- Environmental</w:t>
            </w:r>
          </w:p>
        </w:tc>
        <w:tc>
          <w:tcPr>
            <w:tcW w:w="938" w:type="dxa"/>
            <w:tcBorders>
              <w:left w:val="single" w:sz="4" w:space="0" w:color="auto"/>
            </w:tcBorders>
            <w:shd w:val="clear" w:color="auto" w:fill="FFFFFF"/>
            <w:tcMar>
              <w:top w:w="0" w:type="dxa"/>
              <w:left w:w="75" w:type="dxa"/>
              <w:bottom w:w="0" w:type="dxa"/>
              <w:right w:w="75" w:type="dxa"/>
            </w:tcMar>
            <w:hideMark/>
          </w:tcPr>
          <w:p w14:paraId="43065BE1" w14:textId="77777777" w:rsidR="00AE06D0" w:rsidRPr="00D45F6A" w:rsidRDefault="00AE06D0" w:rsidP="004C77D3">
            <w:pPr>
              <w:pStyle w:val="Table"/>
              <w:spacing w:before="0" w:after="0"/>
              <w:rPr>
                <w:color w:val="010204"/>
                <w:sz w:val="22"/>
              </w:rPr>
            </w:pPr>
            <w:r w:rsidRPr="00D45F6A">
              <w:rPr>
                <w:color w:val="010204"/>
                <w:sz w:val="22"/>
              </w:rPr>
              <w:t>-0.382</w:t>
            </w:r>
            <w:r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65FF915D" w14:textId="0B2E7D6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0.120</w:t>
            </w:r>
            <w:r w:rsidR="00AE06D0"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187899B1" w14:textId="77777777" w:rsidR="00AE06D0" w:rsidRPr="00D45F6A" w:rsidRDefault="00AE06D0" w:rsidP="004C77D3">
            <w:pPr>
              <w:pStyle w:val="Table"/>
              <w:spacing w:before="0" w:after="0"/>
              <w:rPr>
                <w:color w:val="010204"/>
                <w:sz w:val="22"/>
              </w:rPr>
            </w:pPr>
            <w:r w:rsidRPr="00D45F6A">
              <w:rPr>
                <w:color w:val="010204"/>
                <w:sz w:val="22"/>
              </w:rPr>
              <w:t>-0.031</w:t>
            </w:r>
          </w:p>
        </w:tc>
        <w:tc>
          <w:tcPr>
            <w:tcW w:w="1080" w:type="dxa"/>
            <w:shd w:val="clear" w:color="auto" w:fill="FFFFFF"/>
            <w:tcMar>
              <w:top w:w="0" w:type="dxa"/>
              <w:left w:w="75" w:type="dxa"/>
              <w:bottom w:w="0" w:type="dxa"/>
              <w:right w:w="75" w:type="dxa"/>
            </w:tcMar>
            <w:hideMark/>
          </w:tcPr>
          <w:p w14:paraId="65ACED45" w14:textId="77777777" w:rsidR="00AE06D0" w:rsidRPr="00D45F6A" w:rsidRDefault="00AE06D0" w:rsidP="004C77D3">
            <w:pPr>
              <w:pStyle w:val="Table"/>
              <w:spacing w:before="0" w:after="0"/>
              <w:rPr>
                <w:color w:val="010204"/>
                <w:sz w:val="22"/>
              </w:rPr>
            </w:pPr>
            <w:r w:rsidRPr="00D45F6A">
              <w:rPr>
                <w:color w:val="010204"/>
                <w:sz w:val="22"/>
              </w:rPr>
              <w:t>-0.444</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36176555" w14:textId="77777777" w:rsidR="00AE06D0" w:rsidRPr="00D45F6A" w:rsidRDefault="00AE06D0" w:rsidP="004C77D3">
            <w:pPr>
              <w:pStyle w:val="Table"/>
              <w:spacing w:before="0" w:after="0"/>
              <w:ind w:right="-122"/>
              <w:rPr>
                <w:color w:val="010204"/>
                <w:sz w:val="22"/>
              </w:rPr>
            </w:pPr>
            <w:r w:rsidRPr="00D45F6A">
              <w:rPr>
                <w:color w:val="010204"/>
                <w:sz w:val="22"/>
              </w:rPr>
              <w:t>-0.484</w:t>
            </w:r>
            <w:r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3A972B9F" w14:textId="77777777" w:rsidR="00AE06D0" w:rsidRPr="00D45F6A" w:rsidRDefault="00AE06D0" w:rsidP="004C77D3">
            <w:pPr>
              <w:pStyle w:val="Table"/>
              <w:spacing w:before="0" w:after="0"/>
              <w:rPr>
                <w:color w:val="010204"/>
                <w:sz w:val="22"/>
              </w:rPr>
            </w:pPr>
            <w:r w:rsidRPr="00D45F6A">
              <w:rPr>
                <w:color w:val="010204"/>
                <w:sz w:val="22"/>
              </w:rPr>
              <w:t>-0.304</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54714003" w14:textId="77777777" w:rsidR="00AE06D0" w:rsidRPr="00D45F6A" w:rsidRDefault="00AE06D0" w:rsidP="004C77D3">
            <w:pPr>
              <w:pStyle w:val="Table"/>
              <w:spacing w:before="0" w:after="0"/>
              <w:rPr>
                <w:color w:val="010204"/>
                <w:sz w:val="22"/>
              </w:rPr>
            </w:pPr>
            <w:r w:rsidRPr="00D45F6A">
              <w:rPr>
                <w:color w:val="010204"/>
                <w:sz w:val="22"/>
              </w:rPr>
              <w:t>-0.305</w:t>
            </w:r>
            <w:r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17B19759" w14:textId="2EF3D1F9"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0.551</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1307E629" w14:textId="37AD3BCB"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0.599</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3115688B" w14:textId="1817D999"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0.493</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1D587870"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shd w:val="clear" w:color="auto" w:fill="FFFFFF"/>
            <w:tcMar>
              <w:top w:w="0" w:type="dxa"/>
              <w:left w:w="75" w:type="dxa"/>
              <w:bottom w:w="0" w:type="dxa"/>
              <w:right w:w="75" w:type="dxa"/>
            </w:tcMar>
          </w:tcPr>
          <w:p w14:paraId="66110F4A"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37848956" w14:textId="77777777" w:rsidR="00AE06D0" w:rsidRPr="00D45F6A" w:rsidRDefault="00AE06D0" w:rsidP="004C77D3">
            <w:pPr>
              <w:pStyle w:val="Table"/>
              <w:spacing w:before="0" w:after="0"/>
              <w:rPr>
                <w:color w:val="010204"/>
                <w:sz w:val="22"/>
              </w:rPr>
            </w:pPr>
          </w:p>
        </w:tc>
        <w:tc>
          <w:tcPr>
            <w:tcW w:w="937" w:type="dxa"/>
            <w:shd w:val="clear" w:color="auto" w:fill="FFFFFF"/>
            <w:tcMar>
              <w:top w:w="0" w:type="dxa"/>
              <w:left w:w="75" w:type="dxa"/>
              <w:bottom w:w="0" w:type="dxa"/>
              <w:right w:w="75" w:type="dxa"/>
            </w:tcMar>
          </w:tcPr>
          <w:p w14:paraId="729580F4"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6C81133D"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2ECBFC14" w14:textId="77777777" w:rsidR="00AE06D0" w:rsidRPr="00D45F6A" w:rsidRDefault="00AE06D0" w:rsidP="004C77D3">
            <w:pPr>
              <w:pStyle w:val="Table"/>
              <w:spacing w:before="0" w:after="0"/>
              <w:rPr>
                <w:color w:val="010204"/>
                <w:sz w:val="22"/>
              </w:rPr>
            </w:pPr>
          </w:p>
        </w:tc>
      </w:tr>
      <w:tr w:rsidR="00C801A9" w:rsidRPr="00D45F6A" w14:paraId="2E0E8516" w14:textId="77777777" w:rsidTr="007102CB">
        <w:tc>
          <w:tcPr>
            <w:tcW w:w="1710" w:type="dxa"/>
            <w:tcBorders>
              <w:bottom w:val="single" w:sz="4" w:space="0" w:color="auto"/>
              <w:right w:val="single" w:sz="4" w:space="0" w:color="auto"/>
            </w:tcBorders>
            <w:shd w:val="clear" w:color="auto" w:fill="auto"/>
            <w:tcMar>
              <w:top w:w="0" w:type="dxa"/>
              <w:left w:w="75" w:type="dxa"/>
              <w:bottom w:w="0" w:type="dxa"/>
              <w:right w:w="75" w:type="dxa"/>
            </w:tcMar>
            <w:hideMark/>
          </w:tcPr>
          <w:p w14:paraId="23B6A012" w14:textId="77777777" w:rsidR="00AE06D0" w:rsidRPr="00D45F6A" w:rsidRDefault="00AE06D0" w:rsidP="004C77D3">
            <w:pPr>
              <w:pStyle w:val="Table"/>
              <w:spacing w:before="0" w:after="0"/>
              <w:rPr>
                <w:sz w:val="22"/>
              </w:rPr>
            </w:pPr>
            <w:r w:rsidRPr="00D45F6A">
              <w:rPr>
                <w:sz w:val="22"/>
              </w:rPr>
              <w:t>12. Extraversion</w:t>
            </w:r>
          </w:p>
        </w:tc>
        <w:tc>
          <w:tcPr>
            <w:tcW w:w="938" w:type="dxa"/>
            <w:tcBorders>
              <w:left w:val="single" w:sz="4" w:space="0" w:color="auto"/>
              <w:bottom w:val="single" w:sz="4" w:space="0" w:color="auto"/>
            </w:tcBorders>
            <w:shd w:val="clear" w:color="auto" w:fill="FFFFFF"/>
            <w:tcMar>
              <w:top w:w="0" w:type="dxa"/>
              <w:left w:w="75" w:type="dxa"/>
              <w:bottom w:w="0" w:type="dxa"/>
              <w:right w:w="75" w:type="dxa"/>
            </w:tcMar>
            <w:hideMark/>
          </w:tcPr>
          <w:p w14:paraId="30279CF2" w14:textId="77777777" w:rsidR="00AE06D0" w:rsidRPr="00D45F6A" w:rsidRDefault="00AE06D0" w:rsidP="004C77D3">
            <w:pPr>
              <w:pStyle w:val="Table"/>
              <w:spacing w:before="0" w:after="0"/>
              <w:rPr>
                <w:color w:val="010204"/>
                <w:sz w:val="22"/>
              </w:rPr>
            </w:pPr>
            <w:r w:rsidRPr="00D45F6A">
              <w:rPr>
                <w:color w:val="010204"/>
                <w:sz w:val="22"/>
              </w:rPr>
              <w:t>-0.332</w:t>
            </w:r>
            <w:r w:rsidRPr="00D45F6A">
              <w:rPr>
                <w:color w:val="010204"/>
                <w:sz w:val="22"/>
                <w:vertAlign w:val="superscript"/>
              </w:rPr>
              <w:t>***</w:t>
            </w:r>
          </w:p>
        </w:tc>
        <w:tc>
          <w:tcPr>
            <w:tcW w:w="960" w:type="dxa"/>
            <w:tcBorders>
              <w:bottom w:val="single" w:sz="4" w:space="0" w:color="auto"/>
            </w:tcBorders>
            <w:shd w:val="clear" w:color="auto" w:fill="FFFFFF"/>
            <w:tcMar>
              <w:top w:w="0" w:type="dxa"/>
              <w:left w:w="75" w:type="dxa"/>
              <w:bottom w:w="0" w:type="dxa"/>
              <w:right w:w="75" w:type="dxa"/>
            </w:tcMar>
            <w:hideMark/>
          </w:tcPr>
          <w:p w14:paraId="7ABCB18C" w14:textId="118D87C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0.063</w:t>
            </w:r>
          </w:p>
        </w:tc>
        <w:tc>
          <w:tcPr>
            <w:tcW w:w="1062" w:type="dxa"/>
            <w:tcBorders>
              <w:bottom w:val="single" w:sz="4" w:space="0" w:color="auto"/>
            </w:tcBorders>
            <w:shd w:val="clear" w:color="auto" w:fill="FFFFFF"/>
            <w:tcMar>
              <w:top w:w="0" w:type="dxa"/>
              <w:left w:w="75" w:type="dxa"/>
              <w:bottom w:w="0" w:type="dxa"/>
              <w:right w:w="75" w:type="dxa"/>
            </w:tcMar>
            <w:hideMark/>
          </w:tcPr>
          <w:p w14:paraId="33F44C8F" w14:textId="051BDA2A"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0.059</w:t>
            </w:r>
          </w:p>
        </w:tc>
        <w:tc>
          <w:tcPr>
            <w:tcW w:w="1080" w:type="dxa"/>
            <w:tcBorders>
              <w:bottom w:val="single" w:sz="4" w:space="0" w:color="auto"/>
            </w:tcBorders>
            <w:shd w:val="clear" w:color="auto" w:fill="FFFFFF"/>
            <w:tcMar>
              <w:top w:w="0" w:type="dxa"/>
              <w:left w:w="75" w:type="dxa"/>
              <w:bottom w:w="0" w:type="dxa"/>
              <w:right w:w="75" w:type="dxa"/>
            </w:tcMar>
            <w:hideMark/>
          </w:tcPr>
          <w:p w14:paraId="3E29D7CD" w14:textId="77777777" w:rsidR="00AE06D0" w:rsidRPr="00D45F6A" w:rsidRDefault="00AE06D0" w:rsidP="004C77D3">
            <w:pPr>
              <w:pStyle w:val="Table"/>
              <w:spacing w:before="0" w:after="0"/>
              <w:rPr>
                <w:color w:val="010204"/>
                <w:sz w:val="22"/>
              </w:rPr>
            </w:pPr>
            <w:r w:rsidRPr="00D45F6A">
              <w:rPr>
                <w:color w:val="010204"/>
                <w:sz w:val="22"/>
              </w:rPr>
              <w:t>-0.082</w:t>
            </w:r>
          </w:p>
        </w:tc>
        <w:tc>
          <w:tcPr>
            <w:tcW w:w="937" w:type="dxa"/>
            <w:tcBorders>
              <w:bottom w:val="single" w:sz="4" w:space="0" w:color="auto"/>
            </w:tcBorders>
            <w:shd w:val="clear" w:color="auto" w:fill="FFFFFF"/>
            <w:tcMar>
              <w:top w:w="0" w:type="dxa"/>
              <w:left w:w="75" w:type="dxa"/>
              <w:bottom w:w="0" w:type="dxa"/>
              <w:right w:w="75" w:type="dxa"/>
            </w:tcMar>
            <w:hideMark/>
          </w:tcPr>
          <w:p w14:paraId="6648A2BF" w14:textId="77777777" w:rsidR="00AE06D0" w:rsidRPr="00D45F6A" w:rsidRDefault="00AE06D0" w:rsidP="004C77D3">
            <w:pPr>
              <w:pStyle w:val="Table"/>
              <w:spacing w:before="0" w:after="0"/>
              <w:ind w:right="-122"/>
              <w:rPr>
                <w:color w:val="010204"/>
                <w:sz w:val="22"/>
              </w:rPr>
            </w:pPr>
            <w:r w:rsidRPr="00D45F6A">
              <w:rPr>
                <w:color w:val="010204"/>
                <w:sz w:val="22"/>
              </w:rPr>
              <w:t>-0.459</w:t>
            </w:r>
            <w:r w:rsidRPr="00D45F6A">
              <w:rPr>
                <w:color w:val="010204"/>
                <w:sz w:val="22"/>
                <w:vertAlign w:val="superscript"/>
              </w:rPr>
              <w:t>***</w:t>
            </w:r>
          </w:p>
        </w:tc>
        <w:tc>
          <w:tcPr>
            <w:tcW w:w="1043" w:type="dxa"/>
            <w:tcBorders>
              <w:bottom w:val="single" w:sz="4" w:space="0" w:color="auto"/>
            </w:tcBorders>
            <w:shd w:val="clear" w:color="auto" w:fill="FFFFFF"/>
            <w:tcMar>
              <w:top w:w="0" w:type="dxa"/>
              <w:left w:w="75" w:type="dxa"/>
              <w:bottom w:w="0" w:type="dxa"/>
              <w:right w:w="75" w:type="dxa"/>
            </w:tcMar>
            <w:hideMark/>
          </w:tcPr>
          <w:p w14:paraId="0B9859F9" w14:textId="77777777" w:rsidR="00AE06D0" w:rsidRPr="00D45F6A" w:rsidRDefault="00AE06D0" w:rsidP="004C77D3">
            <w:pPr>
              <w:pStyle w:val="Table"/>
              <w:spacing w:before="0" w:after="0"/>
              <w:rPr>
                <w:color w:val="010204"/>
                <w:sz w:val="22"/>
              </w:rPr>
            </w:pPr>
            <w:r w:rsidRPr="00D45F6A">
              <w:rPr>
                <w:color w:val="010204"/>
                <w:sz w:val="22"/>
              </w:rPr>
              <w:t>-0.570</w:t>
            </w:r>
            <w:r w:rsidRPr="00D45F6A">
              <w:rPr>
                <w:color w:val="010204"/>
                <w:sz w:val="22"/>
                <w:vertAlign w:val="superscript"/>
              </w:rPr>
              <w:t>***</w:t>
            </w:r>
          </w:p>
        </w:tc>
        <w:tc>
          <w:tcPr>
            <w:tcW w:w="1080" w:type="dxa"/>
            <w:tcBorders>
              <w:bottom w:val="single" w:sz="4" w:space="0" w:color="auto"/>
            </w:tcBorders>
            <w:shd w:val="clear" w:color="auto" w:fill="FFFFFF"/>
            <w:tcMar>
              <w:top w:w="0" w:type="dxa"/>
              <w:left w:w="75" w:type="dxa"/>
              <w:bottom w:w="0" w:type="dxa"/>
              <w:right w:w="75" w:type="dxa"/>
            </w:tcMar>
            <w:hideMark/>
          </w:tcPr>
          <w:p w14:paraId="6EC05E1A" w14:textId="77777777" w:rsidR="00AE06D0" w:rsidRPr="00D45F6A" w:rsidRDefault="00AE06D0" w:rsidP="004C77D3">
            <w:pPr>
              <w:pStyle w:val="Table"/>
              <w:spacing w:before="0" w:after="0"/>
              <w:rPr>
                <w:color w:val="010204"/>
                <w:sz w:val="22"/>
              </w:rPr>
            </w:pPr>
            <w:r w:rsidRPr="00D45F6A">
              <w:rPr>
                <w:color w:val="010204"/>
                <w:sz w:val="22"/>
              </w:rPr>
              <w:t>-0.037</w:t>
            </w:r>
          </w:p>
        </w:tc>
        <w:tc>
          <w:tcPr>
            <w:tcW w:w="1000" w:type="dxa"/>
            <w:tcBorders>
              <w:bottom w:val="single" w:sz="4" w:space="0" w:color="auto"/>
            </w:tcBorders>
            <w:shd w:val="clear" w:color="auto" w:fill="FFFFFF"/>
            <w:tcMar>
              <w:top w:w="0" w:type="dxa"/>
              <w:left w:w="75" w:type="dxa"/>
              <w:bottom w:w="0" w:type="dxa"/>
              <w:right w:w="75" w:type="dxa"/>
            </w:tcMar>
            <w:hideMark/>
          </w:tcPr>
          <w:p w14:paraId="64E6F192" w14:textId="5ACAFAF9"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0.235</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0ACE5E0F" w14:textId="0BDBA8E6"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0.472</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29FB2E22" w14:textId="6603867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0.348</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2425892C" w14:textId="2A9FF7C1"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0.226</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4F0C2703"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tcBorders>
              <w:bottom w:val="single" w:sz="4" w:space="0" w:color="auto"/>
            </w:tcBorders>
            <w:shd w:val="clear" w:color="auto" w:fill="FFFFFF"/>
            <w:tcMar>
              <w:top w:w="0" w:type="dxa"/>
              <w:left w:w="75" w:type="dxa"/>
              <w:bottom w:w="0" w:type="dxa"/>
              <w:right w:w="75" w:type="dxa"/>
            </w:tcMar>
          </w:tcPr>
          <w:p w14:paraId="2041899D" w14:textId="77777777" w:rsidR="00AE06D0" w:rsidRPr="00D45F6A" w:rsidRDefault="00AE06D0" w:rsidP="004C77D3">
            <w:pPr>
              <w:pStyle w:val="Table"/>
              <w:spacing w:before="0" w:after="0"/>
              <w:rPr>
                <w:color w:val="010204"/>
                <w:sz w:val="22"/>
              </w:rPr>
            </w:pPr>
          </w:p>
        </w:tc>
        <w:tc>
          <w:tcPr>
            <w:tcW w:w="937" w:type="dxa"/>
            <w:tcBorders>
              <w:bottom w:val="single" w:sz="4" w:space="0" w:color="auto"/>
            </w:tcBorders>
            <w:shd w:val="clear" w:color="auto" w:fill="FFFFFF"/>
            <w:tcMar>
              <w:top w:w="0" w:type="dxa"/>
              <w:left w:w="75" w:type="dxa"/>
              <w:bottom w:w="0" w:type="dxa"/>
              <w:right w:w="75" w:type="dxa"/>
            </w:tcMar>
          </w:tcPr>
          <w:p w14:paraId="0D49189E" w14:textId="77777777" w:rsidR="00AE06D0" w:rsidRPr="00D45F6A" w:rsidRDefault="00AE06D0" w:rsidP="004C77D3">
            <w:pPr>
              <w:pStyle w:val="Table"/>
              <w:spacing w:before="0" w:after="0"/>
              <w:rPr>
                <w:color w:val="010204"/>
                <w:sz w:val="22"/>
              </w:rPr>
            </w:pPr>
          </w:p>
        </w:tc>
        <w:tc>
          <w:tcPr>
            <w:tcW w:w="698" w:type="dxa"/>
            <w:tcBorders>
              <w:bottom w:val="single" w:sz="4" w:space="0" w:color="auto"/>
            </w:tcBorders>
            <w:shd w:val="clear" w:color="auto" w:fill="FFFFFF"/>
            <w:tcMar>
              <w:top w:w="0" w:type="dxa"/>
              <w:left w:w="75" w:type="dxa"/>
              <w:bottom w:w="0" w:type="dxa"/>
              <w:right w:w="75" w:type="dxa"/>
            </w:tcMar>
          </w:tcPr>
          <w:p w14:paraId="48420AF0" w14:textId="77777777" w:rsidR="00AE06D0" w:rsidRPr="00D45F6A" w:rsidRDefault="00AE06D0" w:rsidP="004C77D3">
            <w:pPr>
              <w:pStyle w:val="Table"/>
              <w:spacing w:before="0" w:after="0"/>
              <w:rPr>
                <w:color w:val="010204"/>
                <w:sz w:val="22"/>
              </w:rPr>
            </w:pPr>
          </w:p>
        </w:tc>
        <w:tc>
          <w:tcPr>
            <w:tcW w:w="819" w:type="dxa"/>
            <w:tcBorders>
              <w:bottom w:val="single" w:sz="4" w:space="0" w:color="auto"/>
            </w:tcBorders>
            <w:shd w:val="clear" w:color="auto" w:fill="FFFFFF"/>
            <w:tcMar>
              <w:top w:w="0" w:type="dxa"/>
              <w:left w:w="75" w:type="dxa"/>
              <w:bottom w:w="0" w:type="dxa"/>
              <w:right w:w="75" w:type="dxa"/>
            </w:tcMar>
          </w:tcPr>
          <w:p w14:paraId="28AA731A" w14:textId="77777777" w:rsidR="00AE06D0" w:rsidRPr="00D45F6A" w:rsidRDefault="00AE06D0" w:rsidP="004C77D3">
            <w:pPr>
              <w:pStyle w:val="Table"/>
              <w:spacing w:before="0" w:after="0"/>
              <w:rPr>
                <w:color w:val="010204"/>
                <w:sz w:val="22"/>
              </w:rPr>
            </w:pPr>
          </w:p>
        </w:tc>
      </w:tr>
    </w:tbl>
    <w:p w14:paraId="4F9B3993" w14:textId="31CF3710" w:rsidR="00EC1FCB" w:rsidRPr="00D45F6A" w:rsidRDefault="00EC1FCB">
      <w:r w:rsidRPr="00D45F6A">
        <w:lastRenderedPageBreak/>
        <w:t>Table 2 continued</w:t>
      </w:r>
    </w:p>
    <w:tbl>
      <w:tblPr>
        <w:tblW w:w="16949" w:type="dxa"/>
        <w:tblInd w:w="-1268" w:type="dxa"/>
        <w:tblLayout w:type="fixed"/>
        <w:tblCellMar>
          <w:left w:w="0" w:type="dxa"/>
          <w:right w:w="0" w:type="dxa"/>
        </w:tblCellMar>
        <w:tblLook w:val="04A0" w:firstRow="1" w:lastRow="0" w:firstColumn="1" w:lastColumn="0" w:noHBand="0" w:noVBand="1"/>
      </w:tblPr>
      <w:tblGrid>
        <w:gridCol w:w="1710"/>
        <w:gridCol w:w="938"/>
        <w:gridCol w:w="960"/>
        <w:gridCol w:w="1062"/>
        <w:gridCol w:w="1080"/>
        <w:gridCol w:w="937"/>
        <w:gridCol w:w="1043"/>
        <w:gridCol w:w="1080"/>
        <w:gridCol w:w="1000"/>
        <w:gridCol w:w="937"/>
        <w:gridCol w:w="937"/>
        <w:gridCol w:w="937"/>
        <w:gridCol w:w="937"/>
        <w:gridCol w:w="937"/>
        <w:gridCol w:w="937"/>
        <w:gridCol w:w="698"/>
        <w:gridCol w:w="819"/>
      </w:tblGrid>
      <w:tr w:rsidR="00EC1FCB" w:rsidRPr="00D45F6A" w14:paraId="105122CD" w14:textId="77777777" w:rsidTr="00E366E3">
        <w:trPr>
          <w:trHeight w:val="327"/>
        </w:trPr>
        <w:tc>
          <w:tcPr>
            <w:tcW w:w="1710" w:type="dxa"/>
            <w:tcBorders>
              <w:top w:val="single" w:sz="4" w:space="0" w:color="auto"/>
              <w:bottom w:val="single" w:sz="4" w:space="0" w:color="auto"/>
              <w:right w:val="single" w:sz="4" w:space="0" w:color="auto"/>
            </w:tcBorders>
            <w:shd w:val="clear" w:color="auto" w:fill="auto"/>
            <w:tcMar>
              <w:top w:w="0" w:type="dxa"/>
              <w:left w:w="75" w:type="dxa"/>
              <w:bottom w:w="0" w:type="dxa"/>
              <w:right w:w="75" w:type="dxa"/>
            </w:tcMar>
          </w:tcPr>
          <w:p w14:paraId="44146C76" w14:textId="77777777" w:rsidR="00EC1FCB" w:rsidRPr="00D45F6A" w:rsidRDefault="00EC1FCB" w:rsidP="00E366E3">
            <w:pPr>
              <w:pStyle w:val="Table"/>
              <w:spacing w:before="0" w:after="0"/>
              <w:rPr>
                <w:sz w:val="22"/>
              </w:rPr>
            </w:pPr>
          </w:p>
        </w:tc>
        <w:tc>
          <w:tcPr>
            <w:tcW w:w="938" w:type="dxa"/>
            <w:tcBorders>
              <w:top w:val="single" w:sz="4" w:space="0" w:color="auto"/>
              <w:left w:val="single" w:sz="4" w:space="0" w:color="auto"/>
              <w:bottom w:val="single" w:sz="4" w:space="0" w:color="auto"/>
            </w:tcBorders>
            <w:shd w:val="clear" w:color="auto" w:fill="FFFFFF"/>
            <w:tcMar>
              <w:top w:w="0" w:type="dxa"/>
              <w:left w:w="75" w:type="dxa"/>
              <w:bottom w:w="0" w:type="dxa"/>
              <w:right w:w="75" w:type="dxa"/>
            </w:tcMar>
            <w:vAlign w:val="bottom"/>
          </w:tcPr>
          <w:p w14:paraId="5E91BCD6" w14:textId="77777777" w:rsidR="00EC1FCB" w:rsidRPr="00D45F6A" w:rsidRDefault="00EC1FCB" w:rsidP="00E366E3">
            <w:pPr>
              <w:pStyle w:val="Table"/>
              <w:spacing w:before="0" w:after="0"/>
              <w:rPr>
                <w:color w:val="010204"/>
                <w:sz w:val="22"/>
              </w:rPr>
            </w:pPr>
            <w:r w:rsidRPr="00D45F6A">
              <w:rPr>
                <w:sz w:val="22"/>
              </w:rPr>
              <w:t>1</w:t>
            </w:r>
          </w:p>
        </w:tc>
        <w:tc>
          <w:tcPr>
            <w:tcW w:w="96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18065302" w14:textId="77777777" w:rsidR="00EC1FCB" w:rsidRPr="00D45F6A" w:rsidRDefault="00EC1FCB" w:rsidP="00E366E3">
            <w:pPr>
              <w:pStyle w:val="Table"/>
              <w:spacing w:before="0" w:after="0"/>
              <w:rPr>
                <w:color w:val="010204"/>
                <w:sz w:val="22"/>
              </w:rPr>
            </w:pPr>
            <w:r w:rsidRPr="00D45F6A">
              <w:rPr>
                <w:sz w:val="22"/>
              </w:rPr>
              <w:t>2</w:t>
            </w:r>
          </w:p>
        </w:tc>
        <w:tc>
          <w:tcPr>
            <w:tcW w:w="1062"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45AB3178" w14:textId="77777777" w:rsidR="00EC1FCB" w:rsidRPr="00D45F6A" w:rsidRDefault="00EC1FCB" w:rsidP="00E366E3">
            <w:pPr>
              <w:pStyle w:val="Table"/>
              <w:spacing w:before="0" w:after="0"/>
              <w:rPr>
                <w:color w:val="010204"/>
                <w:sz w:val="22"/>
              </w:rPr>
            </w:pPr>
            <w:r w:rsidRPr="00D45F6A">
              <w:rPr>
                <w:sz w:val="22"/>
              </w:rPr>
              <w:t>3</w:t>
            </w:r>
          </w:p>
        </w:tc>
        <w:tc>
          <w:tcPr>
            <w:tcW w:w="108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539595D8" w14:textId="77777777" w:rsidR="00EC1FCB" w:rsidRPr="00D45F6A" w:rsidRDefault="00EC1FCB" w:rsidP="00E366E3">
            <w:pPr>
              <w:pStyle w:val="Table"/>
              <w:spacing w:before="0" w:after="0"/>
              <w:rPr>
                <w:color w:val="010204"/>
                <w:sz w:val="22"/>
              </w:rPr>
            </w:pPr>
            <w:r w:rsidRPr="00D45F6A">
              <w:rPr>
                <w:sz w:val="22"/>
              </w:rPr>
              <w:t>4</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2CA263B9" w14:textId="77777777" w:rsidR="00EC1FCB" w:rsidRPr="00D45F6A" w:rsidRDefault="00EC1FCB" w:rsidP="00E366E3">
            <w:pPr>
              <w:pStyle w:val="Table"/>
              <w:spacing w:before="0" w:after="0"/>
              <w:ind w:right="-122"/>
              <w:rPr>
                <w:color w:val="010204"/>
                <w:sz w:val="22"/>
              </w:rPr>
            </w:pPr>
            <w:r w:rsidRPr="00D45F6A">
              <w:rPr>
                <w:sz w:val="22"/>
              </w:rPr>
              <w:t>5</w:t>
            </w:r>
          </w:p>
        </w:tc>
        <w:tc>
          <w:tcPr>
            <w:tcW w:w="1043"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6CD88B64" w14:textId="77777777" w:rsidR="00EC1FCB" w:rsidRPr="00D45F6A" w:rsidRDefault="00EC1FCB" w:rsidP="00E366E3">
            <w:pPr>
              <w:pStyle w:val="Table"/>
              <w:spacing w:before="0" w:after="0"/>
              <w:rPr>
                <w:color w:val="010204"/>
                <w:sz w:val="22"/>
              </w:rPr>
            </w:pPr>
            <w:r w:rsidRPr="00D45F6A">
              <w:rPr>
                <w:sz w:val="22"/>
              </w:rPr>
              <w:t>6</w:t>
            </w:r>
          </w:p>
        </w:tc>
        <w:tc>
          <w:tcPr>
            <w:tcW w:w="108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4A687DB4" w14:textId="77777777" w:rsidR="00EC1FCB" w:rsidRPr="00D45F6A" w:rsidRDefault="00EC1FCB" w:rsidP="00E366E3">
            <w:pPr>
              <w:pStyle w:val="Table"/>
              <w:spacing w:before="0" w:after="0"/>
              <w:rPr>
                <w:color w:val="010204"/>
                <w:sz w:val="22"/>
              </w:rPr>
            </w:pPr>
            <w:r w:rsidRPr="00D45F6A">
              <w:rPr>
                <w:sz w:val="22"/>
              </w:rPr>
              <w:t>7</w:t>
            </w:r>
          </w:p>
        </w:tc>
        <w:tc>
          <w:tcPr>
            <w:tcW w:w="1000"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25AB3E54" w14:textId="77777777" w:rsidR="00EC1FCB" w:rsidRPr="00D45F6A" w:rsidRDefault="00EC1FCB" w:rsidP="00E366E3">
            <w:pPr>
              <w:pStyle w:val="Table"/>
              <w:spacing w:before="0" w:after="0"/>
              <w:rPr>
                <w:color w:val="010204"/>
                <w:sz w:val="22"/>
              </w:rPr>
            </w:pPr>
            <w:r w:rsidRPr="00D45F6A">
              <w:rPr>
                <w:sz w:val="22"/>
              </w:rPr>
              <w:t>8</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582F17C" w14:textId="77777777" w:rsidR="00EC1FCB" w:rsidRPr="00D45F6A" w:rsidRDefault="00EC1FCB" w:rsidP="00E366E3">
            <w:pPr>
              <w:pStyle w:val="Table"/>
              <w:spacing w:before="0" w:after="0"/>
              <w:rPr>
                <w:color w:val="010204"/>
                <w:sz w:val="22"/>
              </w:rPr>
            </w:pPr>
            <w:r w:rsidRPr="00D45F6A">
              <w:rPr>
                <w:sz w:val="22"/>
              </w:rPr>
              <w:t>9</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7B76FB22" w14:textId="77777777" w:rsidR="00EC1FCB" w:rsidRPr="00D45F6A" w:rsidRDefault="00EC1FCB" w:rsidP="00E366E3">
            <w:pPr>
              <w:pStyle w:val="Table"/>
              <w:spacing w:before="0" w:after="0"/>
              <w:rPr>
                <w:color w:val="010204"/>
                <w:sz w:val="22"/>
              </w:rPr>
            </w:pPr>
            <w:r w:rsidRPr="00D45F6A">
              <w:rPr>
                <w:sz w:val="22"/>
              </w:rPr>
              <w:t>10</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1E8D466F" w14:textId="77777777" w:rsidR="00EC1FCB" w:rsidRPr="00D45F6A" w:rsidRDefault="00EC1FCB" w:rsidP="00E366E3">
            <w:pPr>
              <w:pStyle w:val="Table"/>
              <w:spacing w:before="0" w:after="0"/>
              <w:rPr>
                <w:color w:val="010204"/>
                <w:sz w:val="22"/>
              </w:rPr>
            </w:pPr>
            <w:r w:rsidRPr="00D45F6A">
              <w:rPr>
                <w:sz w:val="22"/>
              </w:rPr>
              <w:t>11</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2CD3C633" w14:textId="77777777" w:rsidR="00EC1FCB" w:rsidRPr="00D45F6A" w:rsidRDefault="00EC1FCB" w:rsidP="00E366E3">
            <w:pPr>
              <w:pStyle w:val="Table"/>
              <w:spacing w:before="0" w:after="0"/>
              <w:rPr>
                <w:color w:val="010204"/>
                <w:sz w:val="22"/>
              </w:rPr>
            </w:pPr>
            <w:r w:rsidRPr="00D45F6A">
              <w:rPr>
                <w:sz w:val="22"/>
              </w:rPr>
              <w:t>12</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53675D01" w14:textId="77777777" w:rsidR="00EC1FCB" w:rsidRPr="00D45F6A" w:rsidRDefault="00EC1FCB" w:rsidP="00E366E3">
            <w:pPr>
              <w:pStyle w:val="Table"/>
              <w:spacing w:before="0" w:after="0"/>
              <w:rPr>
                <w:color w:val="010204"/>
                <w:sz w:val="22"/>
              </w:rPr>
            </w:pPr>
            <w:r w:rsidRPr="00D45F6A">
              <w:rPr>
                <w:sz w:val="22"/>
              </w:rPr>
              <w:t>13</w:t>
            </w:r>
          </w:p>
        </w:tc>
        <w:tc>
          <w:tcPr>
            <w:tcW w:w="937"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3F67DE55" w14:textId="77777777" w:rsidR="00EC1FCB" w:rsidRPr="00D45F6A" w:rsidRDefault="00EC1FCB" w:rsidP="00E366E3">
            <w:pPr>
              <w:pStyle w:val="Table"/>
              <w:spacing w:before="0" w:after="0"/>
              <w:rPr>
                <w:color w:val="010204"/>
                <w:sz w:val="22"/>
              </w:rPr>
            </w:pPr>
            <w:r w:rsidRPr="00D45F6A">
              <w:rPr>
                <w:sz w:val="22"/>
              </w:rPr>
              <w:t>14</w:t>
            </w:r>
          </w:p>
        </w:tc>
        <w:tc>
          <w:tcPr>
            <w:tcW w:w="698"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0EC93D19" w14:textId="77777777" w:rsidR="00EC1FCB" w:rsidRPr="00D45F6A" w:rsidRDefault="00EC1FCB" w:rsidP="00E366E3">
            <w:pPr>
              <w:pStyle w:val="Table"/>
              <w:spacing w:before="0" w:after="0"/>
              <w:rPr>
                <w:color w:val="010204"/>
                <w:sz w:val="22"/>
              </w:rPr>
            </w:pPr>
            <w:r w:rsidRPr="00D45F6A">
              <w:rPr>
                <w:sz w:val="22"/>
              </w:rPr>
              <w:t>15</w:t>
            </w:r>
          </w:p>
        </w:tc>
        <w:tc>
          <w:tcPr>
            <w:tcW w:w="819"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59398FDE" w14:textId="77777777" w:rsidR="00EC1FCB" w:rsidRPr="00D45F6A" w:rsidRDefault="00EC1FCB" w:rsidP="00E366E3">
            <w:pPr>
              <w:pStyle w:val="Table"/>
              <w:spacing w:before="0" w:after="0"/>
              <w:rPr>
                <w:color w:val="010204"/>
                <w:sz w:val="22"/>
              </w:rPr>
            </w:pPr>
            <w:r w:rsidRPr="00D45F6A">
              <w:rPr>
                <w:sz w:val="22"/>
              </w:rPr>
              <w:t>16</w:t>
            </w:r>
          </w:p>
        </w:tc>
      </w:tr>
      <w:tr w:rsidR="00C801A9" w:rsidRPr="00D45F6A" w14:paraId="269741B8"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7E147242" w14:textId="77777777" w:rsidR="00AE06D0" w:rsidRPr="00D45F6A" w:rsidRDefault="00AE06D0" w:rsidP="004C77D3">
            <w:pPr>
              <w:pStyle w:val="Table"/>
              <w:spacing w:before="0" w:after="0"/>
              <w:rPr>
                <w:sz w:val="22"/>
              </w:rPr>
            </w:pPr>
            <w:r w:rsidRPr="00D45F6A">
              <w:rPr>
                <w:sz w:val="22"/>
              </w:rPr>
              <w:t>13. Neuroticism</w:t>
            </w:r>
          </w:p>
        </w:tc>
        <w:tc>
          <w:tcPr>
            <w:tcW w:w="938" w:type="dxa"/>
            <w:tcBorders>
              <w:left w:val="single" w:sz="4" w:space="0" w:color="auto"/>
            </w:tcBorders>
            <w:shd w:val="clear" w:color="auto" w:fill="FFFFFF"/>
            <w:tcMar>
              <w:top w:w="0" w:type="dxa"/>
              <w:left w:w="75" w:type="dxa"/>
              <w:bottom w:w="0" w:type="dxa"/>
              <w:right w:w="75" w:type="dxa"/>
            </w:tcMar>
            <w:hideMark/>
          </w:tcPr>
          <w:p w14:paraId="717042F0" w14:textId="021EC3BB"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0.516</w:t>
            </w:r>
            <w:r w:rsidR="00AE06D0"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7AC4DFDA" w14:textId="77777777" w:rsidR="00AE06D0" w:rsidRPr="00D45F6A" w:rsidRDefault="00AE06D0" w:rsidP="004C77D3">
            <w:pPr>
              <w:pStyle w:val="Table"/>
              <w:spacing w:before="0" w:after="0"/>
              <w:rPr>
                <w:color w:val="010204"/>
                <w:sz w:val="22"/>
              </w:rPr>
            </w:pPr>
            <w:r w:rsidRPr="00D45F6A">
              <w:rPr>
                <w:color w:val="010204"/>
                <w:sz w:val="22"/>
              </w:rPr>
              <w:t>-0.150</w:t>
            </w:r>
            <w:r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6DCCB956" w14:textId="188D1E61"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0.114</w:t>
            </w:r>
            <w:r w:rsidR="00AE06D0"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61EEFDEB" w14:textId="200B6482"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0.318</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8900CF2" w14:textId="54171354" w:rsidR="00AE06D0" w:rsidRPr="00D45F6A" w:rsidRDefault="008D77AD" w:rsidP="004C77D3">
            <w:pPr>
              <w:pStyle w:val="Table"/>
              <w:spacing w:before="0" w:after="0"/>
              <w:ind w:right="-122"/>
              <w:rPr>
                <w:color w:val="010204"/>
                <w:sz w:val="22"/>
              </w:rPr>
            </w:pPr>
            <w:r w:rsidRPr="00D45F6A">
              <w:rPr>
                <w:color w:val="010204"/>
                <w:sz w:val="22"/>
              </w:rPr>
              <w:t xml:space="preserve"> </w:t>
            </w:r>
            <w:r w:rsidR="00AE06D0" w:rsidRPr="00D45F6A">
              <w:rPr>
                <w:color w:val="010204"/>
                <w:sz w:val="22"/>
              </w:rPr>
              <w:t>0.707</w:t>
            </w:r>
            <w:r w:rsidR="00AE06D0"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394D5AF5" w14:textId="7767A0DB"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0.332</w:t>
            </w:r>
            <w:r w:rsidR="00AE06D0"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67A747F0" w14:textId="5D92E3BF"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0.305</w:t>
            </w:r>
            <w:r w:rsidR="00AE06D0"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177FA159" w14:textId="77777777" w:rsidR="00AE06D0" w:rsidRPr="00D45F6A" w:rsidRDefault="00AE06D0" w:rsidP="004C77D3">
            <w:pPr>
              <w:pStyle w:val="Table"/>
              <w:spacing w:before="0" w:after="0"/>
              <w:rPr>
                <w:color w:val="010204"/>
                <w:sz w:val="22"/>
              </w:rPr>
            </w:pPr>
            <w:r w:rsidRPr="00D45F6A">
              <w:rPr>
                <w:color w:val="010204"/>
                <w:sz w:val="22"/>
              </w:rPr>
              <w:t>-0.470</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165DA109" w14:textId="77777777" w:rsidR="00AE06D0" w:rsidRPr="00D45F6A" w:rsidRDefault="00AE06D0" w:rsidP="004C77D3">
            <w:pPr>
              <w:pStyle w:val="Table"/>
              <w:spacing w:before="0" w:after="0"/>
              <w:rPr>
                <w:color w:val="010204"/>
                <w:sz w:val="22"/>
              </w:rPr>
            </w:pPr>
            <w:r w:rsidRPr="00D45F6A">
              <w:rPr>
                <w:color w:val="010204"/>
                <w:sz w:val="22"/>
              </w:rPr>
              <w:t>-0.683</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0F7979C" w14:textId="77777777" w:rsidR="00AE06D0" w:rsidRPr="00D45F6A" w:rsidRDefault="00AE06D0" w:rsidP="004C77D3">
            <w:pPr>
              <w:pStyle w:val="Table"/>
              <w:spacing w:before="0" w:after="0"/>
              <w:rPr>
                <w:color w:val="010204"/>
                <w:sz w:val="22"/>
              </w:rPr>
            </w:pPr>
            <w:r w:rsidRPr="00D45F6A">
              <w:rPr>
                <w:color w:val="010204"/>
                <w:sz w:val="22"/>
              </w:rPr>
              <w:t>-0.387</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557FFE22" w14:textId="77777777" w:rsidR="00AE06D0" w:rsidRPr="00D45F6A" w:rsidRDefault="00AE06D0" w:rsidP="004C77D3">
            <w:pPr>
              <w:pStyle w:val="Table"/>
              <w:spacing w:before="0" w:after="0"/>
              <w:rPr>
                <w:color w:val="010204"/>
                <w:sz w:val="22"/>
              </w:rPr>
            </w:pPr>
            <w:r w:rsidRPr="00D45F6A">
              <w:rPr>
                <w:color w:val="010204"/>
                <w:sz w:val="22"/>
              </w:rPr>
              <w:t>-0.443</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A453C9D" w14:textId="77777777" w:rsidR="00AE06D0" w:rsidRPr="00D45F6A" w:rsidRDefault="00AE06D0" w:rsidP="004C77D3">
            <w:pPr>
              <w:pStyle w:val="Table"/>
              <w:spacing w:before="0" w:after="0"/>
              <w:rPr>
                <w:color w:val="010204"/>
                <w:sz w:val="22"/>
              </w:rPr>
            </w:pPr>
            <w:r w:rsidRPr="00D45F6A">
              <w:rPr>
                <w:color w:val="010204"/>
                <w:sz w:val="22"/>
              </w:rPr>
              <w:t>-0.387</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3D3319D8" w14:textId="77777777" w:rsidR="00AE06D0" w:rsidRPr="00D45F6A" w:rsidRDefault="00AE06D0" w:rsidP="004C77D3">
            <w:pPr>
              <w:pStyle w:val="Table"/>
              <w:spacing w:before="0" w:after="0"/>
              <w:rPr>
                <w:color w:val="010204"/>
                <w:sz w:val="22"/>
              </w:rPr>
            </w:pPr>
            <w:r w:rsidRPr="00D45F6A">
              <w:rPr>
                <w:color w:val="010204"/>
                <w:sz w:val="22"/>
              </w:rPr>
              <w:t>1.000</w:t>
            </w:r>
          </w:p>
        </w:tc>
        <w:tc>
          <w:tcPr>
            <w:tcW w:w="937" w:type="dxa"/>
            <w:shd w:val="clear" w:color="auto" w:fill="FFFFFF"/>
            <w:tcMar>
              <w:top w:w="0" w:type="dxa"/>
              <w:left w:w="75" w:type="dxa"/>
              <w:bottom w:w="0" w:type="dxa"/>
              <w:right w:w="75" w:type="dxa"/>
            </w:tcMar>
          </w:tcPr>
          <w:p w14:paraId="6C733FE5" w14:textId="77777777" w:rsidR="00AE06D0" w:rsidRPr="00D45F6A" w:rsidRDefault="00AE06D0" w:rsidP="004C77D3">
            <w:pPr>
              <w:pStyle w:val="Table"/>
              <w:spacing w:before="0" w:after="0"/>
              <w:rPr>
                <w:color w:val="010204"/>
                <w:sz w:val="22"/>
              </w:rPr>
            </w:pPr>
          </w:p>
        </w:tc>
        <w:tc>
          <w:tcPr>
            <w:tcW w:w="698" w:type="dxa"/>
            <w:shd w:val="clear" w:color="auto" w:fill="FFFFFF"/>
            <w:tcMar>
              <w:top w:w="0" w:type="dxa"/>
              <w:left w:w="75" w:type="dxa"/>
              <w:bottom w:w="0" w:type="dxa"/>
              <w:right w:w="75" w:type="dxa"/>
            </w:tcMar>
          </w:tcPr>
          <w:p w14:paraId="1C671886"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3A24888C" w14:textId="77777777" w:rsidR="00AE06D0" w:rsidRPr="00D45F6A" w:rsidRDefault="00AE06D0" w:rsidP="004C77D3">
            <w:pPr>
              <w:pStyle w:val="Table"/>
              <w:spacing w:before="0" w:after="0"/>
              <w:rPr>
                <w:color w:val="010204"/>
                <w:sz w:val="22"/>
              </w:rPr>
            </w:pPr>
          </w:p>
        </w:tc>
      </w:tr>
      <w:tr w:rsidR="00C801A9" w:rsidRPr="00D45F6A" w14:paraId="17F65740" w14:textId="77777777" w:rsidTr="00836C16">
        <w:tc>
          <w:tcPr>
            <w:tcW w:w="1710" w:type="dxa"/>
            <w:tcBorders>
              <w:right w:val="single" w:sz="4" w:space="0" w:color="auto"/>
            </w:tcBorders>
            <w:shd w:val="clear" w:color="auto" w:fill="auto"/>
            <w:tcMar>
              <w:top w:w="0" w:type="dxa"/>
              <w:left w:w="75" w:type="dxa"/>
              <w:bottom w:w="0" w:type="dxa"/>
              <w:right w:w="75" w:type="dxa"/>
            </w:tcMar>
            <w:hideMark/>
          </w:tcPr>
          <w:p w14:paraId="13C1080A" w14:textId="47F1DC46" w:rsidR="00AE06D0" w:rsidRPr="00D45F6A" w:rsidRDefault="00AE06D0" w:rsidP="004C77D3">
            <w:pPr>
              <w:pStyle w:val="Table"/>
              <w:spacing w:before="0" w:after="0"/>
              <w:rPr>
                <w:sz w:val="22"/>
              </w:rPr>
            </w:pPr>
            <w:r w:rsidRPr="00D45F6A">
              <w:rPr>
                <w:sz w:val="22"/>
              </w:rPr>
              <w:t>14. Conscient</w:t>
            </w:r>
            <w:r w:rsidR="004B4AD3" w:rsidRPr="00D45F6A">
              <w:rPr>
                <w:sz w:val="22"/>
              </w:rPr>
              <w:t>-</w:t>
            </w:r>
            <w:r w:rsidRPr="00D45F6A">
              <w:rPr>
                <w:sz w:val="22"/>
              </w:rPr>
              <w:t>iousness</w:t>
            </w:r>
          </w:p>
        </w:tc>
        <w:tc>
          <w:tcPr>
            <w:tcW w:w="938" w:type="dxa"/>
            <w:tcBorders>
              <w:left w:val="single" w:sz="4" w:space="0" w:color="auto"/>
            </w:tcBorders>
            <w:shd w:val="clear" w:color="auto" w:fill="FFFFFF"/>
            <w:tcMar>
              <w:top w:w="0" w:type="dxa"/>
              <w:left w:w="75" w:type="dxa"/>
              <w:bottom w:w="0" w:type="dxa"/>
              <w:right w:w="75" w:type="dxa"/>
            </w:tcMar>
            <w:hideMark/>
          </w:tcPr>
          <w:p w14:paraId="6F5E1317" w14:textId="77777777" w:rsidR="00AE06D0" w:rsidRPr="00D45F6A" w:rsidRDefault="00AE06D0" w:rsidP="004C77D3">
            <w:pPr>
              <w:pStyle w:val="Table"/>
              <w:spacing w:before="0" w:after="0"/>
              <w:rPr>
                <w:color w:val="010204"/>
                <w:sz w:val="22"/>
              </w:rPr>
            </w:pPr>
            <w:r w:rsidRPr="00D45F6A">
              <w:rPr>
                <w:color w:val="010204"/>
                <w:sz w:val="22"/>
              </w:rPr>
              <w:t>-0.242</w:t>
            </w:r>
            <w:r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070F40AF" w14:textId="7D9E88F9"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0.214</w:t>
            </w:r>
            <w:r w:rsidR="00AE06D0" w:rsidRPr="00D45F6A">
              <w:rPr>
                <w:color w:val="010204"/>
                <w:sz w:val="22"/>
                <w:vertAlign w:val="superscript"/>
              </w:rPr>
              <w:t>***</w:t>
            </w:r>
          </w:p>
        </w:tc>
        <w:tc>
          <w:tcPr>
            <w:tcW w:w="1062" w:type="dxa"/>
            <w:shd w:val="clear" w:color="auto" w:fill="FFFFFF"/>
            <w:tcMar>
              <w:top w:w="0" w:type="dxa"/>
              <w:left w:w="75" w:type="dxa"/>
              <w:bottom w:w="0" w:type="dxa"/>
              <w:right w:w="75" w:type="dxa"/>
            </w:tcMar>
            <w:hideMark/>
          </w:tcPr>
          <w:p w14:paraId="6F313FA1" w14:textId="78D32DA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0.072</w:t>
            </w:r>
          </w:p>
        </w:tc>
        <w:tc>
          <w:tcPr>
            <w:tcW w:w="1080" w:type="dxa"/>
            <w:shd w:val="clear" w:color="auto" w:fill="FFFFFF"/>
            <w:tcMar>
              <w:top w:w="0" w:type="dxa"/>
              <w:left w:w="75" w:type="dxa"/>
              <w:bottom w:w="0" w:type="dxa"/>
              <w:right w:w="75" w:type="dxa"/>
            </w:tcMar>
            <w:hideMark/>
          </w:tcPr>
          <w:p w14:paraId="4F62FD52" w14:textId="77777777" w:rsidR="00AE06D0" w:rsidRPr="00D45F6A" w:rsidRDefault="00AE06D0" w:rsidP="004C77D3">
            <w:pPr>
              <w:pStyle w:val="Table"/>
              <w:spacing w:before="0" w:after="0"/>
              <w:rPr>
                <w:color w:val="010204"/>
                <w:sz w:val="22"/>
              </w:rPr>
            </w:pPr>
            <w:r w:rsidRPr="00D45F6A">
              <w:rPr>
                <w:color w:val="010204"/>
                <w:sz w:val="22"/>
              </w:rPr>
              <w:t>-0.255</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39D1A1E" w14:textId="77777777" w:rsidR="00AE06D0" w:rsidRPr="00D45F6A" w:rsidRDefault="00AE06D0" w:rsidP="004C77D3">
            <w:pPr>
              <w:pStyle w:val="Table"/>
              <w:spacing w:before="0" w:after="0"/>
              <w:ind w:right="-122"/>
              <w:rPr>
                <w:color w:val="010204"/>
                <w:sz w:val="22"/>
              </w:rPr>
            </w:pPr>
            <w:r w:rsidRPr="00D45F6A">
              <w:rPr>
                <w:color w:val="010204"/>
                <w:sz w:val="22"/>
              </w:rPr>
              <w:t>-0.459</w:t>
            </w:r>
            <w:r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5CFFB6E1" w14:textId="77777777" w:rsidR="00AE06D0" w:rsidRPr="00D45F6A" w:rsidRDefault="00AE06D0" w:rsidP="004C77D3">
            <w:pPr>
              <w:pStyle w:val="Table"/>
              <w:spacing w:before="0" w:after="0"/>
              <w:rPr>
                <w:color w:val="010204"/>
                <w:sz w:val="22"/>
              </w:rPr>
            </w:pPr>
            <w:r w:rsidRPr="00D45F6A">
              <w:rPr>
                <w:color w:val="010204"/>
                <w:sz w:val="22"/>
              </w:rPr>
              <w:t>-0.140</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5917C89A" w14:textId="77777777" w:rsidR="00AE06D0" w:rsidRPr="00D45F6A" w:rsidRDefault="00AE06D0" w:rsidP="004C77D3">
            <w:pPr>
              <w:pStyle w:val="Table"/>
              <w:spacing w:before="0" w:after="0"/>
              <w:rPr>
                <w:color w:val="010204"/>
                <w:sz w:val="22"/>
              </w:rPr>
            </w:pPr>
            <w:r w:rsidRPr="00D45F6A">
              <w:rPr>
                <w:color w:val="010204"/>
                <w:sz w:val="22"/>
              </w:rPr>
              <w:t>-0.328</w:t>
            </w:r>
            <w:r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0077A73F" w14:textId="380B012B"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0.370</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957D390" w14:textId="04EB4458"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0.474</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95BED38" w14:textId="304A72CD"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0.287</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26A83B46" w14:textId="55F0816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0.319</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1EF6B7EC" w14:textId="35844195"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0.281</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79FA9F80" w14:textId="77777777" w:rsidR="00AE06D0" w:rsidRPr="00D45F6A" w:rsidRDefault="00AE06D0" w:rsidP="004C77D3">
            <w:pPr>
              <w:pStyle w:val="Table"/>
              <w:spacing w:before="0" w:after="0"/>
              <w:rPr>
                <w:color w:val="010204"/>
                <w:sz w:val="22"/>
              </w:rPr>
            </w:pPr>
            <w:r w:rsidRPr="00D45F6A">
              <w:rPr>
                <w:color w:val="010204"/>
                <w:sz w:val="22"/>
              </w:rPr>
              <w:t>-0.303</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1EC5F3FD" w14:textId="77777777" w:rsidR="00AE06D0" w:rsidRPr="00D45F6A" w:rsidRDefault="00AE06D0" w:rsidP="004C77D3">
            <w:pPr>
              <w:pStyle w:val="Table"/>
              <w:spacing w:before="0" w:after="0"/>
              <w:rPr>
                <w:color w:val="010204"/>
                <w:sz w:val="22"/>
              </w:rPr>
            </w:pPr>
            <w:r w:rsidRPr="00D45F6A">
              <w:rPr>
                <w:color w:val="010204"/>
                <w:sz w:val="22"/>
              </w:rPr>
              <w:t>1.000</w:t>
            </w:r>
          </w:p>
        </w:tc>
        <w:tc>
          <w:tcPr>
            <w:tcW w:w="698" w:type="dxa"/>
            <w:shd w:val="clear" w:color="auto" w:fill="FFFFFF"/>
            <w:tcMar>
              <w:top w:w="0" w:type="dxa"/>
              <w:left w:w="75" w:type="dxa"/>
              <w:bottom w:w="0" w:type="dxa"/>
              <w:right w:w="75" w:type="dxa"/>
            </w:tcMar>
          </w:tcPr>
          <w:p w14:paraId="2B2E0428" w14:textId="77777777" w:rsidR="00AE06D0" w:rsidRPr="00D45F6A" w:rsidRDefault="00AE06D0" w:rsidP="004C77D3">
            <w:pPr>
              <w:pStyle w:val="Table"/>
              <w:spacing w:before="0" w:after="0"/>
              <w:rPr>
                <w:color w:val="010204"/>
                <w:sz w:val="22"/>
              </w:rPr>
            </w:pPr>
          </w:p>
        </w:tc>
        <w:tc>
          <w:tcPr>
            <w:tcW w:w="819" w:type="dxa"/>
            <w:shd w:val="clear" w:color="auto" w:fill="FFFFFF"/>
            <w:tcMar>
              <w:top w:w="0" w:type="dxa"/>
              <w:left w:w="75" w:type="dxa"/>
              <w:bottom w:w="0" w:type="dxa"/>
              <w:right w:w="75" w:type="dxa"/>
            </w:tcMar>
          </w:tcPr>
          <w:p w14:paraId="1F6244CE" w14:textId="77777777" w:rsidR="00AE06D0" w:rsidRPr="00D45F6A" w:rsidRDefault="00AE06D0" w:rsidP="004C77D3">
            <w:pPr>
              <w:pStyle w:val="Table"/>
              <w:spacing w:before="0" w:after="0"/>
              <w:rPr>
                <w:color w:val="010204"/>
                <w:sz w:val="22"/>
              </w:rPr>
            </w:pPr>
          </w:p>
        </w:tc>
      </w:tr>
      <w:tr w:rsidR="00C801A9" w:rsidRPr="00D45F6A" w14:paraId="2B1216FA" w14:textId="77777777" w:rsidTr="00747C6F">
        <w:tc>
          <w:tcPr>
            <w:tcW w:w="1710" w:type="dxa"/>
            <w:tcBorders>
              <w:right w:val="single" w:sz="4" w:space="0" w:color="auto"/>
            </w:tcBorders>
            <w:shd w:val="clear" w:color="auto" w:fill="auto"/>
            <w:tcMar>
              <w:top w:w="0" w:type="dxa"/>
              <w:left w:w="75" w:type="dxa"/>
              <w:bottom w:w="0" w:type="dxa"/>
              <w:right w:w="75" w:type="dxa"/>
            </w:tcMar>
            <w:hideMark/>
          </w:tcPr>
          <w:p w14:paraId="607DDF81" w14:textId="6DC86B14" w:rsidR="00AE06D0" w:rsidRPr="00D45F6A" w:rsidRDefault="00AE06D0" w:rsidP="004C77D3">
            <w:pPr>
              <w:pStyle w:val="Table"/>
              <w:spacing w:before="0" w:after="0"/>
              <w:rPr>
                <w:sz w:val="22"/>
              </w:rPr>
            </w:pPr>
            <w:r w:rsidRPr="00D45F6A">
              <w:rPr>
                <w:sz w:val="22"/>
              </w:rPr>
              <w:t>15. Agreea</w:t>
            </w:r>
            <w:r w:rsidR="004B4AD3" w:rsidRPr="00D45F6A">
              <w:rPr>
                <w:sz w:val="22"/>
              </w:rPr>
              <w:t>-</w:t>
            </w:r>
            <w:r w:rsidRPr="00D45F6A">
              <w:rPr>
                <w:sz w:val="22"/>
              </w:rPr>
              <w:t>bleness</w:t>
            </w:r>
          </w:p>
        </w:tc>
        <w:tc>
          <w:tcPr>
            <w:tcW w:w="938" w:type="dxa"/>
            <w:tcBorders>
              <w:left w:val="single" w:sz="4" w:space="0" w:color="auto"/>
            </w:tcBorders>
            <w:shd w:val="clear" w:color="auto" w:fill="FFFFFF"/>
            <w:tcMar>
              <w:top w:w="0" w:type="dxa"/>
              <w:left w:w="75" w:type="dxa"/>
              <w:bottom w:w="0" w:type="dxa"/>
              <w:right w:w="75" w:type="dxa"/>
            </w:tcMar>
            <w:hideMark/>
          </w:tcPr>
          <w:p w14:paraId="57F44CFA" w14:textId="77777777" w:rsidR="00AE06D0" w:rsidRPr="00D45F6A" w:rsidRDefault="00AE06D0" w:rsidP="004C77D3">
            <w:pPr>
              <w:pStyle w:val="Table"/>
              <w:spacing w:before="0" w:after="0"/>
              <w:rPr>
                <w:color w:val="010204"/>
                <w:sz w:val="22"/>
              </w:rPr>
            </w:pPr>
            <w:r w:rsidRPr="00D45F6A">
              <w:rPr>
                <w:color w:val="010204"/>
                <w:sz w:val="22"/>
              </w:rPr>
              <w:t>-0.341</w:t>
            </w:r>
            <w:r w:rsidRPr="00D45F6A">
              <w:rPr>
                <w:color w:val="010204"/>
                <w:sz w:val="22"/>
                <w:vertAlign w:val="superscript"/>
              </w:rPr>
              <w:t>***</w:t>
            </w:r>
          </w:p>
        </w:tc>
        <w:tc>
          <w:tcPr>
            <w:tcW w:w="960" w:type="dxa"/>
            <w:shd w:val="clear" w:color="auto" w:fill="FFFFFF"/>
            <w:tcMar>
              <w:top w:w="0" w:type="dxa"/>
              <w:left w:w="75" w:type="dxa"/>
              <w:bottom w:w="0" w:type="dxa"/>
              <w:right w:w="75" w:type="dxa"/>
            </w:tcMar>
            <w:hideMark/>
          </w:tcPr>
          <w:p w14:paraId="5239E8FD" w14:textId="77777777" w:rsidR="00AE06D0" w:rsidRPr="00D45F6A" w:rsidRDefault="00AE06D0" w:rsidP="004C77D3">
            <w:pPr>
              <w:pStyle w:val="Table"/>
              <w:spacing w:before="0" w:after="0"/>
              <w:rPr>
                <w:color w:val="010204"/>
                <w:sz w:val="22"/>
              </w:rPr>
            </w:pPr>
            <w:r w:rsidRPr="00D45F6A">
              <w:rPr>
                <w:color w:val="010204"/>
                <w:sz w:val="22"/>
              </w:rPr>
              <w:t>-0.015</w:t>
            </w:r>
          </w:p>
        </w:tc>
        <w:tc>
          <w:tcPr>
            <w:tcW w:w="1062" w:type="dxa"/>
            <w:shd w:val="clear" w:color="auto" w:fill="FFFFFF"/>
            <w:tcMar>
              <w:top w:w="0" w:type="dxa"/>
              <w:left w:w="75" w:type="dxa"/>
              <w:bottom w:w="0" w:type="dxa"/>
              <w:right w:w="75" w:type="dxa"/>
            </w:tcMar>
            <w:hideMark/>
          </w:tcPr>
          <w:p w14:paraId="12AC0768" w14:textId="588B4545"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0.054</w:t>
            </w:r>
          </w:p>
        </w:tc>
        <w:tc>
          <w:tcPr>
            <w:tcW w:w="1080" w:type="dxa"/>
            <w:shd w:val="clear" w:color="auto" w:fill="FFFFFF"/>
            <w:tcMar>
              <w:top w:w="0" w:type="dxa"/>
              <w:left w:w="75" w:type="dxa"/>
              <w:bottom w:w="0" w:type="dxa"/>
              <w:right w:w="75" w:type="dxa"/>
            </w:tcMar>
            <w:hideMark/>
          </w:tcPr>
          <w:p w14:paraId="6CA4DDEC" w14:textId="77777777" w:rsidR="00AE06D0" w:rsidRPr="00D45F6A" w:rsidRDefault="00AE06D0" w:rsidP="004C77D3">
            <w:pPr>
              <w:pStyle w:val="Table"/>
              <w:spacing w:before="0" w:after="0"/>
              <w:rPr>
                <w:color w:val="010204"/>
                <w:sz w:val="22"/>
              </w:rPr>
            </w:pPr>
            <w:r w:rsidRPr="00D45F6A">
              <w:rPr>
                <w:color w:val="010204"/>
                <w:sz w:val="22"/>
              </w:rPr>
              <w:t>-0.242</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BE288F8" w14:textId="77777777" w:rsidR="00AE06D0" w:rsidRPr="00D45F6A" w:rsidRDefault="00AE06D0" w:rsidP="004C77D3">
            <w:pPr>
              <w:pStyle w:val="Table"/>
              <w:spacing w:before="0" w:after="0"/>
              <w:ind w:right="-122"/>
              <w:rPr>
                <w:color w:val="010204"/>
                <w:sz w:val="22"/>
              </w:rPr>
            </w:pPr>
            <w:r w:rsidRPr="00D45F6A">
              <w:rPr>
                <w:color w:val="010204"/>
                <w:sz w:val="22"/>
              </w:rPr>
              <w:t>-0.296</w:t>
            </w:r>
            <w:r w:rsidRPr="00D45F6A">
              <w:rPr>
                <w:color w:val="010204"/>
                <w:sz w:val="22"/>
                <w:vertAlign w:val="superscript"/>
              </w:rPr>
              <w:t>***</w:t>
            </w:r>
          </w:p>
        </w:tc>
        <w:tc>
          <w:tcPr>
            <w:tcW w:w="1043" w:type="dxa"/>
            <w:shd w:val="clear" w:color="auto" w:fill="FFFFFF"/>
            <w:tcMar>
              <w:top w:w="0" w:type="dxa"/>
              <w:left w:w="75" w:type="dxa"/>
              <w:bottom w:w="0" w:type="dxa"/>
              <w:right w:w="75" w:type="dxa"/>
            </w:tcMar>
            <w:hideMark/>
          </w:tcPr>
          <w:p w14:paraId="0CAD4AAB" w14:textId="77777777" w:rsidR="00AE06D0" w:rsidRPr="00D45F6A" w:rsidRDefault="00AE06D0" w:rsidP="004C77D3">
            <w:pPr>
              <w:pStyle w:val="Table"/>
              <w:spacing w:before="0" w:after="0"/>
              <w:rPr>
                <w:color w:val="010204"/>
                <w:sz w:val="22"/>
              </w:rPr>
            </w:pPr>
            <w:r w:rsidRPr="00D45F6A">
              <w:rPr>
                <w:color w:val="010204"/>
                <w:sz w:val="22"/>
              </w:rPr>
              <w:t>-0.251</w:t>
            </w:r>
            <w:r w:rsidRPr="00D45F6A">
              <w:rPr>
                <w:color w:val="010204"/>
                <w:sz w:val="22"/>
                <w:vertAlign w:val="superscript"/>
              </w:rPr>
              <w:t>***</w:t>
            </w:r>
          </w:p>
        </w:tc>
        <w:tc>
          <w:tcPr>
            <w:tcW w:w="1080" w:type="dxa"/>
            <w:shd w:val="clear" w:color="auto" w:fill="FFFFFF"/>
            <w:tcMar>
              <w:top w:w="0" w:type="dxa"/>
              <w:left w:w="75" w:type="dxa"/>
              <w:bottom w:w="0" w:type="dxa"/>
              <w:right w:w="75" w:type="dxa"/>
            </w:tcMar>
            <w:hideMark/>
          </w:tcPr>
          <w:p w14:paraId="6F163AEA" w14:textId="77777777" w:rsidR="00AE06D0" w:rsidRPr="00D45F6A" w:rsidRDefault="00AE06D0" w:rsidP="004C77D3">
            <w:pPr>
              <w:pStyle w:val="Table"/>
              <w:spacing w:before="0" w:after="0"/>
              <w:rPr>
                <w:color w:val="010204"/>
                <w:sz w:val="22"/>
              </w:rPr>
            </w:pPr>
            <w:r w:rsidRPr="00D45F6A">
              <w:rPr>
                <w:color w:val="010204"/>
                <w:sz w:val="22"/>
              </w:rPr>
              <w:t>-0.415</w:t>
            </w:r>
            <w:r w:rsidRPr="00D45F6A">
              <w:rPr>
                <w:color w:val="010204"/>
                <w:sz w:val="22"/>
                <w:vertAlign w:val="superscript"/>
              </w:rPr>
              <w:t>***</w:t>
            </w:r>
          </w:p>
        </w:tc>
        <w:tc>
          <w:tcPr>
            <w:tcW w:w="1000" w:type="dxa"/>
            <w:shd w:val="clear" w:color="auto" w:fill="FFFFFF"/>
            <w:tcMar>
              <w:top w:w="0" w:type="dxa"/>
              <w:left w:w="75" w:type="dxa"/>
              <w:bottom w:w="0" w:type="dxa"/>
              <w:right w:w="75" w:type="dxa"/>
            </w:tcMar>
            <w:hideMark/>
          </w:tcPr>
          <w:p w14:paraId="42DF1712" w14:textId="193898E1"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0.284</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0384F552" w14:textId="50A98DB4"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0.284</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1EC3EDDC" w14:textId="3322E7B5"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0.356</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5D88C4B2" w14:textId="06A1218A"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0.319</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62EECE35" w14:textId="2DD4CE44"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0.093</w:t>
            </w:r>
            <w:r w:rsidR="00AE06D0"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7E69B685" w14:textId="77777777" w:rsidR="00AE06D0" w:rsidRPr="00D45F6A" w:rsidRDefault="00AE06D0" w:rsidP="004C77D3">
            <w:pPr>
              <w:pStyle w:val="Table"/>
              <w:spacing w:before="0" w:after="0"/>
              <w:rPr>
                <w:color w:val="010204"/>
                <w:sz w:val="22"/>
              </w:rPr>
            </w:pPr>
            <w:r w:rsidRPr="00D45F6A">
              <w:rPr>
                <w:color w:val="010204"/>
                <w:sz w:val="22"/>
              </w:rPr>
              <w:t>-0.379</w:t>
            </w:r>
            <w:r w:rsidRPr="00D45F6A">
              <w:rPr>
                <w:color w:val="010204"/>
                <w:sz w:val="22"/>
                <w:vertAlign w:val="superscript"/>
              </w:rPr>
              <w:t>***</w:t>
            </w:r>
          </w:p>
        </w:tc>
        <w:tc>
          <w:tcPr>
            <w:tcW w:w="937" w:type="dxa"/>
            <w:shd w:val="clear" w:color="auto" w:fill="FFFFFF"/>
            <w:tcMar>
              <w:top w:w="0" w:type="dxa"/>
              <w:left w:w="75" w:type="dxa"/>
              <w:bottom w:w="0" w:type="dxa"/>
              <w:right w:w="75" w:type="dxa"/>
            </w:tcMar>
            <w:hideMark/>
          </w:tcPr>
          <w:p w14:paraId="388C0267" w14:textId="77777777" w:rsidR="00AE06D0" w:rsidRPr="00D45F6A" w:rsidRDefault="00AE06D0" w:rsidP="004C77D3">
            <w:pPr>
              <w:pStyle w:val="Table"/>
              <w:spacing w:before="0" w:after="0"/>
              <w:rPr>
                <w:color w:val="010204"/>
                <w:sz w:val="22"/>
              </w:rPr>
            </w:pPr>
            <w:r w:rsidRPr="00D45F6A">
              <w:rPr>
                <w:color w:val="010204"/>
                <w:sz w:val="22"/>
              </w:rPr>
              <w:t>0.263</w:t>
            </w:r>
            <w:r w:rsidRPr="00D45F6A">
              <w:rPr>
                <w:color w:val="010204"/>
                <w:sz w:val="22"/>
                <w:vertAlign w:val="superscript"/>
              </w:rPr>
              <w:t>***</w:t>
            </w:r>
          </w:p>
        </w:tc>
        <w:tc>
          <w:tcPr>
            <w:tcW w:w="698" w:type="dxa"/>
            <w:shd w:val="clear" w:color="auto" w:fill="FFFFFF"/>
            <w:tcMar>
              <w:top w:w="0" w:type="dxa"/>
              <w:left w:w="75" w:type="dxa"/>
              <w:bottom w:w="0" w:type="dxa"/>
              <w:right w:w="75" w:type="dxa"/>
            </w:tcMar>
            <w:hideMark/>
          </w:tcPr>
          <w:p w14:paraId="6E450D72" w14:textId="77777777" w:rsidR="00AE06D0" w:rsidRPr="00D45F6A" w:rsidRDefault="00AE06D0" w:rsidP="004C77D3">
            <w:pPr>
              <w:pStyle w:val="Table"/>
              <w:spacing w:before="0" w:after="0"/>
              <w:rPr>
                <w:color w:val="010204"/>
                <w:sz w:val="22"/>
              </w:rPr>
            </w:pPr>
            <w:r w:rsidRPr="00D45F6A">
              <w:rPr>
                <w:color w:val="010204"/>
                <w:sz w:val="22"/>
              </w:rPr>
              <w:t>1.000</w:t>
            </w:r>
          </w:p>
        </w:tc>
        <w:tc>
          <w:tcPr>
            <w:tcW w:w="819" w:type="dxa"/>
            <w:shd w:val="clear" w:color="auto" w:fill="FFFFFF"/>
            <w:tcMar>
              <w:top w:w="0" w:type="dxa"/>
              <w:left w:w="75" w:type="dxa"/>
              <w:bottom w:w="0" w:type="dxa"/>
              <w:right w:w="75" w:type="dxa"/>
            </w:tcMar>
            <w:hideMark/>
          </w:tcPr>
          <w:p w14:paraId="6A21BB0F" w14:textId="77777777" w:rsidR="00AE06D0" w:rsidRPr="00D45F6A" w:rsidRDefault="00AE06D0" w:rsidP="004C77D3">
            <w:pPr>
              <w:pStyle w:val="Table"/>
              <w:spacing w:before="0" w:after="0"/>
              <w:rPr>
                <w:color w:val="010204"/>
                <w:sz w:val="22"/>
              </w:rPr>
            </w:pPr>
          </w:p>
        </w:tc>
      </w:tr>
      <w:tr w:rsidR="00C801A9" w:rsidRPr="00D45F6A" w14:paraId="6F6DA1B0" w14:textId="77777777" w:rsidTr="00747C6F">
        <w:tc>
          <w:tcPr>
            <w:tcW w:w="1710" w:type="dxa"/>
            <w:tcBorders>
              <w:bottom w:val="single" w:sz="4" w:space="0" w:color="auto"/>
              <w:right w:val="single" w:sz="4" w:space="0" w:color="auto"/>
            </w:tcBorders>
            <w:shd w:val="clear" w:color="auto" w:fill="auto"/>
            <w:tcMar>
              <w:top w:w="0" w:type="dxa"/>
              <w:left w:w="75" w:type="dxa"/>
              <w:bottom w:w="0" w:type="dxa"/>
              <w:right w:w="75" w:type="dxa"/>
            </w:tcMar>
            <w:hideMark/>
          </w:tcPr>
          <w:p w14:paraId="70083734" w14:textId="77777777" w:rsidR="00AE06D0" w:rsidRPr="00D45F6A" w:rsidRDefault="00AE06D0" w:rsidP="004C77D3">
            <w:pPr>
              <w:pStyle w:val="Table"/>
              <w:spacing w:before="0" w:after="0"/>
              <w:rPr>
                <w:sz w:val="22"/>
              </w:rPr>
            </w:pPr>
            <w:r w:rsidRPr="00D45F6A">
              <w:rPr>
                <w:sz w:val="22"/>
              </w:rPr>
              <w:t>16. Openness</w:t>
            </w:r>
          </w:p>
        </w:tc>
        <w:tc>
          <w:tcPr>
            <w:tcW w:w="938" w:type="dxa"/>
            <w:tcBorders>
              <w:left w:val="single" w:sz="4" w:space="0" w:color="auto"/>
              <w:bottom w:val="single" w:sz="4" w:space="0" w:color="auto"/>
            </w:tcBorders>
            <w:shd w:val="clear" w:color="auto" w:fill="FFFFFF"/>
            <w:tcMar>
              <w:top w:w="0" w:type="dxa"/>
              <w:left w:w="75" w:type="dxa"/>
              <w:bottom w:w="0" w:type="dxa"/>
              <w:right w:w="75" w:type="dxa"/>
            </w:tcMar>
            <w:hideMark/>
          </w:tcPr>
          <w:p w14:paraId="063AC38D" w14:textId="77777777" w:rsidR="00AE06D0" w:rsidRPr="00D45F6A" w:rsidRDefault="00AE06D0" w:rsidP="004C77D3">
            <w:pPr>
              <w:pStyle w:val="Table"/>
              <w:spacing w:before="0" w:after="0"/>
              <w:rPr>
                <w:color w:val="010204"/>
                <w:sz w:val="22"/>
              </w:rPr>
            </w:pPr>
            <w:r w:rsidRPr="00D45F6A">
              <w:rPr>
                <w:color w:val="010204"/>
                <w:sz w:val="22"/>
              </w:rPr>
              <w:t>-0.118</w:t>
            </w:r>
            <w:r w:rsidRPr="00D45F6A">
              <w:rPr>
                <w:color w:val="010204"/>
                <w:sz w:val="22"/>
                <w:vertAlign w:val="superscript"/>
              </w:rPr>
              <w:t>*</w:t>
            </w:r>
          </w:p>
        </w:tc>
        <w:tc>
          <w:tcPr>
            <w:tcW w:w="960" w:type="dxa"/>
            <w:tcBorders>
              <w:bottom w:val="single" w:sz="4" w:space="0" w:color="auto"/>
            </w:tcBorders>
            <w:shd w:val="clear" w:color="auto" w:fill="FFFFFF"/>
            <w:tcMar>
              <w:top w:w="0" w:type="dxa"/>
              <w:left w:w="75" w:type="dxa"/>
              <w:bottom w:w="0" w:type="dxa"/>
              <w:right w:w="75" w:type="dxa"/>
            </w:tcMar>
            <w:hideMark/>
          </w:tcPr>
          <w:p w14:paraId="176C9CDE" w14:textId="45F9B4B0"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0.163</w:t>
            </w:r>
            <w:r w:rsidR="00AE06D0" w:rsidRPr="00D45F6A">
              <w:rPr>
                <w:color w:val="010204"/>
                <w:sz w:val="22"/>
                <w:vertAlign w:val="superscript"/>
              </w:rPr>
              <w:t>**</w:t>
            </w:r>
          </w:p>
        </w:tc>
        <w:tc>
          <w:tcPr>
            <w:tcW w:w="1062" w:type="dxa"/>
            <w:tcBorders>
              <w:bottom w:val="single" w:sz="4" w:space="0" w:color="auto"/>
            </w:tcBorders>
            <w:shd w:val="clear" w:color="auto" w:fill="FFFFFF"/>
            <w:tcMar>
              <w:top w:w="0" w:type="dxa"/>
              <w:left w:w="75" w:type="dxa"/>
              <w:bottom w:w="0" w:type="dxa"/>
              <w:right w:w="75" w:type="dxa"/>
            </w:tcMar>
            <w:hideMark/>
          </w:tcPr>
          <w:p w14:paraId="3CCA9D4E" w14:textId="77777777" w:rsidR="00AE06D0" w:rsidRPr="00D45F6A" w:rsidRDefault="00AE06D0" w:rsidP="004C77D3">
            <w:pPr>
              <w:pStyle w:val="Table"/>
              <w:spacing w:before="0" w:after="0"/>
              <w:rPr>
                <w:color w:val="010204"/>
                <w:sz w:val="22"/>
              </w:rPr>
            </w:pPr>
            <w:r w:rsidRPr="00D45F6A">
              <w:rPr>
                <w:color w:val="010204"/>
                <w:sz w:val="22"/>
              </w:rPr>
              <w:t>-0.122</w:t>
            </w:r>
            <w:r w:rsidRPr="00D45F6A">
              <w:rPr>
                <w:color w:val="010204"/>
                <w:sz w:val="22"/>
                <w:vertAlign w:val="superscript"/>
              </w:rPr>
              <w:t>**</w:t>
            </w:r>
          </w:p>
        </w:tc>
        <w:tc>
          <w:tcPr>
            <w:tcW w:w="1080" w:type="dxa"/>
            <w:tcBorders>
              <w:bottom w:val="single" w:sz="4" w:space="0" w:color="auto"/>
            </w:tcBorders>
            <w:shd w:val="clear" w:color="auto" w:fill="FFFFFF"/>
            <w:tcMar>
              <w:top w:w="0" w:type="dxa"/>
              <w:left w:w="75" w:type="dxa"/>
              <w:bottom w:w="0" w:type="dxa"/>
              <w:right w:w="75" w:type="dxa"/>
            </w:tcMar>
            <w:hideMark/>
          </w:tcPr>
          <w:p w14:paraId="44019D11" w14:textId="701B8672"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0.147</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0CF365F4" w14:textId="77777777" w:rsidR="00AE06D0" w:rsidRPr="00D45F6A" w:rsidRDefault="00AE06D0" w:rsidP="004C77D3">
            <w:pPr>
              <w:pStyle w:val="Table"/>
              <w:spacing w:before="0" w:after="0"/>
              <w:ind w:right="-122"/>
              <w:rPr>
                <w:color w:val="010204"/>
                <w:sz w:val="22"/>
              </w:rPr>
            </w:pPr>
            <w:r w:rsidRPr="00D45F6A">
              <w:rPr>
                <w:color w:val="010204"/>
                <w:sz w:val="22"/>
              </w:rPr>
              <w:t>-0.094</w:t>
            </w:r>
            <w:r w:rsidRPr="00D45F6A">
              <w:rPr>
                <w:color w:val="010204"/>
                <w:sz w:val="22"/>
                <w:vertAlign w:val="superscript"/>
              </w:rPr>
              <w:t>*</w:t>
            </w:r>
          </w:p>
        </w:tc>
        <w:tc>
          <w:tcPr>
            <w:tcW w:w="1043" w:type="dxa"/>
            <w:tcBorders>
              <w:bottom w:val="single" w:sz="4" w:space="0" w:color="auto"/>
            </w:tcBorders>
            <w:shd w:val="clear" w:color="auto" w:fill="FFFFFF"/>
            <w:tcMar>
              <w:top w:w="0" w:type="dxa"/>
              <w:left w:w="75" w:type="dxa"/>
              <w:bottom w:w="0" w:type="dxa"/>
              <w:right w:w="75" w:type="dxa"/>
            </w:tcMar>
            <w:hideMark/>
          </w:tcPr>
          <w:p w14:paraId="709AEDC5" w14:textId="77777777" w:rsidR="00AE06D0" w:rsidRPr="00D45F6A" w:rsidRDefault="00AE06D0" w:rsidP="004C77D3">
            <w:pPr>
              <w:pStyle w:val="Table"/>
              <w:spacing w:before="0" w:after="0"/>
              <w:rPr>
                <w:color w:val="010204"/>
                <w:sz w:val="22"/>
              </w:rPr>
            </w:pPr>
            <w:r w:rsidRPr="00D45F6A">
              <w:rPr>
                <w:color w:val="010204"/>
                <w:sz w:val="22"/>
              </w:rPr>
              <w:t>-0.191</w:t>
            </w:r>
            <w:r w:rsidRPr="00D45F6A">
              <w:rPr>
                <w:color w:val="010204"/>
                <w:sz w:val="22"/>
                <w:vertAlign w:val="superscript"/>
              </w:rPr>
              <w:t>***</w:t>
            </w:r>
          </w:p>
        </w:tc>
        <w:tc>
          <w:tcPr>
            <w:tcW w:w="1080" w:type="dxa"/>
            <w:tcBorders>
              <w:bottom w:val="single" w:sz="4" w:space="0" w:color="auto"/>
            </w:tcBorders>
            <w:shd w:val="clear" w:color="auto" w:fill="FFFFFF"/>
            <w:tcMar>
              <w:top w:w="0" w:type="dxa"/>
              <w:left w:w="75" w:type="dxa"/>
              <w:bottom w:w="0" w:type="dxa"/>
              <w:right w:w="75" w:type="dxa"/>
            </w:tcMar>
            <w:hideMark/>
          </w:tcPr>
          <w:p w14:paraId="02A09E40" w14:textId="67380FB2"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0.055</w:t>
            </w:r>
          </w:p>
        </w:tc>
        <w:tc>
          <w:tcPr>
            <w:tcW w:w="1000" w:type="dxa"/>
            <w:tcBorders>
              <w:bottom w:val="single" w:sz="4" w:space="0" w:color="auto"/>
            </w:tcBorders>
            <w:shd w:val="clear" w:color="auto" w:fill="FFFFFF"/>
            <w:tcMar>
              <w:top w:w="0" w:type="dxa"/>
              <w:left w:w="75" w:type="dxa"/>
              <w:bottom w:w="0" w:type="dxa"/>
              <w:right w:w="75" w:type="dxa"/>
            </w:tcMar>
            <w:hideMark/>
          </w:tcPr>
          <w:p w14:paraId="66E39E24" w14:textId="77777777" w:rsidR="00AE06D0" w:rsidRPr="00D45F6A" w:rsidRDefault="00AE06D0" w:rsidP="004C77D3">
            <w:pPr>
              <w:pStyle w:val="Table"/>
              <w:spacing w:before="0" w:after="0"/>
              <w:rPr>
                <w:color w:val="010204"/>
                <w:sz w:val="22"/>
              </w:rPr>
            </w:pPr>
            <w:r w:rsidRPr="00D45F6A">
              <w:rPr>
                <w:color w:val="010204"/>
                <w:sz w:val="22"/>
              </w:rPr>
              <w:t>-0.054</w:t>
            </w:r>
          </w:p>
        </w:tc>
        <w:tc>
          <w:tcPr>
            <w:tcW w:w="937" w:type="dxa"/>
            <w:tcBorders>
              <w:bottom w:val="single" w:sz="4" w:space="0" w:color="auto"/>
            </w:tcBorders>
            <w:shd w:val="clear" w:color="auto" w:fill="FFFFFF"/>
            <w:tcMar>
              <w:top w:w="0" w:type="dxa"/>
              <w:left w:w="75" w:type="dxa"/>
              <w:bottom w:w="0" w:type="dxa"/>
              <w:right w:w="75" w:type="dxa"/>
            </w:tcMar>
            <w:hideMark/>
          </w:tcPr>
          <w:p w14:paraId="4536C151" w14:textId="13AE12E7"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0.241</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60A32308" w14:textId="5D1FDE4C"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0.024</w:t>
            </w:r>
          </w:p>
        </w:tc>
        <w:tc>
          <w:tcPr>
            <w:tcW w:w="937" w:type="dxa"/>
            <w:tcBorders>
              <w:bottom w:val="single" w:sz="4" w:space="0" w:color="auto"/>
            </w:tcBorders>
            <w:shd w:val="clear" w:color="auto" w:fill="FFFFFF"/>
            <w:tcMar>
              <w:top w:w="0" w:type="dxa"/>
              <w:left w:w="75" w:type="dxa"/>
              <w:bottom w:w="0" w:type="dxa"/>
              <w:right w:w="75" w:type="dxa"/>
            </w:tcMar>
            <w:hideMark/>
          </w:tcPr>
          <w:p w14:paraId="6D83C53E" w14:textId="6E906BCB"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0.136</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7332C578" w14:textId="57F9D813" w:rsidR="00AE06D0" w:rsidRPr="00D45F6A" w:rsidRDefault="008D77AD" w:rsidP="004C77D3">
            <w:pPr>
              <w:pStyle w:val="Table"/>
              <w:spacing w:before="0" w:after="0"/>
              <w:rPr>
                <w:color w:val="010204"/>
                <w:sz w:val="22"/>
              </w:rPr>
            </w:pPr>
            <w:r w:rsidRPr="00D45F6A">
              <w:rPr>
                <w:color w:val="010204"/>
                <w:sz w:val="22"/>
              </w:rPr>
              <w:t xml:space="preserve"> </w:t>
            </w:r>
            <w:r w:rsidR="00AE06D0" w:rsidRPr="00D45F6A">
              <w:rPr>
                <w:color w:val="010204"/>
                <w:sz w:val="22"/>
              </w:rPr>
              <w:t>0.322</w:t>
            </w:r>
            <w:r w:rsidR="00AE06D0"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7DCE86CC" w14:textId="77777777" w:rsidR="00AE06D0" w:rsidRPr="00D45F6A" w:rsidRDefault="00AE06D0" w:rsidP="004C77D3">
            <w:pPr>
              <w:pStyle w:val="Table"/>
              <w:spacing w:before="0" w:after="0"/>
              <w:rPr>
                <w:color w:val="010204"/>
                <w:sz w:val="22"/>
              </w:rPr>
            </w:pPr>
            <w:r w:rsidRPr="00D45F6A">
              <w:rPr>
                <w:color w:val="010204"/>
                <w:sz w:val="22"/>
              </w:rPr>
              <w:t>-0.112</w:t>
            </w:r>
            <w:r w:rsidRPr="00D45F6A">
              <w:rPr>
                <w:color w:val="010204"/>
                <w:sz w:val="22"/>
                <w:vertAlign w:val="superscript"/>
              </w:rPr>
              <w:t>*</w:t>
            </w:r>
          </w:p>
        </w:tc>
        <w:tc>
          <w:tcPr>
            <w:tcW w:w="937" w:type="dxa"/>
            <w:tcBorders>
              <w:bottom w:val="single" w:sz="4" w:space="0" w:color="auto"/>
            </w:tcBorders>
            <w:shd w:val="clear" w:color="auto" w:fill="FFFFFF"/>
            <w:tcMar>
              <w:top w:w="0" w:type="dxa"/>
              <w:left w:w="75" w:type="dxa"/>
              <w:bottom w:w="0" w:type="dxa"/>
              <w:right w:w="75" w:type="dxa"/>
            </w:tcMar>
            <w:hideMark/>
          </w:tcPr>
          <w:p w14:paraId="77164A33" w14:textId="77777777" w:rsidR="00AE06D0" w:rsidRPr="00D45F6A" w:rsidRDefault="00AE06D0" w:rsidP="004C77D3">
            <w:pPr>
              <w:pStyle w:val="Table"/>
              <w:spacing w:before="0" w:after="0"/>
              <w:rPr>
                <w:color w:val="010204"/>
                <w:sz w:val="22"/>
              </w:rPr>
            </w:pPr>
            <w:r w:rsidRPr="00D45F6A">
              <w:rPr>
                <w:color w:val="010204"/>
                <w:sz w:val="22"/>
              </w:rPr>
              <w:t>0.178</w:t>
            </w:r>
            <w:r w:rsidRPr="00D45F6A">
              <w:rPr>
                <w:color w:val="010204"/>
                <w:sz w:val="22"/>
                <w:vertAlign w:val="superscript"/>
              </w:rPr>
              <w:t>***</w:t>
            </w:r>
          </w:p>
        </w:tc>
        <w:tc>
          <w:tcPr>
            <w:tcW w:w="698" w:type="dxa"/>
            <w:tcBorders>
              <w:bottom w:val="single" w:sz="4" w:space="0" w:color="auto"/>
            </w:tcBorders>
            <w:shd w:val="clear" w:color="auto" w:fill="FFFFFF"/>
            <w:tcMar>
              <w:top w:w="0" w:type="dxa"/>
              <w:left w:w="75" w:type="dxa"/>
              <w:bottom w:w="0" w:type="dxa"/>
              <w:right w:w="75" w:type="dxa"/>
            </w:tcMar>
            <w:hideMark/>
          </w:tcPr>
          <w:p w14:paraId="2D297DBD" w14:textId="77777777" w:rsidR="00AE06D0" w:rsidRPr="00D45F6A" w:rsidRDefault="00AE06D0" w:rsidP="004C77D3">
            <w:pPr>
              <w:pStyle w:val="Table"/>
              <w:spacing w:before="0" w:after="0"/>
              <w:rPr>
                <w:color w:val="010204"/>
                <w:sz w:val="22"/>
              </w:rPr>
            </w:pPr>
            <w:r w:rsidRPr="00D45F6A">
              <w:rPr>
                <w:color w:val="010204"/>
                <w:sz w:val="22"/>
              </w:rPr>
              <w:t>0.040</w:t>
            </w:r>
          </w:p>
        </w:tc>
        <w:tc>
          <w:tcPr>
            <w:tcW w:w="819" w:type="dxa"/>
            <w:tcBorders>
              <w:bottom w:val="single" w:sz="4" w:space="0" w:color="auto"/>
            </w:tcBorders>
            <w:shd w:val="clear" w:color="auto" w:fill="FFFFFF"/>
            <w:tcMar>
              <w:top w:w="0" w:type="dxa"/>
              <w:left w:w="75" w:type="dxa"/>
              <w:bottom w:w="0" w:type="dxa"/>
              <w:right w:w="75" w:type="dxa"/>
            </w:tcMar>
            <w:hideMark/>
          </w:tcPr>
          <w:p w14:paraId="2BC99533" w14:textId="3EC694B9" w:rsidR="00AE06D0" w:rsidRPr="00D45F6A" w:rsidRDefault="00AE06D0" w:rsidP="004C77D3">
            <w:pPr>
              <w:pStyle w:val="Table"/>
              <w:spacing w:before="0" w:after="0"/>
              <w:rPr>
                <w:color w:val="010204"/>
                <w:sz w:val="22"/>
              </w:rPr>
            </w:pPr>
            <w:r w:rsidRPr="00D45F6A">
              <w:rPr>
                <w:color w:val="010204"/>
                <w:sz w:val="22"/>
              </w:rPr>
              <w:t>1.000</w:t>
            </w:r>
          </w:p>
        </w:tc>
      </w:tr>
    </w:tbl>
    <w:p w14:paraId="5BE0C6CF" w14:textId="77777777" w:rsidR="00AE06D0" w:rsidRPr="00D45F6A" w:rsidRDefault="00AE06D0" w:rsidP="00AE06D0"/>
    <w:p w14:paraId="5937E65D" w14:textId="5EAABCCC" w:rsidR="00AE06D0" w:rsidRPr="00D45F6A" w:rsidRDefault="00AE06D0" w:rsidP="00AE06D0">
      <w:r w:rsidRPr="00D45F6A">
        <w:rPr>
          <w:vertAlign w:val="superscript"/>
        </w:rPr>
        <w:t>*</w:t>
      </w:r>
      <w:r w:rsidRPr="00D45F6A">
        <w:rPr>
          <w:i/>
          <w:iCs/>
        </w:rPr>
        <w:t>p</w:t>
      </w:r>
      <w:r w:rsidRPr="00D45F6A">
        <w:t xml:space="preserve">≤0.05, </w:t>
      </w:r>
      <w:r w:rsidRPr="00D45F6A">
        <w:rPr>
          <w:vertAlign w:val="superscript"/>
        </w:rPr>
        <w:t>**</w:t>
      </w:r>
      <w:r w:rsidRPr="00D45F6A">
        <w:rPr>
          <w:i/>
          <w:iCs/>
        </w:rPr>
        <w:t>p</w:t>
      </w:r>
      <w:r w:rsidRPr="00D45F6A">
        <w:t xml:space="preserve">≤0.01, </w:t>
      </w:r>
      <w:r w:rsidRPr="00D45F6A">
        <w:rPr>
          <w:vertAlign w:val="superscript"/>
        </w:rPr>
        <w:t>***</w:t>
      </w:r>
      <w:r w:rsidRPr="00D45F6A">
        <w:rPr>
          <w:i/>
          <w:iCs/>
        </w:rPr>
        <w:t>p</w:t>
      </w:r>
      <w:r w:rsidRPr="00D45F6A">
        <w:t>≤0.001</w:t>
      </w:r>
      <w:r w:rsidR="00D772E6" w:rsidRPr="00D45F6A">
        <w:t xml:space="preserve">; </w:t>
      </w:r>
      <w:r w:rsidR="00A91E7C" w:rsidRPr="00D45F6A">
        <w:rPr>
          <w:rFonts w:ascii="Calibri" w:hAnsi="Calibri"/>
          <w:sz w:val="22"/>
        </w:rPr>
        <w:t xml:space="preserve">† </w:t>
      </w:r>
      <w:r w:rsidR="00D772E6" w:rsidRPr="00D45F6A">
        <w:t>gender was coded as 1=male and 2=female</w:t>
      </w:r>
    </w:p>
    <w:p w14:paraId="61E4C55E" w14:textId="77777777" w:rsidR="00AE06D0" w:rsidRPr="00D45F6A" w:rsidRDefault="00AE06D0">
      <w:pPr>
        <w:spacing w:before="0" w:after="0" w:line="240" w:lineRule="auto"/>
        <w:ind w:firstLine="0"/>
        <w:rPr>
          <w:lang w:eastAsia="en-US"/>
        </w:rPr>
      </w:pPr>
      <w:r w:rsidRPr="00D45F6A">
        <w:rPr>
          <w:lang w:eastAsia="en-US"/>
        </w:rPr>
        <w:br w:type="page"/>
      </w:r>
    </w:p>
    <w:p w14:paraId="672AA466" w14:textId="1CB98600" w:rsidR="002E222D" w:rsidRPr="00D45F6A" w:rsidRDefault="002E222D" w:rsidP="00107084">
      <w:pPr>
        <w:rPr>
          <w:lang w:eastAsia="en-US"/>
        </w:rPr>
      </w:pPr>
      <w:r w:rsidRPr="00D45F6A">
        <w:rPr>
          <w:lang w:eastAsia="en-US"/>
        </w:rPr>
        <w:lastRenderedPageBreak/>
        <w:t xml:space="preserve">Table </w:t>
      </w:r>
      <w:r w:rsidR="00626E70" w:rsidRPr="00D45F6A">
        <w:rPr>
          <w:lang w:eastAsia="en-US"/>
        </w:rPr>
        <w:t>3</w:t>
      </w:r>
      <w:r w:rsidRPr="00D45F6A">
        <w:rPr>
          <w:lang w:eastAsia="en-US"/>
        </w:rPr>
        <w:t xml:space="preserve">. </w:t>
      </w:r>
      <w:r w:rsidR="00CF6CE2" w:rsidRPr="00D45F6A">
        <w:rPr>
          <w:lang w:eastAsia="en-US"/>
        </w:rPr>
        <w:t xml:space="preserve">Hierarchical regression between </w:t>
      </w:r>
      <w:r w:rsidR="00943C96" w:rsidRPr="00D45F6A">
        <w:rPr>
          <w:lang w:eastAsia="en-US"/>
        </w:rPr>
        <w:t>schizotypy, QOL, personality (predictors) and rejection sensitivity (outcome variable)</w:t>
      </w:r>
    </w:p>
    <w:tbl>
      <w:tblPr>
        <w:tblStyle w:val="TableGrid"/>
        <w:tblW w:w="12049"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794"/>
        <w:gridCol w:w="1526"/>
        <w:gridCol w:w="1696"/>
        <w:gridCol w:w="642"/>
        <w:gridCol w:w="1264"/>
        <w:gridCol w:w="2064"/>
      </w:tblGrid>
      <w:tr w:rsidR="00BE4B12" w:rsidRPr="00D45F6A" w14:paraId="6AF3092E" w14:textId="77777777" w:rsidTr="004C77D3">
        <w:tc>
          <w:tcPr>
            <w:tcW w:w="3063" w:type="dxa"/>
            <w:tcBorders>
              <w:top w:val="single" w:sz="4" w:space="0" w:color="auto"/>
              <w:bottom w:val="single" w:sz="4" w:space="0" w:color="auto"/>
            </w:tcBorders>
          </w:tcPr>
          <w:p w14:paraId="69F1CDAB" w14:textId="59E76ED4" w:rsidR="00BE4B12" w:rsidRPr="00D45F6A" w:rsidRDefault="00C81130" w:rsidP="002927B5">
            <w:pPr>
              <w:pStyle w:val="Table"/>
            </w:pPr>
            <w:r w:rsidRPr="00D45F6A">
              <w:t>Predictor</w:t>
            </w:r>
          </w:p>
        </w:tc>
        <w:tc>
          <w:tcPr>
            <w:tcW w:w="1794" w:type="dxa"/>
            <w:tcBorders>
              <w:top w:val="single" w:sz="4" w:space="0" w:color="auto"/>
              <w:bottom w:val="single" w:sz="4" w:space="0" w:color="auto"/>
            </w:tcBorders>
          </w:tcPr>
          <w:p w14:paraId="7C6C198B" w14:textId="77777777" w:rsidR="00BE4B12" w:rsidRPr="00D45F6A" w:rsidRDefault="00BE4B12" w:rsidP="004C613D">
            <w:pPr>
              <w:pStyle w:val="Table"/>
            </w:pPr>
            <w:r w:rsidRPr="00D45F6A">
              <w:t>Unstandardised beta (S.E.)</w:t>
            </w:r>
          </w:p>
        </w:tc>
        <w:tc>
          <w:tcPr>
            <w:tcW w:w="1526" w:type="dxa"/>
            <w:tcBorders>
              <w:top w:val="single" w:sz="4" w:space="0" w:color="auto"/>
              <w:bottom w:val="single" w:sz="4" w:space="0" w:color="auto"/>
            </w:tcBorders>
          </w:tcPr>
          <w:p w14:paraId="5A1CF66F" w14:textId="77777777" w:rsidR="00BE4B12" w:rsidRPr="00D45F6A" w:rsidRDefault="00BE4B12" w:rsidP="004C613D">
            <w:pPr>
              <w:pStyle w:val="Table"/>
            </w:pPr>
            <w:r w:rsidRPr="00D45F6A">
              <w:t>Standardised beta</w:t>
            </w:r>
          </w:p>
        </w:tc>
        <w:tc>
          <w:tcPr>
            <w:tcW w:w="1696" w:type="dxa"/>
            <w:tcBorders>
              <w:top w:val="single" w:sz="4" w:space="0" w:color="auto"/>
              <w:bottom w:val="single" w:sz="4" w:space="0" w:color="auto"/>
            </w:tcBorders>
          </w:tcPr>
          <w:p w14:paraId="2426F3CA" w14:textId="77777777" w:rsidR="00BE4B12" w:rsidRPr="00D45F6A" w:rsidRDefault="00BE4B12" w:rsidP="004C613D">
            <w:pPr>
              <w:pStyle w:val="Table"/>
            </w:pPr>
            <w:r w:rsidRPr="00D45F6A">
              <w:rPr>
                <w:i/>
              </w:rPr>
              <w:t>t</w:t>
            </w:r>
            <w:r w:rsidRPr="00D45F6A">
              <w:t xml:space="preserve"> (</w:t>
            </w:r>
            <w:r w:rsidRPr="00D45F6A">
              <w:rPr>
                <w:i/>
              </w:rPr>
              <w:t>p</w:t>
            </w:r>
            <w:r w:rsidRPr="00D45F6A">
              <w:t>-value)</w:t>
            </w:r>
          </w:p>
        </w:tc>
        <w:tc>
          <w:tcPr>
            <w:tcW w:w="642" w:type="dxa"/>
            <w:tcBorders>
              <w:top w:val="single" w:sz="4" w:space="0" w:color="auto"/>
              <w:bottom w:val="single" w:sz="4" w:space="0" w:color="auto"/>
            </w:tcBorders>
          </w:tcPr>
          <w:p w14:paraId="056362B4" w14:textId="77777777" w:rsidR="00BE4B12" w:rsidRPr="00D45F6A" w:rsidRDefault="00BE4B12" w:rsidP="004C613D">
            <w:pPr>
              <w:pStyle w:val="Table"/>
              <w:rPr>
                <w:i/>
              </w:rPr>
            </w:pPr>
            <w:r w:rsidRPr="00D45F6A">
              <w:rPr>
                <w:i/>
              </w:rPr>
              <w:t>R</w:t>
            </w:r>
          </w:p>
        </w:tc>
        <w:tc>
          <w:tcPr>
            <w:tcW w:w="1264" w:type="dxa"/>
            <w:tcBorders>
              <w:top w:val="single" w:sz="4" w:space="0" w:color="auto"/>
              <w:bottom w:val="single" w:sz="4" w:space="0" w:color="auto"/>
            </w:tcBorders>
          </w:tcPr>
          <w:p w14:paraId="50CE5075" w14:textId="77777777" w:rsidR="00BE4B12" w:rsidRPr="00D45F6A" w:rsidRDefault="00BE4B12" w:rsidP="004C613D">
            <w:pPr>
              <w:pStyle w:val="Table"/>
            </w:pPr>
            <w:r w:rsidRPr="00D45F6A">
              <w:rPr>
                <w:i/>
              </w:rPr>
              <w:t>R</w:t>
            </w:r>
            <w:r w:rsidRPr="00D45F6A">
              <w:t>-square change</w:t>
            </w:r>
          </w:p>
        </w:tc>
        <w:tc>
          <w:tcPr>
            <w:tcW w:w="2064" w:type="dxa"/>
            <w:tcBorders>
              <w:top w:val="single" w:sz="4" w:space="0" w:color="auto"/>
              <w:bottom w:val="single" w:sz="4" w:space="0" w:color="auto"/>
            </w:tcBorders>
          </w:tcPr>
          <w:p w14:paraId="15F173C5" w14:textId="77777777" w:rsidR="00BE4B12" w:rsidRPr="00D45F6A" w:rsidRDefault="00BE4B12" w:rsidP="004C613D">
            <w:pPr>
              <w:pStyle w:val="Table"/>
            </w:pPr>
            <w:r w:rsidRPr="00D45F6A">
              <w:rPr>
                <w:i/>
              </w:rPr>
              <w:t>F</w:t>
            </w:r>
            <w:r w:rsidRPr="00D45F6A">
              <w:t>-change (p-value)</w:t>
            </w:r>
          </w:p>
        </w:tc>
      </w:tr>
      <w:tr w:rsidR="00F86DE5" w:rsidRPr="00D45F6A" w14:paraId="38C5F493" w14:textId="77777777" w:rsidTr="007102CB">
        <w:tc>
          <w:tcPr>
            <w:tcW w:w="3063" w:type="dxa"/>
            <w:tcBorders>
              <w:top w:val="single" w:sz="4" w:space="0" w:color="auto"/>
            </w:tcBorders>
          </w:tcPr>
          <w:p w14:paraId="1D44798E" w14:textId="54575334" w:rsidR="00F86DE5" w:rsidRPr="00D45F6A" w:rsidRDefault="00F86DE5" w:rsidP="002927B5">
            <w:pPr>
              <w:pStyle w:val="Table"/>
            </w:pPr>
            <w:r w:rsidRPr="00D45F6A">
              <w:t>Step 1</w:t>
            </w:r>
          </w:p>
          <w:p w14:paraId="777811FF" w14:textId="77777777" w:rsidR="00F86DE5" w:rsidRPr="00D45F6A" w:rsidRDefault="00F86DE5" w:rsidP="002927B5">
            <w:pPr>
              <w:pStyle w:val="Table"/>
            </w:pPr>
            <w:r w:rsidRPr="00D45F6A">
              <w:t xml:space="preserve">  Age</w:t>
            </w:r>
          </w:p>
          <w:p w14:paraId="21FF0C1B" w14:textId="2283B7D4" w:rsidR="00F86DE5" w:rsidRPr="00D45F6A" w:rsidRDefault="00F86DE5" w:rsidP="002927B5">
            <w:pPr>
              <w:pStyle w:val="Table"/>
            </w:pPr>
            <w:r w:rsidRPr="00D45F6A">
              <w:t xml:space="preserve">  Gender</w:t>
            </w:r>
          </w:p>
        </w:tc>
        <w:tc>
          <w:tcPr>
            <w:tcW w:w="1794" w:type="dxa"/>
            <w:tcBorders>
              <w:top w:val="single" w:sz="4" w:space="0" w:color="auto"/>
            </w:tcBorders>
          </w:tcPr>
          <w:p w14:paraId="53C89ED3" w14:textId="77777777" w:rsidR="00F86DE5" w:rsidRPr="00D45F6A" w:rsidRDefault="00F86DE5" w:rsidP="00BE7D74">
            <w:pPr>
              <w:pStyle w:val="Table"/>
              <w:jc w:val="right"/>
            </w:pPr>
          </w:p>
          <w:p w14:paraId="6B99FECD" w14:textId="4541AC8F" w:rsidR="00CE3698" w:rsidRPr="00D45F6A" w:rsidRDefault="00CE3698" w:rsidP="00BE7D74">
            <w:pPr>
              <w:pStyle w:val="Table"/>
              <w:jc w:val="right"/>
            </w:pPr>
            <w:r w:rsidRPr="00D45F6A">
              <w:t>-0.003</w:t>
            </w:r>
            <w:r w:rsidR="00BC1BC4" w:rsidRPr="00D45F6A">
              <w:t xml:space="preserve"> (0.03)</w:t>
            </w:r>
          </w:p>
          <w:p w14:paraId="508033A3" w14:textId="5CF58CD6" w:rsidR="00CE3698" w:rsidRPr="00D45F6A" w:rsidRDefault="00CE3698" w:rsidP="00BE7D74">
            <w:pPr>
              <w:pStyle w:val="Table"/>
              <w:jc w:val="right"/>
            </w:pPr>
            <w:r w:rsidRPr="00D45F6A">
              <w:t>0.3</w:t>
            </w:r>
            <w:r w:rsidR="00BC1BC4" w:rsidRPr="00D45F6A">
              <w:t>9 (0.58)</w:t>
            </w:r>
          </w:p>
        </w:tc>
        <w:tc>
          <w:tcPr>
            <w:tcW w:w="1526" w:type="dxa"/>
            <w:tcBorders>
              <w:top w:val="single" w:sz="4" w:space="0" w:color="auto"/>
            </w:tcBorders>
          </w:tcPr>
          <w:p w14:paraId="2C2B7D4F" w14:textId="77777777" w:rsidR="00F86DE5" w:rsidRPr="00D45F6A" w:rsidRDefault="00F86DE5" w:rsidP="00BE7D74">
            <w:pPr>
              <w:pStyle w:val="Table"/>
              <w:jc w:val="right"/>
            </w:pPr>
          </w:p>
          <w:p w14:paraId="7A9DF523" w14:textId="498D4625" w:rsidR="00CE3698" w:rsidRPr="00D45F6A" w:rsidRDefault="00BC1BC4" w:rsidP="00BE7D74">
            <w:pPr>
              <w:pStyle w:val="Table"/>
              <w:jc w:val="right"/>
            </w:pPr>
            <w:r w:rsidRPr="00D45F6A">
              <w:t>-</w:t>
            </w:r>
            <w:r w:rsidR="00CE3698" w:rsidRPr="00D45F6A">
              <w:t>0.0</w:t>
            </w:r>
            <w:r w:rsidRPr="00D45F6A">
              <w:t>1</w:t>
            </w:r>
          </w:p>
          <w:p w14:paraId="6149C729" w14:textId="7D24731C" w:rsidR="00CE3698" w:rsidRPr="00D45F6A" w:rsidRDefault="00BC1BC4" w:rsidP="00BE7D74">
            <w:pPr>
              <w:pStyle w:val="Table"/>
              <w:jc w:val="right"/>
            </w:pPr>
            <w:r w:rsidRPr="00D45F6A">
              <w:t>0.04</w:t>
            </w:r>
          </w:p>
        </w:tc>
        <w:tc>
          <w:tcPr>
            <w:tcW w:w="1696" w:type="dxa"/>
            <w:tcBorders>
              <w:top w:val="single" w:sz="4" w:space="0" w:color="auto"/>
            </w:tcBorders>
          </w:tcPr>
          <w:p w14:paraId="74936B90" w14:textId="77777777" w:rsidR="00F86DE5" w:rsidRPr="00D45F6A" w:rsidRDefault="00F86DE5" w:rsidP="00BE7D74">
            <w:pPr>
              <w:pStyle w:val="Table"/>
              <w:jc w:val="right"/>
            </w:pPr>
          </w:p>
          <w:p w14:paraId="016C5C68" w14:textId="6520A15B" w:rsidR="00CE3698" w:rsidRPr="00D45F6A" w:rsidRDefault="00F07F5D" w:rsidP="00BE7D74">
            <w:pPr>
              <w:pStyle w:val="Table"/>
              <w:jc w:val="right"/>
            </w:pPr>
            <w:r w:rsidRPr="00D45F6A">
              <w:t>-0.12</w:t>
            </w:r>
            <w:r w:rsidR="00CE3698" w:rsidRPr="00D45F6A">
              <w:t xml:space="preserve"> (0.903)</w:t>
            </w:r>
          </w:p>
          <w:p w14:paraId="666A4CA7" w14:textId="4E4A5CDF" w:rsidR="00CE3698" w:rsidRPr="00D45F6A" w:rsidRDefault="00CE3698" w:rsidP="00BE7D74">
            <w:pPr>
              <w:pStyle w:val="Table"/>
              <w:jc w:val="right"/>
            </w:pPr>
            <w:r w:rsidRPr="00D45F6A">
              <w:t>0.66 (0.507)</w:t>
            </w:r>
          </w:p>
        </w:tc>
        <w:tc>
          <w:tcPr>
            <w:tcW w:w="642" w:type="dxa"/>
            <w:tcBorders>
              <w:top w:val="single" w:sz="4" w:space="0" w:color="auto"/>
            </w:tcBorders>
          </w:tcPr>
          <w:p w14:paraId="170B9DEE" w14:textId="3083237B" w:rsidR="00F86DE5" w:rsidRPr="00D45F6A" w:rsidRDefault="00CE3698" w:rsidP="00BE7D74">
            <w:pPr>
              <w:pStyle w:val="Table"/>
              <w:jc w:val="right"/>
            </w:pPr>
            <w:r w:rsidRPr="00D45F6A">
              <w:t>0.04</w:t>
            </w:r>
          </w:p>
        </w:tc>
        <w:tc>
          <w:tcPr>
            <w:tcW w:w="1264" w:type="dxa"/>
            <w:tcBorders>
              <w:top w:val="single" w:sz="4" w:space="0" w:color="auto"/>
            </w:tcBorders>
          </w:tcPr>
          <w:p w14:paraId="33B65F38" w14:textId="7468A274" w:rsidR="00F86DE5" w:rsidRPr="00D45F6A" w:rsidRDefault="00CE3698" w:rsidP="00BE7D74">
            <w:pPr>
              <w:pStyle w:val="Table"/>
              <w:jc w:val="right"/>
            </w:pPr>
            <w:r w:rsidRPr="00D45F6A">
              <w:t>0.002</w:t>
            </w:r>
          </w:p>
        </w:tc>
        <w:tc>
          <w:tcPr>
            <w:tcW w:w="2064" w:type="dxa"/>
            <w:tcBorders>
              <w:top w:val="single" w:sz="4" w:space="0" w:color="auto"/>
            </w:tcBorders>
          </w:tcPr>
          <w:p w14:paraId="766FC42D" w14:textId="53684640" w:rsidR="00F86DE5" w:rsidRPr="00D45F6A" w:rsidRDefault="00F81D5B" w:rsidP="00BE7D74">
            <w:pPr>
              <w:pStyle w:val="Table"/>
              <w:jc w:val="right"/>
            </w:pPr>
            <w:r w:rsidRPr="00D45F6A">
              <w:t>0.24</w:t>
            </w:r>
            <w:r w:rsidR="00CE3698" w:rsidRPr="00D45F6A">
              <w:t xml:space="preserve"> (0.787)</w:t>
            </w:r>
          </w:p>
        </w:tc>
      </w:tr>
      <w:tr w:rsidR="00BE4B12" w:rsidRPr="00D45F6A" w14:paraId="2517E578" w14:textId="77777777" w:rsidTr="007102CB">
        <w:trPr>
          <w:trHeight w:val="4059"/>
        </w:trPr>
        <w:tc>
          <w:tcPr>
            <w:tcW w:w="3063" w:type="dxa"/>
            <w:tcBorders>
              <w:bottom w:val="single" w:sz="4" w:space="0" w:color="auto"/>
            </w:tcBorders>
          </w:tcPr>
          <w:p w14:paraId="08B427E5" w14:textId="14567D6D" w:rsidR="00BE4B12" w:rsidRPr="00D45F6A" w:rsidRDefault="00BE4B12" w:rsidP="002927B5">
            <w:pPr>
              <w:pStyle w:val="Table"/>
            </w:pPr>
            <w:r w:rsidRPr="00D45F6A">
              <w:t xml:space="preserve">Step </w:t>
            </w:r>
            <w:r w:rsidR="00F86DE5" w:rsidRPr="00D45F6A">
              <w:t>2</w:t>
            </w:r>
          </w:p>
          <w:p w14:paraId="382A6C94" w14:textId="77777777" w:rsidR="0060472A" w:rsidRPr="00D45F6A" w:rsidRDefault="00BE4B12" w:rsidP="0060472A">
            <w:pPr>
              <w:pStyle w:val="Table"/>
            </w:pPr>
            <w:r w:rsidRPr="00D45F6A">
              <w:t xml:space="preserve"> </w:t>
            </w:r>
            <w:r w:rsidR="004C613D" w:rsidRPr="00D45F6A">
              <w:t xml:space="preserve"> </w:t>
            </w:r>
            <w:r w:rsidR="0060472A" w:rsidRPr="00D45F6A">
              <w:t>Age</w:t>
            </w:r>
          </w:p>
          <w:p w14:paraId="1B2620DC" w14:textId="77777777" w:rsidR="0060472A" w:rsidRPr="00D45F6A" w:rsidRDefault="0060472A" w:rsidP="0060472A">
            <w:pPr>
              <w:pStyle w:val="Table"/>
            </w:pPr>
            <w:r w:rsidRPr="00D45F6A">
              <w:t xml:space="preserve">  Gender </w:t>
            </w:r>
          </w:p>
          <w:p w14:paraId="64640C8D" w14:textId="1328EA29" w:rsidR="00BE4B12" w:rsidRPr="00D45F6A" w:rsidRDefault="0060472A" w:rsidP="0060472A">
            <w:pPr>
              <w:pStyle w:val="Table"/>
            </w:pPr>
            <w:r w:rsidRPr="00D45F6A">
              <w:t xml:space="preserve">  </w:t>
            </w:r>
            <w:r w:rsidR="00BE4B12" w:rsidRPr="00D45F6A">
              <w:t>Unusual experiences</w:t>
            </w:r>
          </w:p>
          <w:p w14:paraId="6D4267B2" w14:textId="77777777" w:rsidR="00BE4B12" w:rsidRPr="00D45F6A" w:rsidRDefault="00BE4B12" w:rsidP="002927B5">
            <w:pPr>
              <w:pStyle w:val="Table"/>
            </w:pPr>
            <w:r w:rsidRPr="00D45F6A">
              <w:t xml:space="preserve">  Cognitive disorganisation</w:t>
            </w:r>
          </w:p>
          <w:p w14:paraId="27910CC7" w14:textId="77777777" w:rsidR="00BE4B12" w:rsidRPr="00D45F6A" w:rsidRDefault="00BE4B12" w:rsidP="002927B5">
            <w:pPr>
              <w:pStyle w:val="Table"/>
              <w:rPr>
                <w:lang w:val="it-IT"/>
              </w:rPr>
            </w:pPr>
            <w:r w:rsidRPr="00D45F6A">
              <w:t xml:space="preserve">  </w:t>
            </w:r>
            <w:r w:rsidRPr="00D45F6A">
              <w:rPr>
                <w:lang w:val="it-IT"/>
              </w:rPr>
              <w:t>Introvertive anhedonia</w:t>
            </w:r>
          </w:p>
          <w:p w14:paraId="02A4048A" w14:textId="77777777" w:rsidR="00BE4B12" w:rsidRPr="00D45F6A" w:rsidRDefault="00BE4B12" w:rsidP="002927B5">
            <w:pPr>
              <w:pStyle w:val="Table"/>
              <w:rPr>
                <w:lang w:val="it-IT"/>
              </w:rPr>
            </w:pPr>
            <w:r w:rsidRPr="00D45F6A">
              <w:rPr>
                <w:lang w:val="it-IT"/>
              </w:rPr>
              <w:t xml:space="preserve">  Impulsive non-conformity</w:t>
            </w:r>
          </w:p>
        </w:tc>
        <w:tc>
          <w:tcPr>
            <w:tcW w:w="1794" w:type="dxa"/>
            <w:tcBorders>
              <w:bottom w:val="single" w:sz="4" w:space="0" w:color="auto"/>
            </w:tcBorders>
          </w:tcPr>
          <w:p w14:paraId="694ED83B" w14:textId="77777777" w:rsidR="00BE4B12" w:rsidRPr="00D45F6A" w:rsidRDefault="00BE4B12" w:rsidP="00BE7D74">
            <w:pPr>
              <w:pStyle w:val="Table"/>
              <w:jc w:val="right"/>
              <w:rPr>
                <w:lang w:val="it-IT"/>
              </w:rPr>
            </w:pPr>
          </w:p>
          <w:p w14:paraId="18CF77CA" w14:textId="7337EA8A" w:rsidR="0060472A" w:rsidRPr="00D45F6A" w:rsidRDefault="00DB43CD" w:rsidP="004C77D3">
            <w:pPr>
              <w:pStyle w:val="Table"/>
              <w:numPr>
                <w:ilvl w:val="1"/>
                <w:numId w:val="10"/>
              </w:numPr>
              <w:jc w:val="right"/>
            </w:pPr>
            <w:r w:rsidRPr="00D45F6A">
              <w:t>(0.02)</w:t>
            </w:r>
          </w:p>
          <w:p w14:paraId="07EEE79B" w14:textId="11D08B56" w:rsidR="00DB43CD" w:rsidRPr="00D45F6A" w:rsidRDefault="00BD5055" w:rsidP="00BD5055">
            <w:pPr>
              <w:pStyle w:val="Table"/>
              <w:jc w:val="right"/>
            </w:pPr>
            <w:r w:rsidRPr="00D45F6A">
              <w:t>-0.06 (0.50</w:t>
            </w:r>
            <w:r w:rsidR="00DB43CD" w:rsidRPr="00D45F6A">
              <w:t>)</w:t>
            </w:r>
          </w:p>
          <w:p w14:paraId="37730189" w14:textId="5C3C70E1" w:rsidR="00BE4B12" w:rsidRPr="00D45F6A" w:rsidRDefault="00BE4B12" w:rsidP="00BE7D74">
            <w:pPr>
              <w:pStyle w:val="Table"/>
              <w:jc w:val="right"/>
            </w:pPr>
            <w:r w:rsidRPr="00D45F6A">
              <w:t>-</w:t>
            </w:r>
            <w:r w:rsidR="00DF69C6" w:rsidRPr="00D45F6A">
              <w:t>0</w:t>
            </w:r>
            <w:r w:rsidRPr="00D45F6A">
              <w:t>.0</w:t>
            </w:r>
            <w:r w:rsidR="00BC1BC4" w:rsidRPr="00D45F6A">
              <w:t>6</w:t>
            </w:r>
            <w:r w:rsidRPr="00D45F6A">
              <w:t xml:space="preserve"> (</w:t>
            </w:r>
            <w:r w:rsidR="00DF69C6" w:rsidRPr="00D45F6A">
              <w:t>0</w:t>
            </w:r>
            <w:r w:rsidRPr="00D45F6A">
              <w:t>.0</w:t>
            </w:r>
            <w:r w:rsidR="00BD5055" w:rsidRPr="00D45F6A">
              <w:t>4</w:t>
            </w:r>
            <w:r w:rsidRPr="00D45F6A">
              <w:t>)</w:t>
            </w:r>
          </w:p>
          <w:p w14:paraId="520EB70A" w14:textId="78331013" w:rsidR="00BE4B12" w:rsidRPr="00D45F6A" w:rsidRDefault="00DF69C6" w:rsidP="00BE7D74">
            <w:pPr>
              <w:pStyle w:val="Table"/>
              <w:jc w:val="right"/>
            </w:pPr>
            <w:r w:rsidRPr="00D45F6A">
              <w:t>0</w:t>
            </w:r>
            <w:r w:rsidR="00BE4B12" w:rsidRPr="00D45F6A">
              <w:t>.30 (</w:t>
            </w:r>
            <w:r w:rsidRPr="00D45F6A">
              <w:t>0</w:t>
            </w:r>
            <w:r w:rsidR="00BE4B12" w:rsidRPr="00D45F6A">
              <w:t>.04)</w:t>
            </w:r>
          </w:p>
          <w:p w14:paraId="1990E569" w14:textId="15C34E9E" w:rsidR="00BE4B12" w:rsidRPr="00D45F6A" w:rsidRDefault="00DF69C6" w:rsidP="00BE7D74">
            <w:pPr>
              <w:pStyle w:val="Table"/>
              <w:jc w:val="right"/>
            </w:pPr>
            <w:r w:rsidRPr="00D45F6A">
              <w:t>0</w:t>
            </w:r>
            <w:r w:rsidR="00BE4B12" w:rsidRPr="00D45F6A">
              <w:t>.2</w:t>
            </w:r>
            <w:r w:rsidR="004A6586" w:rsidRPr="00D45F6A">
              <w:t>1</w:t>
            </w:r>
            <w:r w:rsidR="00BE4B12" w:rsidRPr="00D45F6A">
              <w:t xml:space="preserve"> (</w:t>
            </w:r>
            <w:r w:rsidRPr="00D45F6A">
              <w:t>0</w:t>
            </w:r>
            <w:r w:rsidR="00BE4B12" w:rsidRPr="00D45F6A">
              <w:t>.04)</w:t>
            </w:r>
          </w:p>
          <w:p w14:paraId="66BD9A66" w14:textId="4ABFBBB3" w:rsidR="00BE4B12" w:rsidRPr="00D45F6A" w:rsidRDefault="00BE4B12" w:rsidP="00BE7D74">
            <w:pPr>
              <w:pStyle w:val="Table"/>
              <w:jc w:val="right"/>
            </w:pPr>
            <w:r w:rsidRPr="00D45F6A">
              <w:t>-</w:t>
            </w:r>
            <w:r w:rsidR="00DF69C6" w:rsidRPr="00D45F6A">
              <w:t>0</w:t>
            </w:r>
            <w:r w:rsidRPr="00D45F6A">
              <w:t>.001 (</w:t>
            </w:r>
            <w:r w:rsidR="00DF69C6" w:rsidRPr="00D45F6A">
              <w:t>0</w:t>
            </w:r>
            <w:r w:rsidRPr="00D45F6A">
              <w:t>.07)</w:t>
            </w:r>
          </w:p>
        </w:tc>
        <w:tc>
          <w:tcPr>
            <w:tcW w:w="1526" w:type="dxa"/>
            <w:tcBorders>
              <w:bottom w:val="single" w:sz="4" w:space="0" w:color="auto"/>
            </w:tcBorders>
          </w:tcPr>
          <w:p w14:paraId="12D9302C" w14:textId="77777777" w:rsidR="00BE4B12" w:rsidRPr="00D45F6A" w:rsidRDefault="00BE4B12" w:rsidP="00BE7D74">
            <w:pPr>
              <w:pStyle w:val="Table"/>
              <w:jc w:val="right"/>
            </w:pPr>
          </w:p>
          <w:p w14:paraId="4B8417A2" w14:textId="64DB7CAF" w:rsidR="0060472A" w:rsidRPr="00D45F6A" w:rsidRDefault="00DB43CD" w:rsidP="00BE7D74">
            <w:pPr>
              <w:pStyle w:val="Table"/>
              <w:jc w:val="right"/>
            </w:pPr>
            <w:r w:rsidRPr="00D45F6A">
              <w:t>0.03</w:t>
            </w:r>
          </w:p>
          <w:p w14:paraId="258B8582" w14:textId="77777777" w:rsidR="0060472A" w:rsidRPr="00D45F6A" w:rsidRDefault="00DB43CD" w:rsidP="00BE7D74">
            <w:pPr>
              <w:pStyle w:val="Table"/>
              <w:jc w:val="right"/>
            </w:pPr>
            <w:r w:rsidRPr="00D45F6A">
              <w:t>-0.01</w:t>
            </w:r>
          </w:p>
          <w:p w14:paraId="42AC95E0" w14:textId="3EC35E4D" w:rsidR="00BE4B12" w:rsidRPr="00D45F6A" w:rsidRDefault="00BE4B12" w:rsidP="00BE7D74">
            <w:pPr>
              <w:pStyle w:val="Table"/>
              <w:jc w:val="right"/>
            </w:pPr>
            <w:r w:rsidRPr="00D45F6A">
              <w:t>-</w:t>
            </w:r>
            <w:r w:rsidR="00DF69C6" w:rsidRPr="00D45F6A">
              <w:t>0</w:t>
            </w:r>
            <w:r w:rsidRPr="00D45F6A">
              <w:t>.09</w:t>
            </w:r>
          </w:p>
          <w:p w14:paraId="71FE95E1" w14:textId="00ABC5F0" w:rsidR="00BE4B12" w:rsidRPr="00D45F6A" w:rsidRDefault="00DF69C6" w:rsidP="00BE7D74">
            <w:pPr>
              <w:pStyle w:val="Table"/>
              <w:jc w:val="right"/>
            </w:pPr>
            <w:r w:rsidRPr="00D45F6A">
              <w:t>0</w:t>
            </w:r>
            <w:r w:rsidR="00BE4B12" w:rsidRPr="00D45F6A">
              <w:t>.4</w:t>
            </w:r>
            <w:r w:rsidR="004A6586" w:rsidRPr="00D45F6A">
              <w:t>6</w:t>
            </w:r>
          </w:p>
          <w:p w14:paraId="4EC8BAF8" w14:textId="372BA63F" w:rsidR="00BE4B12" w:rsidRPr="00D45F6A" w:rsidRDefault="00DF69C6" w:rsidP="00BE7D74">
            <w:pPr>
              <w:pStyle w:val="Table"/>
              <w:jc w:val="right"/>
            </w:pPr>
            <w:r w:rsidRPr="00D45F6A">
              <w:t>0</w:t>
            </w:r>
            <w:r w:rsidR="00BE4B12" w:rsidRPr="00D45F6A">
              <w:t>.25</w:t>
            </w:r>
          </w:p>
          <w:p w14:paraId="05B99B08" w14:textId="20957E94" w:rsidR="00BE4B12" w:rsidRPr="00D45F6A" w:rsidRDefault="00BE4B12" w:rsidP="00BE7D74">
            <w:pPr>
              <w:pStyle w:val="Table"/>
              <w:jc w:val="right"/>
            </w:pPr>
            <w:r w:rsidRPr="00D45F6A">
              <w:t>-</w:t>
            </w:r>
            <w:r w:rsidR="00DF69C6" w:rsidRPr="00D45F6A">
              <w:t>0</w:t>
            </w:r>
            <w:r w:rsidRPr="00D45F6A">
              <w:t>.001</w:t>
            </w:r>
          </w:p>
        </w:tc>
        <w:tc>
          <w:tcPr>
            <w:tcW w:w="1696" w:type="dxa"/>
            <w:tcBorders>
              <w:bottom w:val="single" w:sz="4" w:space="0" w:color="auto"/>
            </w:tcBorders>
          </w:tcPr>
          <w:p w14:paraId="3C7D3AB4" w14:textId="77777777" w:rsidR="00BE4B12" w:rsidRPr="00D45F6A" w:rsidRDefault="00BE4B12" w:rsidP="00BE7D74">
            <w:pPr>
              <w:pStyle w:val="Table"/>
              <w:jc w:val="right"/>
            </w:pPr>
          </w:p>
          <w:p w14:paraId="748D9607" w14:textId="00212BD7" w:rsidR="0060472A" w:rsidRPr="00D45F6A" w:rsidRDefault="00DB43CD" w:rsidP="00BE7D74">
            <w:pPr>
              <w:pStyle w:val="Table"/>
              <w:jc w:val="right"/>
            </w:pPr>
            <w:r w:rsidRPr="00D45F6A">
              <w:t>0.59 (0.55</w:t>
            </w:r>
            <w:r w:rsidR="00F81D5B" w:rsidRPr="00D45F6A">
              <w:t>2</w:t>
            </w:r>
            <w:r w:rsidRPr="00D45F6A">
              <w:t>)</w:t>
            </w:r>
          </w:p>
          <w:p w14:paraId="6133BABC" w14:textId="6567BF23" w:rsidR="00DB43CD" w:rsidRPr="00D45F6A" w:rsidRDefault="00BD5055" w:rsidP="00DB43CD">
            <w:pPr>
              <w:pStyle w:val="Table"/>
              <w:jc w:val="right"/>
            </w:pPr>
            <w:r w:rsidRPr="00D45F6A">
              <w:t>-</w:t>
            </w:r>
            <w:r w:rsidR="00DB43CD" w:rsidRPr="00D45F6A">
              <w:t>0.11 (</w:t>
            </w:r>
            <w:r w:rsidR="00F81D5B" w:rsidRPr="00D45F6A">
              <w:t>0.909</w:t>
            </w:r>
            <w:r w:rsidR="001065A9" w:rsidRPr="00D45F6A">
              <w:t>)</w:t>
            </w:r>
          </w:p>
          <w:p w14:paraId="18322F0F" w14:textId="0913A6C7" w:rsidR="00BE4B12" w:rsidRPr="00D45F6A" w:rsidRDefault="00BE4B12" w:rsidP="00BE7D74">
            <w:pPr>
              <w:pStyle w:val="Table"/>
              <w:jc w:val="right"/>
            </w:pPr>
            <w:r w:rsidRPr="00D45F6A">
              <w:t>-1.</w:t>
            </w:r>
            <w:r w:rsidR="00F81D5B" w:rsidRPr="00D45F6A">
              <w:t>58</w:t>
            </w:r>
            <w:r w:rsidRPr="00D45F6A">
              <w:t xml:space="preserve"> (</w:t>
            </w:r>
            <w:r w:rsidR="00DF69C6" w:rsidRPr="00D45F6A">
              <w:t>0</w:t>
            </w:r>
            <w:r w:rsidRPr="00D45F6A">
              <w:t>.11</w:t>
            </w:r>
            <w:r w:rsidR="00F81D5B" w:rsidRPr="00D45F6A">
              <w:t>5</w:t>
            </w:r>
            <w:r w:rsidRPr="00D45F6A">
              <w:t>)</w:t>
            </w:r>
          </w:p>
          <w:p w14:paraId="584414E9" w14:textId="51F1D232" w:rsidR="00BE4B12" w:rsidRPr="00D45F6A" w:rsidRDefault="00BE4B12" w:rsidP="00BE7D74">
            <w:pPr>
              <w:pStyle w:val="Table"/>
              <w:jc w:val="right"/>
              <w:rPr>
                <w:b/>
              </w:rPr>
            </w:pPr>
            <w:r w:rsidRPr="00D45F6A">
              <w:rPr>
                <w:b/>
              </w:rPr>
              <w:t>7.</w:t>
            </w:r>
            <w:r w:rsidR="004A6586" w:rsidRPr="00D45F6A">
              <w:rPr>
                <w:b/>
              </w:rPr>
              <w:t>64</w:t>
            </w:r>
            <w:r w:rsidRPr="00D45F6A">
              <w:rPr>
                <w:b/>
              </w:rPr>
              <w:t xml:space="preserve"> (&lt;0.001)</w:t>
            </w:r>
          </w:p>
          <w:p w14:paraId="46E30CE7" w14:textId="4519A0F4" w:rsidR="00BE4B12" w:rsidRPr="00D45F6A" w:rsidRDefault="00BE4B12" w:rsidP="00BE7D74">
            <w:pPr>
              <w:pStyle w:val="Table"/>
              <w:jc w:val="right"/>
              <w:rPr>
                <w:b/>
              </w:rPr>
            </w:pPr>
            <w:r w:rsidRPr="00D45F6A">
              <w:rPr>
                <w:b/>
              </w:rPr>
              <w:t>4.</w:t>
            </w:r>
            <w:r w:rsidR="004A6586" w:rsidRPr="00D45F6A">
              <w:rPr>
                <w:b/>
              </w:rPr>
              <w:t>76</w:t>
            </w:r>
            <w:r w:rsidRPr="00D45F6A">
              <w:rPr>
                <w:b/>
              </w:rPr>
              <w:t xml:space="preserve"> (&lt;0.001)</w:t>
            </w:r>
          </w:p>
          <w:p w14:paraId="0F72E717" w14:textId="034093DA" w:rsidR="00BE4B12" w:rsidRPr="00D45F6A" w:rsidRDefault="00BE4B12" w:rsidP="00BE7D74">
            <w:pPr>
              <w:pStyle w:val="Table"/>
              <w:jc w:val="right"/>
            </w:pPr>
            <w:r w:rsidRPr="00D45F6A">
              <w:t>-</w:t>
            </w:r>
            <w:r w:rsidR="00DF69C6" w:rsidRPr="00D45F6A">
              <w:t>0</w:t>
            </w:r>
            <w:r w:rsidRPr="00D45F6A">
              <w:t>.02 (</w:t>
            </w:r>
            <w:r w:rsidR="00DF69C6" w:rsidRPr="00D45F6A">
              <w:t>0</w:t>
            </w:r>
            <w:r w:rsidRPr="00D45F6A">
              <w:t>.98</w:t>
            </w:r>
            <w:r w:rsidR="004A6586" w:rsidRPr="00D45F6A">
              <w:t>7</w:t>
            </w:r>
            <w:r w:rsidRPr="00D45F6A">
              <w:t>)</w:t>
            </w:r>
          </w:p>
        </w:tc>
        <w:tc>
          <w:tcPr>
            <w:tcW w:w="642" w:type="dxa"/>
            <w:tcBorders>
              <w:bottom w:val="single" w:sz="4" w:space="0" w:color="auto"/>
            </w:tcBorders>
          </w:tcPr>
          <w:p w14:paraId="461829C8" w14:textId="3053B548" w:rsidR="00BE4B12" w:rsidRPr="00D45F6A" w:rsidRDefault="00DF69C6" w:rsidP="00BE7D74">
            <w:pPr>
              <w:pStyle w:val="Table"/>
              <w:jc w:val="right"/>
            </w:pPr>
            <w:r w:rsidRPr="00D45F6A">
              <w:t>0</w:t>
            </w:r>
            <w:r w:rsidR="00BE4B12" w:rsidRPr="00D45F6A">
              <w:t>.56</w:t>
            </w:r>
          </w:p>
        </w:tc>
        <w:tc>
          <w:tcPr>
            <w:tcW w:w="1264" w:type="dxa"/>
            <w:tcBorders>
              <w:bottom w:val="single" w:sz="4" w:space="0" w:color="auto"/>
            </w:tcBorders>
          </w:tcPr>
          <w:p w14:paraId="2807C1FD" w14:textId="165E56E9" w:rsidR="00BE4B12" w:rsidRPr="00D45F6A" w:rsidRDefault="00DF69C6" w:rsidP="00BE7D74">
            <w:pPr>
              <w:pStyle w:val="Table"/>
              <w:jc w:val="right"/>
            </w:pPr>
            <w:r w:rsidRPr="00D45F6A">
              <w:t>0</w:t>
            </w:r>
            <w:r w:rsidR="00BE4B12" w:rsidRPr="00D45F6A">
              <w:t>.31</w:t>
            </w:r>
          </w:p>
          <w:p w14:paraId="4CA9C2B4" w14:textId="77777777" w:rsidR="00BE4B12" w:rsidRPr="00D45F6A" w:rsidRDefault="00BE4B12" w:rsidP="00BE7D74">
            <w:pPr>
              <w:pStyle w:val="Table"/>
              <w:jc w:val="right"/>
            </w:pPr>
          </w:p>
        </w:tc>
        <w:tc>
          <w:tcPr>
            <w:tcW w:w="2064" w:type="dxa"/>
            <w:tcBorders>
              <w:bottom w:val="single" w:sz="4" w:space="0" w:color="auto"/>
            </w:tcBorders>
          </w:tcPr>
          <w:p w14:paraId="279F4B49" w14:textId="5F74B230" w:rsidR="00BE4B12" w:rsidRPr="00D45F6A" w:rsidRDefault="00BE4B12" w:rsidP="00BE7D74">
            <w:pPr>
              <w:pStyle w:val="Table"/>
              <w:jc w:val="right"/>
              <w:rPr>
                <w:b/>
              </w:rPr>
            </w:pPr>
            <w:r w:rsidRPr="00D45F6A">
              <w:rPr>
                <w:b/>
              </w:rPr>
              <w:t>35.</w:t>
            </w:r>
            <w:r w:rsidR="00BC1BC4" w:rsidRPr="00D45F6A">
              <w:rPr>
                <w:b/>
              </w:rPr>
              <w:t>11</w:t>
            </w:r>
            <w:r w:rsidRPr="00D45F6A">
              <w:rPr>
                <w:b/>
              </w:rPr>
              <w:t xml:space="preserve"> (&lt;0.001)</w:t>
            </w:r>
          </w:p>
        </w:tc>
      </w:tr>
    </w:tbl>
    <w:p w14:paraId="61FE1A63" w14:textId="77777777" w:rsidR="0060472A" w:rsidRPr="00D45F6A" w:rsidRDefault="0060472A"/>
    <w:p w14:paraId="48EF6621" w14:textId="769297E2" w:rsidR="00C80E28" w:rsidRPr="00D45F6A" w:rsidRDefault="00C80E28"/>
    <w:p w14:paraId="11694B09" w14:textId="1AE4CAC9" w:rsidR="00C81130" w:rsidRPr="00D45F6A" w:rsidRDefault="00874C91">
      <w:r w:rsidRPr="00D45F6A">
        <w:lastRenderedPageBreak/>
        <w:t xml:space="preserve">Table </w:t>
      </w:r>
      <w:r w:rsidR="00626E70" w:rsidRPr="00D45F6A">
        <w:t>3</w:t>
      </w:r>
      <w:r w:rsidRPr="00D45F6A">
        <w:t xml:space="preserve"> continued</w:t>
      </w:r>
    </w:p>
    <w:tbl>
      <w:tblPr>
        <w:tblStyle w:val="TableGrid"/>
        <w:tblW w:w="12049"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794"/>
        <w:gridCol w:w="1526"/>
        <w:gridCol w:w="1696"/>
        <w:gridCol w:w="642"/>
        <w:gridCol w:w="1264"/>
        <w:gridCol w:w="2064"/>
      </w:tblGrid>
      <w:tr w:rsidR="007102CB" w:rsidRPr="00D45F6A" w14:paraId="36E0674B" w14:textId="77777777" w:rsidTr="007102CB">
        <w:tc>
          <w:tcPr>
            <w:tcW w:w="3063" w:type="dxa"/>
            <w:tcBorders>
              <w:top w:val="single" w:sz="4" w:space="0" w:color="auto"/>
              <w:bottom w:val="single" w:sz="4" w:space="0" w:color="auto"/>
            </w:tcBorders>
          </w:tcPr>
          <w:p w14:paraId="64F68EF3" w14:textId="3E661CB0" w:rsidR="007102CB" w:rsidRPr="00D45F6A" w:rsidRDefault="007102CB" w:rsidP="00D40C7D">
            <w:pPr>
              <w:pStyle w:val="Table"/>
            </w:pPr>
            <w:r w:rsidRPr="00D45F6A">
              <w:t>Predictor</w:t>
            </w:r>
          </w:p>
        </w:tc>
        <w:tc>
          <w:tcPr>
            <w:tcW w:w="1794" w:type="dxa"/>
            <w:tcBorders>
              <w:top w:val="single" w:sz="4" w:space="0" w:color="auto"/>
              <w:bottom w:val="single" w:sz="4" w:space="0" w:color="auto"/>
            </w:tcBorders>
          </w:tcPr>
          <w:p w14:paraId="61D6ECD9" w14:textId="77777777" w:rsidR="007102CB" w:rsidRPr="00D45F6A" w:rsidRDefault="007102CB" w:rsidP="00D40C7D">
            <w:pPr>
              <w:pStyle w:val="Table"/>
            </w:pPr>
            <w:r w:rsidRPr="00D45F6A">
              <w:t>Unstandardised beta (S.E.)</w:t>
            </w:r>
          </w:p>
        </w:tc>
        <w:tc>
          <w:tcPr>
            <w:tcW w:w="1526" w:type="dxa"/>
            <w:tcBorders>
              <w:top w:val="single" w:sz="4" w:space="0" w:color="auto"/>
              <w:bottom w:val="single" w:sz="4" w:space="0" w:color="auto"/>
            </w:tcBorders>
          </w:tcPr>
          <w:p w14:paraId="0D49223E" w14:textId="77777777" w:rsidR="007102CB" w:rsidRPr="00D45F6A" w:rsidRDefault="007102CB" w:rsidP="00D40C7D">
            <w:pPr>
              <w:pStyle w:val="Table"/>
            </w:pPr>
            <w:r w:rsidRPr="00D45F6A">
              <w:t>Standardised beta</w:t>
            </w:r>
          </w:p>
        </w:tc>
        <w:tc>
          <w:tcPr>
            <w:tcW w:w="1696" w:type="dxa"/>
            <w:tcBorders>
              <w:top w:val="single" w:sz="4" w:space="0" w:color="auto"/>
              <w:bottom w:val="single" w:sz="4" w:space="0" w:color="auto"/>
            </w:tcBorders>
          </w:tcPr>
          <w:p w14:paraId="49B35D18" w14:textId="77777777" w:rsidR="007102CB" w:rsidRPr="00D45F6A" w:rsidRDefault="007102CB" w:rsidP="00D40C7D">
            <w:pPr>
              <w:pStyle w:val="Table"/>
            </w:pPr>
            <w:r w:rsidRPr="00D45F6A">
              <w:rPr>
                <w:i/>
              </w:rPr>
              <w:t>t</w:t>
            </w:r>
            <w:r w:rsidRPr="00D45F6A">
              <w:t xml:space="preserve"> (</w:t>
            </w:r>
            <w:r w:rsidRPr="00D45F6A">
              <w:rPr>
                <w:i/>
              </w:rPr>
              <w:t>p</w:t>
            </w:r>
            <w:r w:rsidRPr="00D45F6A">
              <w:t>-value)</w:t>
            </w:r>
          </w:p>
        </w:tc>
        <w:tc>
          <w:tcPr>
            <w:tcW w:w="642" w:type="dxa"/>
            <w:tcBorders>
              <w:top w:val="single" w:sz="4" w:space="0" w:color="auto"/>
              <w:bottom w:val="single" w:sz="4" w:space="0" w:color="auto"/>
            </w:tcBorders>
          </w:tcPr>
          <w:p w14:paraId="010740E2" w14:textId="77777777" w:rsidR="007102CB" w:rsidRPr="00D45F6A" w:rsidRDefault="007102CB" w:rsidP="00D40C7D">
            <w:pPr>
              <w:pStyle w:val="Table"/>
              <w:rPr>
                <w:i/>
              </w:rPr>
            </w:pPr>
            <w:r w:rsidRPr="00D45F6A">
              <w:rPr>
                <w:i/>
              </w:rPr>
              <w:t>R</w:t>
            </w:r>
          </w:p>
        </w:tc>
        <w:tc>
          <w:tcPr>
            <w:tcW w:w="1264" w:type="dxa"/>
            <w:tcBorders>
              <w:top w:val="single" w:sz="4" w:space="0" w:color="auto"/>
              <w:bottom w:val="single" w:sz="4" w:space="0" w:color="auto"/>
            </w:tcBorders>
          </w:tcPr>
          <w:p w14:paraId="0E50C571" w14:textId="77777777" w:rsidR="007102CB" w:rsidRPr="00D45F6A" w:rsidRDefault="007102CB" w:rsidP="00D40C7D">
            <w:pPr>
              <w:pStyle w:val="Table"/>
            </w:pPr>
            <w:r w:rsidRPr="00D45F6A">
              <w:rPr>
                <w:i/>
              </w:rPr>
              <w:t>R</w:t>
            </w:r>
            <w:r w:rsidRPr="00D45F6A">
              <w:t>-square change</w:t>
            </w:r>
          </w:p>
        </w:tc>
        <w:tc>
          <w:tcPr>
            <w:tcW w:w="2064" w:type="dxa"/>
            <w:tcBorders>
              <w:top w:val="single" w:sz="4" w:space="0" w:color="auto"/>
              <w:bottom w:val="single" w:sz="4" w:space="0" w:color="auto"/>
            </w:tcBorders>
          </w:tcPr>
          <w:p w14:paraId="4BB34164" w14:textId="77777777" w:rsidR="007102CB" w:rsidRPr="00D45F6A" w:rsidRDefault="007102CB" w:rsidP="00D40C7D">
            <w:pPr>
              <w:pStyle w:val="Table"/>
            </w:pPr>
            <w:r w:rsidRPr="00D45F6A">
              <w:rPr>
                <w:i/>
              </w:rPr>
              <w:t>F</w:t>
            </w:r>
            <w:r w:rsidRPr="00D45F6A">
              <w:t>-change (</w:t>
            </w:r>
            <w:r w:rsidRPr="00D45F6A">
              <w:rPr>
                <w:i/>
              </w:rPr>
              <w:t>p</w:t>
            </w:r>
            <w:r w:rsidRPr="00D45F6A">
              <w:t>-value)</w:t>
            </w:r>
          </w:p>
        </w:tc>
      </w:tr>
      <w:tr w:rsidR="007102CB" w:rsidRPr="00D45F6A" w14:paraId="287B4F3B" w14:textId="77777777" w:rsidTr="007102CB">
        <w:trPr>
          <w:trHeight w:val="6803"/>
        </w:trPr>
        <w:tc>
          <w:tcPr>
            <w:tcW w:w="3063" w:type="dxa"/>
            <w:tcBorders>
              <w:top w:val="single" w:sz="4" w:space="0" w:color="auto"/>
              <w:bottom w:val="single" w:sz="4" w:space="0" w:color="auto"/>
            </w:tcBorders>
          </w:tcPr>
          <w:p w14:paraId="37707374" w14:textId="6010FFCD" w:rsidR="007102CB" w:rsidRPr="00D45F6A" w:rsidRDefault="007102CB" w:rsidP="00C801A9">
            <w:pPr>
              <w:pStyle w:val="Table"/>
            </w:pPr>
            <w:r w:rsidRPr="00D45F6A">
              <w:t>Step 3</w:t>
            </w:r>
          </w:p>
          <w:p w14:paraId="13D03FEB" w14:textId="77777777" w:rsidR="007102CB" w:rsidRPr="00D45F6A" w:rsidRDefault="007102CB" w:rsidP="00C801A9">
            <w:pPr>
              <w:pStyle w:val="Table"/>
            </w:pPr>
            <w:r w:rsidRPr="00D45F6A">
              <w:t xml:space="preserve">  Age</w:t>
            </w:r>
          </w:p>
          <w:p w14:paraId="7AEFE429" w14:textId="1FED075E" w:rsidR="007102CB" w:rsidRPr="00D45F6A" w:rsidRDefault="007102CB" w:rsidP="00C801A9">
            <w:pPr>
              <w:pStyle w:val="Table"/>
            </w:pPr>
            <w:r w:rsidRPr="00D45F6A">
              <w:t xml:space="preserve">  Gender</w:t>
            </w:r>
          </w:p>
          <w:p w14:paraId="7009ECA6" w14:textId="54AE86FB" w:rsidR="007102CB" w:rsidRPr="00D45F6A" w:rsidRDefault="007102CB" w:rsidP="00C801A9">
            <w:pPr>
              <w:pStyle w:val="Table"/>
            </w:pPr>
            <w:r w:rsidRPr="00D45F6A">
              <w:t xml:space="preserve">  Unusual experiences</w:t>
            </w:r>
          </w:p>
          <w:p w14:paraId="47C88F65" w14:textId="77777777" w:rsidR="007102CB" w:rsidRPr="00D45F6A" w:rsidRDefault="007102CB" w:rsidP="00C801A9">
            <w:pPr>
              <w:pStyle w:val="Table"/>
            </w:pPr>
            <w:r w:rsidRPr="00D45F6A">
              <w:t xml:space="preserve">  Cognitive disorganisation</w:t>
            </w:r>
          </w:p>
          <w:p w14:paraId="202898C4" w14:textId="77777777" w:rsidR="007102CB" w:rsidRPr="00D45F6A" w:rsidRDefault="007102CB" w:rsidP="00C81130">
            <w:pPr>
              <w:pStyle w:val="Table"/>
            </w:pPr>
            <w:r w:rsidRPr="00D45F6A">
              <w:t xml:space="preserve">  Introvertive anhedonia</w:t>
            </w:r>
          </w:p>
          <w:p w14:paraId="5B1B4563" w14:textId="744F5806" w:rsidR="007102CB" w:rsidRPr="00D45F6A" w:rsidRDefault="007102CB" w:rsidP="004E148B">
            <w:pPr>
              <w:pStyle w:val="Table"/>
              <w:rPr>
                <w:lang w:val="fr-FR"/>
              </w:rPr>
            </w:pPr>
            <w:r w:rsidRPr="00D45F6A">
              <w:rPr>
                <w:lang w:val="fr-FR"/>
              </w:rPr>
              <w:t xml:space="preserve">  Impulsive non-conformity</w:t>
            </w:r>
          </w:p>
          <w:p w14:paraId="4041C72C" w14:textId="77777777" w:rsidR="007102CB" w:rsidRPr="00D45F6A" w:rsidRDefault="007102CB" w:rsidP="004E148B">
            <w:pPr>
              <w:pStyle w:val="Table"/>
              <w:rPr>
                <w:lang w:val="fr-FR"/>
              </w:rPr>
            </w:pPr>
            <w:r w:rsidRPr="00D45F6A">
              <w:rPr>
                <w:lang w:val="fr-FR"/>
              </w:rPr>
              <w:t xml:space="preserve">  Physical QOL</w:t>
            </w:r>
          </w:p>
          <w:p w14:paraId="3236952C" w14:textId="77777777" w:rsidR="007102CB" w:rsidRPr="00D45F6A" w:rsidRDefault="007102CB" w:rsidP="00C81130">
            <w:pPr>
              <w:pStyle w:val="Table"/>
              <w:rPr>
                <w:lang w:val="fr-FR"/>
              </w:rPr>
            </w:pPr>
            <w:r w:rsidRPr="00D45F6A">
              <w:rPr>
                <w:lang w:val="fr-FR"/>
              </w:rPr>
              <w:t xml:space="preserve">  Psychological QOL</w:t>
            </w:r>
          </w:p>
          <w:p w14:paraId="700D2406" w14:textId="2879C2B9" w:rsidR="007102CB" w:rsidRPr="00D45F6A" w:rsidRDefault="007102CB" w:rsidP="004E148B">
            <w:pPr>
              <w:pStyle w:val="Table"/>
            </w:pPr>
            <w:r w:rsidRPr="00D45F6A">
              <w:t xml:space="preserve">  Social QOL</w:t>
            </w:r>
          </w:p>
          <w:p w14:paraId="172FA33E" w14:textId="71317FD0" w:rsidR="007102CB" w:rsidRPr="00D45F6A" w:rsidRDefault="007102CB" w:rsidP="00C81130">
            <w:pPr>
              <w:pStyle w:val="Table"/>
            </w:pPr>
            <w:r w:rsidRPr="00D45F6A">
              <w:t xml:space="preserve">  Environmental QOL</w:t>
            </w:r>
          </w:p>
        </w:tc>
        <w:tc>
          <w:tcPr>
            <w:tcW w:w="1794" w:type="dxa"/>
            <w:tcBorders>
              <w:top w:val="single" w:sz="4" w:space="0" w:color="auto"/>
              <w:bottom w:val="single" w:sz="4" w:space="0" w:color="auto"/>
            </w:tcBorders>
          </w:tcPr>
          <w:p w14:paraId="4B4C74F9" w14:textId="77777777" w:rsidR="007102CB" w:rsidRPr="00D45F6A" w:rsidRDefault="007102CB" w:rsidP="00C801A9">
            <w:pPr>
              <w:pStyle w:val="Table"/>
              <w:jc w:val="right"/>
              <w:rPr>
                <w:lang w:val="fr-FR"/>
              </w:rPr>
            </w:pPr>
          </w:p>
          <w:p w14:paraId="4F3045AE" w14:textId="76A15224" w:rsidR="007102CB" w:rsidRPr="00D45F6A" w:rsidRDefault="007102CB" w:rsidP="00C801A9">
            <w:pPr>
              <w:pStyle w:val="Table"/>
              <w:jc w:val="right"/>
            </w:pPr>
            <w:r w:rsidRPr="00D45F6A">
              <w:t>0.02 (0.02)</w:t>
            </w:r>
          </w:p>
          <w:p w14:paraId="09EDFA28" w14:textId="5734F63E" w:rsidR="007102CB" w:rsidRPr="00D45F6A" w:rsidRDefault="007102CB" w:rsidP="00C801A9">
            <w:pPr>
              <w:pStyle w:val="Table"/>
              <w:jc w:val="right"/>
            </w:pPr>
            <w:r w:rsidRPr="00D45F6A">
              <w:t>-0.12 (0.47)</w:t>
            </w:r>
          </w:p>
          <w:p w14:paraId="52F4488C" w14:textId="77777777" w:rsidR="007102CB" w:rsidRPr="00D45F6A" w:rsidRDefault="007102CB" w:rsidP="00C81130">
            <w:pPr>
              <w:pStyle w:val="Table"/>
              <w:jc w:val="right"/>
            </w:pPr>
            <w:r w:rsidRPr="00D45F6A">
              <w:t>-0.03 (0.04)</w:t>
            </w:r>
          </w:p>
          <w:p w14:paraId="559764FB" w14:textId="77777777" w:rsidR="007102CB" w:rsidRPr="00D45F6A" w:rsidRDefault="007102CB" w:rsidP="00C81130">
            <w:pPr>
              <w:pStyle w:val="Table"/>
              <w:jc w:val="right"/>
            </w:pPr>
            <w:r w:rsidRPr="00D45F6A">
              <w:t>0.13 (0.05)</w:t>
            </w:r>
          </w:p>
          <w:p w14:paraId="28B84B1C" w14:textId="4D4AE8B6" w:rsidR="007102CB" w:rsidRPr="00D45F6A" w:rsidRDefault="007102CB" w:rsidP="00C81130">
            <w:pPr>
              <w:pStyle w:val="Table"/>
              <w:jc w:val="right"/>
            </w:pPr>
            <w:r w:rsidRPr="00D45F6A">
              <w:t>0.10 (0.04)</w:t>
            </w:r>
          </w:p>
          <w:p w14:paraId="575F745A" w14:textId="76E44A10" w:rsidR="007102CB" w:rsidRPr="00D45F6A" w:rsidRDefault="007102CB" w:rsidP="00C81130">
            <w:pPr>
              <w:pStyle w:val="Table"/>
              <w:jc w:val="right"/>
            </w:pPr>
            <w:r w:rsidRPr="00D45F6A">
              <w:t>-0.02 (0.07)</w:t>
            </w:r>
          </w:p>
          <w:p w14:paraId="5772AF11" w14:textId="77777777" w:rsidR="007102CB" w:rsidRPr="00D45F6A" w:rsidRDefault="007102CB" w:rsidP="00C81130">
            <w:pPr>
              <w:pStyle w:val="Table"/>
              <w:jc w:val="right"/>
            </w:pPr>
            <w:r w:rsidRPr="00D45F6A">
              <w:t>0.09 (0.11)</w:t>
            </w:r>
          </w:p>
          <w:p w14:paraId="7264E3FD" w14:textId="77777777" w:rsidR="007102CB" w:rsidRPr="00D45F6A" w:rsidRDefault="007102CB" w:rsidP="00C81130">
            <w:pPr>
              <w:pStyle w:val="Table"/>
              <w:jc w:val="right"/>
            </w:pPr>
            <w:r w:rsidRPr="00D45F6A">
              <w:t>-0.51 (0.13)</w:t>
            </w:r>
          </w:p>
          <w:p w14:paraId="733B92E7" w14:textId="77777777" w:rsidR="007102CB" w:rsidRPr="00D45F6A" w:rsidRDefault="007102CB" w:rsidP="00C81130">
            <w:pPr>
              <w:pStyle w:val="Table"/>
              <w:jc w:val="right"/>
            </w:pPr>
            <w:r w:rsidRPr="00D45F6A">
              <w:t>-0.28 (0.09)</w:t>
            </w:r>
          </w:p>
          <w:p w14:paraId="19962D49" w14:textId="65994194" w:rsidR="007102CB" w:rsidRPr="00D45F6A" w:rsidRDefault="007102CB" w:rsidP="00C81130">
            <w:pPr>
              <w:pStyle w:val="Table"/>
              <w:jc w:val="right"/>
            </w:pPr>
            <w:r w:rsidRPr="00D45F6A">
              <w:t>-0.04 (0.13)</w:t>
            </w:r>
          </w:p>
        </w:tc>
        <w:tc>
          <w:tcPr>
            <w:tcW w:w="1526" w:type="dxa"/>
            <w:tcBorders>
              <w:top w:val="single" w:sz="4" w:space="0" w:color="auto"/>
              <w:bottom w:val="single" w:sz="4" w:space="0" w:color="auto"/>
            </w:tcBorders>
          </w:tcPr>
          <w:p w14:paraId="0C5BA95A" w14:textId="77777777" w:rsidR="007102CB" w:rsidRPr="00D45F6A" w:rsidRDefault="007102CB" w:rsidP="00C801A9">
            <w:pPr>
              <w:pStyle w:val="Table"/>
              <w:jc w:val="right"/>
            </w:pPr>
          </w:p>
          <w:p w14:paraId="337C9FA9" w14:textId="42A208A0" w:rsidR="007102CB" w:rsidRPr="00D45F6A" w:rsidRDefault="007102CB" w:rsidP="00C801A9">
            <w:pPr>
              <w:pStyle w:val="Table"/>
              <w:jc w:val="right"/>
            </w:pPr>
            <w:r w:rsidRPr="00D45F6A">
              <w:t>0.04</w:t>
            </w:r>
          </w:p>
          <w:p w14:paraId="4F05F88D" w14:textId="5140576E" w:rsidR="007102CB" w:rsidRPr="00D45F6A" w:rsidRDefault="007102CB" w:rsidP="00C801A9">
            <w:pPr>
              <w:pStyle w:val="Table"/>
              <w:jc w:val="right"/>
            </w:pPr>
            <w:r w:rsidRPr="00D45F6A">
              <w:t>-0.01</w:t>
            </w:r>
          </w:p>
          <w:p w14:paraId="7C9389E8" w14:textId="77777777" w:rsidR="007102CB" w:rsidRPr="00D45F6A" w:rsidRDefault="007102CB" w:rsidP="00C81130">
            <w:pPr>
              <w:pStyle w:val="Table"/>
              <w:jc w:val="right"/>
            </w:pPr>
            <w:r w:rsidRPr="00D45F6A">
              <w:t>-0.05</w:t>
            </w:r>
          </w:p>
          <w:p w14:paraId="557074B1" w14:textId="77777777" w:rsidR="007102CB" w:rsidRPr="00D45F6A" w:rsidRDefault="007102CB" w:rsidP="00C81130">
            <w:pPr>
              <w:pStyle w:val="Table"/>
              <w:jc w:val="right"/>
            </w:pPr>
            <w:r w:rsidRPr="00D45F6A">
              <w:t>0.20</w:t>
            </w:r>
          </w:p>
          <w:p w14:paraId="44F50DD9" w14:textId="7C860447" w:rsidR="007102CB" w:rsidRPr="00D45F6A" w:rsidRDefault="007102CB" w:rsidP="00C81130">
            <w:pPr>
              <w:pStyle w:val="Table"/>
              <w:jc w:val="right"/>
            </w:pPr>
            <w:r w:rsidRPr="00D45F6A">
              <w:t>0.12</w:t>
            </w:r>
          </w:p>
          <w:p w14:paraId="2A63C5A0" w14:textId="1C5E9A77" w:rsidR="007102CB" w:rsidRPr="00D45F6A" w:rsidRDefault="007102CB" w:rsidP="00C81130">
            <w:pPr>
              <w:pStyle w:val="Table"/>
              <w:jc w:val="right"/>
            </w:pPr>
            <w:r w:rsidRPr="00D45F6A">
              <w:t>-0.01</w:t>
            </w:r>
          </w:p>
          <w:p w14:paraId="388C4A13" w14:textId="77777777" w:rsidR="007102CB" w:rsidRPr="00D45F6A" w:rsidRDefault="007102CB" w:rsidP="00C81130">
            <w:pPr>
              <w:pStyle w:val="Table"/>
              <w:jc w:val="right"/>
            </w:pPr>
            <w:r w:rsidRPr="00D45F6A">
              <w:t>0.05</w:t>
            </w:r>
          </w:p>
          <w:p w14:paraId="18C231FD" w14:textId="77777777" w:rsidR="007102CB" w:rsidRPr="00D45F6A" w:rsidRDefault="007102CB" w:rsidP="00C81130">
            <w:pPr>
              <w:pStyle w:val="Table"/>
              <w:jc w:val="right"/>
            </w:pPr>
            <w:r w:rsidRPr="00D45F6A">
              <w:t>-0.32</w:t>
            </w:r>
          </w:p>
          <w:p w14:paraId="7C43F49B" w14:textId="0791727C" w:rsidR="007102CB" w:rsidRPr="00D45F6A" w:rsidRDefault="007102CB" w:rsidP="00C81130">
            <w:pPr>
              <w:pStyle w:val="Table"/>
              <w:jc w:val="right"/>
            </w:pPr>
            <w:r w:rsidRPr="00D45F6A">
              <w:t>-0.19</w:t>
            </w:r>
          </w:p>
          <w:p w14:paraId="3153FFFE" w14:textId="44849A71" w:rsidR="007102CB" w:rsidRPr="00D45F6A" w:rsidRDefault="007102CB" w:rsidP="007102CB">
            <w:pPr>
              <w:pStyle w:val="Table"/>
              <w:jc w:val="right"/>
            </w:pPr>
            <w:r w:rsidRPr="00D45F6A">
              <w:t>-0.02</w:t>
            </w:r>
          </w:p>
        </w:tc>
        <w:tc>
          <w:tcPr>
            <w:tcW w:w="1696" w:type="dxa"/>
            <w:tcBorders>
              <w:top w:val="single" w:sz="4" w:space="0" w:color="auto"/>
              <w:bottom w:val="single" w:sz="4" w:space="0" w:color="auto"/>
            </w:tcBorders>
          </w:tcPr>
          <w:p w14:paraId="67F1B7AF" w14:textId="77777777" w:rsidR="007102CB" w:rsidRPr="00D45F6A" w:rsidRDefault="007102CB" w:rsidP="004C77D3">
            <w:pPr>
              <w:pStyle w:val="Table"/>
            </w:pPr>
          </w:p>
          <w:p w14:paraId="3F209AC7" w14:textId="581307C4" w:rsidR="007102CB" w:rsidRPr="00D45F6A" w:rsidRDefault="007102CB" w:rsidP="00C801A9">
            <w:pPr>
              <w:pStyle w:val="Table"/>
              <w:jc w:val="right"/>
            </w:pPr>
            <w:r w:rsidRPr="00D45F6A">
              <w:t>0.81 (0.419)</w:t>
            </w:r>
          </w:p>
          <w:p w14:paraId="60DE94D7" w14:textId="286AE6B4" w:rsidR="007102CB" w:rsidRPr="00D45F6A" w:rsidRDefault="007102CB" w:rsidP="00C801A9">
            <w:pPr>
              <w:pStyle w:val="Table"/>
              <w:jc w:val="right"/>
            </w:pPr>
            <w:r w:rsidRPr="00D45F6A">
              <w:t>-0.26 (0.791)</w:t>
            </w:r>
          </w:p>
          <w:p w14:paraId="54AA4FF9" w14:textId="77777777" w:rsidR="007102CB" w:rsidRPr="00D45F6A" w:rsidRDefault="007102CB" w:rsidP="00C81130">
            <w:pPr>
              <w:pStyle w:val="Table"/>
              <w:jc w:val="right"/>
            </w:pPr>
            <w:r w:rsidRPr="00D45F6A">
              <w:t>-0.78 (0.437)</w:t>
            </w:r>
          </w:p>
          <w:p w14:paraId="0E8C5BCC" w14:textId="77777777" w:rsidR="007102CB" w:rsidRPr="00D45F6A" w:rsidRDefault="007102CB" w:rsidP="00C81130">
            <w:pPr>
              <w:pStyle w:val="Table"/>
              <w:jc w:val="right"/>
              <w:rPr>
                <w:b/>
              </w:rPr>
            </w:pPr>
            <w:r w:rsidRPr="00D45F6A">
              <w:rPr>
                <w:b/>
              </w:rPr>
              <w:t>2.72 (0.007)</w:t>
            </w:r>
          </w:p>
          <w:p w14:paraId="2569C647" w14:textId="4C190F66" w:rsidR="007102CB" w:rsidRPr="00D45F6A" w:rsidRDefault="007102CB" w:rsidP="00C81130">
            <w:pPr>
              <w:pStyle w:val="Table"/>
              <w:jc w:val="right"/>
            </w:pPr>
            <w:r w:rsidRPr="00D45F6A">
              <w:rPr>
                <w:b/>
              </w:rPr>
              <w:t>2.95 (0.022)</w:t>
            </w:r>
          </w:p>
          <w:p w14:paraId="2FD7CF14" w14:textId="7F9D53C7" w:rsidR="007102CB" w:rsidRPr="00D45F6A" w:rsidRDefault="007102CB" w:rsidP="00C81130">
            <w:pPr>
              <w:pStyle w:val="Table"/>
              <w:jc w:val="right"/>
            </w:pPr>
            <w:r w:rsidRPr="00D45F6A">
              <w:t>-0.27 (0.790)</w:t>
            </w:r>
          </w:p>
          <w:p w14:paraId="6718D011" w14:textId="77777777" w:rsidR="007102CB" w:rsidRPr="00D45F6A" w:rsidRDefault="007102CB" w:rsidP="00C81130">
            <w:pPr>
              <w:pStyle w:val="Table"/>
              <w:jc w:val="right"/>
            </w:pPr>
            <w:r w:rsidRPr="00D45F6A">
              <w:t>0.77 (0.440)</w:t>
            </w:r>
          </w:p>
          <w:p w14:paraId="1E393759" w14:textId="73479B8F" w:rsidR="007102CB" w:rsidRPr="00D45F6A" w:rsidRDefault="007102CB" w:rsidP="00C81130">
            <w:pPr>
              <w:pStyle w:val="Table"/>
              <w:jc w:val="right"/>
              <w:rPr>
                <w:b/>
              </w:rPr>
            </w:pPr>
            <w:r w:rsidRPr="00D45F6A">
              <w:rPr>
                <w:b/>
              </w:rPr>
              <w:t>-4.02 (&lt;0.001)</w:t>
            </w:r>
          </w:p>
          <w:p w14:paraId="72D3CC89" w14:textId="55E4C2DF" w:rsidR="007102CB" w:rsidRPr="00D45F6A" w:rsidRDefault="007102CB" w:rsidP="00C81130">
            <w:pPr>
              <w:pStyle w:val="Table"/>
              <w:jc w:val="right"/>
            </w:pPr>
            <w:r w:rsidRPr="00D45F6A">
              <w:rPr>
                <w:b/>
              </w:rPr>
              <w:t>-3.15 (0.002)</w:t>
            </w:r>
          </w:p>
          <w:p w14:paraId="7E908F22" w14:textId="2E25AC95" w:rsidR="007102CB" w:rsidRPr="00D45F6A" w:rsidRDefault="007102CB" w:rsidP="007102CB">
            <w:pPr>
              <w:pStyle w:val="Table"/>
              <w:jc w:val="right"/>
            </w:pPr>
            <w:r w:rsidRPr="00D45F6A">
              <w:t>-0.31 (0.759)</w:t>
            </w:r>
          </w:p>
        </w:tc>
        <w:tc>
          <w:tcPr>
            <w:tcW w:w="642" w:type="dxa"/>
            <w:tcBorders>
              <w:top w:val="single" w:sz="4" w:space="0" w:color="auto"/>
              <w:bottom w:val="single" w:sz="4" w:space="0" w:color="auto"/>
            </w:tcBorders>
          </w:tcPr>
          <w:p w14:paraId="0ACFFFB8" w14:textId="7AA08520" w:rsidR="007102CB" w:rsidRPr="00D45F6A" w:rsidRDefault="007102CB" w:rsidP="00BE7D74">
            <w:pPr>
              <w:pStyle w:val="Table"/>
              <w:jc w:val="right"/>
            </w:pPr>
            <w:r w:rsidRPr="00D45F6A">
              <w:t>0.64</w:t>
            </w:r>
          </w:p>
        </w:tc>
        <w:tc>
          <w:tcPr>
            <w:tcW w:w="1264" w:type="dxa"/>
            <w:tcBorders>
              <w:top w:val="single" w:sz="4" w:space="0" w:color="auto"/>
              <w:bottom w:val="single" w:sz="4" w:space="0" w:color="auto"/>
            </w:tcBorders>
          </w:tcPr>
          <w:p w14:paraId="6891ECC4" w14:textId="7B20091E" w:rsidR="007102CB" w:rsidRPr="00D45F6A" w:rsidRDefault="007102CB" w:rsidP="00BE7D74">
            <w:pPr>
              <w:pStyle w:val="Table"/>
              <w:jc w:val="right"/>
            </w:pPr>
            <w:r w:rsidRPr="00D45F6A">
              <w:t>0.10</w:t>
            </w:r>
          </w:p>
        </w:tc>
        <w:tc>
          <w:tcPr>
            <w:tcW w:w="2064" w:type="dxa"/>
            <w:tcBorders>
              <w:top w:val="single" w:sz="4" w:space="0" w:color="auto"/>
              <w:bottom w:val="single" w:sz="4" w:space="0" w:color="auto"/>
            </w:tcBorders>
          </w:tcPr>
          <w:p w14:paraId="4134FA83" w14:textId="02B1FD3B" w:rsidR="007102CB" w:rsidRPr="00D45F6A" w:rsidRDefault="007102CB" w:rsidP="00BE7D74">
            <w:pPr>
              <w:pStyle w:val="Table"/>
              <w:jc w:val="right"/>
            </w:pPr>
            <w:r w:rsidRPr="00D45F6A">
              <w:rPr>
                <w:b/>
              </w:rPr>
              <w:t>12.56 (&lt;0.001)</w:t>
            </w:r>
          </w:p>
        </w:tc>
      </w:tr>
    </w:tbl>
    <w:p w14:paraId="05CCBB4B" w14:textId="77777777" w:rsidR="007102CB" w:rsidRPr="00D45F6A" w:rsidRDefault="007102CB"/>
    <w:p w14:paraId="4F92A4D0" w14:textId="09131FB6" w:rsidR="00600B95" w:rsidRPr="00D45F6A" w:rsidRDefault="00600B95">
      <w:r w:rsidRPr="00D45F6A">
        <w:lastRenderedPageBreak/>
        <w:t>Table 3 continued</w:t>
      </w:r>
    </w:p>
    <w:tbl>
      <w:tblPr>
        <w:tblStyle w:val="TableGrid"/>
        <w:tblW w:w="12049"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794"/>
        <w:gridCol w:w="1526"/>
        <w:gridCol w:w="1696"/>
        <w:gridCol w:w="642"/>
        <w:gridCol w:w="1264"/>
        <w:gridCol w:w="2064"/>
      </w:tblGrid>
      <w:tr w:rsidR="005C2528" w:rsidRPr="00D45F6A" w14:paraId="37978C31" w14:textId="77777777" w:rsidTr="00C801A9">
        <w:tc>
          <w:tcPr>
            <w:tcW w:w="3063" w:type="dxa"/>
            <w:tcBorders>
              <w:top w:val="single" w:sz="4" w:space="0" w:color="auto"/>
              <w:bottom w:val="single" w:sz="4" w:space="0" w:color="auto"/>
            </w:tcBorders>
          </w:tcPr>
          <w:p w14:paraId="6FD59CF0" w14:textId="77777777" w:rsidR="005C2528" w:rsidRPr="00D45F6A" w:rsidRDefault="005C2528" w:rsidP="00C801A9">
            <w:pPr>
              <w:pStyle w:val="Table"/>
            </w:pPr>
            <w:r w:rsidRPr="00D45F6A">
              <w:t>Predictor</w:t>
            </w:r>
          </w:p>
        </w:tc>
        <w:tc>
          <w:tcPr>
            <w:tcW w:w="1794" w:type="dxa"/>
            <w:tcBorders>
              <w:top w:val="single" w:sz="4" w:space="0" w:color="auto"/>
              <w:bottom w:val="single" w:sz="4" w:space="0" w:color="auto"/>
            </w:tcBorders>
          </w:tcPr>
          <w:p w14:paraId="70F28D22" w14:textId="77777777" w:rsidR="005C2528" w:rsidRPr="00D45F6A" w:rsidRDefault="005C2528" w:rsidP="00C801A9">
            <w:pPr>
              <w:pStyle w:val="Table"/>
            </w:pPr>
            <w:r w:rsidRPr="00D45F6A">
              <w:t>Unstandardised beta (S.E.)</w:t>
            </w:r>
          </w:p>
        </w:tc>
        <w:tc>
          <w:tcPr>
            <w:tcW w:w="1526" w:type="dxa"/>
            <w:tcBorders>
              <w:top w:val="single" w:sz="4" w:space="0" w:color="auto"/>
              <w:bottom w:val="single" w:sz="4" w:space="0" w:color="auto"/>
            </w:tcBorders>
          </w:tcPr>
          <w:p w14:paraId="241D4B90" w14:textId="77777777" w:rsidR="005C2528" w:rsidRPr="00D45F6A" w:rsidRDefault="005C2528" w:rsidP="00C801A9">
            <w:pPr>
              <w:pStyle w:val="Table"/>
            </w:pPr>
            <w:r w:rsidRPr="00D45F6A">
              <w:t>Standardised beta</w:t>
            </w:r>
          </w:p>
        </w:tc>
        <w:tc>
          <w:tcPr>
            <w:tcW w:w="1696" w:type="dxa"/>
            <w:tcBorders>
              <w:top w:val="single" w:sz="4" w:space="0" w:color="auto"/>
              <w:bottom w:val="single" w:sz="4" w:space="0" w:color="auto"/>
            </w:tcBorders>
          </w:tcPr>
          <w:p w14:paraId="12E890AF" w14:textId="77777777" w:rsidR="005C2528" w:rsidRPr="00D45F6A" w:rsidRDefault="005C2528" w:rsidP="00C801A9">
            <w:pPr>
              <w:pStyle w:val="Table"/>
            </w:pPr>
            <w:r w:rsidRPr="00D45F6A">
              <w:rPr>
                <w:i/>
              </w:rPr>
              <w:t>t</w:t>
            </w:r>
            <w:r w:rsidRPr="00D45F6A">
              <w:t xml:space="preserve"> (</w:t>
            </w:r>
            <w:r w:rsidRPr="00D45F6A">
              <w:rPr>
                <w:i/>
              </w:rPr>
              <w:t>p</w:t>
            </w:r>
            <w:r w:rsidRPr="00D45F6A">
              <w:t>-value)</w:t>
            </w:r>
          </w:p>
        </w:tc>
        <w:tc>
          <w:tcPr>
            <w:tcW w:w="642" w:type="dxa"/>
            <w:tcBorders>
              <w:top w:val="single" w:sz="4" w:space="0" w:color="auto"/>
              <w:bottom w:val="single" w:sz="4" w:space="0" w:color="auto"/>
            </w:tcBorders>
          </w:tcPr>
          <w:p w14:paraId="7F0333FB" w14:textId="77777777" w:rsidR="005C2528" w:rsidRPr="00D45F6A" w:rsidRDefault="005C2528" w:rsidP="00C801A9">
            <w:pPr>
              <w:pStyle w:val="Table"/>
              <w:rPr>
                <w:i/>
              </w:rPr>
            </w:pPr>
            <w:r w:rsidRPr="00D45F6A">
              <w:rPr>
                <w:i/>
              </w:rPr>
              <w:t>R</w:t>
            </w:r>
          </w:p>
        </w:tc>
        <w:tc>
          <w:tcPr>
            <w:tcW w:w="1264" w:type="dxa"/>
            <w:tcBorders>
              <w:top w:val="single" w:sz="4" w:space="0" w:color="auto"/>
              <w:bottom w:val="single" w:sz="4" w:space="0" w:color="auto"/>
            </w:tcBorders>
          </w:tcPr>
          <w:p w14:paraId="38EE1D0B" w14:textId="77777777" w:rsidR="005C2528" w:rsidRPr="00D45F6A" w:rsidRDefault="005C2528" w:rsidP="00C801A9">
            <w:pPr>
              <w:pStyle w:val="Table"/>
            </w:pPr>
            <w:r w:rsidRPr="00D45F6A">
              <w:rPr>
                <w:i/>
              </w:rPr>
              <w:t>R</w:t>
            </w:r>
            <w:r w:rsidRPr="00D45F6A">
              <w:t>-square change</w:t>
            </w:r>
          </w:p>
        </w:tc>
        <w:tc>
          <w:tcPr>
            <w:tcW w:w="2064" w:type="dxa"/>
            <w:tcBorders>
              <w:top w:val="single" w:sz="4" w:space="0" w:color="auto"/>
              <w:bottom w:val="single" w:sz="4" w:space="0" w:color="auto"/>
            </w:tcBorders>
          </w:tcPr>
          <w:p w14:paraId="21DD0863" w14:textId="77777777" w:rsidR="005C2528" w:rsidRPr="00D45F6A" w:rsidRDefault="005C2528" w:rsidP="00C801A9">
            <w:pPr>
              <w:pStyle w:val="Table"/>
            </w:pPr>
            <w:r w:rsidRPr="00D45F6A">
              <w:rPr>
                <w:i/>
              </w:rPr>
              <w:t>F</w:t>
            </w:r>
            <w:r w:rsidRPr="00D45F6A">
              <w:t>-change (</w:t>
            </w:r>
            <w:r w:rsidRPr="00D45F6A">
              <w:rPr>
                <w:i/>
              </w:rPr>
              <w:t>p</w:t>
            </w:r>
            <w:r w:rsidRPr="00D45F6A">
              <w:t>-value)</w:t>
            </w:r>
          </w:p>
        </w:tc>
      </w:tr>
      <w:tr w:rsidR="0060472A" w:rsidRPr="00D45F6A" w14:paraId="6C779B55" w14:textId="77777777" w:rsidTr="004C77D3">
        <w:tc>
          <w:tcPr>
            <w:tcW w:w="3063" w:type="dxa"/>
            <w:tcBorders>
              <w:bottom w:val="single" w:sz="4" w:space="0" w:color="auto"/>
            </w:tcBorders>
          </w:tcPr>
          <w:p w14:paraId="4E95F4E1" w14:textId="51A40376" w:rsidR="0060472A" w:rsidRPr="00D45F6A" w:rsidRDefault="0060472A" w:rsidP="002927B5">
            <w:pPr>
              <w:pStyle w:val="Table"/>
            </w:pPr>
            <w:r w:rsidRPr="00D45F6A">
              <w:t>Step 4</w:t>
            </w:r>
          </w:p>
          <w:p w14:paraId="476C60C5" w14:textId="77777777" w:rsidR="00A0240A" w:rsidRPr="00D45F6A" w:rsidRDefault="0060472A" w:rsidP="00A0240A">
            <w:pPr>
              <w:pStyle w:val="Table"/>
            </w:pPr>
            <w:r w:rsidRPr="00D45F6A">
              <w:t xml:space="preserve">  </w:t>
            </w:r>
            <w:r w:rsidR="00A0240A" w:rsidRPr="00D45F6A">
              <w:t>Age</w:t>
            </w:r>
          </w:p>
          <w:p w14:paraId="23C9342B" w14:textId="77777777" w:rsidR="00A0240A" w:rsidRPr="00D45F6A" w:rsidRDefault="00A0240A" w:rsidP="00A0240A">
            <w:pPr>
              <w:pStyle w:val="Table"/>
            </w:pPr>
            <w:r w:rsidRPr="00D45F6A">
              <w:t xml:space="preserve">  Gender</w:t>
            </w:r>
          </w:p>
          <w:p w14:paraId="5ABBF1B1" w14:textId="7A2562DF" w:rsidR="0060472A" w:rsidRPr="00D45F6A" w:rsidRDefault="00A0240A" w:rsidP="002927B5">
            <w:pPr>
              <w:pStyle w:val="Table"/>
            </w:pPr>
            <w:r w:rsidRPr="00D45F6A">
              <w:t xml:space="preserve">  </w:t>
            </w:r>
            <w:r w:rsidR="0060472A" w:rsidRPr="00D45F6A">
              <w:t>Unusual experiences</w:t>
            </w:r>
          </w:p>
          <w:p w14:paraId="7734099C" w14:textId="77777777" w:rsidR="0060472A" w:rsidRPr="00D45F6A" w:rsidRDefault="0060472A" w:rsidP="002927B5">
            <w:pPr>
              <w:pStyle w:val="Table"/>
            </w:pPr>
            <w:r w:rsidRPr="00D45F6A">
              <w:t xml:space="preserve">  Cognitive disorganisation</w:t>
            </w:r>
          </w:p>
          <w:p w14:paraId="22619E9C" w14:textId="77777777" w:rsidR="0060472A" w:rsidRPr="00D45F6A" w:rsidRDefault="0060472A" w:rsidP="002927B5">
            <w:pPr>
              <w:pStyle w:val="Table"/>
            </w:pPr>
            <w:r w:rsidRPr="00D45F6A">
              <w:t xml:space="preserve">  Introvertive anhedonia</w:t>
            </w:r>
          </w:p>
          <w:p w14:paraId="160E80BF" w14:textId="77777777" w:rsidR="0060472A" w:rsidRPr="00D45F6A" w:rsidRDefault="0060472A" w:rsidP="002927B5">
            <w:pPr>
              <w:pStyle w:val="Table"/>
              <w:rPr>
                <w:lang w:val="fr-FR"/>
              </w:rPr>
            </w:pPr>
            <w:r w:rsidRPr="00D45F6A">
              <w:t xml:space="preserve">  </w:t>
            </w:r>
            <w:r w:rsidRPr="00D45F6A">
              <w:rPr>
                <w:lang w:val="fr-FR"/>
              </w:rPr>
              <w:t>Impulsive non-conformity</w:t>
            </w:r>
          </w:p>
          <w:p w14:paraId="456DCA19" w14:textId="77777777" w:rsidR="0060472A" w:rsidRPr="00D45F6A" w:rsidRDefault="0060472A" w:rsidP="002927B5">
            <w:pPr>
              <w:pStyle w:val="Table"/>
              <w:rPr>
                <w:lang w:val="fr-FR"/>
              </w:rPr>
            </w:pPr>
            <w:r w:rsidRPr="00D45F6A">
              <w:rPr>
                <w:lang w:val="fr-FR"/>
              </w:rPr>
              <w:t xml:space="preserve">  Physical QOL</w:t>
            </w:r>
          </w:p>
          <w:p w14:paraId="09DE490A" w14:textId="1C259D9C" w:rsidR="00A0240A" w:rsidRPr="00D45F6A" w:rsidRDefault="0060472A" w:rsidP="00A0240A">
            <w:pPr>
              <w:pStyle w:val="Table"/>
              <w:rPr>
                <w:lang w:val="fr-FR"/>
              </w:rPr>
            </w:pPr>
            <w:r w:rsidRPr="00D45F6A">
              <w:rPr>
                <w:lang w:val="fr-FR"/>
              </w:rPr>
              <w:t xml:space="preserve">  Psychological QOL</w:t>
            </w:r>
          </w:p>
          <w:p w14:paraId="46DBD024" w14:textId="21DE15D9" w:rsidR="00A0240A" w:rsidRPr="00D45F6A" w:rsidRDefault="00A0240A" w:rsidP="00A0240A">
            <w:pPr>
              <w:pStyle w:val="Table"/>
            </w:pPr>
            <w:r w:rsidRPr="00D45F6A">
              <w:rPr>
                <w:lang w:val="fr-FR"/>
              </w:rPr>
              <w:t xml:space="preserve">  </w:t>
            </w:r>
            <w:r w:rsidRPr="00D45F6A">
              <w:t>Social QOL</w:t>
            </w:r>
          </w:p>
          <w:p w14:paraId="79CCC194" w14:textId="77777777" w:rsidR="00A0240A" w:rsidRPr="00D45F6A" w:rsidRDefault="00A0240A" w:rsidP="00A0240A">
            <w:pPr>
              <w:pStyle w:val="Table"/>
            </w:pPr>
            <w:r w:rsidRPr="00D45F6A">
              <w:t xml:space="preserve">  Environmental QOL</w:t>
            </w:r>
          </w:p>
          <w:p w14:paraId="1FAD3CF6" w14:textId="67183868" w:rsidR="0060472A" w:rsidRPr="00D45F6A" w:rsidRDefault="00A0240A" w:rsidP="00DE101B">
            <w:pPr>
              <w:pStyle w:val="Table"/>
            </w:pPr>
            <w:r w:rsidRPr="00D45F6A">
              <w:t xml:space="preserve">  Extraversion</w:t>
            </w:r>
          </w:p>
        </w:tc>
        <w:tc>
          <w:tcPr>
            <w:tcW w:w="1794" w:type="dxa"/>
            <w:tcBorders>
              <w:bottom w:val="single" w:sz="4" w:space="0" w:color="auto"/>
            </w:tcBorders>
          </w:tcPr>
          <w:p w14:paraId="54085F3D" w14:textId="77777777" w:rsidR="0060472A" w:rsidRPr="00D45F6A" w:rsidRDefault="0060472A" w:rsidP="00BE7D74">
            <w:pPr>
              <w:pStyle w:val="Table"/>
              <w:jc w:val="right"/>
            </w:pPr>
          </w:p>
          <w:p w14:paraId="68EBE46C" w14:textId="6A3D9300" w:rsidR="00ED48D3" w:rsidRPr="00D45F6A" w:rsidRDefault="00ED48D3" w:rsidP="00BE7D74">
            <w:pPr>
              <w:pStyle w:val="Table"/>
              <w:jc w:val="right"/>
            </w:pPr>
            <w:r w:rsidRPr="00D45F6A">
              <w:t>0.01 (0.02)</w:t>
            </w:r>
          </w:p>
          <w:p w14:paraId="3CA70024" w14:textId="295C53E8" w:rsidR="00ED48D3" w:rsidRPr="00D45F6A" w:rsidRDefault="00ED48D3" w:rsidP="00BE7D74">
            <w:pPr>
              <w:pStyle w:val="Table"/>
              <w:jc w:val="right"/>
            </w:pPr>
            <w:r w:rsidRPr="00D45F6A">
              <w:t>-0.23 (0.48)</w:t>
            </w:r>
          </w:p>
          <w:p w14:paraId="42E626F8" w14:textId="4347431D" w:rsidR="0060472A" w:rsidRPr="00D45F6A" w:rsidRDefault="0060472A" w:rsidP="00BE7D74">
            <w:pPr>
              <w:pStyle w:val="Table"/>
              <w:jc w:val="right"/>
            </w:pPr>
            <w:r w:rsidRPr="00D45F6A">
              <w:t>-0.03 (</w:t>
            </w:r>
            <w:r w:rsidR="00E44BC1" w:rsidRPr="00D45F6A">
              <w:t>0</w:t>
            </w:r>
            <w:r w:rsidRPr="00D45F6A">
              <w:t>.04)</w:t>
            </w:r>
          </w:p>
          <w:p w14:paraId="1271D24F" w14:textId="1FE67991" w:rsidR="0060472A" w:rsidRPr="00D45F6A" w:rsidRDefault="0060472A" w:rsidP="00BE7D74">
            <w:pPr>
              <w:pStyle w:val="Table"/>
              <w:jc w:val="right"/>
            </w:pPr>
            <w:r w:rsidRPr="00D45F6A">
              <w:t>0.10 (</w:t>
            </w:r>
            <w:r w:rsidR="00E44BC1" w:rsidRPr="00D45F6A">
              <w:t>0</w:t>
            </w:r>
            <w:r w:rsidRPr="00D45F6A">
              <w:t>.05)</w:t>
            </w:r>
          </w:p>
          <w:p w14:paraId="339DEEDA" w14:textId="2738CAEB" w:rsidR="0060472A" w:rsidRPr="00D45F6A" w:rsidRDefault="0060472A" w:rsidP="00BE7D74">
            <w:pPr>
              <w:pStyle w:val="Table"/>
              <w:jc w:val="right"/>
            </w:pPr>
            <w:r w:rsidRPr="00D45F6A">
              <w:t>0.1</w:t>
            </w:r>
            <w:r w:rsidR="00E44BC1" w:rsidRPr="00D45F6A">
              <w:t>0</w:t>
            </w:r>
            <w:r w:rsidRPr="00D45F6A">
              <w:t xml:space="preserve"> (</w:t>
            </w:r>
            <w:r w:rsidR="00E44BC1" w:rsidRPr="00D45F6A">
              <w:t>0</w:t>
            </w:r>
            <w:r w:rsidRPr="00D45F6A">
              <w:t>.05)</w:t>
            </w:r>
          </w:p>
          <w:p w14:paraId="4CE0E5FB" w14:textId="0FD90252" w:rsidR="0060472A" w:rsidRPr="00D45F6A" w:rsidRDefault="0060472A" w:rsidP="00BE7D74">
            <w:pPr>
              <w:pStyle w:val="Table"/>
              <w:jc w:val="right"/>
            </w:pPr>
            <w:r w:rsidRPr="00D45F6A">
              <w:t>-0.07 (</w:t>
            </w:r>
            <w:r w:rsidR="00E44BC1" w:rsidRPr="00D45F6A">
              <w:t>0</w:t>
            </w:r>
            <w:r w:rsidRPr="00D45F6A">
              <w:t>.06)</w:t>
            </w:r>
          </w:p>
          <w:p w14:paraId="6AE39E48" w14:textId="0B84DEE8" w:rsidR="0060472A" w:rsidRPr="00D45F6A" w:rsidRDefault="0060472A" w:rsidP="00BE7D74">
            <w:pPr>
              <w:pStyle w:val="Table"/>
              <w:jc w:val="right"/>
            </w:pPr>
            <w:r w:rsidRPr="00D45F6A">
              <w:t>0.</w:t>
            </w:r>
            <w:r w:rsidR="00BF2B07" w:rsidRPr="00D45F6A">
              <w:t>10</w:t>
            </w:r>
            <w:r w:rsidRPr="00D45F6A">
              <w:t xml:space="preserve"> (0.1</w:t>
            </w:r>
            <w:r w:rsidR="00BF2B07" w:rsidRPr="00D45F6A">
              <w:t>2</w:t>
            </w:r>
            <w:r w:rsidRPr="00D45F6A">
              <w:t>)</w:t>
            </w:r>
          </w:p>
          <w:p w14:paraId="6868E663" w14:textId="4D0544BE" w:rsidR="00BF2B07" w:rsidRPr="00D45F6A" w:rsidRDefault="0060472A" w:rsidP="00BE7D74">
            <w:pPr>
              <w:pStyle w:val="Table"/>
              <w:jc w:val="right"/>
            </w:pPr>
            <w:r w:rsidRPr="00D45F6A">
              <w:t>-0.4</w:t>
            </w:r>
            <w:r w:rsidR="00BF2B07" w:rsidRPr="00D45F6A">
              <w:t>8</w:t>
            </w:r>
            <w:r w:rsidRPr="00D45F6A">
              <w:t xml:space="preserve"> (0.13)</w:t>
            </w:r>
          </w:p>
          <w:p w14:paraId="4CC7314F" w14:textId="77777777" w:rsidR="00BF2B07" w:rsidRPr="00D45F6A" w:rsidRDefault="00BF2B07" w:rsidP="00BE7D74">
            <w:pPr>
              <w:pStyle w:val="Table"/>
              <w:jc w:val="right"/>
            </w:pPr>
            <w:r w:rsidRPr="00D45F6A">
              <w:t>-0.26 (0.09)</w:t>
            </w:r>
          </w:p>
          <w:p w14:paraId="6EEBC4BF" w14:textId="3419A4EB" w:rsidR="00BF2B07" w:rsidRPr="00D45F6A" w:rsidRDefault="00BF2B07" w:rsidP="00BE7D74">
            <w:pPr>
              <w:pStyle w:val="Table"/>
              <w:jc w:val="right"/>
            </w:pPr>
            <w:r w:rsidRPr="00D45F6A">
              <w:t>0.01 (0.13)</w:t>
            </w:r>
          </w:p>
          <w:p w14:paraId="01E8AE5B" w14:textId="673A5A3B" w:rsidR="0060472A" w:rsidRPr="00D45F6A" w:rsidRDefault="00526470" w:rsidP="00874C91">
            <w:pPr>
              <w:pStyle w:val="Table"/>
              <w:jc w:val="right"/>
            </w:pPr>
            <w:r w:rsidRPr="00D45F6A">
              <w:t>0.03 (0.04)</w:t>
            </w:r>
          </w:p>
        </w:tc>
        <w:tc>
          <w:tcPr>
            <w:tcW w:w="1526" w:type="dxa"/>
            <w:tcBorders>
              <w:bottom w:val="single" w:sz="4" w:space="0" w:color="auto"/>
            </w:tcBorders>
          </w:tcPr>
          <w:p w14:paraId="567583B1" w14:textId="77777777" w:rsidR="0060472A" w:rsidRPr="00D45F6A" w:rsidRDefault="0060472A" w:rsidP="00BE7D74">
            <w:pPr>
              <w:pStyle w:val="Table"/>
              <w:jc w:val="right"/>
            </w:pPr>
          </w:p>
          <w:p w14:paraId="412B2204" w14:textId="148DE72B" w:rsidR="00ED48D3" w:rsidRPr="00D45F6A" w:rsidRDefault="00ED48D3" w:rsidP="00BE7D74">
            <w:pPr>
              <w:pStyle w:val="Table"/>
              <w:jc w:val="right"/>
            </w:pPr>
            <w:r w:rsidRPr="00D45F6A">
              <w:t>0.03</w:t>
            </w:r>
          </w:p>
          <w:p w14:paraId="2EC4D769" w14:textId="12FC57E4" w:rsidR="00ED48D3" w:rsidRPr="00D45F6A" w:rsidRDefault="00ED48D3" w:rsidP="00BE7D74">
            <w:pPr>
              <w:pStyle w:val="Table"/>
              <w:jc w:val="right"/>
            </w:pPr>
            <w:r w:rsidRPr="00D45F6A">
              <w:t>-0.02</w:t>
            </w:r>
          </w:p>
          <w:p w14:paraId="33A35159" w14:textId="44A46452" w:rsidR="0060472A" w:rsidRPr="00D45F6A" w:rsidRDefault="0060472A" w:rsidP="00BE7D74">
            <w:pPr>
              <w:pStyle w:val="Table"/>
              <w:jc w:val="right"/>
            </w:pPr>
            <w:r w:rsidRPr="00D45F6A">
              <w:t>-0.0</w:t>
            </w:r>
            <w:r w:rsidR="00E44BC1" w:rsidRPr="00D45F6A">
              <w:t>4</w:t>
            </w:r>
          </w:p>
          <w:p w14:paraId="1B7482CD" w14:textId="75A1E130" w:rsidR="0060472A" w:rsidRPr="00D45F6A" w:rsidRDefault="0060472A" w:rsidP="00BE7D74">
            <w:pPr>
              <w:pStyle w:val="Table"/>
              <w:jc w:val="right"/>
            </w:pPr>
            <w:r w:rsidRPr="00D45F6A">
              <w:t>0.15</w:t>
            </w:r>
          </w:p>
          <w:p w14:paraId="5FCAA02D" w14:textId="5E48E26D" w:rsidR="0060472A" w:rsidRPr="00D45F6A" w:rsidRDefault="0060472A" w:rsidP="00BE7D74">
            <w:pPr>
              <w:pStyle w:val="Table"/>
              <w:jc w:val="right"/>
            </w:pPr>
            <w:r w:rsidRPr="00D45F6A">
              <w:t>0.12</w:t>
            </w:r>
          </w:p>
          <w:p w14:paraId="7B6FD6E7" w14:textId="2D235055" w:rsidR="0060472A" w:rsidRPr="00D45F6A" w:rsidRDefault="0060472A" w:rsidP="00BE7D74">
            <w:pPr>
              <w:pStyle w:val="Table"/>
              <w:jc w:val="right"/>
            </w:pPr>
            <w:r w:rsidRPr="00D45F6A">
              <w:t>-0.06</w:t>
            </w:r>
          </w:p>
          <w:p w14:paraId="0C946617" w14:textId="3ECD9376" w:rsidR="0060472A" w:rsidRPr="00D45F6A" w:rsidRDefault="0060472A" w:rsidP="00BE7D74">
            <w:pPr>
              <w:pStyle w:val="Table"/>
              <w:jc w:val="right"/>
            </w:pPr>
            <w:r w:rsidRPr="00D45F6A">
              <w:t>0.05</w:t>
            </w:r>
          </w:p>
          <w:p w14:paraId="1BE7B202" w14:textId="77777777" w:rsidR="00BF2B07" w:rsidRPr="00D45F6A" w:rsidRDefault="0060472A" w:rsidP="00874C91">
            <w:pPr>
              <w:pStyle w:val="Table"/>
              <w:jc w:val="right"/>
            </w:pPr>
            <w:r w:rsidRPr="00D45F6A">
              <w:t>-0.</w:t>
            </w:r>
            <w:r w:rsidR="00BF2B07" w:rsidRPr="00D45F6A">
              <w:t>31</w:t>
            </w:r>
          </w:p>
          <w:p w14:paraId="24B4A0F3" w14:textId="452B8C86" w:rsidR="00BF2B07" w:rsidRPr="00D45F6A" w:rsidRDefault="00BF2B07" w:rsidP="00874C91">
            <w:pPr>
              <w:pStyle w:val="Table"/>
              <w:jc w:val="right"/>
            </w:pPr>
            <w:r w:rsidRPr="00D45F6A">
              <w:t>-0.17</w:t>
            </w:r>
          </w:p>
          <w:p w14:paraId="408F4CAA" w14:textId="7EBD5F72" w:rsidR="00BF2B07" w:rsidRPr="00D45F6A" w:rsidRDefault="00BF2B07" w:rsidP="00874C91">
            <w:pPr>
              <w:pStyle w:val="Table"/>
              <w:jc w:val="right"/>
            </w:pPr>
            <w:r w:rsidRPr="00D45F6A">
              <w:t>0.004</w:t>
            </w:r>
          </w:p>
          <w:p w14:paraId="751D3F1B" w14:textId="308B3871" w:rsidR="0060472A" w:rsidRPr="00D45F6A" w:rsidRDefault="00526470" w:rsidP="00874C91">
            <w:pPr>
              <w:pStyle w:val="Table"/>
              <w:jc w:val="right"/>
            </w:pPr>
            <w:r w:rsidRPr="00D45F6A">
              <w:t>0.04</w:t>
            </w:r>
          </w:p>
        </w:tc>
        <w:tc>
          <w:tcPr>
            <w:tcW w:w="1696" w:type="dxa"/>
            <w:tcBorders>
              <w:bottom w:val="single" w:sz="4" w:space="0" w:color="auto"/>
            </w:tcBorders>
          </w:tcPr>
          <w:p w14:paraId="7E0AD2E9" w14:textId="77777777" w:rsidR="0060472A" w:rsidRPr="00D45F6A" w:rsidRDefault="0060472A" w:rsidP="00BE7D74">
            <w:pPr>
              <w:pStyle w:val="Table"/>
              <w:jc w:val="right"/>
            </w:pPr>
          </w:p>
          <w:p w14:paraId="6E0527A7" w14:textId="02F10745" w:rsidR="00ED48D3" w:rsidRPr="00D45F6A" w:rsidRDefault="00ED48D3" w:rsidP="00BE7D74">
            <w:pPr>
              <w:pStyle w:val="Table"/>
              <w:jc w:val="right"/>
            </w:pPr>
            <w:r w:rsidRPr="00D45F6A">
              <w:t>0.58 (0.561)</w:t>
            </w:r>
          </w:p>
          <w:p w14:paraId="56CF146C" w14:textId="6F887506" w:rsidR="00ED48D3" w:rsidRPr="00D45F6A" w:rsidRDefault="00ED48D3" w:rsidP="00BE7D74">
            <w:pPr>
              <w:pStyle w:val="Table"/>
              <w:jc w:val="right"/>
            </w:pPr>
            <w:r w:rsidRPr="00D45F6A">
              <w:t>-0.48 (0.627)</w:t>
            </w:r>
          </w:p>
          <w:p w14:paraId="37F7504E" w14:textId="0CF04CAB" w:rsidR="0060472A" w:rsidRPr="00D45F6A" w:rsidRDefault="0060472A" w:rsidP="00BE7D74">
            <w:pPr>
              <w:pStyle w:val="Table"/>
              <w:jc w:val="right"/>
            </w:pPr>
            <w:r w:rsidRPr="00D45F6A">
              <w:t>-0.</w:t>
            </w:r>
            <w:r w:rsidR="00E44BC1" w:rsidRPr="00D45F6A">
              <w:t>67</w:t>
            </w:r>
            <w:r w:rsidRPr="00D45F6A">
              <w:t xml:space="preserve"> (0.</w:t>
            </w:r>
            <w:r w:rsidR="00E44BC1" w:rsidRPr="00D45F6A">
              <w:t>50</w:t>
            </w:r>
            <w:r w:rsidRPr="00D45F6A">
              <w:t>4)</w:t>
            </w:r>
          </w:p>
          <w:p w14:paraId="25D0A27F" w14:textId="6F8DD6B4" w:rsidR="0060472A" w:rsidRPr="00D45F6A" w:rsidRDefault="0060472A" w:rsidP="00BE7D74">
            <w:pPr>
              <w:pStyle w:val="Table"/>
              <w:jc w:val="right"/>
            </w:pPr>
            <w:r w:rsidRPr="00D45F6A">
              <w:t>1.9</w:t>
            </w:r>
            <w:r w:rsidR="00E44BC1" w:rsidRPr="00D45F6A">
              <w:t>3</w:t>
            </w:r>
            <w:r w:rsidRPr="00D45F6A">
              <w:t xml:space="preserve"> (0.0</w:t>
            </w:r>
            <w:r w:rsidR="00E44BC1" w:rsidRPr="00D45F6A">
              <w:t>5</w:t>
            </w:r>
            <w:r w:rsidR="006A3FB9" w:rsidRPr="00D45F6A">
              <w:t>4</w:t>
            </w:r>
            <w:r w:rsidRPr="00D45F6A">
              <w:t>)</w:t>
            </w:r>
          </w:p>
          <w:p w14:paraId="4FF6A20D" w14:textId="5A43F4F7" w:rsidR="0060472A" w:rsidRPr="00D45F6A" w:rsidRDefault="0060472A" w:rsidP="00BE7D74">
            <w:pPr>
              <w:pStyle w:val="Table"/>
              <w:jc w:val="right"/>
              <w:rPr>
                <w:b/>
              </w:rPr>
            </w:pPr>
            <w:r w:rsidRPr="00D45F6A">
              <w:rPr>
                <w:b/>
              </w:rPr>
              <w:t>2.0</w:t>
            </w:r>
            <w:r w:rsidR="00F24AAE" w:rsidRPr="00D45F6A">
              <w:rPr>
                <w:b/>
              </w:rPr>
              <w:t>0</w:t>
            </w:r>
            <w:r w:rsidRPr="00D45F6A">
              <w:rPr>
                <w:b/>
              </w:rPr>
              <w:t xml:space="preserve"> (0.</w:t>
            </w:r>
            <w:r w:rsidR="006A3FB9" w:rsidRPr="00D45F6A">
              <w:rPr>
                <w:b/>
              </w:rPr>
              <w:t>046</w:t>
            </w:r>
            <w:r w:rsidRPr="00D45F6A">
              <w:rPr>
                <w:b/>
              </w:rPr>
              <w:t>)</w:t>
            </w:r>
          </w:p>
          <w:p w14:paraId="43B3A43D" w14:textId="7A55C6A8" w:rsidR="0060472A" w:rsidRPr="00D45F6A" w:rsidRDefault="0060472A" w:rsidP="00BE7D74">
            <w:pPr>
              <w:pStyle w:val="Table"/>
              <w:jc w:val="right"/>
            </w:pPr>
            <w:r w:rsidRPr="00D45F6A">
              <w:t>-1.</w:t>
            </w:r>
            <w:r w:rsidR="00876E9B" w:rsidRPr="00D45F6A">
              <w:t>11</w:t>
            </w:r>
            <w:r w:rsidRPr="00D45F6A">
              <w:t xml:space="preserve"> (0.2</w:t>
            </w:r>
            <w:r w:rsidR="00876E9B" w:rsidRPr="00D45F6A">
              <w:t>69</w:t>
            </w:r>
            <w:r w:rsidRPr="00D45F6A">
              <w:t>)</w:t>
            </w:r>
          </w:p>
          <w:p w14:paraId="5DB097FE" w14:textId="3A1AC1B9" w:rsidR="0060472A" w:rsidRPr="00D45F6A" w:rsidRDefault="0060472A" w:rsidP="00BE7D74">
            <w:pPr>
              <w:pStyle w:val="Table"/>
              <w:jc w:val="right"/>
            </w:pPr>
            <w:r w:rsidRPr="00D45F6A">
              <w:t>0.</w:t>
            </w:r>
            <w:r w:rsidR="00BF2B07" w:rsidRPr="00D45F6A">
              <w:t>8</w:t>
            </w:r>
            <w:r w:rsidRPr="00D45F6A">
              <w:t>9 (0.</w:t>
            </w:r>
            <w:r w:rsidR="00BF2B07" w:rsidRPr="00D45F6A">
              <w:t>372</w:t>
            </w:r>
            <w:r w:rsidRPr="00D45F6A">
              <w:t>)</w:t>
            </w:r>
          </w:p>
          <w:p w14:paraId="51184914" w14:textId="5998D682" w:rsidR="00BF2B07" w:rsidRPr="00D45F6A" w:rsidRDefault="0060472A" w:rsidP="00BE7D74">
            <w:pPr>
              <w:pStyle w:val="Table"/>
              <w:jc w:val="right"/>
              <w:rPr>
                <w:b/>
              </w:rPr>
            </w:pPr>
            <w:r w:rsidRPr="00D45F6A">
              <w:rPr>
                <w:b/>
              </w:rPr>
              <w:t>-3.</w:t>
            </w:r>
            <w:r w:rsidR="00BF2B07" w:rsidRPr="00D45F6A">
              <w:rPr>
                <w:b/>
              </w:rPr>
              <w:t>55</w:t>
            </w:r>
            <w:r w:rsidRPr="00D45F6A">
              <w:rPr>
                <w:b/>
              </w:rPr>
              <w:t xml:space="preserve"> (</w:t>
            </w:r>
            <w:r w:rsidR="00BF2B07" w:rsidRPr="00D45F6A">
              <w:rPr>
                <w:b/>
              </w:rPr>
              <w:t>&lt;</w:t>
            </w:r>
            <w:r w:rsidRPr="00D45F6A">
              <w:rPr>
                <w:b/>
              </w:rPr>
              <w:t>0.001)</w:t>
            </w:r>
          </w:p>
          <w:p w14:paraId="1C022AB3" w14:textId="11C66701" w:rsidR="00BF2B07" w:rsidRPr="00D45F6A" w:rsidRDefault="00BF2B07" w:rsidP="00BE7D74">
            <w:pPr>
              <w:pStyle w:val="Table"/>
              <w:jc w:val="right"/>
              <w:rPr>
                <w:b/>
              </w:rPr>
            </w:pPr>
            <w:r w:rsidRPr="00D45F6A">
              <w:rPr>
                <w:b/>
              </w:rPr>
              <w:t>-2.79 (0.006)</w:t>
            </w:r>
          </w:p>
          <w:p w14:paraId="2E6295FE" w14:textId="77777777" w:rsidR="00526470" w:rsidRPr="00D45F6A" w:rsidRDefault="00BF2B07" w:rsidP="00874C91">
            <w:pPr>
              <w:pStyle w:val="Table"/>
              <w:jc w:val="right"/>
            </w:pPr>
            <w:r w:rsidRPr="00D45F6A">
              <w:t>0.07 (0.946)</w:t>
            </w:r>
          </w:p>
          <w:p w14:paraId="25E12059" w14:textId="7C25E575" w:rsidR="0060472A" w:rsidRPr="00D45F6A" w:rsidRDefault="00526470" w:rsidP="00874C91">
            <w:pPr>
              <w:pStyle w:val="Table"/>
              <w:jc w:val="right"/>
            </w:pPr>
            <w:r w:rsidRPr="00D45F6A">
              <w:t>0.70 (0.482)</w:t>
            </w:r>
          </w:p>
        </w:tc>
        <w:tc>
          <w:tcPr>
            <w:tcW w:w="642" w:type="dxa"/>
            <w:tcBorders>
              <w:bottom w:val="single" w:sz="4" w:space="0" w:color="auto"/>
            </w:tcBorders>
          </w:tcPr>
          <w:p w14:paraId="48A2AC48" w14:textId="1CFB8CB5" w:rsidR="0060472A" w:rsidRPr="00D45F6A" w:rsidRDefault="0060472A" w:rsidP="00BE7D74">
            <w:pPr>
              <w:pStyle w:val="Table"/>
              <w:jc w:val="right"/>
            </w:pPr>
            <w:r w:rsidRPr="00D45F6A">
              <w:t>0.66</w:t>
            </w:r>
          </w:p>
        </w:tc>
        <w:tc>
          <w:tcPr>
            <w:tcW w:w="1264" w:type="dxa"/>
            <w:tcBorders>
              <w:bottom w:val="single" w:sz="4" w:space="0" w:color="auto"/>
            </w:tcBorders>
          </w:tcPr>
          <w:p w14:paraId="23B8179B" w14:textId="7951BDB0" w:rsidR="0060472A" w:rsidRPr="00D45F6A" w:rsidRDefault="0060472A" w:rsidP="00BE7D74">
            <w:pPr>
              <w:pStyle w:val="Table"/>
              <w:jc w:val="right"/>
            </w:pPr>
            <w:r w:rsidRPr="00D45F6A">
              <w:t>0.03</w:t>
            </w:r>
          </w:p>
        </w:tc>
        <w:tc>
          <w:tcPr>
            <w:tcW w:w="2064" w:type="dxa"/>
            <w:tcBorders>
              <w:bottom w:val="single" w:sz="4" w:space="0" w:color="auto"/>
            </w:tcBorders>
          </w:tcPr>
          <w:p w14:paraId="686E59CA" w14:textId="493069E2" w:rsidR="0060472A" w:rsidRPr="00D45F6A" w:rsidRDefault="0060472A" w:rsidP="00BE7D74">
            <w:pPr>
              <w:pStyle w:val="Table"/>
              <w:jc w:val="right"/>
              <w:rPr>
                <w:b/>
              </w:rPr>
            </w:pPr>
            <w:r w:rsidRPr="00D45F6A">
              <w:rPr>
                <w:b/>
              </w:rPr>
              <w:t>3.</w:t>
            </w:r>
            <w:r w:rsidR="00ED48D3" w:rsidRPr="00D45F6A">
              <w:rPr>
                <w:b/>
              </w:rPr>
              <w:t>25</w:t>
            </w:r>
            <w:r w:rsidRPr="00D45F6A">
              <w:rPr>
                <w:b/>
              </w:rPr>
              <w:t xml:space="preserve"> (0.00</w:t>
            </w:r>
            <w:r w:rsidR="00ED48D3" w:rsidRPr="00D45F6A">
              <w:rPr>
                <w:b/>
              </w:rPr>
              <w:t>7</w:t>
            </w:r>
            <w:r w:rsidRPr="00D45F6A">
              <w:rPr>
                <w:b/>
              </w:rPr>
              <w:t>)</w:t>
            </w:r>
          </w:p>
        </w:tc>
      </w:tr>
    </w:tbl>
    <w:p w14:paraId="17EFF6EA" w14:textId="65E7CB32" w:rsidR="00786E3D" w:rsidRPr="00D45F6A" w:rsidRDefault="00786E3D"/>
    <w:p w14:paraId="033492C4" w14:textId="77777777" w:rsidR="00BF2B07" w:rsidRPr="00D45F6A" w:rsidRDefault="00BF2B07"/>
    <w:p w14:paraId="48A4CC32" w14:textId="615AD093" w:rsidR="00874C91" w:rsidRPr="00D45F6A" w:rsidRDefault="00874C91">
      <w:r w:rsidRPr="00D45F6A">
        <w:t xml:space="preserve">Table </w:t>
      </w:r>
      <w:r w:rsidR="00626E70" w:rsidRPr="00D45F6A">
        <w:t>3</w:t>
      </w:r>
      <w:r w:rsidRPr="00D45F6A">
        <w:t xml:space="preserve"> continued</w:t>
      </w:r>
    </w:p>
    <w:tbl>
      <w:tblPr>
        <w:tblStyle w:val="TableGrid"/>
        <w:tblW w:w="12049"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794"/>
        <w:gridCol w:w="1526"/>
        <w:gridCol w:w="1696"/>
        <w:gridCol w:w="642"/>
        <w:gridCol w:w="1264"/>
        <w:gridCol w:w="2064"/>
      </w:tblGrid>
      <w:tr w:rsidR="004673C5" w:rsidRPr="00D45F6A" w14:paraId="3FD95A97" w14:textId="77777777" w:rsidTr="004C77D3">
        <w:tc>
          <w:tcPr>
            <w:tcW w:w="3063" w:type="dxa"/>
            <w:tcBorders>
              <w:top w:val="single" w:sz="4" w:space="0" w:color="auto"/>
              <w:bottom w:val="single" w:sz="4" w:space="0" w:color="auto"/>
            </w:tcBorders>
          </w:tcPr>
          <w:p w14:paraId="5B6C1BB9" w14:textId="77777777" w:rsidR="004673C5" w:rsidRPr="00D45F6A" w:rsidRDefault="004673C5" w:rsidP="00D40C7D">
            <w:pPr>
              <w:pStyle w:val="Table"/>
            </w:pPr>
            <w:r w:rsidRPr="00D45F6A">
              <w:t>Predictor</w:t>
            </w:r>
          </w:p>
        </w:tc>
        <w:tc>
          <w:tcPr>
            <w:tcW w:w="1794" w:type="dxa"/>
            <w:tcBorders>
              <w:top w:val="single" w:sz="4" w:space="0" w:color="auto"/>
              <w:bottom w:val="single" w:sz="4" w:space="0" w:color="auto"/>
            </w:tcBorders>
          </w:tcPr>
          <w:p w14:paraId="5D7080B1" w14:textId="77777777" w:rsidR="004673C5" w:rsidRPr="00D45F6A" w:rsidRDefault="004673C5" w:rsidP="00D40C7D">
            <w:pPr>
              <w:pStyle w:val="Table"/>
            </w:pPr>
            <w:r w:rsidRPr="00D45F6A">
              <w:t>Unstandardised beta (S.E.)</w:t>
            </w:r>
          </w:p>
        </w:tc>
        <w:tc>
          <w:tcPr>
            <w:tcW w:w="1526" w:type="dxa"/>
            <w:tcBorders>
              <w:top w:val="single" w:sz="4" w:space="0" w:color="auto"/>
              <w:bottom w:val="single" w:sz="4" w:space="0" w:color="auto"/>
            </w:tcBorders>
          </w:tcPr>
          <w:p w14:paraId="4005E323" w14:textId="77777777" w:rsidR="004673C5" w:rsidRPr="00D45F6A" w:rsidRDefault="004673C5" w:rsidP="00D40C7D">
            <w:pPr>
              <w:pStyle w:val="Table"/>
            </w:pPr>
            <w:r w:rsidRPr="00D45F6A">
              <w:t>Standardised beta</w:t>
            </w:r>
          </w:p>
        </w:tc>
        <w:tc>
          <w:tcPr>
            <w:tcW w:w="1696" w:type="dxa"/>
            <w:tcBorders>
              <w:top w:val="single" w:sz="4" w:space="0" w:color="auto"/>
              <w:bottom w:val="single" w:sz="4" w:space="0" w:color="auto"/>
            </w:tcBorders>
          </w:tcPr>
          <w:p w14:paraId="3CE79194" w14:textId="77777777" w:rsidR="004673C5" w:rsidRPr="00D45F6A" w:rsidRDefault="004673C5" w:rsidP="00D40C7D">
            <w:pPr>
              <w:pStyle w:val="Table"/>
            </w:pPr>
            <w:r w:rsidRPr="00D45F6A">
              <w:rPr>
                <w:i/>
              </w:rPr>
              <w:t>t</w:t>
            </w:r>
            <w:r w:rsidRPr="00D45F6A">
              <w:t xml:space="preserve"> (</w:t>
            </w:r>
            <w:r w:rsidRPr="00D45F6A">
              <w:rPr>
                <w:i/>
              </w:rPr>
              <w:t>p</w:t>
            </w:r>
            <w:r w:rsidRPr="00D45F6A">
              <w:t>-value)</w:t>
            </w:r>
          </w:p>
        </w:tc>
        <w:tc>
          <w:tcPr>
            <w:tcW w:w="642" w:type="dxa"/>
            <w:tcBorders>
              <w:top w:val="single" w:sz="4" w:space="0" w:color="auto"/>
              <w:bottom w:val="single" w:sz="4" w:space="0" w:color="auto"/>
            </w:tcBorders>
          </w:tcPr>
          <w:p w14:paraId="1AC8A8C5" w14:textId="77777777" w:rsidR="004673C5" w:rsidRPr="00D45F6A" w:rsidRDefault="004673C5" w:rsidP="00D40C7D">
            <w:pPr>
              <w:pStyle w:val="Table"/>
              <w:rPr>
                <w:i/>
              </w:rPr>
            </w:pPr>
            <w:r w:rsidRPr="00D45F6A">
              <w:rPr>
                <w:i/>
              </w:rPr>
              <w:t>R</w:t>
            </w:r>
          </w:p>
        </w:tc>
        <w:tc>
          <w:tcPr>
            <w:tcW w:w="1264" w:type="dxa"/>
            <w:tcBorders>
              <w:top w:val="single" w:sz="4" w:space="0" w:color="auto"/>
              <w:bottom w:val="single" w:sz="4" w:space="0" w:color="auto"/>
            </w:tcBorders>
          </w:tcPr>
          <w:p w14:paraId="1EFF446B" w14:textId="77777777" w:rsidR="004673C5" w:rsidRPr="00D45F6A" w:rsidRDefault="004673C5" w:rsidP="00D40C7D">
            <w:pPr>
              <w:pStyle w:val="Table"/>
            </w:pPr>
            <w:r w:rsidRPr="00D45F6A">
              <w:rPr>
                <w:i/>
              </w:rPr>
              <w:t>R</w:t>
            </w:r>
            <w:r w:rsidRPr="00D45F6A">
              <w:t>-square change</w:t>
            </w:r>
          </w:p>
        </w:tc>
        <w:tc>
          <w:tcPr>
            <w:tcW w:w="2064" w:type="dxa"/>
            <w:tcBorders>
              <w:top w:val="single" w:sz="4" w:space="0" w:color="auto"/>
              <w:bottom w:val="single" w:sz="4" w:space="0" w:color="auto"/>
            </w:tcBorders>
          </w:tcPr>
          <w:p w14:paraId="41F06ED9" w14:textId="77777777" w:rsidR="004673C5" w:rsidRPr="00D45F6A" w:rsidRDefault="004673C5" w:rsidP="00D40C7D">
            <w:pPr>
              <w:pStyle w:val="Table"/>
            </w:pPr>
            <w:r w:rsidRPr="00D45F6A">
              <w:rPr>
                <w:i/>
              </w:rPr>
              <w:t>F</w:t>
            </w:r>
            <w:r w:rsidRPr="00D45F6A">
              <w:t>-change (p-value)</w:t>
            </w:r>
          </w:p>
        </w:tc>
      </w:tr>
      <w:tr w:rsidR="004673C5" w:rsidRPr="00D45F6A" w14:paraId="464F9B09" w14:textId="77777777" w:rsidTr="004C77D3">
        <w:tc>
          <w:tcPr>
            <w:tcW w:w="3063" w:type="dxa"/>
            <w:tcBorders>
              <w:top w:val="single" w:sz="4" w:space="0" w:color="auto"/>
              <w:bottom w:val="single" w:sz="4" w:space="0" w:color="auto"/>
            </w:tcBorders>
          </w:tcPr>
          <w:p w14:paraId="0B0D6BA7" w14:textId="7400908F" w:rsidR="004673C5" w:rsidRPr="00D45F6A" w:rsidRDefault="004673C5" w:rsidP="00DE101B">
            <w:pPr>
              <w:pStyle w:val="Table"/>
            </w:pPr>
            <w:r w:rsidRPr="00D45F6A">
              <w:t xml:space="preserve"> </w:t>
            </w:r>
            <w:r w:rsidR="0060472A" w:rsidRPr="00D45F6A">
              <w:t xml:space="preserve"> </w:t>
            </w:r>
            <w:r w:rsidRPr="00D45F6A">
              <w:t>Neuroticism</w:t>
            </w:r>
          </w:p>
          <w:p w14:paraId="1CE7A489" w14:textId="77777777" w:rsidR="004673C5" w:rsidRPr="00D45F6A" w:rsidRDefault="004673C5" w:rsidP="004673C5">
            <w:pPr>
              <w:pStyle w:val="Table"/>
            </w:pPr>
            <w:r w:rsidRPr="00D45F6A">
              <w:t xml:space="preserve">  Conscientiousness </w:t>
            </w:r>
          </w:p>
          <w:p w14:paraId="7D9FDE74" w14:textId="77777777" w:rsidR="004673C5" w:rsidRPr="00D45F6A" w:rsidRDefault="004673C5" w:rsidP="004673C5">
            <w:pPr>
              <w:pStyle w:val="Table"/>
            </w:pPr>
            <w:r w:rsidRPr="00D45F6A">
              <w:t xml:space="preserve">  Agreeableness</w:t>
            </w:r>
          </w:p>
          <w:p w14:paraId="4441E5FE" w14:textId="7925FB4D" w:rsidR="004673C5" w:rsidRPr="00D45F6A" w:rsidRDefault="004673C5" w:rsidP="004673C5">
            <w:pPr>
              <w:pStyle w:val="Table"/>
            </w:pPr>
            <w:r w:rsidRPr="00D45F6A">
              <w:t xml:space="preserve">  Openness</w:t>
            </w:r>
          </w:p>
        </w:tc>
        <w:tc>
          <w:tcPr>
            <w:tcW w:w="1794" w:type="dxa"/>
            <w:tcBorders>
              <w:top w:val="single" w:sz="4" w:space="0" w:color="auto"/>
              <w:bottom w:val="single" w:sz="4" w:space="0" w:color="auto"/>
            </w:tcBorders>
          </w:tcPr>
          <w:p w14:paraId="7038EA1C" w14:textId="135CD692" w:rsidR="004673C5" w:rsidRPr="00D45F6A" w:rsidRDefault="00DF69C6" w:rsidP="00DE101B">
            <w:pPr>
              <w:pStyle w:val="Table"/>
              <w:jc w:val="right"/>
            </w:pPr>
            <w:r w:rsidRPr="00D45F6A">
              <w:t>0</w:t>
            </w:r>
            <w:r w:rsidR="004673C5" w:rsidRPr="00D45F6A">
              <w:t>.</w:t>
            </w:r>
            <w:r w:rsidR="00526470" w:rsidRPr="00D45F6A">
              <w:t>09</w:t>
            </w:r>
            <w:r w:rsidR="004673C5" w:rsidRPr="00D45F6A">
              <w:t xml:space="preserve"> (</w:t>
            </w:r>
            <w:r w:rsidRPr="00D45F6A">
              <w:t>0</w:t>
            </w:r>
            <w:r w:rsidR="004673C5" w:rsidRPr="00D45F6A">
              <w:t>.</w:t>
            </w:r>
            <w:r w:rsidR="00526470" w:rsidRPr="00D45F6A">
              <w:t>05</w:t>
            </w:r>
            <w:r w:rsidR="004673C5" w:rsidRPr="00D45F6A">
              <w:t>)</w:t>
            </w:r>
          </w:p>
          <w:p w14:paraId="527A3772" w14:textId="76E5B18F" w:rsidR="004673C5" w:rsidRPr="00D45F6A" w:rsidRDefault="00DF69C6" w:rsidP="004673C5">
            <w:pPr>
              <w:pStyle w:val="Table"/>
              <w:jc w:val="right"/>
            </w:pPr>
            <w:r w:rsidRPr="00D45F6A">
              <w:t>0</w:t>
            </w:r>
            <w:r w:rsidR="004673C5" w:rsidRPr="00D45F6A">
              <w:t>.03 (</w:t>
            </w:r>
            <w:r w:rsidRPr="00D45F6A">
              <w:t>0</w:t>
            </w:r>
            <w:r w:rsidR="004673C5" w:rsidRPr="00D45F6A">
              <w:t>.04)</w:t>
            </w:r>
          </w:p>
          <w:p w14:paraId="35ADF33F" w14:textId="020BA020" w:rsidR="004673C5" w:rsidRPr="00D45F6A" w:rsidRDefault="00526470" w:rsidP="004673C5">
            <w:pPr>
              <w:pStyle w:val="Table"/>
              <w:jc w:val="right"/>
            </w:pPr>
            <w:r w:rsidRPr="00D45F6A">
              <w:t>-</w:t>
            </w:r>
            <w:r w:rsidR="00DF69C6" w:rsidRPr="00D45F6A">
              <w:t>0</w:t>
            </w:r>
            <w:r w:rsidR="004673C5" w:rsidRPr="00D45F6A">
              <w:t>.</w:t>
            </w:r>
            <w:r w:rsidRPr="00D45F6A">
              <w:t>10</w:t>
            </w:r>
            <w:r w:rsidR="004673C5" w:rsidRPr="00D45F6A">
              <w:t xml:space="preserve"> (</w:t>
            </w:r>
            <w:r w:rsidR="00DF69C6" w:rsidRPr="00D45F6A">
              <w:t>0</w:t>
            </w:r>
            <w:r w:rsidR="004673C5" w:rsidRPr="00D45F6A">
              <w:t>.0</w:t>
            </w:r>
            <w:r w:rsidRPr="00D45F6A">
              <w:t>4</w:t>
            </w:r>
            <w:r w:rsidR="004673C5" w:rsidRPr="00D45F6A">
              <w:t>)</w:t>
            </w:r>
          </w:p>
          <w:p w14:paraId="2F212920" w14:textId="174793FD" w:rsidR="004673C5" w:rsidRPr="00D45F6A" w:rsidRDefault="009E6035" w:rsidP="004673C5">
            <w:pPr>
              <w:pStyle w:val="Table"/>
              <w:jc w:val="right"/>
            </w:pPr>
            <w:r w:rsidRPr="00D45F6A">
              <w:t>&lt;</w:t>
            </w:r>
            <w:r w:rsidR="00DF69C6" w:rsidRPr="00D45F6A">
              <w:t>0</w:t>
            </w:r>
            <w:r w:rsidR="004673C5" w:rsidRPr="00D45F6A">
              <w:t>.00</w:t>
            </w:r>
            <w:r w:rsidRPr="00D45F6A">
              <w:t>1</w:t>
            </w:r>
            <w:r w:rsidR="004673C5" w:rsidRPr="00D45F6A">
              <w:t xml:space="preserve"> (</w:t>
            </w:r>
            <w:r w:rsidR="00DF69C6" w:rsidRPr="00D45F6A">
              <w:t>0</w:t>
            </w:r>
            <w:r w:rsidR="004673C5" w:rsidRPr="00D45F6A">
              <w:t>.0</w:t>
            </w:r>
            <w:r w:rsidRPr="00D45F6A">
              <w:t>4</w:t>
            </w:r>
            <w:r w:rsidR="004673C5" w:rsidRPr="00D45F6A">
              <w:t>)</w:t>
            </w:r>
          </w:p>
        </w:tc>
        <w:tc>
          <w:tcPr>
            <w:tcW w:w="1526" w:type="dxa"/>
            <w:tcBorders>
              <w:top w:val="single" w:sz="4" w:space="0" w:color="auto"/>
              <w:bottom w:val="single" w:sz="4" w:space="0" w:color="auto"/>
            </w:tcBorders>
          </w:tcPr>
          <w:p w14:paraId="719CEA05" w14:textId="30050729" w:rsidR="004673C5" w:rsidRPr="00D45F6A" w:rsidRDefault="00DF69C6" w:rsidP="00DE101B">
            <w:pPr>
              <w:pStyle w:val="Table"/>
              <w:jc w:val="right"/>
            </w:pPr>
            <w:r w:rsidRPr="00D45F6A">
              <w:t>0</w:t>
            </w:r>
            <w:r w:rsidR="004673C5" w:rsidRPr="00D45F6A">
              <w:t>.14</w:t>
            </w:r>
          </w:p>
          <w:p w14:paraId="2BCAC77D" w14:textId="1326A857" w:rsidR="004673C5" w:rsidRPr="00D45F6A" w:rsidRDefault="00DF69C6" w:rsidP="004673C5">
            <w:pPr>
              <w:pStyle w:val="Table"/>
              <w:jc w:val="right"/>
            </w:pPr>
            <w:r w:rsidRPr="00D45F6A">
              <w:t>0</w:t>
            </w:r>
            <w:r w:rsidR="004673C5" w:rsidRPr="00D45F6A">
              <w:t>.05</w:t>
            </w:r>
          </w:p>
          <w:p w14:paraId="1D53E20D" w14:textId="17EF6660" w:rsidR="004673C5" w:rsidRPr="00D45F6A" w:rsidRDefault="00526470" w:rsidP="004673C5">
            <w:pPr>
              <w:pStyle w:val="Table"/>
              <w:jc w:val="right"/>
            </w:pPr>
            <w:r w:rsidRPr="00D45F6A">
              <w:t>-</w:t>
            </w:r>
            <w:r w:rsidR="00DF69C6" w:rsidRPr="00D45F6A">
              <w:t>0</w:t>
            </w:r>
            <w:r w:rsidR="004673C5" w:rsidRPr="00D45F6A">
              <w:t>.13</w:t>
            </w:r>
          </w:p>
          <w:p w14:paraId="26338106" w14:textId="2273073D" w:rsidR="004673C5" w:rsidRPr="00D45F6A" w:rsidRDefault="009E6035" w:rsidP="004673C5">
            <w:pPr>
              <w:pStyle w:val="Table"/>
              <w:jc w:val="right"/>
            </w:pPr>
            <w:r w:rsidRPr="00D45F6A">
              <w:t>&lt;</w:t>
            </w:r>
            <w:r w:rsidR="00DF69C6" w:rsidRPr="00D45F6A">
              <w:t>0</w:t>
            </w:r>
            <w:r w:rsidR="004673C5" w:rsidRPr="00D45F6A">
              <w:t>.0</w:t>
            </w:r>
            <w:r w:rsidRPr="00D45F6A">
              <w:t>0</w:t>
            </w:r>
            <w:r w:rsidR="004673C5" w:rsidRPr="00D45F6A">
              <w:t>1</w:t>
            </w:r>
          </w:p>
        </w:tc>
        <w:tc>
          <w:tcPr>
            <w:tcW w:w="1696" w:type="dxa"/>
            <w:tcBorders>
              <w:top w:val="single" w:sz="4" w:space="0" w:color="auto"/>
              <w:bottom w:val="single" w:sz="4" w:space="0" w:color="auto"/>
            </w:tcBorders>
          </w:tcPr>
          <w:p w14:paraId="23F657D3" w14:textId="6D544109" w:rsidR="004673C5" w:rsidRPr="00D45F6A" w:rsidRDefault="004673C5" w:rsidP="00DE101B">
            <w:pPr>
              <w:pStyle w:val="Table"/>
              <w:jc w:val="right"/>
              <w:rPr>
                <w:b/>
              </w:rPr>
            </w:pPr>
            <w:r w:rsidRPr="00D45F6A">
              <w:rPr>
                <w:b/>
              </w:rPr>
              <w:t>2.</w:t>
            </w:r>
            <w:r w:rsidR="00526470" w:rsidRPr="00D45F6A">
              <w:rPr>
                <w:b/>
              </w:rPr>
              <w:t>01</w:t>
            </w:r>
            <w:r w:rsidRPr="00D45F6A">
              <w:rPr>
                <w:b/>
              </w:rPr>
              <w:t xml:space="preserve"> (</w:t>
            </w:r>
            <w:r w:rsidR="00DF69C6" w:rsidRPr="00D45F6A">
              <w:rPr>
                <w:b/>
              </w:rPr>
              <w:t>0</w:t>
            </w:r>
            <w:r w:rsidRPr="00D45F6A">
              <w:rPr>
                <w:b/>
              </w:rPr>
              <w:t>.0</w:t>
            </w:r>
            <w:r w:rsidR="00526470" w:rsidRPr="00D45F6A">
              <w:rPr>
                <w:b/>
              </w:rPr>
              <w:t>45</w:t>
            </w:r>
            <w:r w:rsidRPr="00D45F6A">
              <w:rPr>
                <w:b/>
              </w:rPr>
              <w:t>)</w:t>
            </w:r>
          </w:p>
          <w:p w14:paraId="3C93FF56" w14:textId="164B6433" w:rsidR="004673C5" w:rsidRPr="00D45F6A" w:rsidRDefault="00DF69C6" w:rsidP="004673C5">
            <w:pPr>
              <w:pStyle w:val="Table"/>
              <w:jc w:val="right"/>
            </w:pPr>
            <w:r w:rsidRPr="00D45F6A">
              <w:t>0</w:t>
            </w:r>
            <w:r w:rsidR="004673C5" w:rsidRPr="00D45F6A">
              <w:t>.</w:t>
            </w:r>
            <w:r w:rsidR="00526470" w:rsidRPr="00D45F6A">
              <w:t>89</w:t>
            </w:r>
            <w:r w:rsidR="004673C5" w:rsidRPr="00D45F6A">
              <w:t xml:space="preserve"> (</w:t>
            </w:r>
            <w:r w:rsidRPr="00D45F6A">
              <w:t>0</w:t>
            </w:r>
            <w:r w:rsidR="004673C5" w:rsidRPr="00D45F6A">
              <w:t>.3</w:t>
            </w:r>
            <w:r w:rsidR="00526470" w:rsidRPr="00D45F6A">
              <w:t>71</w:t>
            </w:r>
            <w:r w:rsidR="004673C5" w:rsidRPr="00D45F6A">
              <w:t>)</w:t>
            </w:r>
          </w:p>
          <w:p w14:paraId="14B75D3D" w14:textId="3C7814AF" w:rsidR="004673C5" w:rsidRPr="00D45F6A" w:rsidRDefault="00526470" w:rsidP="004673C5">
            <w:pPr>
              <w:pStyle w:val="Table"/>
              <w:jc w:val="right"/>
              <w:rPr>
                <w:b/>
              </w:rPr>
            </w:pPr>
            <w:r w:rsidRPr="00D45F6A">
              <w:rPr>
                <w:b/>
              </w:rPr>
              <w:t>-2.5</w:t>
            </w:r>
            <w:r w:rsidR="009E6035" w:rsidRPr="00D45F6A">
              <w:rPr>
                <w:b/>
              </w:rPr>
              <w:t>0</w:t>
            </w:r>
            <w:r w:rsidR="004673C5" w:rsidRPr="00D45F6A">
              <w:rPr>
                <w:b/>
              </w:rPr>
              <w:t xml:space="preserve"> (</w:t>
            </w:r>
            <w:r w:rsidR="00DF69C6" w:rsidRPr="00D45F6A">
              <w:rPr>
                <w:b/>
              </w:rPr>
              <w:t>0</w:t>
            </w:r>
            <w:r w:rsidR="004673C5" w:rsidRPr="00D45F6A">
              <w:rPr>
                <w:b/>
              </w:rPr>
              <w:t>.0</w:t>
            </w:r>
            <w:r w:rsidR="009E6035" w:rsidRPr="00D45F6A">
              <w:rPr>
                <w:b/>
              </w:rPr>
              <w:t>13</w:t>
            </w:r>
            <w:r w:rsidR="004673C5" w:rsidRPr="00D45F6A">
              <w:rPr>
                <w:b/>
              </w:rPr>
              <w:t>)</w:t>
            </w:r>
          </w:p>
          <w:p w14:paraId="20E99933" w14:textId="4F71CE9B" w:rsidR="004673C5" w:rsidRPr="00D45F6A" w:rsidRDefault="00DF69C6" w:rsidP="0037617A">
            <w:pPr>
              <w:pStyle w:val="Table"/>
              <w:jc w:val="right"/>
            </w:pPr>
            <w:r w:rsidRPr="00D45F6A">
              <w:t>0</w:t>
            </w:r>
            <w:r w:rsidR="004673C5" w:rsidRPr="00D45F6A">
              <w:t>.</w:t>
            </w:r>
            <w:r w:rsidR="009E6035" w:rsidRPr="00D45F6A">
              <w:t>004</w:t>
            </w:r>
            <w:r w:rsidR="004673C5" w:rsidRPr="00D45F6A">
              <w:t xml:space="preserve"> (</w:t>
            </w:r>
            <w:r w:rsidRPr="00D45F6A">
              <w:t>0</w:t>
            </w:r>
            <w:r w:rsidR="004673C5" w:rsidRPr="00D45F6A">
              <w:t>.</w:t>
            </w:r>
            <w:r w:rsidR="009E6035" w:rsidRPr="00D45F6A">
              <w:t>997</w:t>
            </w:r>
            <w:r w:rsidR="004673C5" w:rsidRPr="00D45F6A">
              <w:t>)</w:t>
            </w:r>
          </w:p>
        </w:tc>
        <w:tc>
          <w:tcPr>
            <w:tcW w:w="642" w:type="dxa"/>
            <w:tcBorders>
              <w:top w:val="single" w:sz="4" w:space="0" w:color="auto"/>
              <w:bottom w:val="single" w:sz="4" w:space="0" w:color="auto"/>
            </w:tcBorders>
          </w:tcPr>
          <w:p w14:paraId="3CA70116" w14:textId="77777777" w:rsidR="004673C5" w:rsidRPr="00D45F6A" w:rsidRDefault="004673C5" w:rsidP="00D40C7D">
            <w:pPr>
              <w:pStyle w:val="Table"/>
            </w:pPr>
          </w:p>
        </w:tc>
        <w:tc>
          <w:tcPr>
            <w:tcW w:w="1264" w:type="dxa"/>
            <w:tcBorders>
              <w:top w:val="single" w:sz="4" w:space="0" w:color="auto"/>
              <w:bottom w:val="single" w:sz="4" w:space="0" w:color="auto"/>
            </w:tcBorders>
          </w:tcPr>
          <w:p w14:paraId="6DE16E60" w14:textId="77777777" w:rsidR="004673C5" w:rsidRPr="00D45F6A" w:rsidRDefault="004673C5" w:rsidP="00D40C7D">
            <w:pPr>
              <w:pStyle w:val="Table"/>
            </w:pPr>
          </w:p>
        </w:tc>
        <w:tc>
          <w:tcPr>
            <w:tcW w:w="2064" w:type="dxa"/>
            <w:tcBorders>
              <w:top w:val="single" w:sz="4" w:space="0" w:color="auto"/>
              <w:bottom w:val="single" w:sz="4" w:space="0" w:color="auto"/>
            </w:tcBorders>
          </w:tcPr>
          <w:p w14:paraId="7C543A5A" w14:textId="77777777" w:rsidR="004673C5" w:rsidRPr="00D45F6A" w:rsidRDefault="004673C5" w:rsidP="00D40C7D">
            <w:pPr>
              <w:pStyle w:val="Table"/>
            </w:pPr>
          </w:p>
        </w:tc>
      </w:tr>
    </w:tbl>
    <w:p w14:paraId="438EFCDF" w14:textId="77777777" w:rsidR="003A6CED" w:rsidRPr="00D45F6A" w:rsidRDefault="003A6CED" w:rsidP="00107084">
      <w:pPr>
        <w:rPr>
          <w:lang w:eastAsia="en-US"/>
        </w:rPr>
      </w:pPr>
    </w:p>
    <w:p w14:paraId="461900EE" w14:textId="6C9A995B" w:rsidR="001A5185" w:rsidRDefault="003A6CED" w:rsidP="00107084">
      <w:pPr>
        <w:rPr>
          <w:lang w:eastAsia="en-US"/>
        </w:rPr>
      </w:pPr>
      <w:r w:rsidRPr="00D45F6A">
        <w:rPr>
          <w:lang w:eastAsia="en-US"/>
        </w:rPr>
        <w:t xml:space="preserve">Values in bold, </w:t>
      </w:r>
      <w:r w:rsidRPr="00D45F6A">
        <w:rPr>
          <w:i/>
          <w:lang w:eastAsia="en-US"/>
        </w:rPr>
        <w:t>p</w:t>
      </w:r>
      <w:r w:rsidR="00CE35F9" w:rsidRPr="00D45F6A">
        <w:rPr>
          <w:rFonts w:ascii="Calibri" w:hAnsi="Calibri"/>
          <w:lang w:eastAsia="en-US"/>
        </w:rPr>
        <w:t>≤</w:t>
      </w:r>
      <w:r w:rsidR="00A91E7C" w:rsidRPr="00D45F6A">
        <w:rPr>
          <w:rFonts w:ascii="Calibri" w:hAnsi="Calibri"/>
          <w:lang w:eastAsia="en-US"/>
        </w:rPr>
        <w:t>0</w:t>
      </w:r>
      <w:r w:rsidR="00CE35F9" w:rsidRPr="00D45F6A">
        <w:rPr>
          <w:lang w:eastAsia="en-US"/>
        </w:rPr>
        <w:t>.05</w:t>
      </w:r>
      <w:r w:rsidR="00806782" w:rsidRPr="00D45F6A">
        <w:rPr>
          <w:lang w:eastAsia="en-US"/>
        </w:rPr>
        <w:t>; QOL: Quality of life</w:t>
      </w:r>
    </w:p>
    <w:p w14:paraId="406483E9" w14:textId="77777777" w:rsidR="0095785C" w:rsidRDefault="0095785C" w:rsidP="00107084">
      <w:pPr>
        <w:rPr>
          <w:lang w:eastAsia="en-US"/>
        </w:rPr>
      </w:pPr>
    </w:p>
    <w:p w14:paraId="6B2557E2" w14:textId="12A97BEE" w:rsidR="0095785C" w:rsidRDefault="0095785C">
      <w:pPr>
        <w:spacing w:before="0" w:after="0" w:line="240" w:lineRule="auto"/>
        <w:ind w:firstLine="0"/>
        <w:rPr>
          <w:lang w:eastAsia="en-US"/>
        </w:rPr>
      </w:pPr>
      <w:r>
        <w:rPr>
          <w:lang w:eastAsia="en-US"/>
        </w:rPr>
        <w:br w:type="page"/>
      </w:r>
    </w:p>
    <w:p w14:paraId="0B0412A3" w14:textId="43180C15" w:rsidR="0095785C" w:rsidRDefault="0095785C" w:rsidP="00107084">
      <w:pPr>
        <w:rPr>
          <w:lang w:eastAsia="en-US"/>
        </w:rPr>
      </w:pPr>
      <w:r>
        <w:rPr>
          <w:lang w:eastAsia="en-US"/>
        </w:rPr>
        <w:lastRenderedPageBreak/>
        <w:t>Figure 1</w:t>
      </w:r>
    </w:p>
    <w:p w14:paraId="4D975EAE" w14:textId="31EAA340" w:rsidR="0095785C" w:rsidRDefault="0095785C" w:rsidP="00107084">
      <w:pPr>
        <w:rPr>
          <w:lang w:eastAsia="en-US"/>
        </w:rPr>
      </w:pPr>
      <w:r>
        <w:rPr>
          <w:noProof/>
        </w:rPr>
        <w:drawing>
          <wp:inline distT="0" distB="0" distL="0" distR="0" wp14:anchorId="1185A000" wp14:editId="1F98EEA0">
            <wp:extent cx="8863330" cy="49853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49073C67" w14:textId="2001849C" w:rsidR="0095785C" w:rsidRDefault="0095785C" w:rsidP="00107084">
      <w:pPr>
        <w:rPr>
          <w:lang w:eastAsia="en-US"/>
        </w:rPr>
      </w:pPr>
      <w:r>
        <w:rPr>
          <w:lang w:eastAsia="en-US"/>
        </w:rPr>
        <w:lastRenderedPageBreak/>
        <w:t>Figure 2</w:t>
      </w:r>
    </w:p>
    <w:p w14:paraId="60B1CC8F" w14:textId="0FC73497" w:rsidR="0095785C" w:rsidRDefault="0095785C" w:rsidP="00107084">
      <w:pPr>
        <w:rPr>
          <w:lang w:eastAsia="en-US"/>
        </w:rPr>
      </w:pPr>
      <w:r>
        <w:rPr>
          <w:noProof/>
        </w:rPr>
        <w:drawing>
          <wp:inline distT="0" distB="0" distL="0" distR="0" wp14:anchorId="6839376E" wp14:editId="1A4E469D">
            <wp:extent cx="8863330" cy="25450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eg"/>
                    <pic:cNvPicPr/>
                  </pic:nvPicPr>
                  <pic:blipFill>
                    <a:blip r:embed="rId11">
                      <a:extLst>
                        <a:ext uri="{28A0092B-C50C-407E-A947-70E740481C1C}">
                          <a14:useLocalDpi xmlns:a14="http://schemas.microsoft.com/office/drawing/2010/main" val="0"/>
                        </a:ext>
                      </a:extLst>
                    </a:blip>
                    <a:stretch>
                      <a:fillRect/>
                    </a:stretch>
                  </pic:blipFill>
                  <pic:spPr>
                    <a:xfrm>
                      <a:off x="0" y="0"/>
                      <a:ext cx="8863330" cy="2545080"/>
                    </a:xfrm>
                    <a:prstGeom prst="rect">
                      <a:avLst/>
                    </a:prstGeom>
                  </pic:spPr>
                </pic:pic>
              </a:graphicData>
            </a:graphic>
          </wp:inline>
        </w:drawing>
      </w:r>
    </w:p>
    <w:p w14:paraId="47F7AE94" w14:textId="77777777" w:rsidR="0095785C" w:rsidRDefault="0095785C" w:rsidP="00107084">
      <w:pPr>
        <w:rPr>
          <w:lang w:eastAsia="en-US"/>
        </w:rPr>
      </w:pPr>
    </w:p>
    <w:p w14:paraId="3915BB89" w14:textId="11C855B5" w:rsidR="0095785C" w:rsidRDefault="0095785C">
      <w:pPr>
        <w:spacing w:before="0" w:after="0" w:line="240" w:lineRule="auto"/>
        <w:ind w:firstLine="0"/>
        <w:rPr>
          <w:lang w:eastAsia="en-US"/>
        </w:rPr>
      </w:pPr>
      <w:r>
        <w:rPr>
          <w:lang w:eastAsia="en-US"/>
        </w:rPr>
        <w:br w:type="page"/>
      </w:r>
    </w:p>
    <w:p w14:paraId="4D8CB98D" w14:textId="4EE9FC6F" w:rsidR="0095785C" w:rsidRDefault="0095785C" w:rsidP="00107084">
      <w:pPr>
        <w:rPr>
          <w:lang w:eastAsia="en-US"/>
        </w:rPr>
      </w:pPr>
      <w:r>
        <w:rPr>
          <w:lang w:eastAsia="en-US"/>
        </w:rPr>
        <w:lastRenderedPageBreak/>
        <w:t>Figure 3</w:t>
      </w:r>
    </w:p>
    <w:p w14:paraId="2AB723ED" w14:textId="1032EB11" w:rsidR="0095785C" w:rsidRDefault="0095785C" w:rsidP="00107084">
      <w:pPr>
        <w:rPr>
          <w:lang w:eastAsia="en-US"/>
        </w:rPr>
      </w:pPr>
      <w:r>
        <w:rPr>
          <w:noProof/>
        </w:rPr>
        <w:drawing>
          <wp:inline distT="0" distB="0" distL="0" distR="0" wp14:anchorId="0C70B1FD" wp14:editId="50D79A4C">
            <wp:extent cx="8863330" cy="27781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3330" cy="2778125"/>
                    </a:xfrm>
                    <a:prstGeom prst="rect">
                      <a:avLst/>
                    </a:prstGeom>
                  </pic:spPr>
                </pic:pic>
              </a:graphicData>
            </a:graphic>
          </wp:inline>
        </w:drawing>
      </w:r>
    </w:p>
    <w:sectPr w:rsidR="0095785C" w:rsidSect="004C77D3">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F8653" w14:textId="77777777" w:rsidR="009D3F3A" w:rsidRDefault="009D3F3A" w:rsidP="00107084">
      <w:r>
        <w:separator/>
      </w:r>
    </w:p>
  </w:endnote>
  <w:endnote w:type="continuationSeparator" w:id="0">
    <w:p w14:paraId="7EAC8831" w14:textId="77777777" w:rsidR="009D3F3A" w:rsidRDefault="009D3F3A" w:rsidP="0010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3066" w14:textId="77777777" w:rsidR="00FE2A74" w:rsidRDefault="00FE2A74" w:rsidP="0010708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3D8CBF" w14:textId="77777777" w:rsidR="00FE2A74" w:rsidRDefault="00FE2A74" w:rsidP="001070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08A5" w14:textId="464AB702" w:rsidR="00FE2A74" w:rsidRDefault="00FE2A74" w:rsidP="007A1451">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50255">
      <w:rPr>
        <w:rStyle w:val="PageNumber"/>
        <w:noProof/>
      </w:rPr>
      <w:t>21</w:t>
    </w:r>
    <w:r>
      <w:rPr>
        <w:rStyle w:val="PageNumber"/>
      </w:rPr>
      <w:fldChar w:fldCharType="end"/>
    </w:r>
  </w:p>
  <w:p w14:paraId="1E715173" w14:textId="77777777" w:rsidR="00FE2A74" w:rsidRDefault="00FE2A74" w:rsidP="001070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E82A" w14:textId="77777777" w:rsidR="009D3F3A" w:rsidRDefault="009D3F3A" w:rsidP="00107084">
      <w:r>
        <w:separator/>
      </w:r>
    </w:p>
  </w:footnote>
  <w:footnote w:type="continuationSeparator" w:id="0">
    <w:p w14:paraId="07457EC4" w14:textId="77777777" w:rsidR="009D3F3A" w:rsidRDefault="009D3F3A" w:rsidP="00107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80EE8"/>
    <w:multiLevelType w:val="multilevel"/>
    <w:tmpl w:val="AB1E4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81B62"/>
    <w:multiLevelType w:val="hybridMultilevel"/>
    <w:tmpl w:val="F72E48E6"/>
    <w:lvl w:ilvl="0" w:tplc="07EA12EA">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A166A"/>
    <w:multiLevelType w:val="hybridMultilevel"/>
    <w:tmpl w:val="02CC9C72"/>
    <w:lvl w:ilvl="0" w:tplc="A0BCCC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EE3799"/>
    <w:multiLevelType w:val="hybridMultilevel"/>
    <w:tmpl w:val="673E1A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32D49E0"/>
    <w:multiLevelType w:val="multilevel"/>
    <w:tmpl w:val="BDE81FE4"/>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3322BC"/>
    <w:multiLevelType w:val="multilevel"/>
    <w:tmpl w:val="875C6B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8493B7C"/>
    <w:multiLevelType w:val="hybridMultilevel"/>
    <w:tmpl w:val="C95A0314"/>
    <w:lvl w:ilvl="0" w:tplc="11043F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3D3469"/>
    <w:multiLevelType w:val="hybridMultilevel"/>
    <w:tmpl w:val="C562DE8C"/>
    <w:lvl w:ilvl="0" w:tplc="1D443D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823C2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D7B22B6"/>
    <w:multiLevelType w:val="hybridMultilevel"/>
    <w:tmpl w:val="3DAEC6F8"/>
    <w:lvl w:ilvl="0" w:tplc="2E54AF64">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8"/>
  </w:num>
  <w:num w:numId="7">
    <w:abstractNumId w:val="2"/>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62"/>
    <w:rsid w:val="00000130"/>
    <w:rsid w:val="00000494"/>
    <w:rsid w:val="00001720"/>
    <w:rsid w:val="00001C6C"/>
    <w:rsid w:val="00001D84"/>
    <w:rsid w:val="00002C01"/>
    <w:rsid w:val="00003F62"/>
    <w:rsid w:val="000048FE"/>
    <w:rsid w:val="000057CD"/>
    <w:rsid w:val="00005D4B"/>
    <w:rsid w:val="00007731"/>
    <w:rsid w:val="00007D33"/>
    <w:rsid w:val="000106E3"/>
    <w:rsid w:val="00010B80"/>
    <w:rsid w:val="00010F44"/>
    <w:rsid w:val="0001145C"/>
    <w:rsid w:val="0001199F"/>
    <w:rsid w:val="00011C55"/>
    <w:rsid w:val="00012DDD"/>
    <w:rsid w:val="00013022"/>
    <w:rsid w:val="0001356E"/>
    <w:rsid w:val="000141CA"/>
    <w:rsid w:val="000141CD"/>
    <w:rsid w:val="0001450A"/>
    <w:rsid w:val="000146DB"/>
    <w:rsid w:val="00015E47"/>
    <w:rsid w:val="000163C2"/>
    <w:rsid w:val="000167DA"/>
    <w:rsid w:val="00017008"/>
    <w:rsid w:val="00017252"/>
    <w:rsid w:val="0001751D"/>
    <w:rsid w:val="000178A7"/>
    <w:rsid w:val="00020932"/>
    <w:rsid w:val="00020E54"/>
    <w:rsid w:val="00021629"/>
    <w:rsid w:val="00021709"/>
    <w:rsid w:val="00021F1C"/>
    <w:rsid w:val="000236E0"/>
    <w:rsid w:val="00024335"/>
    <w:rsid w:val="00024C8B"/>
    <w:rsid w:val="000250F7"/>
    <w:rsid w:val="000254C2"/>
    <w:rsid w:val="00025938"/>
    <w:rsid w:val="000263DF"/>
    <w:rsid w:val="00026768"/>
    <w:rsid w:val="00027CCA"/>
    <w:rsid w:val="0003020C"/>
    <w:rsid w:val="0003094E"/>
    <w:rsid w:val="00031A2E"/>
    <w:rsid w:val="00031E59"/>
    <w:rsid w:val="000328E2"/>
    <w:rsid w:val="00032B1F"/>
    <w:rsid w:val="00032DCD"/>
    <w:rsid w:val="00032FB4"/>
    <w:rsid w:val="00033168"/>
    <w:rsid w:val="0003328F"/>
    <w:rsid w:val="00033EB9"/>
    <w:rsid w:val="00034615"/>
    <w:rsid w:val="00034C19"/>
    <w:rsid w:val="00035DF8"/>
    <w:rsid w:val="00036C52"/>
    <w:rsid w:val="00037030"/>
    <w:rsid w:val="00037625"/>
    <w:rsid w:val="00037C0F"/>
    <w:rsid w:val="000404F1"/>
    <w:rsid w:val="0004065E"/>
    <w:rsid w:val="000408A0"/>
    <w:rsid w:val="000427B2"/>
    <w:rsid w:val="00042AD5"/>
    <w:rsid w:val="0004353E"/>
    <w:rsid w:val="000435E2"/>
    <w:rsid w:val="00043BDC"/>
    <w:rsid w:val="0004557D"/>
    <w:rsid w:val="00045913"/>
    <w:rsid w:val="00045BC7"/>
    <w:rsid w:val="00045FE8"/>
    <w:rsid w:val="000463E8"/>
    <w:rsid w:val="00046DBB"/>
    <w:rsid w:val="00047271"/>
    <w:rsid w:val="000504DF"/>
    <w:rsid w:val="00050D2B"/>
    <w:rsid w:val="00051035"/>
    <w:rsid w:val="00051EC2"/>
    <w:rsid w:val="00052378"/>
    <w:rsid w:val="00052A23"/>
    <w:rsid w:val="000539BB"/>
    <w:rsid w:val="000541FC"/>
    <w:rsid w:val="00054666"/>
    <w:rsid w:val="00055552"/>
    <w:rsid w:val="00055BE6"/>
    <w:rsid w:val="00056144"/>
    <w:rsid w:val="0005687C"/>
    <w:rsid w:val="00056946"/>
    <w:rsid w:val="00056CC2"/>
    <w:rsid w:val="00057249"/>
    <w:rsid w:val="00057A17"/>
    <w:rsid w:val="00057BA3"/>
    <w:rsid w:val="00057BE2"/>
    <w:rsid w:val="00057F36"/>
    <w:rsid w:val="00057FCA"/>
    <w:rsid w:val="000605B3"/>
    <w:rsid w:val="0006145A"/>
    <w:rsid w:val="00061677"/>
    <w:rsid w:val="000617B1"/>
    <w:rsid w:val="00061CB3"/>
    <w:rsid w:val="00061E5D"/>
    <w:rsid w:val="0006266C"/>
    <w:rsid w:val="000633B3"/>
    <w:rsid w:val="00064154"/>
    <w:rsid w:val="00064A3E"/>
    <w:rsid w:val="0006576A"/>
    <w:rsid w:val="00066C12"/>
    <w:rsid w:val="00066F26"/>
    <w:rsid w:val="0006709C"/>
    <w:rsid w:val="000700B4"/>
    <w:rsid w:val="000704BC"/>
    <w:rsid w:val="00071D0B"/>
    <w:rsid w:val="0007223F"/>
    <w:rsid w:val="00073237"/>
    <w:rsid w:val="00073287"/>
    <w:rsid w:val="0007396F"/>
    <w:rsid w:val="00074DC9"/>
    <w:rsid w:val="00074EB0"/>
    <w:rsid w:val="0007554E"/>
    <w:rsid w:val="00076338"/>
    <w:rsid w:val="000768C9"/>
    <w:rsid w:val="00077261"/>
    <w:rsid w:val="00077AC6"/>
    <w:rsid w:val="000800CC"/>
    <w:rsid w:val="00080A99"/>
    <w:rsid w:val="00080E33"/>
    <w:rsid w:val="000818BC"/>
    <w:rsid w:val="000821F7"/>
    <w:rsid w:val="00082721"/>
    <w:rsid w:val="0008283D"/>
    <w:rsid w:val="0008288C"/>
    <w:rsid w:val="000837B3"/>
    <w:rsid w:val="00083E56"/>
    <w:rsid w:val="00083E89"/>
    <w:rsid w:val="00083EA4"/>
    <w:rsid w:val="00083F9C"/>
    <w:rsid w:val="00083FB6"/>
    <w:rsid w:val="0008430E"/>
    <w:rsid w:val="00084D52"/>
    <w:rsid w:val="000869E2"/>
    <w:rsid w:val="00086A6B"/>
    <w:rsid w:val="00086B94"/>
    <w:rsid w:val="00086FA5"/>
    <w:rsid w:val="00087AF5"/>
    <w:rsid w:val="00087B2F"/>
    <w:rsid w:val="00087F37"/>
    <w:rsid w:val="00090876"/>
    <w:rsid w:val="00090E18"/>
    <w:rsid w:val="000911E1"/>
    <w:rsid w:val="00091609"/>
    <w:rsid w:val="00091CA6"/>
    <w:rsid w:val="000922F7"/>
    <w:rsid w:val="00092DE4"/>
    <w:rsid w:val="00093046"/>
    <w:rsid w:val="0009390A"/>
    <w:rsid w:val="00093990"/>
    <w:rsid w:val="0009408F"/>
    <w:rsid w:val="00094B6B"/>
    <w:rsid w:val="00094E9F"/>
    <w:rsid w:val="00095FAF"/>
    <w:rsid w:val="000967F9"/>
    <w:rsid w:val="000970A9"/>
    <w:rsid w:val="00097642"/>
    <w:rsid w:val="00097C4A"/>
    <w:rsid w:val="00097E94"/>
    <w:rsid w:val="000A045F"/>
    <w:rsid w:val="000A04B2"/>
    <w:rsid w:val="000A080D"/>
    <w:rsid w:val="000A08FD"/>
    <w:rsid w:val="000A324D"/>
    <w:rsid w:val="000A339F"/>
    <w:rsid w:val="000A3E4B"/>
    <w:rsid w:val="000A431A"/>
    <w:rsid w:val="000A4599"/>
    <w:rsid w:val="000A46FA"/>
    <w:rsid w:val="000A4CF2"/>
    <w:rsid w:val="000A4D72"/>
    <w:rsid w:val="000A5000"/>
    <w:rsid w:val="000A54CA"/>
    <w:rsid w:val="000A6116"/>
    <w:rsid w:val="000A7DD5"/>
    <w:rsid w:val="000B01FB"/>
    <w:rsid w:val="000B0A14"/>
    <w:rsid w:val="000B169F"/>
    <w:rsid w:val="000B1823"/>
    <w:rsid w:val="000B192B"/>
    <w:rsid w:val="000B1BEB"/>
    <w:rsid w:val="000B2977"/>
    <w:rsid w:val="000B2D53"/>
    <w:rsid w:val="000B318A"/>
    <w:rsid w:val="000B37E4"/>
    <w:rsid w:val="000B3887"/>
    <w:rsid w:val="000B4176"/>
    <w:rsid w:val="000B42E8"/>
    <w:rsid w:val="000B473C"/>
    <w:rsid w:val="000B4AE5"/>
    <w:rsid w:val="000B5A0E"/>
    <w:rsid w:val="000B5F37"/>
    <w:rsid w:val="000B6286"/>
    <w:rsid w:val="000B63A0"/>
    <w:rsid w:val="000B659B"/>
    <w:rsid w:val="000B6A75"/>
    <w:rsid w:val="000B735C"/>
    <w:rsid w:val="000C06CB"/>
    <w:rsid w:val="000C0AE3"/>
    <w:rsid w:val="000C0C24"/>
    <w:rsid w:val="000C0E13"/>
    <w:rsid w:val="000C1195"/>
    <w:rsid w:val="000C1873"/>
    <w:rsid w:val="000C18DC"/>
    <w:rsid w:val="000C2FFB"/>
    <w:rsid w:val="000C30D6"/>
    <w:rsid w:val="000C3AE8"/>
    <w:rsid w:val="000C613F"/>
    <w:rsid w:val="000C6C5F"/>
    <w:rsid w:val="000C6C97"/>
    <w:rsid w:val="000C6F4B"/>
    <w:rsid w:val="000C7601"/>
    <w:rsid w:val="000C768F"/>
    <w:rsid w:val="000D0032"/>
    <w:rsid w:val="000D02AA"/>
    <w:rsid w:val="000D0500"/>
    <w:rsid w:val="000D0956"/>
    <w:rsid w:val="000D1CBE"/>
    <w:rsid w:val="000D27E6"/>
    <w:rsid w:val="000D4CFB"/>
    <w:rsid w:val="000D504B"/>
    <w:rsid w:val="000D50BE"/>
    <w:rsid w:val="000D6007"/>
    <w:rsid w:val="000D6725"/>
    <w:rsid w:val="000D6FD3"/>
    <w:rsid w:val="000D7F5B"/>
    <w:rsid w:val="000E00F2"/>
    <w:rsid w:val="000E0476"/>
    <w:rsid w:val="000E0747"/>
    <w:rsid w:val="000E07F0"/>
    <w:rsid w:val="000E0D59"/>
    <w:rsid w:val="000E0FA2"/>
    <w:rsid w:val="000E1A78"/>
    <w:rsid w:val="000E223A"/>
    <w:rsid w:val="000E2271"/>
    <w:rsid w:val="000E26A0"/>
    <w:rsid w:val="000E3A4D"/>
    <w:rsid w:val="000E3C0C"/>
    <w:rsid w:val="000E4D3C"/>
    <w:rsid w:val="000E5C66"/>
    <w:rsid w:val="000E69D7"/>
    <w:rsid w:val="000E6A2F"/>
    <w:rsid w:val="000E6A3F"/>
    <w:rsid w:val="000E72BD"/>
    <w:rsid w:val="000E73A6"/>
    <w:rsid w:val="000F0C1E"/>
    <w:rsid w:val="000F118D"/>
    <w:rsid w:val="000F14A4"/>
    <w:rsid w:val="000F14E7"/>
    <w:rsid w:val="000F24B7"/>
    <w:rsid w:val="000F39D5"/>
    <w:rsid w:val="000F48FC"/>
    <w:rsid w:val="000F505B"/>
    <w:rsid w:val="000F5294"/>
    <w:rsid w:val="000F52E0"/>
    <w:rsid w:val="000F531D"/>
    <w:rsid w:val="000F5B8F"/>
    <w:rsid w:val="000F6177"/>
    <w:rsid w:val="000F75C9"/>
    <w:rsid w:val="000F760F"/>
    <w:rsid w:val="000F7890"/>
    <w:rsid w:val="001000BE"/>
    <w:rsid w:val="001007C3"/>
    <w:rsid w:val="001017B3"/>
    <w:rsid w:val="00101C2A"/>
    <w:rsid w:val="00101E30"/>
    <w:rsid w:val="001020D4"/>
    <w:rsid w:val="001020DB"/>
    <w:rsid w:val="001021B5"/>
    <w:rsid w:val="001028BC"/>
    <w:rsid w:val="0010325C"/>
    <w:rsid w:val="00103375"/>
    <w:rsid w:val="00103891"/>
    <w:rsid w:val="001038BD"/>
    <w:rsid w:val="00103AB5"/>
    <w:rsid w:val="00103BCF"/>
    <w:rsid w:val="00103E0E"/>
    <w:rsid w:val="00104948"/>
    <w:rsid w:val="00105077"/>
    <w:rsid w:val="00105A50"/>
    <w:rsid w:val="00105AED"/>
    <w:rsid w:val="00106196"/>
    <w:rsid w:val="0010619C"/>
    <w:rsid w:val="001065A9"/>
    <w:rsid w:val="00106938"/>
    <w:rsid w:val="00106AA6"/>
    <w:rsid w:val="00107084"/>
    <w:rsid w:val="001074BB"/>
    <w:rsid w:val="0010797E"/>
    <w:rsid w:val="00110291"/>
    <w:rsid w:val="00110C98"/>
    <w:rsid w:val="00112DCE"/>
    <w:rsid w:val="00113150"/>
    <w:rsid w:val="0011315E"/>
    <w:rsid w:val="0011488B"/>
    <w:rsid w:val="001149BC"/>
    <w:rsid w:val="00115D18"/>
    <w:rsid w:val="00116FD5"/>
    <w:rsid w:val="00116FFB"/>
    <w:rsid w:val="001175D2"/>
    <w:rsid w:val="0011788C"/>
    <w:rsid w:val="001179CA"/>
    <w:rsid w:val="00117FDA"/>
    <w:rsid w:val="00121634"/>
    <w:rsid w:val="0012244B"/>
    <w:rsid w:val="00122D35"/>
    <w:rsid w:val="00123C6E"/>
    <w:rsid w:val="0012420D"/>
    <w:rsid w:val="00124FB5"/>
    <w:rsid w:val="001256A6"/>
    <w:rsid w:val="001272A9"/>
    <w:rsid w:val="001273B7"/>
    <w:rsid w:val="00127602"/>
    <w:rsid w:val="00127F36"/>
    <w:rsid w:val="00131326"/>
    <w:rsid w:val="00131C27"/>
    <w:rsid w:val="0013342B"/>
    <w:rsid w:val="001338D5"/>
    <w:rsid w:val="00134104"/>
    <w:rsid w:val="0013453D"/>
    <w:rsid w:val="001347CA"/>
    <w:rsid w:val="00134904"/>
    <w:rsid w:val="00134B17"/>
    <w:rsid w:val="00135455"/>
    <w:rsid w:val="0013563D"/>
    <w:rsid w:val="00135AB4"/>
    <w:rsid w:val="00135C78"/>
    <w:rsid w:val="00135C94"/>
    <w:rsid w:val="00136060"/>
    <w:rsid w:val="0013731E"/>
    <w:rsid w:val="00137D22"/>
    <w:rsid w:val="00140974"/>
    <w:rsid w:val="001411E4"/>
    <w:rsid w:val="0014129C"/>
    <w:rsid w:val="00141388"/>
    <w:rsid w:val="0014174F"/>
    <w:rsid w:val="00142263"/>
    <w:rsid w:val="0014238A"/>
    <w:rsid w:val="00142607"/>
    <w:rsid w:val="00142642"/>
    <w:rsid w:val="00142A75"/>
    <w:rsid w:val="00142DD7"/>
    <w:rsid w:val="00142FDD"/>
    <w:rsid w:val="00143AFC"/>
    <w:rsid w:val="0014402C"/>
    <w:rsid w:val="00144CB8"/>
    <w:rsid w:val="00144E0E"/>
    <w:rsid w:val="00145654"/>
    <w:rsid w:val="00145909"/>
    <w:rsid w:val="0014621F"/>
    <w:rsid w:val="00146598"/>
    <w:rsid w:val="00146F61"/>
    <w:rsid w:val="001473B3"/>
    <w:rsid w:val="001476B2"/>
    <w:rsid w:val="00147A8C"/>
    <w:rsid w:val="001508D4"/>
    <w:rsid w:val="00150E93"/>
    <w:rsid w:val="00150F1A"/>
    <w:rsid w:val="0015141D"/>
    <w:rsid w:val="00151742"/>
    <w:rsid w:val="001541E9"/>
    <w:rsid w:val="0015436F"/>
    <w:rsid w:val="001548AC"/>
    <w:rsid w:val="001549B2"/>
    <w:rsid w:val="00154D71"/>
    <w:rsid w:val="0015679D"/>
    <w:rsid w:val="00156861"/>
    <w:rsid w:val="0015773C"/>
    <w:rsid w:val="0015777E"/>
    <w:rsid w:val="001577D3"/>
    <w:rsid w:val="00157FC0"/>
    <w:rsid w:val="00160FB4"/>
    <w:rsid w:val="00161399"/>
    <w:rsid w:val="001613C7"/>
    <w:rsid w:val="00161F27"/>
    <w:rsid w:val="00163717"/>
    <w:rsid w:val="00163A84"/>
    <w:rsid w:val="00163EEE"/>
    <w:rsid w:val="00165EF2"/>
    <w:rsid w:val="00166255"/>
    <w:rsid w:val="0016635C"/>
    <w:rsid w:val="00167BBD"/>
    <w:rsid w:val="00167CD1"/>
    <w:rsid w:val="00170829"/>
    <w:rsid w:val="00170E79"/>
    <w:rsid w:val="00170EF3"/>
    <w:rsid w:val="00171354"/>
    <w:rsid w:val="00172061"/>
    <w:rsid w:val="0017309B"/>
    <w:rsid w:val="00173B25"/>
    <w:rsid w:val="00174082"/>
    <w:rsid w:val="00174E71"/>
    <w:rsid w:val="00174FA2"/>
    <w:rsid w:val="0017515F"/>
    <w:rsid w:val="00175C58"/>
    <w:rsid w:val="00176987"/>
    <w:rsid w:val="00176BB9"/>
    <w:rsid w:val="00176DB5"/>
    <w:rsid w:val="001774E6"/>
    <w:rsid w:val="00177940"/>
    <w:rsid w:val="00177CA6"/>
    <w:rsid w:val="00177F5A"/>
    <w:rsid w:val="00180222"/>
    <w:rsid w:val="001802DE"/>
    <w:rsid w:val="00180634"/>
    <w:rsid w:val="001806D5"/>
    <w:rsid w:val="00180E37"/>
    <w:rsid w:val="001818C3"/>
    <w:rsid w:val="0018202E"/>
    <w:rsid w:val="00182A96"/>
    <w:rsid w:val="00182B86"/>
    <w:rsid w:val="00182F53"/>
    <w:rsid w:val="00184107"/>
    <w:rsid w:val="001849DD"/>
    <w:rsid w:val="00185A2A"/>
    <w:rsid w:val="00185DF9"/>
    <w:rsid w:val="00187212"/>
    <w:rsid w:val="00187575"/>
    <w:rsid w:val="00187AF6"/>
    <w:rsid w:val="00187BC1"/>
    <w:rsid w:val="00187E79"/>
    <w:rsid w:val="001909B8"/>
    <w:rsid w:val="001912AD"/>
    <w:rsid w:val="001912B1"/>
    <w:rsid w:val="001914FF"/>
    <w:rsid w:val="001918A1"/>
    <w:rsid w:val="00191B23"/>
    <w:rsid w:val="00191DD6"/>
    <w:rsid w:val="0019273C"/>
    <w:rsid w:val="001929F8"/>
    <w:rsid w:val="00192EFF"/>
    <w:rsid w:val="001935D8"/>
    <w:rsid w:val="00194290"/>
    <w:rsid w:val="00194318"/>
    <w:rsid w:val="00194B77"/>
    <w:rsid w:val="0019529C"/>
    <w:rsid w:val="0019561F"/>
    <w:rsid w:val="00196A93"/>
    <w:rsid w:val="00197678"/>
    <w:rsid w:val="00197793"/>
    <w:rsid w:val="00197797"/>
    <w:rsid w:val="001977E0"/>
    <w:rsid w:val="001A0328"/>
    <w:rsid w:val="001A0D88"/>
    <w:rsid w:val="001A12DB"/>
    <w:rsid w:val="001A14E3"/>
    <w:rsid w:val="001A1BE5"/>
    <w:rsid w:val="001A2176"/>
    <w:rsid w:val="001A251C"/>
    <w:rsid w:val="001A2BA4"/>
    <w:rsid w:val="001A378A"/>
    <w:rsid w:val="001A4401"/>
    <w:rsid w:val="001A463B"/>
    <w:rsid w:val="001A4BD5"/>
    <w:rsid w:val="001A5185"/>
    <w:rsid w:val="001A51DD"/>
    <w:rsid w:val="001A5206"/>
    <w:rsid w:val="001A538B"/>
    <w:rsid w:val="001A6088"/>
    <w:rsid w:val="001A746E"/>
    <w:rsid w:val="001A7D11"/>
    <w:rsid w:val="001B0AD0"/>
    <w:rsid w:val="001B13CE"/>
    <w:rsid w:val="001B1B18"/>
    <w:rsid w:val="001B1D57"/>
    <w:rsid w:val="001B2028"/>
    <w:rsid w:val="001B2648"/>
    <w:rsid w:val="001B26ED"/>
    <w:rsid w:val="001B2CB2"/>
    <w:rsid w:val="001B47D1"/>
    <w:rsid w:val="001B5369"/>
    <w:rsid w:val="001B6935"/>
    <w:rsid w:val="001B6B2C"/>
    <w:rsid w:val="001C0068"/>
    <w:rsid w:val="001C0249"/>
    <w:rsid w:val="001C02C1"/>
    <w:rsid w:val="001C09FF"/>
    <w:rsid w:val="001C1402"/>
    <w:rsid w:val="001C1E7C"/>
    <w:rsid w:val="001C1F77"/>
    <w:rsid w:val="001C2A22"/>
    <w:rsid w:val="001C30E3"/>
    <w:rsid w:val="001C3167"/>
    <w:rsid w:val="001C368A"/>
    <w:rsid w:val="001C40ED"/>
    <w:rsid w:val="001C432D"/>
    <w:rsid w:val="001C4428"/>
    <w:rsid w:val="001C4537"/>
    <w:rsid w:val="001C468A"/>
    <w:rsid w:val="001C497C"/>
    <w:rsid w:val="001C57D0"/>
    <w:rsid w:val="001C58CE"/>
    <w:rsid w:val="001C5CAC"/>
    <w:rsid w:val="001C6B94"/>
    <w:rsid w:val="001C6D69"/>
    <w:rsid w:val="001C6F1B"/>
    <w:rsid w:val="001C759A"/>
    <w:rsid w:val="001C7807"/>
    <w:rsid w:val="001D0D06"/>
    <w:rsid w:val="001D10C3"/>
    <w:rsid w:val="001D34A0"/>
    <w:rsid w:val="001D3FF4"/>
    <w:rsid w:val="001D4E89"/>
    <w:rsid w:val="001D53AD"/>
    <w:rsid w:val="001D5524"/>
    <w:rsid w:val="001D5979"/>
    <w:rsid w:val="001D5A5C"/>
    <w:rsid w:val="001D6571"/>
    <w:rsid w:val="001D6844"/>
    <w:rsid w:val="001D6965"/>
    <w:rsid w:val="001D6A5E"/>
    <w:rsid w:val="001D6CD7"/>
    <w:rsid w:val="001D6E5E"/>
    <w:rsid w:val="001D706F"/>
    <w:rsid w:val="001D7757"/>
    <w:rsid w:val="001D7791"/>
    <w:rsid w:val="001D7A19"/>
    <w:rsid w:val="001E0C2F"/>
    <w:rsid w:val="001E1571"/>
    <w:rsid w:val="001E1CC0"/>
    <w:rsid w:val="001E2922"/>
    <w:rsid w:val="001E2D3D"/>
    <w:rsid w:val="001E2F14"/>
    <w:rsid w:val="001E3741"/>
    <w:rsid w:val="001E39D2"/>
    <w:rsid w:val="001E4D5E"/>
    <w:rsid w:val="001E63A6"/>
    <w:rsid w:val="001E63AE"/>
    <w:rsid w:val="001E63CC"/>
    <w:rsid w:val="001E67FC"/>
    <w:rsid w:val="001E69F7"/>
    <w:rsid w:val="001E6CF4"/>
    <w:rsid w:val="001E7541"/>
    <w:rsid w:val="001F0293"/>
    <w:rsid w:val="001F05F4"/>
    <w:rsid w:val="001F12B1"/>
    <w:rsid w:val="001F1310"/>
    <w:rsid w:val="001F144A"/>
    <w:rsid w:val="001F1E64"/>
    <w:rsid w:val="001F2B41"/>
    <w:rsid w:val="001F2B59"/>
    <w:rsid w:val="001F3F19"/>
    <w:rsid w:val="001F411E"/>
    <w:rsid w:val="001F44E9"/>
    <w:rsid w:val="001F4928"/>
    <w:rsid w:val="001F4BB1"/>
    <w:rsid w:val="001F5DB2"/>
    <w:rsid w:val="001F68ED"/>
    <w:rsid w:val="001F72CF"/>
    <w:rsid w:val="001F72D5"/>
    <w:rsid w:val="001F7C26"/>
    <w:rsid w:val="002001CA"/>
    <w:rsid w:val="002005F9"/>
    <w:rsid w:val="00200A5F"/>
    <w:rsid w:val="00200BD9"/>
    <w:rsid w:val="0020291A"/>
    <w:rsid w:val="00202E27"/>
    <w:rsid w:val="002047C0"/>
    <w:rsid w:val="00204D11"/>
    <w:rsid w:val="002059EC"/>
    <w:rsid w:val="00206339"/>
    <w:rsid w:val="00206A82"/>
    <w:rsid w:val="002074F0"/>
    <w:rsid w:val="00210D7D"/>
    <w:rsid w:val="00210FDB"/>
    <w:rsid w:val="0021104E"/>
    <w:rsid w:val="0021170E"/>
    <w:rsid w:val="00211BCC"/>
    <w:rsid w:val="00211E35"/>
    <w:rsid w:val="0021202D"/>
    <w:rsid w:val="0021204C"/>
    <w:rsid w:val="002122AD"/>
    <w:rsid w:val="00213D2D"/>
    <w:rsid w:val="00213E07"/>
    <w:rsid w:val="002145CA"/>
    <w:rsid w:val="00214CE9"/>
    <w:rsid w:val="00214D25"/>
    <w:rsid w:val="002168BC"/>
    <w:rsid w:val="00220243"/>
    <w:rsid w:val="0022043F"/>
    <w:rsid w:val="00220A61"/>
    <w:rsid w:val="00220B6E"/>
    <w:rsid w:val="00220D0F"/>
    <w:rsid w:val="00220F89"/>
    <w:rsid w:val="00221A59"/>
    <w:rsid w:val="00222082"/>
    <w:rsid w:val="002236FC"/>
    <w:rsid w:val="00223D50"/>
    <w:rsid w:val="00223FA5"/>
    <w:rsid w:val="00224334"/>
    <w:rsid w:val="00225A5B"/>
    <w:rsid w:val="00226A08"/>
    <w:rsid w:val="00227777"/>
    <w:rsid w:val="002277BC"/>
    <w:rsid w:val="00227C39"/>
    <w:rsid w:val="002304F9"/>
    <w:rsid w:val="00231478"/>
    <w:rsid w:val="00232AA6"/>
    <w:rsid w:val="00232E70"/>
    <w:rsid w:val="00233205"/>
    <w:rsid w:val="002332D8"/>
    <w:rsid w:val="00233336"/>
    <w:rsid w:val="002334BA"/>
    <w:rsid w:val="00233547"/>
    <w:rsid w:val="00234136"/>
    <w:rsid w:val="0023448C"/>
    <w:rsid w:val="0023473F"/>
    <w:rsid w:val="00234DA2"/>
    <w:rsid w:val="00235C15"/>
    <w:rsid w:val="00237CD7"/>
    <w:rsid w:val="00237CF4"/>
    <w:rsid w:val="0024036F"/>
    <w:rsid w:val="00240C16"/>
    <w:rsid w:val="002415C3"/>
    <w:rsid w:val="00241AB4"/>
    <w:rsid w:val="00241C10"/>
    <w:rsid w:val="0024230B"/>
    <w:rsid w:val="00242505"/>
    <w:rsid w:val="002426BA"/>
    <w:rsid w:val="00242D91"/>
    <w:rsid w:val="0024350F"/>
    <w:rsid w:val="0024364B"/>
    <w:rsid w:val="00243747"/>
    <w:rsid w:val="002437F2"/>
    <w:rsid w:val="00243A04"/>
    <w:rsid w:val="00243C07"/>
    <w:rsid w:val="00243EAB"/>
    <w:rsid w:val="00245A34"/>
    <w:rsid w:val="0024686B"/>
    <w:rsid w:val="002476B5"/>
    <w:rsid w:val="0024780F"/>
    <w:rsid w:val="002502EF"/>
    <w:rsid w:val="00251177"/>
    <w:rsid w:val="00251295"/>
    <w:rsid w:val="00251E48"/>
    <w:rsid w:val="002525EF"/>
    <w:rsid w:val="00252F22"/>
    <w:rsid w:val="0025371B"/>
    <w:rsid w:val="002537AB"/>
    <w:rsid w:val="0025392F"/>
    <w:rsid w:val="00253D3F"/>
    <w:rsid w:val="00253EB3"/>
    <w:rsid w:val="002543DC"/>
    <w:rsid w:val="0025456E"/>
    <w:rsid w:val="002547BB"/>
    <w:rsid w:val="00254912"/>
    <w:rsid w:val="00254938"/>
    <w:rsid w:val="00254FF4"/>
    <w:rsid w:val="0025678A"/>
    <w:rsid w:val="002568CF"/>
    <w:rsid w:val="00256DB4"/>
    <w:rsid w:val="00256DEC"/>
    <w:rsid w:val="00257128"/>
    <w:rsid w:val="0025723D"/>
    <w:rsid w:val="0025748E"/>
    <w:rsid w:val="00257700"/>
    <w:rsid w:val="00257881"/>
    <w:rsid w:val="00257F68"/>
    <w:rsid w:val="00260F6A"/>
    <w:rsid w:val="00262145"/>
    <w:rsid w:val="002622EB"/>
    <w:rsid w:val="00262307"/>
    <w:rsid w:val="00262995"/>
    <w:rsid w:val="00262F56"/>
    <w:rsid w:val="002634A1"/>
    <w:rsid w:val="00263E91"/>
    <w:rsid w:val="002643BF"/>
    <w:rsid w:val="002645D2"/>
    <w:rsid w:val="00264BBB"/>
    <w:rsid w:val="00264D11"/>
    <w:rsid w:val="00265246"/>
    <w:rsid w:val="00265775"/>
    <w:rsid w:val="00267558"/>
    <w:rsid w:val="0027008A"/>
    <w:rsid w:val="0027089A"/>
    <w:rsid w:val="00270F29"/>
    <w:rsid w:val="00271CF8"/>
    <w:rsid w:val="00272444"/>
    <w:rsid w:val="002724E1"/>
    <w:rsid w:val="00272F4F"/>
    <w:rsid w:val="00272F98"/>
    <w:rsid w:val="00273D30"/>
    <w:rsid w:val="0027460B"/>
    <w:rsid w:val="002749BF"/>
    <w:rsid w:val="0027515C"/>
    <w:rsid w:val="002751BF"/>
    <w:rsid w:val="002761BB"/>
    <w:rsid w:val="0027688F"/>
    <w:rsid w:val="00277159"/>
    <w:rsid w:val="00277448"/>
    <w:rsid w:val="00277A75"/>
    <w:rsid w:val="00280257"/>
    <w:rsid w:val="00280B8F"/>
    <w:rsid w:val="00281A9A"/>
    <w:rsid w:val="002828AE"/>
    <w:rsid w:val="00282A41"/>
    <w:rsid w:val="00282AF4"/>
    <w:rsid w:val="00283499"/>
    <w:rsid w:val="00283ACD"/>
    <w:rsid w:val="00283D6A"/>
    <w:rsid w:val="00283EA6"/>
    <w:rsid w:val="00283EBD"/>
    <w:rsid w:val="0028496F"/>
    <w:rsid w:val="00284D0C"/>
    <w:rsid w:val="00284E7D"/>
    <w:rsid w:val="00287005"/>
    <w:rsid w:val="00287274"/>
    <w:rsid w:val="00287333"/>
    <w:rsid w:val="0028735E"/>
    <w:rsid w:val="0028777C"/>
    <w:rsid w:val="002877CD"/>
    <w:rsid w:val="00287E95"/>
    <w:rsid w:val="00290308"/>
    <w:rsid w:val="00290904"/>
    <w:rsid w:val="00290EB8"/>
    <w:rsid w:val="00292344"/>
    <w:rsid w:val="002927B5"/>
    <w:rsid w:val="002927FE"/>
    <w:rsid w:val="0029377E"/>
    <w:rsid w:val="0029596F"/>
    <w:rsid w:val="00295C00"/>
    <w:rsid w:val="00296032"/>
    <w:rsid w:val="0029612D"/>
    <w:rsid w:val="002962FC"/>
    <w:rsid w:val="002A07B0"/>
    <w:rsid w:val="002A092E"/>
    <w:rsid w:val="002A26C4"/>
    <w:rsid w:val="002A2792"/>
    <w:rsid w:val="002A3659"/>
    <w:rsid w:val="002A3C37"/>
    <w:rsid w:val="002A4A89"/>
    <w:rsid w:val="002A4EA8"/>
    <w:rsid w:val="002A5156"/>
    <w:rsid w:val="002A5262"/>
    <w:rsid w:val="002A651F"/>
    <w:rsid w:val="002A6B61"/>
    <w:rsid w:val="002B0072"/>
    <w:rsid w:val="002B01E7"/>
    <w:rsid w:val="002B09A7"/>
    <w:rsid w:val="002B1C16"/>
    <w:rsid w:val="002B2ACF"/>
    <w:rsid w:val="002B2B36"/>
    <w:rsid w:val="002B2DFB"/>
    <w:rsid w:val="002B3928"/>
    <w:rsid w:val="002B4359"/>
    <w:rsid w:val="002B45DA"/>
    <w:rsid w:val="002B4EE4"/>
    <w:rsid w:val="002B6154"/>
    <w:rsid w:val="002B6388"/>
    <w:rsid w:val="002B70DF"/>
    <w:rsid w:val="002B71DA"/>
    <w:rsid w:val="002B7ACD"/>
    <w:rsid w:val="002B7EB3"/>
    <w:rsid w:val="002C0AB4"/>
    <w:rsid w:val="002C1D0B"/>
    <w:rsid w:val="002C1F7A"/>
    <w:rsid w:val="002C2526"/>
    <w:rsid w:val="002C2658"/>
    <w:rsid w:val="002C2D14"/>
    <w:rsid w:val="002C3596"/>
    <w:rsid w:val="002C395D"/>
    <w:rsid w:val="002C52E5"/>
    <w:rsid w:val="002C587F"/>
    <w:rsid w:val="002C5CEB"/>
    <w:rsid w:val="002C7F0E"/>
    <w:rsid w:val="002D0007"/>
    <w:rsid w:val="002D007E"/>
    <w:rsid w:val="002D07AA"/>
    <w:rsid w:val="002D0CD6"/>
    <w:rsid w:val="002D1897"/>
    <w:rsid w:val="002D1B7A"/>
    <w:rsid w:val="002D1D75"/>
    <w:rsid w:val="002D259E"/>
    <w:rsid w:val="002D2912"/>
    <w:rsid w:val="002D29C5"/>
    <w:rsid w:val="002D3273"/>
    <w:rsid w:val="002D45F6"/>
    <w:rsid w:val="002D4917"/>
    <w:rsid w:val="002D49D9"/>
    <w:rsid w:val="002D543B"/>
    <w:rsid w:val="002D57B0"/>
    <w:rsid w:val="002D5861"/>
    <w:rsid w:val="002D5E57"/>
    <w:rsid w:val="002D693D"/>
    <w:rsid w:val="002D7B4A"/>
    <w:rsid w:val="002E0A30"/>
    <w:rsid w:val="002E13C3"/>
    <w:rsid w:val="002E1911"/>
    <w:rsid w:val="002E1BCB"/>
    <w:rsid w:val="002E222D"/>
    <w:rsid w:val="002E3044"/>
    <w:rsid w:val="002E4426"/>
    <w:rsid w:val="002E4A49"/>
    <w:rsid w:val="002E5296"/>
    <w:rsid w:val="002E5398"/>
    <w:rsid w:val="002E6A56"/>
    <w:rsid w:val="002E6F3D"/>
    <w:rsid w:val="002E7C48"/>
    <w:rsid w:val="002F01AD"/>
    <w:rsid w:val="002F042C"/>
    <w:rsid w:val="002F05F7"/>
    <w:rsid w:val="002F1097"/>
    <w:rsid w:val="002F18DE"/>
    <w:rsid w:val="002F2055"/>
    <w:rsid w:val="002F293A"/>
    <w:rsid w:val="002F296E"/>
    <w:rsid w:val="002F2F5F"/>
    <w:rsid w:val="002F32D2"/>
    <w:rsid w:val="002F3E13"/>
    <w:rsid w:val="002F43F3"/>
    <w:rsid w:val="002F4867"/>
    <w:rsid w:val="002F4C30"/>
    <w:rsid w:val="002F4C76"/>
    <w:rsid w:val="002F4CD6"/>
    <w:rsid w:val="002F524B"/>
    <w:rsid w:val="002F6AEA"/>
    <w:rsid w:val="002F6C8E"/>
    <w:rsid w:val="002F6E9C"/>
    <w:rsid w:val="002F6F51"/>
    <w:rsid w:val="002F70F5"/>
    <w:rsid w:val="002F7380"/>
    <w:rsid w:val="002F74EC"/>
    <w:rsid w:val="002F75E7"/>
    <w:rsid w:val="002F77D2"/>
    <w:rsid w:val="002F7E3C"/>
    <w:rsid w:val="0030156C"/>
    <w:rsid w:val="003016C6"/>
    <w:rsid w:val="00301D26"/>
    <w:rsid w:val="00302652"/>
    <w:rsid w:val="00302BE9"/>
    <w:rsid w:val="003031E3"/>
    <w:rsid w:val="00303737"/>
    <w:rsid w:val="00304266"/>
    <w:rsid w:val="003045C3"/>
    <w:rsid w:val="00304E13"/>
    <w:rsid w:val="00304FD0"/>
    <w:rsid w:val="003050F1"/>
    <w:rsid w:val="003050FD"/>
    <w:rsid w:val="0030548A"/>
    <w:rsid w:val="003054DC"/>
    <w:rsid w:val="003056CF"/>
    <w:rsid w:val="003058FC"/>
    <w:rsid w:val="00305F17"/>
    <w:rsid w:val="003062BF"/>
    <w:rsid w:val="00306638"/>
    <w:rsid w:val="0030797F"/>
    <w:rsid w:val="003103F8"/>
    <w:rsid w:val="003108D6"/>
    <w:rsid w:val="00311805"/>
    <w:rsid w:val="00311D04"/>
    <w:rsid w:val="0031225E"/>
    <w:rsid w:val="00312EAE"/>
    <w:rsid w:val="00314AED"/>
    <w:rsid w:val="00314F86"/>
    <w:rsid w:val="0031578E"/>
    <w:rsid w:val="00315BA1"/>
    <w:rsid w:val="00316BD1"/>
    <w:rsid w:val="00316EBB"/>
    <w:rsid w:val="003173E3"/>
    <w:rsid w:val="00320C01"/>
    <w:rsid w:val="003222BA"/>
    <w:rsid w:val="00322990"/>
    <w:rsid w:val="003234F9"/>
    <w:rsid w:val="0032445F"/>
    <w:rsid w:val="00324FD2"/>
    <w:rsid w:val="00325BCF"/>
    <w:rsid w:val="003260ED"/>
    <w:rsid w:val="0032691F"/>
    <w:rsid w:val="00326A43"/>
    <w:rsid w:val="00326E54"/>
    <w:rsid w:val="00326EB1"/>
    <w:rsid w:val="0032780E"/>
    <w:rsid w:val="0033062F"/>
    <w:rsid w:val="00331403"/>
    <w:rsid w:val="0033189C"/>
    <w:rsid w:val="00332333"/>
    <w:rsid w:val="0033246E"/>
    <w:rsid w:val="00332959"/>
    <w:rsid w:val="00333AAB"/>
    <w:rsid w:val="00334176"/>
    <w:rsid w:val="003353A0"/>
    <w:rsid w:val="00335466"/>
    <w:rsid w:val="003357A3"/>
    <w:rsid w:val="003364C0"/>
    <w:rsid w:val="0033663F"/>
    <w:rsid w:val="00336F22"/>
    <w:rsid w:val="0033787A"/>
    <w:rsid w:val="0033796B"/>
    <w:rsid w:val="00337AA0"/>
    <w:rsid w:val="00340752"/>
    <w:rsid w:val="00340CD8"/>
    <w:rsid w:val="0034188F"/>
    <w:rsid w:val="00342485"/>
    <w:rsid w:val="003428F1"/>
    <w:rsid w:val="00342B3A"/>
    <w:rsid w:val="00342FB2"/>
    <w:rsid w:val="003439DF"/>
    <w:rsid w:val="00343ADD"/>
    <w:rsid w:val="0034421C"/>
    <w:rsid w:val="00344335"/>
    <w:rsid w:val="00344BD1"/>
    <w:rsid w:val="00344D38"/>
    <w:rsid w:val="00345346"/>
    <w:rsid w:val="0034570C"/>
    <w:rsid w:val="00346C46"/>
    <w:rsid w:val="003470F4"/>
    <w:rsid w:val="0034716C"/>
    <w:rsid w:val="00347431"/>
    <w:rsid w:val="00347A02"/>
    <w:rsid w:val="00347CCE"/>
    <w:rsid w:val="00350788"/>
    <w:rsid w:val="00350EB3"/>
    <w:rsid w:val="00351A12"/>
    <w:rsid w:val="00351A4F"/>
    <w:rsid w:val="0035255E"/>
    <w:rsid w:val="00352667"/>
    <w:rsid w:val="00352E6E"/>
    <w:rsid w:val="0035316E"/>
    <w:rsid w:val="00353E4D"/>
    <w:rsid w:val="00354268"/>
    <w:rsid w:val="0035447F"/>
    <w:rsid w:val="00354C04"/>
    <w:rsid w:val="00354E7A"/>
    <w:rsid w:val="0035571F"/>
    <w:rsid w:val="0035657B"/>
    <w:rsid w:val="00356A6C"/>
    <w:rsid w:val="00356FFE"/>
    <w:rsid w:val="0035729D"/>
    <w:rsid w:val="00357566"/>
    <w:rsid w:val="0035774A"/>
    <w:rsid w:val="00357D1A"/>
    <w:rsid w:val="00360BD5"/>
    <w:rsid w:val="00361DBE"/>
    <w:rsid w:val="00363279"/>
    <w:rsid w:val="00363847"/>
    <w:rsid w:val="00364664"/>
    <w:rsid w:val="00364E7F"/>
    <w:rsid w:val="00364F98"/>
    <w:rsid w:val="00365575"/>
    <w:rsid w:val="00366C3A"/>
    <w:rsid w:val="003670D7"/>
    <w:rsid w:val="00367B0F"/>
    <w:rsid w:val="00367CAE"/>
    <w:rsid w:val="0037015B"/>
    <w:rsid w:val="003702EA"/>
    <w:rsid w:val="003706FB"/>
    <w:rsid w:val="0037098B"/>
    <w:rsid w:val="003719C1"/>
    <w:rsid w:val="00372566"/>
    <w:rsid w:val="00372A89"/>
    <w:rsid w:val="00372BEB"/>
    <w:rsid w:val="00372F20"/>
    <w:rsid w:val="00373B16"/>
    <w:rsid w:val="003740E9"/>
    <w:rsid w:val="003741AA"/>
    <w:rsid w:val="00375299"/>
    <w:rsid w:val="00375631"/>
    <w:rsid w:val="003758C0"/>
    <w:rsid w:val="00375B15"/>
    <w:rsid w:val="0037617A"/>
    <w:rsid w:val="0037664D"/>
    <w:rsid w:val="003767B1"/>
    <w:rsid w:val="00376948"/>
    <w:rsid w:val="00376A2D"/>
    <w:rsid w:val="003773E9"/>
    <w:rsid w:val="00377D6A"/>
    <w:rsid w:val="00380766"/>
    <w:rsid w:val="00380818"/>
    <w:rsid w:val="003808E4"/>
    <w:rsid w:val="00381150"/>
    <w:rsid w:val="00381346"/>
    <w:rsid w:val="0038184B"/>
    <w:rsid w:val="00381F4D"/>
    <w:rsid w:val="00381F85"/>
    <w:rsid w:val="003820E2"/>
    <w:rsid w:val="00382220"/>
    <w:rsid w:val="00382956"/>
    <w:rsid w:val="00383EA8"/>
    <w:rsid w:val="0038593D"/>
    <w:rsid w:val="00385EF6"/>
    <w:rsid w:val="003861F4"/>
    <w:rsid w:val="00386AAD"/>
    <w:rsid w:val="003873A0"/>
    <w:rsid w:val="00387776"/>
    <w:rsid w:val="003908C6"/>
    <w:rsid w:val="003916E5"/>
    <w:rsid w:val="0039230D"/>
    <w:rsid w:val="00392CB5"/>
    <w:rsid w:val="00392EBA"/>
    <w:rsid w:val="00393492"/>
    <w:rsid w:val="00393A2D"/>
    <w:rsid w:val="003949B7"/>
    <w:rsid w:val="00394AE1"/>
    <w:rsid w:val="00394BEC"/>
    <w:rsid w:val="0039552D"/>
    <w:rsid w:val="003955A5"/>
    <w:rsid w:val="00395844"/>
    <w:rsid w:val="003962DD"/>
    <w:rsid w:val="00397912"/>
    <w:rsid w:val="00397C30"/>
    <w:rsid w:val="003A08C2"/>
    <w:rsid w:val="003A0F51"/>
    <w:rsid w:val="003A1267"/>
    <w:rsid w:val="003A1407"/>
    <w:rsid w:val="003A14F4"/>
    <w:rsid w:val="003A1DF3"/>
    <w:rsid w:val="003A2A9A"/>
    <w:rsid w:val="003A2DAE"/>
    <w:rsid w:val="003A3442"/>
    <w:rsid w:val="003A3517"/>
    <w:rsid w:val="003A4185"/>
    <w:rsid w:val="003A5F79"/>
    <w:rsid w:val="003A6141"/>
    <w:rsid w:val="003A6319"/>
    <w:rsid w:val="003A6443"/>
    <w:rsid w:val="003A64F7"/>
    <w:rsid w:val="003A6CED"/>
    <w:rsid w:val="003A7ACE"/>
    <w:rsid w:val="003B0A38"/>
    <w:rsid w:val="003B1875"/>
    <w:rsid w:val="003B1910"/>
    <w:rsid w:val="003B22DA"/>
    <w:rsid w:val="003B2EC8"/>
    <w:rsid w:val="003B4901"/>
    <w:rsid w:val="003B5B62"/>
    <w:rsid w:val="003B5CBB"/>
    <w:rsid w:val="003B5ED2"/>
    <w:rsid w:val="003B5EE7"/>
    <w:rsid w:val="003B6191"/>
    <w:rsid w:val="003B69C8"/>
    <w:rsid w:val="003B76BB"/>
    <w:rsid w:val="003B76F5"/>
    <w:rsid w:val="003B7B3D"/>
    <w:rsid w:val="003B7F3F"/>
    <w:rsid w:val="003C0BE2"/>
    <w:rsid w:val="003C12C7"/>
    <w:rsid w:val="003C1F1A"/>
    <w:rsid w:val="003C24A3"/>
    <w:rsid w:val="003C2747"/>
    <w:rsid w:val="003C2C7D"/>
    <w:rsid w:val="003C3263"/>
    <w:rsid w:val="003C3750"/>
    <w:rsid w:val="003C3E5C"/>
    <w:rsid w:val="003C3FE8"/>
    <w:rsid w:val="003C420B"/>
    <w:rsid w:val="003C5432"/>
    <w:rsid w:val="003C573E"/>
    <w:rsid w:val="003C5D4E"/>
    <w:rsid w:val="003C6998"/>
    <w:rsid w:val="003C7EF5"/>
    <w:rsid w:val="003D0903"/>
    <w:rsid w:val="003D2504"/>
    <w:rsid w:val="003D2547"/>
    <w:rsid w:val="003D25B6"/>
    <w:rsid w:val="003D275B"/>
    <w:rsid w:val="003D27D9"/>
    <w:rsid w:val="003D2B65"/>
    <w:rsid w:val="003D31C8"/>
    <w:rsid w:val="003D442B"/>
    <w:rsid w:val="003D537E"/>
    <w:rsid w:val="003D570D"/>
    <w:rsid w:val="003D6394"/>
    <w:rsid w:val="003D64BF"/>
    <w:rsid w:val="003D6BDD"/>
    <w:rsid w:val="003D7441"/>
    <w:rsid w:val="003E0BCD"/>
    <w:rsid w:val="003E0C44"/>
    <w:rsid w:val="003E0C4C"/>
    <w:rsid w:val="003E0CDF"/>
    <w:rsid w:val="003E13A8"/>
    <w:rsid w:val="003E1748"/>
    <w:rsid w:val="003E21DA"/>
    <w:rsid w:val="003E2611"/>
    <w:rsid w:val="003E2726"/>
    <w:rsid w:val="003E2CDB"/>
    <w:rsid w:val="003E3DDC"/>
    <w:rsid w:val="003E3EA0"/>
    <w:rsid w:val="003E40C3"/>
    <w:rsid w:val="003E427F"/>
    <w:rsid w:val="003E5223"/>
    <w:rsid w:val="003E53D9"/>
    <w:rsid w:val="003E56FD"/>
    <w:rsid w:val="003E586F"/>
    <w:rsid w:val="003E5F88"/>
    <w:rsid w:val="003E6230"/>
    <w:rsid w:val="003E6898"/>
    <w:rsid w:val="003E6CB1"/>
    <w:rsid w:val="003E6F3B"/>
    <w:rsid w:val="003E761C"/>
    <w:rsid w:val="003F130A"/>
    <w:rsid w:val="003F173D"/>
    <w:rsid w:val="003F215C"/>
    <w:rsid w:val="003F2AC3"/>
    <w:rsid w:val="003F2BAE"/>
    <w:rsid w:val="003F2DA2"/>
    <w:rsid w:val="003F31F4"/>
    <w:rsid w:val="003F4ADB"/>
    <w:rsid w:val="003F5556"/>
    <w:rsid w:val="003F5627"/>
    <w:rsid w:val="003F56AF"/>
    <w:rsid w:val="003F7AAC"/>
    <w:rsid w:val="003F7BC9"/>
    <w:rsid w:val="003F7F98"/>
    <w:rsid w:val="00400177"/>
    <w:rsid w:val="00400553"/>
    <w:rsid w:val="0040116C"/>
    <w:rsid w:val="0040137D"/>
    <w:rsid w:val="00401596"/>
    <w:rsid w:val="00403709"/>
    <w:rsid w:val="004037B6"/>
    <w:rsid w:val="004040A3"/>
    <w:rsid w:val="00404794"/>
    <w:rsid w:val="004049B6"/>
    <w:rsid w:val="00405215"/>
    <w:rsid w:val="004052D4"/>
    <w:rsid w:val="004059F7"/>
    <w:rsid w:val="00405CFD"/>
    <w:rsid w:val="00405D57"/>
    <w:rsid w:val="00406678"/>
    <w:rsid w:val="00406DDE"/>
    <w:rsid w:val="004075CF"/>
    <w:rsid w:val="00407751"/>
    <w:rsid w:val="00407A8E"/>
    <w:rsid w:val="004110C9"/>
    <w:rsid w:val="00413BD5"/>
    <w:rsid w:val="00413CD3"/>
    <w:rsid w:val="00413F38"/>
    <w:rsid w:val="0041444C"/>
    <w:rsid w:val="0041489D"/>
    <w:rsid w:val="0041506E"/>
    <w:rsid w:val="00416073"/>
    <w:rsid w:val="00416C22"/>
    <w:rsid w:val="00416D0F"/>
    <w:rsid w:val="00416F5E"/>
    <w:rsid w:val="00416F9C"/>
    <w:rsid w:val="0041701A"/>
    <w:rsid w:val="004177B4"/>
    <w:rsid w:val="0042014D"/>
    <w:rsid w:val="0042032A"/>
    <w:rsid w:val="004205EE"/>
    <w:rsid w:val="00420BF8"/>
    <w:rsid w:val="00420EE8"/>
    <w:rsid w:val="004212C2"/>
    <w:rsid w:val="00421F11"/>
    <w:rsid w:val="0042247A"/>
    <w:rsid w:val="00422879"/>
    <w:rsid w:val="0042380E"/>
    <w:rsid w:val="00423D9F"/>
    <w:rsid w:val="00424545"/>
    <w:rsid w:val="00424FAA"/>
    <w:rsid w:val="00426117"/>
    <w:rsid w:val="00426B61"/>
    <w:rsid w:val="004279EB"/>
    <w:rsid w:val="00427DBA"/>
    <w:rsid w:val="0043114E"/>
    <w:rsid w:val="004318F1"/>
    <w:rsid w:val="0043195B"/>
    <w:rsid w:val="00431A2E"/>
    <w:rsid w:val="004320D5"/>
    <w:rsid w:val="004321A6"/>
    <w:rsid w:val="0043223D"/>
    <w:rsid w:val="00432B72"/>
    <w:rsid w:val="00432E84"/>
    <w:rsid w:val="00433028"/>
    <w:rsid w:val="00433541"/>
    <w:rsid w:val="00434526"/>
    <w:rsid w:val="00434ACB"/>
    <w:rsid w:val="00435B1F"/>
    <w:rsid w:val="00435BE0"/>
    <w:rsid w:val="00436134"/>
    <w:rsid w:val="00436B9F"/>
    <w:rsid w:val="00436BB3"/>
    <w:rsid w:val="00436DF9"/>
    <w:rsid w:val="0043772C"/>
    <w:rsid w:val="004377BA"/>
    <w:rsid w:val="00437E9B"/>
    <w:rsid w:val="00440F49"/>
    <w:rsid w:val="004416A5"/>
    <w:rsid w:val="004416CE"/>
    <w:rsid w:val="00441B7B"/>
    <w:rsid w:val="00441DA7"/>
    <w:rsid w:val="00442C34"/>
    <w:rsid w:val="00443413"/>
    <w:rsid w:val="00443554"/>
    <w:rsid w:val="00443864"/>
    <w:rsid w:val="00443D77"/>
    <w:rsid w:val="00444BF1"/>
    <w:rsid w:val="00445AF1"/>
    <w:rsid w:val="0044623F"/>
    <w:rsid w:val="00447F54"/>
    <w:rsid w:val="00450255"/>
    <w:rsid w:val="0045026E"/>
    <w:rsid w:val="004504DF"/>
    <w:rsid w:val="0045062C"/>
    <w:rsid w:val="00451C2C"/>
    <w:rsid w:val="004523A7"/>
    <w:rsid w:val="00452547"/>
    <w:rsid w:val="00452749"/>
    <w:rsid w:val="00453789"/>
    <w:rsid w:val="004537E2"/>
    <w:rsid w:val="00454FA7"/>
    <w:rsid w:val="0045515D"/>
    <w:rsid w:val="004553E1"/>
    <w:rsid w:val="004555EA"/>
    <w:rsid w:val="00455E6E"/>
    <w:rsid w:val="00456303"/>
    <w:rsid w:val="00456563"/>
    <w:rsid w:val="00456C38"/>
    <w:rsid w:val="0045765B"/>
    <w:rsid w:val="00457E18"/>
    <w:rsid w:val="00457F7E"/>
    <w:rsid w:val="00457FC0"/>
    <w:rsid w:val="00460177"/>
    <w:rsid w:val="00460BA7"/>
    <w:rsid w:val="00460D0C"/>
    <w:rsid w:val="00461588"/>
    <w:rsid w:val="004626A0"/>
    <w:rsid w:val="004627B5"/>
    <w:rsid w:val="004628CA"/>
    <w:rsid w:val="0046315E"/>
    <w:rsid w:val="00463615"/>
    <w:rsid w:val="00463BF8"/>
    <w:rsid w:val="00463FCD"/>
    <w:rsid w:val="00465097"/>
    <w:rsid w:val="00465935"/>
    <w:rsid w:val="00465D4C"/>
    <w:rsid w:val="00466BE3"/>
    <w:rsid w:val="00466EF2"/>
    <w:rsid w:val="004673C5"/>
    <w:rsid w:val="00467699"/>
    <w:rsid w:val="00467FDB"/>
    <w:rsid w:val="00470039"/>
    <w:rsid w:val="00470464"/>
    <w:rsid w:val="00470A70"/>
    <w:rsid w:val="00470B49"/>
    <w:rsid w:val="00470E79"/>
    <w:rsid w:val="0047137A"/>
    <w:rsid w:val="00471846"/>
    <w:rsid w:val="00473338"/>
    <w:rsid w:val="00473AF6"/>
    <w:rsid w:val="00473B53"/>
    <w:rsid w:val="00473CC1"/>
    <w:rsid w:val="00474465"/>
    <w:rsid w:val="00474A57"/>
    <w:rsid w:val="00476339"/>
    <w:rsid w:val="00476C1F"/>
    <w:rsid w:val="00476FDE"/>
    <w:rsid w:val="0048063A"/>
    <w:rsid w:val="00480762"/>
    <w:rsid w:val="00481DA1"/>
    <w:rsid w:val="00482BA1"/>
    <w:rsid w:val="00482DC3"/>
    <w:rsid w:val="004830AD"/>
    <w:rsid w:val="004830CB"/>
    <w:rsid w:val="00483B36"/>
    <w:rsid w:val="00485252"/>
    <w:rsid w:val="00485A6B"/>
    <w:rsid w:val="00485B16"/>
    <w:rsid w:val="004861DB"/>
    <w:rsid w:val="004864E1"/>
    <w:rsid w:val="00486E6A"/>
    <w:rsid w:val="004875FE"/>
    <w:rsid w:val="00487643"/>
    <w:rsid w:val="004901FA"/>
    <w:rsid w:val="004925B5"/>
    <w:rsid w:val="00492A81"/>
    <w:rsid w:val="00492BA6"/>
    <w:rsid w:val="00492DDD"/>
    <w:rsid w:val="00493761"/>
    <w:rsid w:val="00494105"/>
    <w:rsid w:val="00494C35"/>
    <w:rsid w:val="004954B7"/>
    <w:rsid w:val="00495DA0"/>
    <w:rsid w:val="004962E6"/>
    <w:rsid w:val="00496880"/>
    <w:rsid w:val="004968BE"/>
    <w:rsid w:val="00496A99"/>
    <w:rsid w:val="00496B81"/>
    <w:rsid w:val="00496C01"/>
    <w:rsid w:val="004971FD"/>
    <w:rsid w:val="00497671"/>
    <w:rsid w:val="0049795E"/>
    <w:rsid w:val="00497E93"/>
    <w:rsid w:val="004A0055"/>
    <w:rsid w:val="004A02D9"/>
    <w:rsid w:val="004A1A88"/>
    <w:rsid w:val="004A1EDC"/>
    <w:rsid w:val="004A1EFE"/>
    <w:rsid w:val="004A26E6"/>
    <w:rsid w:val="004A27DB"/>
    <w:rsid w:val="004A2B5B"/>
    <w:rsid w:val="004A2CDA"/>
    <w:rsid w:val="004A3232"/>
    <w:rsid w:val="004A3418"/>
    <w:rsid w:val="004A411C"/>
    <w:rsid w:val="004A49A9"/>
    <w:rsid w:val="004A4B36"/>
    <w:rsid w:val="004A4CDB"/>
    <w:rsid w:val="004A5228"/>
    <w:rsid w:val="004A5988"/>
    <w:rsid w:val="004A5AA7"/>
    <w:rsid w:val="004A61B3"/>
    <w:rsid w:val="004A64E3"/>
    <w:rsid w:val="004A6586"/>
    <w:rsid w:val="004A66DE"/>
    <w:rsid w:val="004A6910"/>
    <w:rsid w:val="004A6998"/>
    <w:rsid w:val="004A736F"/>
    <w:rsid w:val="004A766B"/>
    <w:rsid w:val="004A7C2E"/>
    <w:rsid w:val="004B0982"/>
    <w:rsid w:val="004B09D1"/>
    <w:rsid w:val="004B0B07"/>
    <w:rsid w:val="004B0CFF"/>
    <w:rsid w:val="004B1DD3"/>
    <w:rsid w:val="004B25A8"/>
    <w:rsid w:val="004B42C0"/>
    <w:rsid w:val="004B42C8"/>
    <w:rsid w:val="004B45E1"/>
    <w:rsid w:val="004B4654"/>
    <w:rsid w:val="004B4AD3"/>
    <w:rsid w:val="004B53B0"/>
    <w:rsid w:val="004B5635"/>
    <w:rsid w:val="004B5D0A"/>
    <w:rsid w:val="004B625C"/>
    <w:rsid w:val="004B674A"/>
    <w:rsid w:val="004B6770"/>
    <w:rsid w:val="004B6F2D"/>
    <w:rsid w:val="004B7487"/>
    <w:rsid w:val="004B7B39"/>
    <w:rsid w:val="004B7E2E"/>
    <w:rsid w:val="004C0152"/>
    <w:rsid w:val="004C05BD"/>
    <w:rsid w:val="004C123C"/>
    <w:rsid w:val="004C170D"/>
    <w:rsid w:val="004C1E43"/>
    <w:rsid w:val="004C1F0B"/>
    <w:rsid w:val="004C28B8"/>
    <w:rsid w:val="004C2C1A"/>
    <w:rsid w:val="004C2DFF"/>
    <w:rsid w:val="004C37E2"/>
    <w:rsid w:val="004C52BB"/>
    <w:rsid w:val="004C53F6"/>
    <w:rsid w:val="004C5905"/>
    <w:rsid w:val="004C596E"/>
    <w:rsid w:val="004C6069"/>
    <w:rsid w:val="004C613D"/>
    <w:rsid w:val="004C6818"/>
    <w:rsid w:val="004C77D3"/>
    <w:rsid w:val="004D036C"/>
    <w:rsid w:val="004D0563"/>
    <w:rsid w:val="004D1106"/>
    <w:rsid w:val="004D1709"/>
    <w:rsid w:val="004D21A9"/>
    <w:rsid w:val="004D2570"/>
    <w:rsid w:val="004D2E25"/>
    <w:rsid w:val="004D3C9D"/>
    <w:rsid w:val="004D4125"/>
    <w:rsid w:val="004D4471"/>
    <w:rsid w:val="004D4B7B"/>
    <w:rsid w:val="004D4DCA"/>
    <w:rsid w:val="004D5B3A"/>
    <w:rsid w:val="004D66D2"/>
    <w:rsid w:val="004D7538"/>
    <w:rsid w:val="004D7C62"/>
    <w:rsid w:val="004E116C"/>
    <w:rsid w:val="004E148B"/>
    <w:rsid w:val="004E26E3"/>
    <w:rsid w:val="004E364F"/>
    <w:rsid w:val="004E4356"/>
    <w:rsid w:val="004E483E"/>
    <w:rsid w:val="004E4992"/>
    <w:rsid w:val="004E4C07"/>
    <w:rsid w:val="004E753E"/>
    <w:rsid w:val="004F0A73"/>
    <w:rsid w:val="004F0BAB"/>
    <w:rsid w:val="004F11D2"/>
    <w:rsid w:val="004F1CD8"/>
    <w:rsid w:val="004F2DCB"/>
    <w:rsid w:val="004F3695"/>
    <w:rsid w:val="004F5122"/>
    <w:rsid w:val="004F53F9"/>
    <w:rsid w:val="004F5B35"/>
    <w:rsid w:val="004F6178"/>
    <w:rsid w:val="004F6650"/>
    <w:rsid w:val="004F6758"/>
    <w:rsid w:val="004F7266"/>
    <w:rsid w:val="004F751F"/>
    <w:rsid w:val="004F7790"/>
    <w:rsid w:val="00500A2C"/>
    <w:rsid w:val="00500A60"/>
    <w:rsid w:val="0050108F"/>
    <w:rsid w:val="00501358"/>
    <w:rsid w:val="005019A5"/>
    <w:rsid w:val="00501BDD"/>
    <w:rsid w:val="00502E42"/>
    <w:rsid w:val="00502E4A"/>
    <w:rsid w:val="00503A34"/>
    <w:rsid w:val="0050400F"/>
    <w:rsid w:val="005040D8"/>
    <w:rsid w:val="005044B2"/>
    <w:rsid w:val="00504C2E"/>
    <w:rsid w:val="0050570D"/>
    <w:rsid w:val="00505897"/>
    <w:rsid w:val="00505D2D"/>
    <w:rsid w:val="00505E71"/>
    <w:rsid w:val="00506278"/>
    <w:rsid w:val="00506584"/>
    <w:rsid w:val="00507526"/>
    <w:rsid w:val="00507928"/>
    <w:rsid w:val="005079D4"/>
    <w:rsid w:val="005103BA"/>
    <w:rsid w:val="005106DC"/>
    <w:rsid w:val="00510BB6"/>
    <w:rsid w:val="00511237"/>
    <w:rsid w:val="005117D9"/>
    <w:rsid w:val="00511FF4"/>
    <w:rsid w:val="005122D3"/>
    <w:rsid w:val="0051244B"/>
    <w:rsid w:val="005125CD"/>
    <w:rsid w:val="0051277D"/>
    <w:rsid w:val="0051297E"/>
    <w:rsid w:val="00512BBC"/>
    <w:rsid w:val="0051335D"/>
    <w:rsid w:val="005136B6"/>
    <w:rsid w:val="00513941"/>
    <w:rsid w:val="0051427D"/>
    <w:rsid w:val="005145F9"/>
    <w:rsid w:val="00514A51"/>
    <w:rsid w:val="00514C60"/>
    <w:rsid w:val="00516F5E"/>
    <w:rsid w:val="00516F69"/>
    <w:rsid w:val="00516F6C"/>
    <w:rsid w:val="00516F97"/>
    <w:rsid w:val="00517328"/>
    <w:rsid w:val="00517DC8"/>
    <w:rsid w:val="00517F60"/>
    <w:rsid w:val="00520057"/>
    <w:rsid w:val="00520434"/>
    <w:rsid w:val="00520F7F"/>
    <w:rsid w:val="00521715"/>
    <w:rsid w:val="00521841"/>
    <w:rsid w:val="005219C2"/>
    <w:rsid w:val="00521C2A"/>
    <w:rsid w:val="00521D50"/>
    <w:rsid w:val="00521E84"/>
    <w:rsid w:val="00522A89"/>
    <w:rsid w:val="00523C27"/>
    <w:rsid w:val="0052498C"/>
    <w:rsid w:val="0052598F"/>
    <w:rsid w:val="00525BB7"/>
    <w:rsid w:val="00525C18"/>
    <w:rsid w:val="0052604C"/>
    <w:rsid w:val="00526470"/>
    <w:rsid w:val="005264F3"/>
    <w:rsid w:val="00526709"/>
    <w:rsid w:val="00526771"/>
    <w:rsid w:val="0052697C"/>
    <w:rsid w:val="00526CCD"/>
    <w:rsid w:val="00526DE7"/>
    <w:rsid w:val="005271C9"/>
    <w:rsid w:val="00527233"/>
    <w:rsid w:val="00527320"/>
    <w:rsid w:val="00530EF7"/>
    <w:rsid w:val="00531362"/>
    <w:rsid w:val="00531491"/>
    <w:rsid w:val="00531513"/>
    <w:rsid w:val="0053189E"/>
    <w:rsid w:val="00531E3C"/>
    <w:rsid w:val="00531F15"/>
    <w:rsid w:val="00531FC0"/>
    <w:rsid w:val="00532315"/>
    <w:rsid w:val="005327EF"/>
    <w:rsid w:val="00533491"/>
    <w:rsid w:val="005342F5"/>
    <w:rsid w:val="005348C4"/>
    <w:rsid w:val="00534C6E"/>
    <w:rsid w:val="00535120"/>
    <w:rsid w:val="0053583D"/>
    <w:rsid w:val="00535DE7"/>
    <w:rsid w:val="005361BC"/>
    <w:rsid w:val="005364F2"/>
    <w:rsid w:val="005374E0"/>
    <w:rsid w:val="0053775E"/>
    <w:rsid w:val="0053777A"/>
    <w:rsid w:val="0054013A"/>
    <w:rsid w:val="0054173A"/>
    <w:rsid w:val="00542140"/>
    <w:rsid w:val="005421D0"/>
    <w:rsid w:val="00542481"/>
    <w:rsid w:val="00542D3A"/>
    <w:rsid w:val="00542D42"/>
    <w:rsid w:val="00542EB9"/>
    <w:rsid w:val="00542FAA"/>
    <w:rsid w:val="005433E5"/>
    <w:rsid w:val="00543A9A"/>
    <w:rsid w:val="00543C3B"/>
    <w:rsid w:val="00544457"/>
    <w:rsid w:val="0054707F"/>
    <w:rsid w:val="00547A44"/>
    <w:rsid w:val="00547DD9"/>
    <w:rsid w:val="0055000C"/>
    <w:rsid w:val="00550481"/>
    <w:rsid w:val="00550943"/>
    <w:rsid w:val="005515BE"/>
    <w:rsid w:val="00552EF3"/>
    <w:rsid w:val="00552F5C"/>
    <w:rsid w:val="0055389F"/>
    <w:rsid w:val="00553D5E"/>
    <w:rsid w:val="0055418F"/>
    <w:rsid w:val="005547D7"/>
    <w:rsid w:val="005549A8"/>
    <w:rsid w:val="00554A4C"/>
    <w:rsid w:val="00555210"/>
    <w:rsid w:val="00555254"/>
    <w:rsid w:val="00556163"/>
    <w:rsid w:val="00556561"/>
    <w:rsid w:val="00556FE5"/>
    <w:rsid w:val="0056010B"/>
    <w:rsid w:val="005609A8"/>
    <w:rsid w:val="00561EEA"/>
    <w:rsid w:val="00562344"/>
    <w:rsid w:val="00562909"/>
    <w:rsid w:val="005629B7"/>
    <w:rsid w:val="00562A9A"/>
    <w:rsid w:val="005632DE"/>
    <w:rsid w:val="00563430"/>
    <w:rsid w:val="00563513"/>
    <w:rsid w:val="0056446F"/>
    <w:rsid w:val="00564929"/>
    <w:rsid w:val="00565230"/>
    <w:rsid w:val="0056595B"/>
    <w:rsid w:val="0056635D"/>
    <w:rsid w:val="005672B1"/>
    <w:rsid w:val="00567C20"/>
    <w:rsid w:val="005707E3"/>
    <w:rsid w:val="005709FF"/>
    <w:rsid w:val="00571077"/>
    <w:rsid w:val="00571B4A"/>
    <w:rsid w:val="00574638"/>
    <w:rsid w:val="00574CB5"/>
    <w:rsid w:val="00574EE9"/>
    <w:rsid w:val="00575348"/>
    <w:rsid w:val="00576908"/>
    <w:rsid w:val="00576E22"/>
    <w:rsid w:val="0057728B"/>
    <w:rsid w:val="00577B28"/>
    <w:rsid w:val="005804AE"/>
    <w:rsid w:val="00580C69"/>
    <w:rsid w:val="00581D11"/>
    <w:rsid w:val="00581DB8"/>
    <w:rsid w:val="00583607"/>
    <w:rsid w:val="00583CBB"/>
    <w:rsid w:val="00583F00"/>
    <w:rsid w:val="005849E8"/>
    <w:rsid w:val="00584D03"/>
    <w:rsid w:val="005851BD"/>
    <w:rsid w:val="0058567D"/>
    <w:rsid w:val="00585730"/>
    <w:rsid w:val="00585CAF"/>
    <w:rsid w:val="00585CFE"/>
    <w:rsid w:val="00585D4B"/>
    <w:rsid w:val="00586980"/>
    <w:rsid w:val="00586C64"/>
    <w:rsid w:val="00587135"/>
    <w:rsid w:val="0058719B"/>
    <w:rsid w:val="00587649"/>
    <w:rsid w:val="005903C9"/>
    <w:rsid w:val="00590510"/>
    <w:rsid w:val="005906B2"/>
    <w:rsid w:val="00590BEE"/>
    <w:rsid w:val="00590F1F"/>
    <w:rsid w:val="005913EF"/>
    <w:rsid w:val="005913F4"/>
    <w:rsid w:val="00591567"/>
    <w:rsid w:val="00591A13"/>
    <w:rsid w:val="005924DE"/>
    <w:rsid w:val="0059348A"/>
    <w:rsid w:val="005936CA"/>
    <w:rsid w:val="00593DF5"/>
    <w:rsid w:val="00594052"/>
    <w:rsid w:val="0059407D"/>
    <w:rsid w:val="0059481E"/>
    <w:rsid w:val="00595214"/>
    <w:rsid w:val="00595908"/>
    <w:rsid w:val="00595EE4"/>
    <w:rsid w:val="005960F6"/>
    <w:rsid w:val="005973FF"/>
    <w:rsid w:val="00597517"/>
    <w:rsid w:val="0059764B"/>
    <w:rsid w:val="0059777F"/>
    <w:rsid w:val="00597918"/>
    <w:rsid w:val="00597D6A"/>
    <w:rsid w:val="00597E68"/>
    <w:rsid w:val="005A0247"/>
    <w:rsid w:val="005A04BC"/>
    <w:rsid w:val="005A070D"/>
    <w:rsid w:val="005A091E"/>
    <w:rsid w:val="005A11F0"/>
    <w:rsid w:val="005A1670"/>
    <w:rsid w:val="005A1EBB"/>
    <w:rsid w:val="005A1F22"/>
    <w:rsid w:val="005A25C5"/>
    <w:rsid w:val="005A28E8"/>
    <w:rsid w:val="005A364E"/>
    <w:rsid w:val="005A37D5"/>
    <w:rsid w:val="005A38D9"/>
    <w:rsid w:val="005A435E"/>
    <w:rsid w:val="005A4E58"/>
    <w:rsid w:val="005A5B54"/>
    <w:rsid w:val="005A5F2C"/>
    <w:rsid w:val="005A65AB"/>
    <w:rsid w:val="005A72D9"/>
    <w:rsid w:val="005B0595"/>
    <w:rsid w:val="005B091F"/>
    <w:rsid w:val="005B0E10"/>
    <w:rsid w:val="005B1180"/>
    <w:rsid w:val="005B2253"/>
    <w:rsid w:val="005B2BA1"/>
    <w:rsid w:val="005B34F5"/>
    <w:rsid w:val="005B3652"/>
    <w:rsid w:val="005B4940"/>
    <w:rsid w:val="005B49F7"/>
    <w:rsid w:val="005B4DF0"/>
    <w:rsid w:val="005B52E8"/>
    <w:rsid w:val="005B5474"/>
    <w:rsid w:val="005B56C1"/>
    <w:rsid w:val="005B6303"/>
    <w:rsid w:val="005B6E77"/>
    <w:rsid w:val="005B776E"/>
    <w:rsid w:val="005C105A"/>
    <w:rsid w:val="005C14BC"/>
    <w:rsid w:val="005C1DFB"/>
    <w:rsid w:val="005C2183"/>
    <w:rsid w:val="005C2528"/>
    <w:rsid w:val="005C29D4"/>
    <w:rsid w:val="005C2E18"/>
    <w:rsid w:val="005C30C1"/>
    <w:rsid w:val="005C3387"/>
    <w:rsid w:val="005C343B"/>
    <w:rsid w:val="005C3CBC"/>
    <w:rsid w:val="005C3E2E"/>
    <w:rsid w:val="005C43C7"/>
    <w:rsid w:val="005C534F"/>
    <w:rsid w:val="005C5D5F"/>
    <w:rsid w:val="005C65F5"/>
    <w:rsid w:val="005C6A85"/>
    <w:rsid w:val="005C7121"/>
    <w:rsid w:val="005C72C9"/>
    <w:rsid w:val="005D0195"/>
    <w:rsid w:val="005D01F7"/>
    <w:rsid w:val="005D045C"/>
    <w:rsid w:val="005D1093"/>
    <w:rsid w:val="005D10A1"/>
    <w:rsid w:val="005D1D6C"/>
    <w:rsid w:val="005D2A3E"/>
    <w:rsid w:val="005D369D"/>
    <w:rsid w:val="005D3920"/>
    <w:rsid w:val="005D3ED0"/>
    <w:rsid w:val="005D41D9"/>
    <w:rsid w:val="005D456B"/>
    <w:rsid w:val="005D4CBF"/>
    <w:rsid w:val="005D5745"/>
    <w:rsid w:val="005D59F5"/>
    <w:rsid w:val="005D60BE"/>
    <w:rsid w:val="005D6170"/>
    <w:rsid w:val="005D65B3"/>
    <w:rsid w:val="005D65CB"/>
    <w:rsid w:val="005D6D61"/>
    <w:rsid w:val="005D6F4B"/>
    <w:rsid w:val="005D780C"/>
    <w:rsid w:val="005D7DD1"/>
    <w:rsid w:val="005E008F"/>
    <w:rsid w:val="005E0C85"/>
    <w:rsid w:val="005E1040"/>
    <w:rsid w:val="005E12C9"/>
    <w:rsid w:val="005E29ED"/>
    <w:rsid w:val="005E2A22"/>
    <w:rsid w:val="005E2A8D"/>
    <w:rsid w:val="005E3291"/>
    <w:rsid w:val="005E3E6E"/>
    <w:rsid w:val="005E411A"/>
    <w:rsid w:val="005E4585"/>
    <w:rsid w:val="005E4978"/>
    <w:rsid w:val="005E4A6E"/>
    <w:rsid w:val="005E53D9"/>
    <w:rsid w:val="005E5A5E"/>
    <w:rsid w:val="005E5BE7"/>
    <w:rsid w:val="005E6307"/>
    <w:rsid w:val="005E6344"/>
    <w:rsid w:val="005E700C"/>
    <w:rsid w:val="005E7933"/>
    <w:rsid w:val="005E7E4B"/>
    <w:rsid w:val="005F1A22"/>
    <w:rsid w:val="005F1A7D"/>
    <w:rsid w:val="005F3C8F"/>
    <w:rsid w:val="005F430C"/>
    <w:rsid w:val="005F50BE"/>
    <w:rsid w:val="005F52B0"/>
    <w:rsid w:val="005F616B"/>
    <w:rsid w:val="005F724E"/>
    <w:rsid w:val="005F7CCF"/>
    <w:rsid w:val="00600445"/>
    <w:rsid w:val="00600758"/>
    <w:rsid w:val="006009D7"/>
    <w:rsid w:val="00600B95"/>
    <w:rsid w:val="00601365"/>
    <w:rsid w:val="00601A64"/>
    <w:rsid w:val="006029BB"/>
    <w:rsid w:val="00602AF7"/>
    <w:rsid w:val="00603203"/>
    <w:rsid w:val="0060472A"/>
    <w:rsid w:val="006053B5"/>
    <w:rsid w:val="0060552F"/>
    <w:rsid w:val="0060587B"/>
    <w:rsid w:val="00606938"/>
    <w:rsid w:val="00606B04"/>
    <w:rsid w:val="00606BB3"/>
    <w:rsid w:val="006072BD"/>
    <w:rsid w:val="00610284"/>
    <w:rsid w:val="00610289"/>
    <w:rsid w:val="00610648"/>
    <w:rsid w:val="0061089C"/>
    <w:rsid w:val="00611163"/>
    <w:rsid w:val="006118AD"/>
    <w:rsid w:val="00612707"/>
    <w:rsid w:val="00612B6B"/>
    <w:rsid w:val="006133DF"/>
    <w:rsid w:val="00615879"/>
    <w:rsid w:val="00615DFB"/>
    <w:rsid w:val="00615F42"/>
    <w:rsid w:val="00616932"/>
    <w:rsid w:val="00616B9F"/>
    <w:rsid w:val="006177DC"/>
    <w:rsid w:val="006178F9"/>
    <w:rsid w:val="00617A50"/>
    <w:rsid w:val="00617DCA"/>
    <w:rsid w:val="00617E1D"/>
    <w:rsid w:val="006207AE"/>
    <w:rsid w:val="00620FCC"/>
    <w:rsid w:val="006222EF"/>
    <w:rsid w:val="00623157"/>
    <w:rsid w:val="006234C2"/>
    <w:rsid w:val="0062471C"/>
    <w:rsid w:val="00624BCA"/>
    <w:rsid w:val="0062511D"/>
    <w:rsid w:val="00625F3F"/>
    <w:rsid w:val="006269C0"/>
    <w:rsid w:val="00626DFA"/>
    <w:rsid w:val="00626E70"/>
    <w:rsid w:val="0062705B"/>
    <w:rsid w:val="0062736C"/>
    <w:rsid w:val="0063002A"/>
    <w:rsid w:val="00630B41"/>
    <w:rsid w:val="00630E66"/>
    <w:rsid w:val="0063140D"/>
    <w:rsid w:val="006316DB"/>
    <w:rsid w:val="006320D1"/>
    <w:rsid w:val="00632685"/>
    <w:rsid w:val="006326FD"/>
    <w:rsid w:val="00632877"/>
    <w:rsid w:val="00633717"/>
    <w:rsid w:val="00633830"/>
    <w:rsid w:val="0063415E"/>
    <w:rsid w:val="00634852"/>
    <w:rsid w:val="00634C1F"/>
    <w:rsid w:val="006352B0"/>
    <w:rsid w:val="006353BF"/>
    <w:rsid w:val="0063551A"/>
    <w:rsid w:val="00635D52"/>
    <w:rsid w:val="00636124"/>
    <w:rsid w:val="006362D4"/>
    <w:rsid w:val="00636630"/>
    <w:rsid w:val="006366CC"/>
    <w:rsid w:val="006368D4"/>
    <w:rsid w:val="00637552"/>
    <w:rsid w:val="00637A43"/>
    <w:rsid w:val="00637E6F"/>
    <w:rsid w:val="00641183"/>
    <w:rsid w:val="00641460"/>
    <w:rsid w:val="00641A11"/>
    <w:rsid w:val="00641A72"/>
    <w:rsid w:val="006438A4"/>
    <w:rsid w:val="0064540D"/>
    <w:rsid w:val="006454EE"/>
    <w:rsid w:val="00647ABC"/>
    <w:rsid w:val="00647C2F"/>
    <w:rsid w:val="0065069C"/>
    <w:rsid w:val="00650C37"/>
    <w:rsid w:val="00651410"/>
    <w:rsid w:val="006519B1"/>
    <w:rsid w:val="00652068"/>
    <w:rsid w:val="00653048"/>
    <w:rsid w:val="0065317E"/>
    <w:rsid w:val="00653350"/>
    <w:rsid w:val="006534E0"/>
    <w:rsid w:val="006536A8"/>
    <w:rsid w:val="006537A2"/>
    <w:rsid w:val="00653D5D"/>
    <w:rsid w:val="00654266"/>
    <w:rsid w:val="006545CD"/>
    <w:rsid w:val="00654AE7"/>
    <w:rsid w:val="006558ED"/>
    <w:rsid w:val="006560B1"/>
    <w:rsid w:val="0065672C"/>
    <w:rsid w:val="006567D2"/>
    <w:rsid w:val="00656D4E"/>
    <w:rsid w:val="00657475"/>
    <w:rsid w:val="0065757E"/>
    <w:rsid w:val="00657D07"/>
    <w:rsid w:val="006600A8"/>
    <w:rsid w:val="006603E7"/>
    <w:rsid w:val="00661223"/>
    <w:rsid w:val="00661752"/>
    <w:rsid w:val="006618B0"/>
    <w:rsid w:val="006629A6"/>
    <w:rsid w:val="00663876"/>
    <w:rsid w:val="00663907"/>
    <w:rsid w:val="00663949"/>
    <w:rsid w:val="00664507"/>
    <w:rsid w:val="00664659"/>
    <w:rsid w:val="0066679B"/>
    <w:rsid w:val="006669DE"/>
    <w:rsid w:val="00667401"/>
    <w:rsid w:val="00667C2D"/>
    <w:rsid w:val="00667CC4"/>
    <w:rsid w:val="00670360"/>
    <w:rsid w:val="0067045A"/>
    <w:rsid w:val="00670AB9"/>
    <w:rsid w:val="00671469"/>
    <w:rsid w:val="0067201F"/>
    <w:rsid w:val="00673285"/>
    <w:rsid w:val="00674560"/>
    <w:rsid w:val="0067469A"/>
    <w:rsid w:val="00674F76"/>
    <w:rsid w:val="00675B24"/>
    <w:rsid w:val="0067673E"/>
    <w:rsid w:val="006769F9"/>
    <w:rsid w:val="006778DA"/>
    <w:rsid w:val="00680103"/>
    <w:rsid w:val="00681051"/>
    <w:rsid w:val="00682542"/>
    <w:rsid w:val="00682E0E"/>
    <w:rsid w:val="00682E14"/>
    <w:rsid w:val="006832A6"/>
    <w:rsid w:val="00683637"/>
    <w:rsid w:val="00683D9A"/>
    <w:rsid w:val="0068413D"/>
    <w:rsid w:val="006848E7"/>
    <w:rsid w:val="00684B8C"/>
    <w:rsid w:val="00685139"/>
    <w:rsid w:val="0068515F"/>
    <w:rsid w:val="0068589A"/>
    <w:rsid w:val="00685A1A"/>
    <w:rsid w:val="00685FE8"/>
    <w:rsid w:val="0068642D"/>
    <w:rsid w:val="0068675C"/>
    <w:rsid w:val="0068745A"/>
    <w:rsid w:val="00687735"/>
    <w:rsid w:val="00687C7D"/>
    <w:rsid w:val="00690797"/>
    <w:rsid w:val="00691107"/>
    <w:rsid w:val="006913F0"/>
    <w:rsid w:val="00691BB4"/>
    <w:rsid w:val="00692230"/>
    <w:rsid w:val="0069293A"/>
    <w:rsid w:val="00693AFD"/>
    <w:rsid w:val="0069450B"/>
    <w:rsid w:val="006949A8"/>
    <w:rsid w:val="00694EC2"/>
    <w:rsid w:val="00694ED3"/>
    <w:rsid w:val="00694F7A"/>
    <w:rsid w:val="0069587C"/>
    <w:rsid w:val="00695EFE"/>
    <w:rsid w:val="00695FD1"/>
    <w:rsid w:val="006962A1"/>
    <w:rsid w:val="00696830"/>
    <w:rsid w:val="00696FCC"/>
    <w:rsid w:val="006974EF"/>
    <w:rsid w:val="00697736"/>
    <w:rsid w:val="00697E49"/>
    <w:rsid w:val="006A16DC"/>
    <w:rsid w:val="006A20C3"/>
    <w:rsid w:val="006A228E"/>
    <w:rsid w:val="006A2DAB"/>
    <w:rsid w:val="006A327D"/>
    <w:rsid w:val="006A3DDD"/>
    <w:rsid w:val="006A3EFA"/>
    <w:rsid w:val="006A3FB9"/>
    <w:rsid w:val="006A41A5"/>
    <w:rsid w:val="006A4203"/>
    <w:rsid w:val="006A464C"/>
    <w:rsid w:val="006A4915"/>
    <w:rsid w:val="006A55B2"/>
    <w:rsid w:val="006A5EDF"/>
    <w:rsid w:val="006A60A3"/>
    <w:rsid w:val="006A6A65"/>
    <w:rsid w:val="006A717D"/>
    <w:rsid w:val="006A73D1"/>
    <w:rsid w:val="006A799C"/>
    <w:rsid w:val="006B132A"/>
    <w:rsid w:val="006B14CD"/>
    <w:rsid w:val="006B1B76"/>
    <w:rsid w:val="006B1BBF"/>
    <w:rsid w:val="006B1D23"/>
    <w:rsid w:val="006B254B"/>
    <w:rsid w:val="006B27C7"/>
    <w:rsid w:val="006B3466"/>
    <w:rsid w:val="006B34AD"/>
    <w:rsid w:val="006B37F1"/>
    <w:rsid w:val="006B3B2C"/>
    <w:rsid w:val="006B3EA9"/>
    <w:rsid w:val="006B3F09"/>
    <w:rsid w:val="006B41D4"/>
    <w:rsid w:val="006B45A2"/>
    <w:rsid w:val="006B45EA"/>
    <w:rsid w:val="006B6DB8"/>
    <w:rsid w:val="006B7159"/>
    <w:rsid w:val="006C033C"/>
    <w:rsid w:val="006C0431"/>
    <w:rsid w:val="006C046C"/>
    <w:rsid w:val="006C0631"/>
    <w:rsid w:val="006C08D8"/>
    <w:rsid w:val="006C0A8D"/>
    <w:rsid w:val="006C0B54"/>
    <w:rsid w:val="006C1917"/>
    <w:rsid w:val="006C1F8C"/>
    <w:rsid w:val="006C2179"/>
    <w:rsid w:val="006C25DA"/>
    <w:rsid w:val="006C2BFB"/>
    <w:rsid w:val="006C313C"/>
    <w:rsid w:val="006C364A"/>
    <w:rsid w:val="006C3FE3"/>
    <w:rsid w:val="006C42C5"/>
    <w:rsid w:val="006C44CC"/>
    <w:rsid w:val="006C508E"/>
    <w:rsid w:val="006C5123"/>
    <w:rsid w:val="006C5D52"/>
    <w:rsid w:val="006D00DE"/>
    <w:rsid w:val="006D0352"/>
    <w:rsid w:val="006D079B"/>
    <w:rsid w:val="006D0A0C"/>
    <w:rsid w:val="006D12AD"/>
    <w:rsid w:val="006D2F35"/>
    <w:rsid w:val="006D37F3"/>
    <w:rsid w:val="006D4262"/>
    <w:rsid w:val="006D4268"/>
    <w:rsid w:val="006D4D80"/>
    <w:rsid w:val="006D4FCB"/>
    <w:rsid w:val="006D5917"/>
    <w:rsid w:val="006D5A46"/>
    <w:rsid w:val="006D5C05"/>
    <w:rsid w:val="006D62B0"/>
    <w:rsid w:val="006D6F99"/>
    <w:rsid w:val="006D70D7"/>
    <w:rsid w:val="006E008A"/>
    <w:rsid w:val="006E0B0F"/>
    <w:rsid w:val="006E23EB"/>
    <w:rsid w:val="006E2A4F"/>
    <w:rsid w:val="006E30AC"/>
    <w:rsid w:val="006E3FE5"/>
    <w:rsid w:val="006E48D9"/>
    <w:rsid w:val="006E4FDD"/>
    <w:rsid w:val="006E6577"/>
    <w:rsid w:val="006E7BC8"/>
    <w:rsid w:val="006E7CE9"/>
    <w:rsid w:val="006E7FF8"/>
    <w:rsid w:val="006F0319"/>
    <w:rsid w:val="006F0EF4"/>
    <w:rsid w:val="006F14C7"/>
    <w:rsid w:val="006F204B"/>
    <w:rsid w:val="006F3015"/>
    <w:rsid w:val="006F3077"/>
    <w:rsid w:val="006F3221"/>
    <w:rsid w:val="006F374E"/>
    <w:rsid w:val="006F432A"/>
    <w:rsid w:val="006F4C45"/>
    <w:rsid w:val="006F60B1"/>
    <w:rsid w:val="006F63F8"/>
    <w:rsid w:val="006F6957"/>
    <w:rsid w:val="006F7626"/>
    <w:rsid w:val="006F79C6"/>
    <w:rsid w:val="0070007D"/>
    <w:rsid w:val="007003D3"/>
    <w:rsid w:val="00701B04"/>
    <w:rsid w:val="00701C92"/>
    <w:rsid w:val="00701E1D"/>
    <w:rsid w:val="007030B1"/>
    <w:rsid w:val="00703EC9"/>
    <w:rsid w:val="007051AB"/>
    <w:rsid w:val="00706DD5"/>
    <w:rsid w:val="007073ED"/>
    <w:rsid w:val="00707E47"/>
    <w:rsid w:val="007102CB"/>
    <w:rsid w:val="0071055F"/>
    <w:rsid w:val="00710807"/>
    <w:rsid w:val="00711D3D"/>
    <w:rsid w:val="00712C90"/>
    <w:rsid w:val="00712EC2"/>
    <w:rsid w:val="007130C5"/>
    <w:rsid w:val="00713198"/>
    <w:rsid w:val="007138A4"/>
    <w:rsid w:val="00714BB8"/>
    <w:rsid w:val="0071597C"/>
    <w:rsid w:val="00716476"/>
    <w:rsid w:val="0071687A"/>
    <w:rsid w:val="00717271"/>
    <w:rsid w:val="0071769E"/>
    <w:rsid w:val="00717FB7"/>
    <w:rsid w:val="0072013F"/>
    <w:rsid w:val="00720208"/>
    <w:rsid w:val="00720212"/>
    <w:rsid w:val="00721213"/>
    <w:rsid w:val="0072147E"/>
    <w:rsid w:val="00721535"/>
    <w:rsid w:val="00721731"/>
    <w:rsid w:val="00721C15"/>
    <w:rsid w:val="007222B9"/>
    <w:rsid w:val="007222D1"/>
    <w:rsid w:val="00722537"/>
    <w:rsid w:val="00722BC8"/>
    <w:rsid w:val="00724F13"/>
    <w:rsid w:val="00724FB4"/>
    <w:rsid w:val="007256ED"/>
    <w:rsid w:val="0072683A"/>
    <w:rsid w:val="00727010"/>
    <w:rsid w:val="00727C8F"/>
    <w:rsid w:val="00730005"/>
    <w:rsid w:val="00730422"/>
    <w:rsid w:val="00730BFA"/>
    <w:rsid w:val="00730DD1"/>
    <w:rsid w:val="00730E0B"/>
    <w:rsid w:val="00731042"/>
    <w:rsid w:val="007339AD"/>
    <w:rsid w:val="0073439F"/>
    <w:rsid w:val="00735448"/>
    <w:rsid w:val="0073595C"/>
    <w:rsid w:val="00735AAC"/>
    <w:rsid w:val="00736563"/>
    <w:rsid w:val="00740A0C"/>
    <w:rsid w:val="00740DFB"/>
    <w:rsid w:val="00741A3D"/>
    <w:rsid w:val="00741CA8"/>
    <w:rsid w:val="00741EDB"/>
    <w:rsid w:val="00742832"/>
    <w:rsid w:val="0074312C"/>
    <w:rsid w:val="0074316C"/>
    <w:rsid w:val="007437D0"/>
    <w:rsid w:val="00743AA9"/>
    <w:rsid w:val="00743C02"/>
    <w:rsid w:val="007447F2"/>
    <w:rsid w:val="00744824"/>
    <w:rsid w:val="00744CDB"/>
    <w:rsid w:val="00745208"/>
    <w:rsid w:val="007456BE"/>
    <w:rsid w:val="00745D06"/>
    <w:rsid w:val="007461D3"/>
    <w:rsid w:val="00746872"/>
    <w:rsid w:val="00746DDD"/>
    <w:rsid w:val="00746FCA"/>
    <w:rsid w:val="007478CE"/>
    <w:rsid w:val="007478D6"/>
    <w:rsid w:val="00747BB5"/>
    <w:rsid w:val="00747C6F"/>
    <w:rsid w:val="0075015E"/>
    <w:rsid w:val="007505E9"/>
    <w:rsid w:val="00751194"/>
    <w:rsid w:val="007512BF"/>
    <w:rsid w:val="00751B58"/>
    <w:rsid w:val="007527DF"/>
    <w:rsid w:val="00752BE8"/>
    <w:rsid w:val="00752E3C"/>
    <w:rsid w:val="007536F0"/>
    <w:rsid w:val="00753A90"/>
    <w:rsid w:val="00753B8C"/>
    <w:rsid w:val="00754B18"/>
    <w:rsid w:val="00754D5A"/>
    <w:rsid w:val="0075567F"/>
    <w:rsid w:val="00755FA6"/>
    <w:rsid w:val="00756C8F"/>
    <w:rsid w:val="007573D8"/>
    <w:rsid w:val="0075775B"/>
    <w:rsid w:val="00757E85"/>
    <w:rsid w:val="007612FB"/>
    <w:rsid w:val="007628D2"/>
    <w:rsid w:val="00762B0F"/>
    <w:rsid w:val="0076353D"/>
    <w:rsid w:val="00763821"/>
    <w:rsid w:val="0076413A"/>
    <w:rsid w:val="00764A12"/>
    <w:rsid w:val="00764FA6"/>
    <w:rsid w:val="00765497"/>
    <w:rsid w:val="00765F78"/>
    <w:rsid w:val="007668E6"/>
    <w:rsid w:val="00766A27"/>
    <w:rsid w:val="00766F32"/>
    <w:rsid w:val="00767EC0"/>
    <w:rsid w:val="0077024A"/>
    <w:rsid w:val="007702F7"/>
    <w:rsid w:val="00770CB5"/>
    <w:rsid w:val="00771674"/>
    <w:rsid w:val="007716B9"/>
    <w:rsid w:val="007716D4"/>
    <w:rsid w:val="007717B0"/>
    <w:rsid w:val="0077297E"/>
    <w:rsid w:val="00772EE1"/>
    <w:rsid w:val="007733E6"/>
    <w:rsid w:val="0077368C"/>
    <w:rsid w:val="00773BD3"/>
    <w:rsid w:val="007743EE"/>
    <w:rsid w:val="00774D12"/>
    <w:rsid w:val="007753FA"/>
    <w:rsid w:val="00775E78"/>
    <w:rsid w:val="00776B98"/>
    <w:rsid w:val="00777031"/>
    <w:rsid w:val="007775F4"/>
    <w:rsid w:val="00777BD3"/>
    <w:rsid w:val="00777D0C"/>
    <w:rsid w:val="00777E5C"/>
    <w:rsid w:val="00777FD1"/>
    <w:rsid w:val="00780128"/>
    <w:rsid w:val="007813FA"/>
    <w:rsid w:val="0078193F"/>
    <w:rsid w:val="00781AAA"/>
    <w:rsid w:val="00782F4E"/>
    <w:rsid w:val="007835B0"/>
    <w:rsid w:val="0078369C"/>
    <w:rsid w:val="00783BA1"/>
    <w:rsid w:val="00783F5A"/>
    <w:rsid w:val="0078444C"/>
    <w:rsid w:val="007856C9"/>
    <w:rsid w:val="00785D06"/>
    <w:rsid w:val="007860A3"/>
    <w:rsid w:val="00786E3D"/>
    <w:rsid w:val="007874F2"/>
    <w:rsid w:val="007922AF"/>
    <w:rsid w:val="007924EF"/>
    <w:rsid w:val="00792784"/>
    <w:rsid w:val="00793253"/>
    <w:rsid w:val="007938B1"/>
    <w:rsid w:val="007938CA"/>
    <w:rsid w:val="00793B5B"/>
    <w:rsid w:val="00793E5A"/>
    <w:rsid w:val="0079435F"/>
    <w:rsid w:val="007943B7"/>
    <w:rsid w:val="007944AD"/>
    <w:rsid w:val="00794703"/>
    <w:rsid w:val="00795135"/>
    <w:rsid w:val="00795D71"/>
    <w:rsid w:val="00796237"/>
    <w:rsid w:val="007969A0"/>
    <w:rsid w:val="00796E95"/>
    <w:rsid w:val="007970CA"/>
    <w:rsid w:val="00797216"/>
    <w:rsid w:val="0079721E"/>
    <w:rsid w:val="00797420"/>
    <w:rsid w:val="00797DFA"/>
    <w:rsid w:val="007A126D"/>
    <w:rsid w:val="007A1451"/>
    <w:rsid w:val="007A2360"/>
    <w:rsid w:val="007A2A50"/>
    <w:rsid w:val="007A2CF1"/>
    <w:rsid w:val="007A3029"/>
    <w:rsid w:val="007A3167"/>
    <w:rsid w:val="007A44F6"/>
    <w:rsid w:val="007A4BA5"/>
    <w:rsid w:val="007A52CD"/>
    <w:rsid w:val="007A53CB"/>
    <w:rsid w:val="007A548C"/>
    <w:rsid w:val="007A54F4"/>
    <w:rsid w:val="007A58B3"/>
    <w:rsid w:val="007A5E6A"/>
    <w:rsid w:val="007A60B2"/>
    <w:rsid w:val="007A709D"/>
    <w:rsid w:val="007A7894"/>
    <w:rsid w:val="007B0881"/>
    <w:rsid w:val="007B124E"/>
    <w:rsid w:val="007B1FE1"/>
    <w:rsid w:val="007B3F15"/>
    <w:rsid w:val="007B4060"/>
    <w:rsid w:val="007B408E"/>
    <w:rsid w:val="007B4537"/>
    <w:rsid w:val="007B4556"/>
    <w:rsid w:val="007B75F1"/>
    <w:rsid w:val="007B7EA2"/>
    <w:rsid w:val="007C0FF6"/>
    <w:rsid w:val="007C10E8"/>
    <w:rsid w:val="007C121A"/>
    <w:rsid w:val="007C1DDD"/>
    <w:rsid w:val="007C22CE"/>
    <w:rsid w:val="007C2344"/>
    <w:rsid w:val="007C2602"/>
    <w:rsid w:val="007C375B"/>
    <w:rsid w:val="007C3A5A"/>
    <w:rsid w:val="007C3DC3"/>
    <w:rsid w:val="007C5532"/>
    <w:rsid w:val="007C5F2E"/>
    <w:rsid w:val="007C6012"/>
    <w:rsid w:val="007C6367"/>
    <w:rsid w:val="007C6A91"/>
    <w:rsid w:val="007C7BFE"/>
    <w:rsid w:val="007D0671"/>
    <w:rsid w:val="007D0AD7"/>
    <w:rsid w:val="007D0B8C"/>
    <w:rsid w:val="007D1CE7"/>
    <w:rsid w:val="007D2052"/>
    <w:rsid w:val="007D20D8"/>
    <w:rsid w:val="007D221B"/>
    <w:rsid w:val="007D2483"/>
    <w:rsid w:val="007D3A09"/>
    <w:rsid w:val="007D3A6D"/>
    <w:rsid w:val="007D3AE3"/>
    <w:rsid w:val="007D3B52"/>
    <w:rsid w:val="007D3DE1"/>
    <w:rsid w:val="007D3E0C"/>
    <w:rsid w:val="007D4752"/>
    <w:rsid w:val="007D48E4"/>
    <w:rsid w:val="007D4ADD"/>
    <w:rsid w:val="007D5FEF"/>
    <w:rsid w:val="007D6C6E"/>
    <w:rsid w:val="007E1209"/>
    <w:rsid w:val="007E1C31"/>
    <w:rsid w:val="007E209F"/>
    <w:rsid w:val="007E22DA"/>
    <w:rsid w:val="007E2345"/>
    <w:rsid w:val="007E2571"/>
    <w:rsid w:val="007E2A1E"/>
    <w:rsid w:val="007E2EAA"/>
    <w:rsid w:val="007E318F"/>
    <w:rsid w:val="007E32FD"/>
    <w:rsid w:val="007E3668"/>
    <w:rsid w:val="007E436D"/>
    <w:rsid w:val="007E44B8"/>
    <w:rsid w:val="007E4EC3"/>
    <w:rsid w:val="007E5560"/>
    <w:rsid w:val="007E5BFA"/>
    <w:rsid w:val="007E6196"/>
    <w:rsid w:val="007E704D"/>
    <w:rsid w:val="007E722B"/>
    <w:rsid w:val="007E761C"/>
    <w:rsid w:val="007E7ED6"/>
    <w:rsid w:val="007F0546"/>
    <w:rsid w:val="007F076F"/>
    <w:rsid w:val="007F1957"/>
    <w:rsid w:val="007F1BED"/>
    <w:rsid w:val="007F1DC1"/>
    <w:rsid w:val="007F32B6"/>
    <w:rsid w:val="007F47A9"/>
    <w:rsid w:val="007F4ED3"/>
    <w:rsid w:val="007F5591"/>
    <w:rsid w:val="007F5C59"/>
    <w:rsid w:val="007F5D94"/>
    <w:rsid w:val="007F6A4F"/>
    <w:rsid w:val="007F6D39"/>
    <w:rsid w:val="007F718A"/>
    <w:rsid w:val="007F7A41"/>
    <w:rsid w:val="007F7CEA"/>
    <w:rsid w:val="00800189"/>
    <w:rsid w:val="00800B8B"/>
    <w:rsid w:val="00801247"/>
    <w:rsid w:val="00801662"/>
    <w:rsid w:val="00802AB6"/>
    <w:rsid w:val="0080367B"/>
    <w:rsid w:val="0080390C"/>
    <w:rsid w:val="0080454D"/>
    <w:rsid w:val="0080502B"/>
    <w:rsid w:val="0080509B"/>
    <w:rsid w:val="00806782"/>
    <w:rsid w:val="00807199"/>
    <w:rsid w:val="00807FD9"/>
    <w:rsid w:val="00810668"/>
    <w:rsid w:val="00810710"/>
    <w:rsid w:val="00810747"/>
    <w:rsid w:val="008114D8"/>
    <w:rsid w:val="00811CEC"/>
    <w:rsid w:val="00811E15"/>
    <w:rsid w:val="0081221D"/>
    <w:rsid w:val="00812283"/>
    <w:rsid w:val="00812E7E"/>
    <w:rsid w:val="00813CAA"/>
    <w:rsid w:val="008141AF"/>
    <w:rsid w:val="00814E63"/>
    <w:rsid w:val="008153FD"/>
    <w:rsid w:val="00815B01"/>
    <w:rsid w:val="00815F34"/>
    <w:rsid w:val="00816113"/>
    <w:rsid w:val="00820066"/>
    <w:rsid w:val="00820540"/>
    <w:rsid w:val="008206BF"/>
    <w:rsid w:val="00821087"/>
    <w:rsid w:val="00821439"/>
    <w:rsid w:val="00821753"/>
    <w:rsid w:val="0082231D"/>
    <w:rsid w:val="008224F6"/>
    <w:rsid w:val="00822A49"/>
    <w:rsid w:val="008236E4"/>
    <w:rsid w:val="00823AFE"/>
    <w:rsid w:val="008244AC"/>
    <w:rsid w:val="00825064"/>
    <w:rsid w:val="0082556E"/>
    <w:rsid w:val="0082602D"/>
    <w:rsid w:val="0082629B"/>
    <w:rsid w:val="008264BD"/>
    <w:rsid w:val="00826B73"/>
    <w:rsid w:val="00826D53"/>
    <w:rsid w:val="00827D6B"/>
    <w:rsid w:val="00832A84"/>
    <w:rsid w:val="0083390C"/>
    <w:rsid w:val="00834E33"/>
    <w:rsid w:val="00835D39"/>
    <w:rsid w:val="00836793"/>
    <w:rsid w:val="00836A1B"/>
    <w:rsid w:val="00836C16"/>
    <w:rsid w:val="008373F6"/>
    <w:rsid w:val="00840103"/>
    <w:rsid w:val="00840BBE"/>
    <w:rsid w:val="00840E5E"/>
    <w:rsid w:val="0084175B"/>
    <w:rsid w:val="008417F4"/>
    <w:rsid w:val="0084207D"/>
    <w:rsid w:val="00842140"/>
    <w:rsid w:val="00842341"/>
    <w:rsid w:val="008426A1"/>
    <w:rsid w:val="00843A31"/>
    <w:rsid w:val="00843F55"/>
    <w:rsid w:val="00844211"/>
    <w:rsid w:val="00844280"/>
    <w:rsid w:val="008454B0"/>
    <w:rsid w:val="00845E21"/>
    <w:rsid w:val="00845FF9"/>
    <w:rsid w:val="008474C4"/>
    <w:rsid w:val="00847F37"/>
    <w:rsid w:val="00850289"/>
    <w:rsid w:val="00850F8C"/>
    <w:rsid w:val="008521C7"/>
    <w:rsid w:val="0085250A"/>
    <w:rsid w:val="008529E6"/>
    <w:rsid w:val="00853ADB"/>
    <w:rsid w:val="00853CA8"/>
    <w:rsid w:val="00854EF9"/>
    <w:rsid w:val="0085547C"/>
    <w:rsid w:val="0085566D"/>
    <w:rsid w:val="00855AEB"/>
    <w:rsid w:val="00855B9F"/>
    <w:rsid w:val="008562FA"/>
    <w:rsid w:val="00857292"/>
    <w:rsid w:val="008577BF"/>
    <w:rsid w:val="00861199"/>
    <w:rsid w:val="00861392"/>
    <w:rsid w:val="0086157E"/>
    <w:rsid w:val="00861B69"/>
    <w:rsid w:val="00861FDE"/>
    <w:rsid w:val="00862C3D"/>
    <w:rsid w:val="0086315F"/>
    <w:rsid w:val="0086362B"/>
    <w:rsid w:val="00863A4D"/>
    <w:rsid w:val="00863C4F"/>
    <w:rsid w:val="00863E08"/>
    <w:rsid w:val="00863F83"/>
    <w:rsid w:val="00864131"/>
    <w:rsid w:val="00864880"/>
    <w:rsid w:val="00864CF0"/>
    <w:rsid w:val="00864FCA"/>
    <w:rsid w:val="0086574C"/>
    <w:rsid w:val="00865B3D"/>
    <w:rsid w:val="008665B6"/>
    <w:rsid w:val="0086694D"/>
    <w:rsid w:val="00866E3A"/>
    <w:rsid w:val="00866F0D"/>
    <w:rsid w:val="008670E9"/>
    <w:rsid w:val="0086746C"/>
    <w:rsid w:val="00867A77"/>
    <w:rsid w:val="0087078D"/>
    <w:rsid w:val="00871789"/>
    <w:rsid w:val="00871C37"/>
    <w:rsid w:val="00871F5D"/>
    <w:rsid w:val="008723DB"/>
    <w:rsid w:val="00872781"/>
    <w:rsid w:val="00872DED"/>
    <w:rsid w:val="00872FE6"/>
    <w:rsid w:val="008735C2"/>
    <w:rsid w:val="008736F1"/>
    <w:rsid w:val="00873F53"/>
    <w:rsid w:val="00874366"/>
    <w:rsid w:val="008749A6"/>
    <w:rsid w:val="00874C91"/>
    <w:rsid w:val="008754EF"/>
    <w:rsid w:val="0087588B"/>
    <w:rsid w:val="00875A85"/>
    <w:rsid w:val="008764C6"/>
    <w:rsid w:val="00876940"/>
    <w:rsid w:val="00876E9B"/>
    <w:rsid w:val="00877FEF"/>
    <w:rsid w:val="008805E8"/>
    <w:rsid w:val="008806A2"/>
    <w:rsid w:val="00880B26"/>
    <w:rsid w:val="00880C2B"/>
    <w:rsid w:val="00880D38"/>
    <w:rsid w:val="00880D9D"/>
    <w:rsid w:val="0088104B"/>
    <w:rsid w:val="00881084"/>
    <w:rsid w:val="008811C2"/>
    <w:rsid w:val="0088198B"/>
    <w:rsid w:val="0088210A"/>
    <w:rsid w:val="0088354E"/>
    <w:rsid w:val="0088373E"/>
    <w:rsid w:val="008843C3"/>
    <w:rsid w:val="008844BE"/>
    <w:rsid w:val="008845FF"/>
    <w:rsid w:val="00885CD8"/>
    <w:rsid w:val="00885E70"/>
    <w:rsid w:val="008860B2"/>
    <w:rsid w:val="008862AF"/>
    <w:rsid w:val="00887D95"/>
    <w:rsid w:val="00890A75"/>
    <w:rsid w:val="008910C3"/>
    <w:rsid w:val="0089139F"/>
    <w:rsid w:val="008914EE"/>
    <w:rsid w:val="0089173E"/>
    <w:rsid w:val="008918BD"/>
    <w:rsid w:val="00891BC0"/>
    <w:rsid w:val="00891D53"/>
    <w:rsid w:val="00892171"/>
    <w:rsid w:val="00893D5E"/>
    <w:rsid w:val="00895225"/>
    <w:rsid w:val="00896792"/>
    <w:rsid w:val="0089688C"/>
    <w:rsid w:val="008968C3"/>
    <w:rsid w:val="00897A3C"/>
    <w:rsid w:val="008A0570"/>
    <w:rsid w:val="008A0A9B"/>
    <w:rsid w:val="008A0B87"/>
    <w:rsid w:val="008A16C2"/>
    <w:rsid w:val="008A191E"/>
    <w:rsid w:val="008A1B25"/>
    <w:rsid w:val="008A1EC2"/>
    <w:rsid w:val="008A2123"/>
    <w:rsid w:val="008A298F"/>
    <w:rsid w:val="008A2B69"/>
    <w:rsid w:val="008A349B"/>
    <w:rsid w:val="008A40EE"/>
    <w:rsid w:val="008A4765"/>
    <w:rsid w:val="008A4952"/>
    <w:rsid w:val="008A4A75"/>
    <w:rsid w:val="008A5611"/>
    <w:rsid w:val="008A6E15"/>
    <w:rsid w:val="008A6E54"/>
    <w:rsid w:val="008A7296"/>
    <w:rsid w:val="008B0114"/>
    <w:rsid w:val="008B0783"/>
    <w:rsid w:val="008B09C6"/>
    <w:rsid w:val="008B09F1"/>
    <w:rsid w:val="008B0E33"/>
    <w:rsid w:val="008B114E"/>
    <w:rsid w:val="008B11F2"/>
    <w:rsid w:val="008B1450"/>
    <w:rsid w:val="008B1818"/>
    <w:rsid w:val="008B2086"/>
    <w:rsid w:val="008B22A5"/>
    <w:rsid w:val="008B2A48"/>
    <w:rsid w:val="008B2BC9"/>
    <w:rsid w:val="008B306D"/>
    <w:rsid w:val="008B338C"/>
    <w:rsid w:val="008B3B41"/>
    <w:rsid w:val="008B4846"/>
    <w:rsid w:val="008B4F08"/>
    <w:rsid w:val="008B61DD"/>
    <w:rsid w:val="008B6427"/>
    <w:rsid w:val="008B6667"/>
    <w:rsid w:val="008B7F5C"/>
    <w:rsid w:val="008C0384"/>
    <w:rsid w:val="008C0BE2"/>
    <w:rsid w:val="008C2DC4"/>
    <w:rsid w:val="008C2FA7"/>
    <w:rsid w:val="008C32DC"/>
    <w:rsid w:val="008C380A"/>
    <w:rsid w:val="008C38DF"/>
    <w:rsid w:val="008C44A7"/>
    <w:rsid w:val="008C4B18"/>
    <w:rsid w:val="008C5946"/>
    <w:rsid w:val="008C5C9E"/>
    <w:rsid w:val="008C5CBD"/>
    <w:rsid w:val="008C5D48"/>
    <w:rsid w:val="008C61A0"/>
    <w:rsid w:val="008C6502"/>
    <w:rsid w:val="008C77C7"/>
    <w:rsid w:val="008C79B7"/>
    <w:rsid w:val="008C7D7D"/>
    <w:rsid w:val="008D0B8F"/>
    <w:rsid w:val="008D0C65"/>
    <w:rsid w:val="008D2462"/>
    <w:rsid w:val="008D2A75"/>
    <w:rsid w:val="008D36BD"/>
    <w:rsid w:val="008D36CA"/>
    <w:rsid w:val="008D3E2E"/>
    <w:rsid w:val="008D48CB"/>
    <w:rsid w:val="008D56B8"/>
    <w:rsid w:val="008D5E61"/>
    <w:rsid w:val="008D687D"/>
    <w:rsid w:val="008D6BB9"/>
    <w:rsid w:val="008D770A"/>
    <w:rsid w:val="008D77AD"/>
    <w:rsid w:val="008D7BC5"/>
    <w:rsid w:val="008E0628"/>
    <w:rsid w:val="008E0914"/>
    <w:rsid w:val="008E12DB"/>
    <w:rsid w:val="008E30B9"/>
    <w:rsid w:val="008E3654"/>
    <w:rsid w:val="008E36CE"/>
    <w:rsid w:val="008E3822"/>
    <w:rsid w:val="008E4F4B"/>
    <w:rsid w:val="008E5314"/>
    <w:rsid w:val="008E5A2F"/>
    <w:rsid w:val="008E65DE"/>
    <w:rsid w:val="008E758B"/>
    <w:rsid w:val="008E77DD"/>
    <w:rsid w:val="008E79B2"/>
    <w:rsid w:val="008E7E85"/>
    <w:rsid w:val="008F0031"/>
    <w:rsid w:val="008F025C"/>
    <w:rsid w:val="008F0EB3"/>
    <w:rsid w:val="008F10B1"/>
    <w:rsid w:val="008F10BF"/>
    <w:rsid w:val="008F1240"/>
    <w:rsid w:val="008F126C"/>
    <w:rsid w:val="008F129D"/>
    <w:rsid w:val="008F1C05"/>
    <w:rsid w:val="008F25F4"/>
    <w:rsid w:val="008F2B65"/>
    <w:rsid w:val="008F2E70"/>
    <w:rsid w:val="008F362D"/>
    <w:rsid w:val="008F5F8E"/>
    <w:rsid w:val="00900796"/>
    <w:rsid w:val="009007EB"/>
    <w:rsid w:val="00901E7E"/>
    <w:rsid w:val="00903B28"/>
    <w:rsid w:val="009044AF"/>
    <w:rsid w:val="009048EC"/>
    <w:rsid w:val="00904928"/>
    <w:rsid w:val="00904B0F"/>
    <w:rsid w:val="00904CF5"/>
    <w:rsid w:val="00904EA7"/>
    <w:rsid w:val="0090611E"/>
    <w:rsid w:val="00906272"/>
    <w:rsid w:val="009071CE"/>
    <w:rsid w:val="009075A2"/>
    <w:rsid w:val="00907C0C"/>
    <w:rsid w:val="00907C6A"/>
    <w:rsid w:val="00907E31"/>
    <w:rsid w:val="0091047C"/>
    <w:rsid w:val="009108E7"/>
    <w:rsid w:val="00911240"/>
    <w:rsid w:val="0091144E"/>
    <w:rsid w:val="00912128"/>
    <w:rsid w:val="00912A52"/>
    <w:rsid w:val="0091343B"/>
    <w:rsid w:val="009136F0"/>
    <w:rsid w:val="00913726"/>
    <w:rsid w:val="00913F01"/>
    <w:rsid w:val="009148E1"/>
    <w:rsid w:val="009164BF"/>
    <w:rsid w:val="00916E9E"/>
    <w:rsid w:val="00917177"/>
    <w:rsid w:val="009173FF"/>
    <w:rsid w:val="0091780E"/>
    <w:rsid w:val="00917BBA"/>
    <w:rsid w:val="00917F3A"/>
    <w:rsid w:val="009201AF"/>
    <w:rsid w:val="0092042B"/>
    <w:rsid w:val="0092104C"/>
    <w:rsid w:val="00922662"/>
    <w:rsid w:val="009247B3"/>
    <w:rsid w:val="00924E30"/>
    <w:rsid w:val="0092556E"/>
    <w:rsid w:val="00925BB8"/>
    <w:rsid w:val="00926889"/>
    <w:rsid w:val="00926DA6"/>
    <w:rsid w:val="00926DB9"/>
    <w:rsid w:val="00927569"/>
    <w:rsid w:val="00927988"/>
    <w:rsid w:val="00930411"/>
    <w:rsid w:val="00930A24"/>
    <w:rsid w:val="00930E69"/>
    <w:rsid w:val="00930E9B"/>
    <w:rsid w:val="00930F14"/>
    <w:rsid w:val="00931834"/>
    <w:rsid w:val="009318E0"/>
    <w:rsid w:val="00931AEA"/>
    <w:rsid w:val="00932C92"/>
    <w:rsid w:val="00933315"/>
    <w:rsid w:val="00933EBC"/>
    <w:rsid w:val="009345BB"/>
    <w:rsid w:val="00935115"/>
    <w:rsid w:val="00935A9F"/>
    <w:rsid w:val="00935AFD"/>
    <w:rsid w:val="00935DFF"/>
    <w:rsid w:val="00936036"/>
    <w:rsid w:val="009363BD"/>
    <w:rsid w:val="00937B0B"/>
    <w:rsid w:val="00940847"/>
    <w:rsid w:val="00940E1C"/>
    <w:rsid w:val="00940FA0"/>
    <w:rsid w:val="0094129E"/>
    <w:rsid w:val="009416B8"/>
    <w:rsid w:val="0094186E"/>
    <w:rsid w:val="009424D1"/>
    <w:rsid w:val="00942C25"/>
    <w:rsid w:val="00942E86"/>
    <w:rsid w:val="0094367B"/>
    <w:rsid w:val="00943C96"/>
    <w:rsid w:val="00943F11"/>
    <w:rsid w:val="009453B9"/>
    <w:rsid w:val="00945D55"/>
    <w:rsid w:val="00946E65"/>
    <w:rsid w:val="00946E81"/>
    <w:rsid w:val="00947050"/>
    <w:rsid w:val="009471AF"/>
    <w:rsid w:val="0094764F"/>
    <w:rsid w:val="00950CDF"/>
    <w:rsid w:val="00950D63"/>
    <w:rsid w:val="00951490"/>
    <w:rsid w:val="00951826"/>
    <w:rsid w:val="00951A28"/>
    <w:rsid w:val="00951EAD"/>
    <w:rsid w:val="00952031"/>
    <w:rsid w:val="00952346"/>
    <w:rsid w:val="00952527"/>
    <w:rsid w:val="009527F2"/>
    <w:rsid w:val="00952D70"/>
    <w:rsid w:val="00953217"/>
    <w:rsid w:val="009540A9"/>
    <w:rsid w:val="009541A7"/>
    <w:rsid w:val="0095461B"/>
    <w:rsid w:val="009547FC"/>
    <w:rsid w:val="009548E5"/>
    <w:rsid w:val="00955A7E"/>
    <w:rsid w:val="00955B68"/>
    <w:rsid w:val="00956126"/>
    <w:rsid w:val="0095647E"/>
    <w:rsid w:val="0095654E"/>
    <w:rsid w:val="009566A0"/>
    <w:rsid w:val="0095785C"/>
    <w:rsid w:val="009579F8"/>
    <w:rsid w:val="0096021F"/>
    <w:rsid w:val="0096052A"/>
    <w:rsid w:val="00961980"/>
    <w:rsid w:val="00961A32"/>
    <w:rsid w:val="00961FB8"/>
    <w:rsid w:val="0096257F"/>
    <w:rsid w:val="00962FA6"/>
    <w:rsid w:val="00963A19"/>
    <w:rsid w:val="00965191"/>
    <w:rsid w:val="0096533F"/>
    <w:rsid w:val="00965985"/>
    <w:rsid w:val="00965BA0"/>
    <w:rsid w:val="00966B5E"/>
    <w:rsid w:val="0096700A"/>
    <w:rsid w:val="00970078"/>
    <w:rsid w:val="00970EA5"/>
    <w:rsid w:val="00971646"/>
    <w:rsid w:val="00971922"/>
    <w:rsid w:val="009735D6"/>
    <w:rsid w:val="0097371A"/>
    <w:rsid w:val="009738C1"/>
    <w:rsid w:val="00973A35"/>
    <w:rsid w:val="00973D6B"/>
    <w:rsid w:val="0097441E"/>
    <w:rsid w:val="00974C33"/>
    <w:rsid w:val="0097504F"/>
    <w:rsid w:val="00975234"/>
    <w:rsid w:val="00975BFD"/>
    <w:rsid w:val="00977322"/>
    <w:rsid w:val="00980704"/>
    <w:rsid w:val="00980DEE"/>
    <w:rsid w:val="00983B57"/>
    <w:rsid w:val="009850F1"/>
    <w:rsid w:val="00985154"/>
    <w:rsid w:val="00985688"/>
    <w:rsid w:val="0098612F"/>
    <w:rsid w:val="00986B69"/>
    <w:rsid w:val="00987543"/>
    <w:rsid w:val="00987939"/>
    <w:rsid w:val="00987A8B"/>
    <w:rsid w:val="00987B8B"/>
    <w:rsid w:val="00990410"/>
    <w:rsid w:val="00990476"/>
    <w:rsid w:val="0099056E"/>
    <w:rsid w:val="009919C2"/>
    <w:rsid w:val="00991DF4"/>
    <w:rsid w:val="009928AD"/>
    <w:rsid w:val="00993C4A"/>
    <w:rsid w:val="009948CE"/>
    <w:rsid w:val="00994FD4"/>
    <w:rsid w:val="0099529E"/>
    <w:rsid w:val="00996230"/>
    <w:rsid w:val="00996516"/>
    <w:rsid w:val="00996B48"/>
    <w:rsid w:val="00996EEA"/>
    <w:rsid w:val="00997BE7"/>
    <w:rsid w:val="009A03A9"/>
    <w:rsid w:val="009A0501"/>
    <w:rsid w:val="009A0AF3"/>
    <w:rsid w:val="009A10D9"/>
    <w:rsid w:val="009A2087"/>
    <w:rsid w:val="009A3288"/>
    <w:rsid w:val="009A39B0"/>
    <w:rsid w:val="009A5018"/>
    <w:rsid w:val="009A5420"/>
    <w:rsid w:val="009A5D39"/>
    <w:rsid w:val="009A6106"/>
    <w:rsid w:val="009A6948"/>
    <w:rsid w:val="009A76B0"/>
    <w:rsid w:val="009A79E0"/>
    <w:rsid w:val="009B0468"/>
    <w:rsid w:val="009B10FD"/>
    <w:rsid w:val="009B1696"/>
    <w:rsid w:val="009B16ED"/>
    <w:rsid w:val="009B18B1"/>
    <w:rsid w:val="009B1ADC"/>
    <w:rsid w:val="009B2335"/>
    <w:rsid w:val="009B25C4"/>
    <w:rsid w:val="009B2E73"/>
    <w:rsid w:val="009B35FA"/>
    <w:rsid w:val="009B3914"/>
    <w:rsid w:val="009B3F43"/>
    <w:rsid w:val="009B442C"/>
    <w:rsid w:val="009B4546"/>
    <w:rsid w:val="009B4A52"/>
    <w:rsid w:val="009B50D8"/>
    <w:rsid w:val="009B6B6D"/>
    <w:rsid w:val="009B6BE0"/>
    <w:rsid w:val="009B6E1F"/>
    <w:rsid w:val="009B6F7D"/>
    <w:rsid w:val="009C03BC"/>
    <w:rsid w:val="009C0462"/>
    <w:rsid w:val="009C1458"/>
    <w:rsid w:val="009C1779"/>
    <w:rsid w:val="009C198B"/>
    <w:rsid w:val="009C2043"/>
    <w:rsid w:val="009C2688"/>
    <w:rsid w:val="009C2CF9"/>
    <w:rsid w:val="009C326F"/>
    <w:rsid w:val="009C336D"/>
    <w:rsid w:val="009C3709"/>
    <w:rsid w:val="009C3A23"/>
    <w:rsid w:val="009C3BFE"/>
    <w:rsid w:val="009C3C00"/>
    <w:rsid w:val="009C4120"/>
    <w:rsid w:val="009C579B"/>
    <w:rsid w:val="009C57EC"/>
    <w:rsid w:val="009C5ED7"/>
    <w:rsid w:val="009C60C9"/>
    <w:rsid w:val="009C6196"/>
    <w:rsid w:val="009C62BF"/>
    <w:rsid w:val="009C6A8E"/>
    <w:rsid w:val="009C6AB3"/>
    <w:rsid w:val="009C711C"/>
    <w:rsid w:val="009C7259"/>
    <w:rsid w:val="009C74E9"/>
    <w:rsid w:val="009D09F6"/>
    <w:rsid w:val="009D11A1"/>
    <w:rsid w:val="009D13BA"/>
    <w:rsid w:val="009D199E"/>
    <w:rsid w:val="009D19FB"/>
    <w:rsid w:val="009D1DB2"/>
    <w:rsid w:val="009D236A"/>
    <w:rsid w:val="009D343B"/>
    <w:rsid w:val="009D3F3A"/>
    <w:rsid w:val="009D474B"/>
    <w:rsid w:val="009D4C41"/>
    <w:rsid w:val="009D58C8"/>
    <w:rsid w:val="009D5BCA"/>
    <w:rsid w:val="009D64F7"/>
    <w:rsid w:val="009D68EB"/>
    <w:rsid w:val="009D6BFE"/>
    <w:rsid w:val="009D7274"/>
    <w:rsid w:val="009D7750"/>
    <w:rsid w:val="009D7E76"/>
    <w:rsid w:val="009E04A8"/>
    <w:rsid w:val="009E0567"/>
    <w:rsid w:val="009E0ED4"/>
    <w:rsid w:val="009E2882"/>
    <w:rsid w:val="009E3043"/>
    <w:rsid w:val="009E3A39"/>
    <w:rsid w:val="009E3DCB"/>
    <w:rsid w:val="009E4BE9"/>
    <w:rsid w:val="009E4F66"/>
    <w:rsid w:val="009E545C"/>
    <w:rsid w:val="009E5D72"/>
    <w:rsid w:val="009E6035"/>
    <w:rsid w:val="009E64D6"/>
    <w:rsid w:val="009E6BB8"/>
    <w:rsid w:val="009E761A"/>
    <w:rsid w:val="009E7FA7"/>
    <w:rsid w:val="009F0413"/>
    <w:rsid w:val="009F07C4"/>
    <w:rsid w:val="009F0D24"/>
    <w:rsid w:val="009F0F7A"/>
    <w:rsid w:val="009F14DA"/>
    <w:rsid w:val="009F160B"/>
    <w:rsid w:val="009F177A"/>
    <w:rsid w:val="009F2310"/>
    <w:rsid w:val="009F257B"/>
    <w:rsid w:val="009F2BA7"/>
    <w:rsid w:val="009F30BC"/>
    <w:rsid w:val="009F4739"/>
    <w:rsid w:val="009F63DD"/>
    <w:rsid w:val="009F69B6"/>
    <w:rsid w:val="009F6AC1"/>
    <w:rsid w:val="009F6D0C"/>
    <w:rsid w:val="009F73D8"/>
    <w:rsid w:val="009F7C89"/>
    <w:rsid w:val="00A00624"/>
    <w:rsid w:val="00A006E0"/>
    <w:rsid w:val="00A014AD"/>
    <w:rsid w:val="00A01615"/>
    <w:rsid w:val="00A0240A"/>
    <w:rsid w:val="00A02667"/>
    <w:rsid w:val="00A02DC4"/>
    <w:rsid w:val="00A043E1"/>
    <w:rsid w:val="00A046B5"/>
    <w:rsid w:val="00A048B7"/>
    <w:rsid w:val="00A05281"/>
    <w:rsid w:val="00A055F3"/>
    <w:rsid w:val="00A06AA8"/>
    <w:rsid w:val="00A06E04"/>
    <w:rsid w:val="00A07BCE"/>
    <w:rsid w:val="00A07E79"/>
    <w:rsid w:val="00A10193"/>
    <w:rsid w:val="00A1030F"/>
    <w:rsid w:val="00A10403"/>
    <w:rsid w:val="00A11293"/>
    <w:rsid w:val="00A11485"/>
    <w:rsid w:val="00A11571"/>
    <w:rsid w:val="00A11725"/>
    <w:rsid w:val="00A11861"/>
    <w:rsid w:val="00A11C8C"/>
    <w:rsid w:val="00A13A45"/>
    <w:rsid w:val="00A14597"/>
    <w:rsid w:val="00A14F16"/>
    <w:rsid w:val="00A14FD5"/>
    <w:rsid w:val="00A15051"/>
    <w:rsid w:val="00A16966"/>
    <w:rsid w:val="00A16D32"/>
    <w:rsid w:val="00A16D5A"/>
    <w:rsid w:val="00A171B4"/>
    <w:rsid w:val="00A173A9"/>
    <w:rsid w:val="00A17418"/>
    <w:rsid w:val="00A20920"/>
    <w:rsid w:val="00A209AF"/>
    <w:rsid w:val="00A211FE"/>
    <w:rsid w:val="00A215BC"/>
    <w:rsid w:val="00A21657"/>
    <w:rsid w:val="00A216FF"/>
    <w:rsid w:val="00A2255F"/>
    <w:rsid w:val="00A22848"/>
    <w:rsid w:val="00A22D1C"/>
    <w:rsid w:val="00A22D38"/>
    <w:rsid w:val="00A22D53"/>
    <w:rsid w:val="00A23C69"/>
    <w:rsid w:val="00A24961"/>
    <w:rsid w:val="00A2517D"/>
    <w:rsid w:val="00A252BA"/>
    <w:rsid w:val="00A2564A"/>
    <w:rsid w:val="00A26641"/>
    <w:rsid w:val="00A26709"/>
    <w:rsid w:val="00A2682F"/>
    <w:rsid w:val="00A26E93"/>
    <w:rsid w:val="00A31597"/>
    <w:rsid w:val="00A32219"/>
    <w:rsid w:val="00A335E9"/>
    <w:rsid w:val="00A3369A"/>
    <w:rsid w:val="00A33BF1"/>
    <w:rsid w:val="00A3414D"/>
    <w:rsid w:val="00A34333"/>
    <w:rsid w:val="00A34808"/>
    <w:rsid w:val="00A349AE"/>
    <w:rsid w:val="00A34DDD"/>
    <w:rsid w:val="00A34F8F"/>
    <w:rsid w:val="00A351E1"/>
    <w:rsid w:val="00A355C1"/>
    <w:rsid w:val="00A35697"/>
    <w:rsid w:val="00A35A5C"/>
    <w:rsid w:val="00A362CB"/>
    <w:rsid w:val="00A36568"/>
    <w:rsid w:val="00A3687C"/>
    <w:rsid w:val="00A3689A"/>
    <w:rsid w:val="00A36C11"/>
    <w:rsid w:val="00A3713B"/>
    <w:rsid w:val="00A37DB9"/>
    <w:rsid w:val="00A402F0"/>
    <w:rsid w:val="00A421F0"/>
    <w:rsid w:val="00A437B0"/>
    <w:rsid w:val="00A43B1B"/>
    <w:rsid w:val="00A443D1"/>
    <w:rsid w:val="00A443E8"/>
    <w:rsid w:val="00A44A98"/>
    <w:rsid w:val="00A45447"/>
    <w:rsid w:val="00A45647"/>
    <w:rsid w:val="00A45AFD"/>
    <w:rsid w:val="00A45CB4"/>
    <w:rsid w:val="00A45DE0"/>
    <w:rsid w:val="00A4645E"/>
    <w:rsid w:val="00A46697"/>
    <w:rsid w:val="00A46971"/>
    <w:rsid w:val="00A47D45"/>
    <w:rsid w:val="00A47EDE"/>
    <w:rsid w:val="00A50431"/>
    <w:rsid w:val="00A50D65"/>
    <w:rsid w:val="00A51DF5"/>
    <w:rsid w:val="00A51FB3"/>
    <w:rsid w:val="00A52437"/>
    <w:rsid w:val="00A52562"/>
    <w:rsid w:val="00A52B43"/>
    <w:rsid w:val="00A52FD2"/>
    <w:rsid w:val="00A53472"/>
    <w:rsid w:val="00A534A6"/>
    <w:rsid w:val="00A537F1"/>
    <w:rsid w:val="00A53B10"/>
    <w:rsid w:val="00A542DB"/>
    <w:rsid w:val="00A543B0"/>
    <w:rsid w:val="00A54A3D"/>
    <w:rsid w:val="00A54DAE"/>
    <w:rsid w:val="00A554A6"/>
    <w:rsid w:val="00A55ABB"/>
    <w:rsid w:val="00A563C6"/>
    <w:rsid w:val="00A56BE2"/>
    <w:rsid w:val="00A579D7"/>
    <w:rsid w:val="00A60EB0"/>
    <w:rsid w:val="00A61171"/>
    <w:rsid w:val="00A62574"/>
    <w:rsid w:val="00A640A3"/>
    <w:rsid w:val="00A641F7"/>
    <w:rsid w:val="00A6443D"/>
    <w:rsid w:val="00A64CFD"/>
    <w:rsid w:val="00A66C0E"/>
    <w:rsid w:val="00A67317"/>
    <w:rsid w:val="00A70091"/>
    <w:rsid w:val="00A70127"/>
    <w:rsid w:val="00A701E5"/>
    <w:rsid w:val="00A70239"/>
    <w:rsid w:val="00A702F1"/>
    <w:rsid w:val="00A710B7"/>
    <w:rsid w:val="00A71F3A"/>
    <w:rsid w:val="00A723A1"/>
    <w:rsid w:val="00A72901"/>
    <w:rsid w:val="00A7296A"/>
    <w:rsid w:val="00A7340B"/>
    <w:rsid w:val="00A73B3C"/>
    <w:rsid w:val="00A7453F"/>
    <w:rsid w:val="00A74666"/>
    <w:rsid w:val="00A748A0"/>
    <w:rsid w:val="00A7505D"/>
    <w:rsid w:val="00A75200"/>
    <w:rsid w:val="00A755AB"/>
    <w:rsid w:val="00A7641C"/>
    <w:rsid w:val="00A772E8"/>
    <w:rsid w:val="00A773CD"/>
    <w:rsid w:val="00A77487"/>
    <w:rsid w:val="00A77E5B"/>
    <w:rsid w:val="00A8031A"/>
    <w:rsid w:val="00A80ABF"/>
    <w:rsid w:val="00A81280"/>
    <w:rsid w:val="00A81DA4"/>
    <w:rsid w:val="00A82186"/>
    <w:rsid w:val="00A82296"/>
    <w:rsid w:val="00A8254A"/>
    <w:rsid w:val="00A83177"/>
    <w:rsid w:val="00A834AA"/>
    <w:rsid w:val="00A84099"/>
    <w:rsid w:val="00A84119"/>
    <w:rsid w:val="00A842D5"/>
    <w:rsid w:val="00A842D8"/>
    <w:rsid w:val="00A8431C"/>
    <w:rsid w:val="00A844EA"/>
    <w:rsid w:val="00A84CEE"/>
    <w:rsid w:val="00A851CA"/>
    <w:rsid w:val="00A858E9"/>
    <w:rsid w:val="00A858FD"/>
    <w:rsid w:val="00A85A44"/>
    <w:rsid w:val="00A85E5A"/>
    <w:rsid w:val="00A86111"/>
    <w:rsid w:val="00A86B53"/>
    <w:rsid w:val="00A86CF2"/>
    <w:rsid w:val="00A86E47"/>
    <w:rsid w:val="00A87064"/>
    <w:rsid w:val="00A87CD2"/>
    <w:rsid w:val="00A87F31"/>
    <w:rsid w:val="00A90378"/>
    <w:rsid w:val="00A90683"/>
    <w:rsid w:val="00A909EE"/>
    <w:rsid w:val="00A91E7C"/>
    <w:rsid w:val="00A9206C"/>
    <w:rsid w:val="00A921DC"/>
    <w:rsid w:val="00A928A1"/>
    <w:rsid w:val="00A92A6B"/>
    <w:rsid w:val="00A92EE1"/>
    <w:rsid w:val="00A934AA"/>
    <w:rsid w:val="00A937BA"/>
    <w:rsid w:val="00A942EB"/>
    <w:rsid w:val="00A94313"/>
    <w:rsid w:val="00A9444B"/>
    <w:rsid w:val="00A953FC"/>
    <w:rsid w:val="00A95905"/>
    <w:rsid w:val="00A95C14"/>
    <w:rsid w:val="00A962DF"/>
    <w:rsid w:val="00A9683D"/>
    <w:rsid w:val="00A96888"/>
    <w:rsid w:val="00A96E43"/>
    <w:rsid w:val="00A96F91"/>
    <w:rsid w:val="00A9705A"/>
    <w:rsid w:val="00A97090"/>
    <w:rsid w:val="00A9729C"/>
    <w:rsid w:val="00A97B4F"/>
    <w:rsid w:val="00A97CE7"/>
    <w:rsid w:val="00AA0608"/>
    <w:rsid w:val="00AA0B38"/>
    <w:rsid w:val="00AA1CC6"/>
    <w:rsid w:val="00AA2DEA"/>
    <w:rsid w:val="00AA35BB"/>
    <w:rsid w:val="00AA3BF6"/>
    <w:rsid w:val="00AA3EF7"/>
    <w:rsid w:val="00AA40FD"/>
    <w:rsid w:val="00AA50C4"/>
    <w:rsid w:val="00AA59F6"/>
    <w:rsid w:val="00AA5DD2"/>
    <w:rsid w:val="00AA6B75"/>
    <w:rsid w:val="00AA7434"/>
    <w:rsid w:val="00AA74A2"/>
    <w:rsid w:val="00AA797A"/>
    <w:rsid w:val="00AB0385"/>
    <w:rsid w:val="00AB040C"/>
    <w:rsid w:val="00AB0935"/>
    <w:rsid w:val="00AB09EA"/>
    <w:rsid w:val="00AB0BF1"/>
    <w:rsid w:val="00AB179E"/>
    <w:rsid w:val="00AB195D"/>
    <w:rsid w:val="00AB429E"/>
    <w:rsid w:val="00AB562C"/>
    <w:rsid w:val="00AB5C54"/>
    <w:rsid w:val="00AB72CB"/>
    <w:rsid w:val="00AB79A5"/>
    <w:rsid w:val="00AB7B6D"/>
    <w:rsid w:val="00AB7E26"/>
    <w:rsid w:val="00AB7E4A"/>
    <w:rsid w:val="00AC004F"/>
    <w:rsid w:val="00AC133A"/>
    <w:rsid w:val="00AC1A86"/>
    <w:rsid w:val="00AC2556"/>
    <w:rsid w:val="00AC259A"/>
    <w:rsid w:val="00AC273D"/>
    <w:rsid w:val="00AC2A02"/>
    <w:rsid w:val="00AC2B91"/>
    <w:rsid w:val="00AC2DC6"/>
    <w:rsid w:val="00AC3239"/>
    <w:rsid w:val="00AC34A3"/>
    <w:rsid w:val="00AC379E"/>
    <w:rsid w:val="00AC3A66"/>
    <w:rsid w:val="00AC430C"/>
    <w:rsid w:val="00AC4C39"/>
    <w:rsid w:val="00AC5ED5"/>
    <w:rsid w:val="00AC655F"/>
    <w:rsid w:val="00AC6BAC"/>
    <w:rsid w:val="00AC6BC0"/>
    <w:rsid w:val="00AC6F65"/>
    <w:rsid w:val="00AC723F"/>
    <w:rsid w:val="00AC76EE"/>
    <w:rsid w:val="00AC7F38"/>
    <w:rsid w:val="00AD0567"/>
    <w:rsid w:val="00AD0AD0"/>
    <w:rsid w:val="00AD148D"/>
    <w:rsid w:val="00AD1889"/>
    <w:rsid w:val="00AD1B5D"/>
    <w:rsid w:val="00AD2158"/>
    <w:rsid w:val="00AD24EA"/>
    <w:rsid w:val="00AD2591"/>
    <w:rsid w:val="00AD2675"/>
    <w:rsid w:val="00AD3260"/>
    <w:rsid w:val="00AD3AC8"/>
    <w:rsid w:val="00AD3BBD"/>
    <w:rsid w:val="00AD5FC1"/>
    <w:rsid w:val="00AD690E"/>
    <w:rsid w:val="00AD6DD2"/>
    <w:rsid w:val="00AD710A"/>
    <w:rsid w:val="00AD77EC"/>
    <w:rsid w:val="00AD7D34"/>
    <w:rsid w:val="00AE0649"/>
    <w:rsid w:val="00AE06D0"/>
    <w:rsid w:val="00AE0EDF"/>
    <w:rsid w:val="00AE1FBF"/>
    <w:rsid w:val="00AE219D"/>
    <w:rsid w:val="00AE2986"/>
    <w:rsid w:val="00AE4085"/>
    <w:rsid w:val="00AE4456"/>
    <w:rsid w:val="00AE4F03"/>
    <w:rsid w:val="00AE562D"/>
    <w:rsid w:val="00AE62E5"/>
    <w:rsid w:val="00AE6B64"/>
    <w:rsid w:val="00AE6B85"/>
    <w:rsid w:val="00AE7C6E"/>
    <w:rsid w:val="00AF1294"/>
    <w:rsid w:val="00AF1426"/>
    <w:rsid w:val="00AF1C6F"/>
    <w:rsid w:val="00AF211C"/>
    <w:rsid w:val="00AF3D80"/>
    <w:rsid w:val="00AF409C"/>
    <w:rsid w:val="00AF40AD"/>
    <w:rsid w:val="00AF513A"/>
    <w:rsid w:val="00AF6B60"/>
    <w:rsid w:val="00AF6F9A"/>
    <w:rsid w:val="00AF7135"/>
    <w:rsid w:val="00AF773A"/>
    <w:rsid w:val="00AF7EDC"/>
    <w:rsid w:val="00B00D2F"/>
    <w:rsid w:val="00B00ED0"/>
    <w:rsid w:val="00B00FA8"/>
    <w:rsid w:val="00B0100F"/>
    <w:rsid w:val="00B01073"/>
    <w:rsid w:val="00B012B2"/>
    <w:rsid w:val="00B0169F"/>
    <w:rsid w:val="00B017D3"/>
    <w:rsid w:val="00B01F17"/>
    <w:rsid w:val="00B021AC"/>
    <w:rsid w:val="00B02377"/>
    <w:rsid w:val="00B02420"/>
    <w:rsid w:val="00B028F9"/>
    <w:rsid w:val="00B02C94"/>
    <w:rsid w:val="00B035E7"/>
    <w:rsid w:val="00B03F66"/>
    <w:rsid w:val="00B049D3"/>
    <w:rsid w:val="00B04DED"/>
    <w:rsid w:val="00B0524A"/>
    <w:rsid w:val="00B06119"/>
    <w:rsid w:val="00B0653B"/>
    <w:rsid w:val="00B07DB6"/>
    <w:rsid w:val="00B1055A"/>
    <w:rsid w:val="00B1055C"/>
    <w:rsid w:val="00B1079F"/>
    <w:rsid w:val="00B10E19"/>
    <w:rsid w:val="00B110B8"/>
    <w:rsid w:val="00B119D7"/>
    <w:rsid w:val="00B11A96"/>
    <w:rsid w:val="00B12308"/>
    <w:rsid w:val="00B12797"/>
    <w:rsid w:val="00B12A17"/>
    <w:rsid w:val="00B132A2"/>
    <w:rsid w:val="00B134F2"/>
    <w:rsid w:val="00B13B80"/>
    <w:rsid w:val="00B13EDA"/>
    <w:rsid w:val="00B14314"/>
    <w:rsid w:val="00B1480E"/>
    <w:rsid w:val="00B14B72"/>
    <w:rsid w:val="00B14BC7"/>
    <w:rsid w:val="00B14EF6"/>
    <w:rsid w:val="00B1537C"/>
    <w:rsid w:val="00B16220"/>
    <w:rsid w:val="00B16B5A"/>
    <w:rsid w:val="00B16BEA"/>
    <w:rsid w:val="00B16CF6"/>
    <w:rsid w:val="00B17239"/>
    <w:rsid w:val="00B17330"/>
    <w:rsid w:val="00B177B1"/>
    <w:rsid w:val="00B17CC7"/>
    <w:rsid w:val="00B20B62"/>
    <w:rsid w:val="00B212CA"/>
    <w:rsid w:val="00B217D1"/>
    <w:rsid w:val="00B22567"/>
    <w:rsid w:val="00B2337F"/>
    <w:rsid w:val="00B24542"/>
    <w:rsid w:val="00B250F1"/>
    <w:rsid w:val="00B2516C"/>
    <w:rsid w:val="00B2554F"/>
    <w:rsid w:val="00B2586C"/>
    <w:rsid w:val="00B26092"/>
    <w:rsid w:val="00B2658A"/>
    <w:rsid w:val="00B265E8"/>
    <w:rsid w:val="00B2662C"/>
    <w:rsid w:val="00B26C9E"/>
    <w:rsid w:val="00B301B7"/>
    <w:rsid w:val="00B304A4"/>
    <w:rsid w:val="00B310EB"/>
    <w:rsid w:val="00B31152"/>
    <w:rsid w:val="00B311BA"/>
    <w:rsid w:val="00B316F5"/>
    <w:rsid w:val="00B31F24"/>
    <w:rsid w:val="00B32208"/>
    <w:rsid w:val="00B3263F"/>
    <w:rsid w:val="00B32820"/>
    <w:rsid w:val="00B32C89"/>
    <w:rsid w:val="00B33594"/>
    <w:rsid w:val="00B33990"/>
    <w:rsid w:val="00B33C82"/>
    <w:rsid w:val="00B33FFC"/>
    <w:rsid w:val="00B3438E"/>
    <w:rsid w:val="00B35E08"/>
    <w:rsid w:val="00B3615B"/>
    <w:rsid w:val="00B3645C"/>
    <w:rsid w:val="00B36A64"/>
    <w:rsid w:val="00B36A74"/>
    <w:rsid w:val="00B371B1"/>
    <w:rsid w:val="00B41592"/>
    <w:rsid w:val="00B417C9"/>
    <w:rsid w:val="00B41B45"/>
    <w:rsid w:val="00B42223"/>
    <w:rsid w:val="00B4313B"/>
    <w:rsid w:val="00B431AE"/>
    <w:rsid w:val="00B43C53"/>
    <w:rsid w:val="00B43E77"/>
    <w:rsid w:val="00B44C3C"/>
    <w:rsid w:val="00B44E85"/>
    <w:rsid w:val="00B450DB"/>
    <w:rsid w:val="00B45379"/>
    <w:rsid w:val="00B459DB"/>
    <w:rsid w:val="00B45F2D"/>
    <w:rsid w:val="00B467DF"/>
    <w:rsid w:val="00B468CD"/>
    <w:rsid w:val="00B46C76"/>
    <w:rsid w:val="00B47466"/>
    <w:rsid w:val="00B4775E"/>
    <w:rsid w:val="00B479D7"/>
    <w:rsid w:val="00B50402"/>
    <w:rsid w:val="00B50562"/>
    <w:rsid w:val="00B50DDC"/>
    <w:rsid w:val="00B50F51"/>
    <w:rsid w:val="00B51DB5"/>
    <w:rsid w:val="00B51E00"/>
    <w:rsid w:val="00B52349"/>
    <w:rsid w:val="00B5309F"/>
    <w:rsid w:val="00B532D9"/>
    <w:rsid w:val="00B5382D"/>
    <w:rsid w:val="00B53967"/>
    <w:rsid w:val="00B541C4"/>
    <w:rsid w:val="00B54878"/>
    <w:rsid w:val="00B54A8B"/>
    <w:rsid w:val="00B54AE0"/>
    <w:rsid w:val="00B54D4B"/>
    <w:rsid w:val="00B551F7"/>
    <w:rsid w:val="00B5594E"/>
    <w:rsid w:val="00B55D60"/>
    <w:rsid w:val="00B56F43"/>
    <w:rsid w:val="00B57569"/>
    <w:rsid w:val="00B57975"/>
    <w:rsid w:val="00B57A8A"/>
    <w:rsid w:val="00B6079D"/>
    <w:rsid w:val="00B60EEB"/>
    <w:rsid w:val="00B61268"/>
    <w:rsid w:val="00B621D1"/>
    <w:rsid w:val="00B62380"/>
    <w:rsid w:val="00B62418"/>
    <w:rsid w:val="00B62AEB"/>
    <w:rsid w:val="00B6317C"/>
    <w:rsid w:val="00B63246"/>
    <w:rsid w:val="00B6369E"/>
    <w:rsid w:val="00B636C7"/>
    <w:rsid w:val="00B638BE"/>
    <w:rsid w:val="00B64378"/>
    <w:rsid w:val="00B64B47"/>
    <w:rsid w:val="00B651F8"/>
    <w:rsid w:val="00B66034"/>
    <w:rsid w:val="00B66621"/>
    <w:rsid w:val="00B67219"/>
    <w:rsid w:val="00B6779D"/>
    <w:rsid w:val="00B70133"/>
    <w:rsid w:val="00B70532"/>
    <w:rsid w:val="00B7096D"/>
    <w:rsid w:val="00B70A99"/>
    <w:rsid w:val="00B70AC2"/>
    <w:rsid w:val="00B71748"/>
    <w:rsid w:val="00B73080"/>
    <w:rsid w:val="00B735C8"/>
    <w:rsid w:val="00B740A1"/>
    <w:rsid w:val="00B7424E"/>
    <w:rsid w:val="00B7480F"/>
    <w:rsid w:val="00B75084"/>
    <w:rsid w:val="00B75485"/>
    <w:rsid w:val="00B75784"/>
    <w:rsid w:val="00B75FF9"/>
    <w:rsid w:val="00B761CB"/>
    <w:rsid w:val="00B7634C"/>
    <w:rsid w:val="00B76A0D"/>
    <w:rsid w:val="00B770E5"/>
    <w:rsid w:val="00B7755E"/>
    <w:rsid w:val="00B80051"/>
    <w:rsid w:val="00B80C88"/>
    <w:rsid w:val="00B81210"/>
    <w:rsid w:val="00B81531"/>
    <w:rsid w:val="00B828E0"/>
    <w:rsid w:val="00B8296A"/>
    <w:rsid w:val="00B83508"/>
    <w:rsid w:val="00B8359C"/>
    <w:rsid w:val="00B8453E"/>
    <w:rsid w:val="00B84B21"/>
    <w:rsid w:val="00B85297"/>
    <w:rsid w:val="00B852D8"/>
    <w:rsid w:val="00B854AA"/>
    <w:rsid w:val="00B8656D"/>
    <w:rsid w:val="00B86DB2"/>
    <w:rsid w:val="00B8730B"/>
    <w:rsid w:val="00B87B47"/>
    <w:rsid w:val="00B90652"/>
    <w:rsid w:val="00B90C66"/>
    <w:rsid w:val="00B90EAC"/>
    <w:rsid w:val="00B912A6"/>
    <w:rsid w:val="00B916DF"/>
    <w:rsid w:val="00B91A79"/>
    <w:rsid w:val="00B92352"/>
    <w:rsid w:val="00B92380"/>
    <w:rsid w:val="00B93695"/>
    <w:rsid w:val="00B93CCA"/>
    <w:rsid w:val="00B94562"/>
    <w:rsid w:val="00B94AA5"/>
    <w:rsid w:val="00B94FCC"/>
    <w:rsid w:val="00B96826"/>
    <w:rsid w:val="00B9690C"/>
    <w:rsid w:val="00B9733B"/>
    <w:rsid w:val="00B97B9B"/>
    <w:rsid w:val="00B97D2A"/>
    <w:rsid w:val="00B97EE0"/>
    <w:rsid w:val="00BA0710"/>
    <w:rsid w:val="00BA0EFD"/>
    <w:rsid w:val="00BA1070"/>
    <w:rsid w:val="00BA1588"/>
    <w:rsid w:val="00BA1DDE"/>
    <w:rsid w:val="00BA1E2C"/>
    <w:rsid w:val="00BA256A"/>
    <w:rsid w:val="00BA3373"/>
    <w:rsid w:val="00BA45BA"/>
    <w:rsid w:val="00BA4716"/>
    <w:rsid w:val="00BA5644"/>
    <w:rsid w:val="00BA5825"/>
    <w:rsid w:val="00BA5A1F"/>
    <w:rsid w:val="00BA5E0D"/>
    <w:rsid w:val="00BA5F36"/>
    <w:rsid w:val="00BA6588"/>
    <w:rsid w:val="00BB0C64"/>
    <w:rsid w:val="00BB1970"/>
    <w:rsid w:val="00BB1B58"/>
    <w:rsid w:val="00BB2586"/>
    <w:rsid w:val="00BB281D"/>
    <w:rsid w:val="00BB28D9"/>
    <w:rsid w:val="00BB29AD"/>
    <w:rsid w:val="00BB2B8E"/>
    <w:rsid w:val="00BB2BC6"/>
    <w:rsid w:val="00BB2C0D"/>
    <w:rsid w:val="00BB318E"/>
    <w:rsid w:val="00BB3640"/>
    <w:rsid w:val="00BB37D9"/>
    <w:rsid w:val="00BB3EAC"/>
    <w:rsid w:val="00BB42DB"/>
    <w:rsid w:val="00BB4E7A"/>
    <w:rsid w:val="00BB4F1F"/>
    <w:rsid w:val="00BB529F"/>
    <w:rsid w:val="00BB6122"/>
    <w:rsid w:val="00BB6510"/>
    <w:rsid w:val="00BB66BB"/>
    <w:rsid w:val="00BB73F9"/>
    <w:rsid w:val="00BB7BD5"/>
    <w:rsid w:val="00BB7C6E"/>
    <w:rsid w:val="00BC0E16"/>
    <w:rsid w:val="00BC171C"/>
    <w:rsid w:val="00BC176E"/>
    <w:rsid w:val="00BC1B2C"/>
    <w:rsid w:val="00BC1BC4"/>
    <w:rsid w:val="00BC1BF6"/>
    <w:rsid w:val="00BC1D53"/>
    <w:rsid w:val="00BC255D"/>
    <w:rsid w:val="00BC279F"/>
    <w:rsid w:val="00BC2D56"/>
    <w:rsid w:val="00BC2DC5"/>
    <w:rsid w:val="00BC3129"/>
    <w:rsid w:val="00BC33A2"/>
    <w:rsid w:val="00BC3786"/>
    <w:rsid w:val="00BC41ED"/>
    <w:rsid w:val="00BC4B14"/>
    <w:rsid w:val="00BC4FDC"/>
    <w:rsid w:val="00BC6229"/>
    <w:rsid w:val="00BC6971"/>
    <w:rsid w:val="00BC6CFB"/>
    <w:rsid w:val="00BC70DD"/>
    <w:rsid w:val="00BC7836"/>
    <w:rsid w:val="00BC7A57"/>
    <w:rsid w:val="00BC7CAD"/>
    <w:rsid w:val="00BD0131"/>
    <w:rsid w:val="00BD02BC"/>
    <w:rsid w:val="00BD0520"/>
    <w:rsid w:val="00BD05C7"/>
    <w:rsid w:val="00BD0792"/>
    <w:rsid w:val="00BD0A08"/>
    <w:rsid w:val="00BD1691"/>
    <w:rsid w:val="00BD1754"/>
    <w:rsid w:val="00BD1DAD"/>
    <w:rsid w:val="00BD24F9"/>
    <w:rsid w:val="00BD28AF"/>
    <w:rsid w:val="00BD3008"/>
    <w:rsid w:val="00BD34FC"/>
    <w:rsid w:val="00BD3E2E"/>
    <w:rsid w:val="00BD4311"/>
    <w:rsid w:val="00BD5055"/>
    <w:rsid w:val="00BD5473"/>
    <w:rsid w:val="00BD54C5"/>
    <w:rsid w:val="00BD6490"/>
    <w:rsid w:val="00BD6DFA"/>
    <w:rsid w:val="00BD7F55"/>
    <w:rsid w:val="00BE16E0"/>
    <w:rsid w:val="00BE1B2B"/>
    <w:rsid w:val="00BE223F"/>
    <w:rsid w:val="00BE29C7"/>
    <w:rsid w:val="00BE2CAB"/>
    <w:rsid w:val="00BE2CFB"/>
    <w:rsid w:val="00BE2F2C"/>
    <w:rsid w:val="00BE38D0"/>
    <w:rsid w:val="00BE409C"/>
    <w:rsid w:val="00BE4B12"/>
    <w:rsid w:val="00BE4E5F"/>
    <w:rsid w:val="00BE54FD"/>
    <w:rsid w:val="00BE5821"/>
    <w:rsid w:val="00BE59AE"/>
    <w:rsid w:val="00BE686F"/>
    <w:rsid w:val="00BE6937"/>
    <w:rsid w:val="00BE6F26"/>
    <w:rsid w:val="00BE7A21"/>
    <w:rsid w:val="00BE7B84"/>
    <w:rsid w:val="00BE7D74"/>
    <w:rsid w:val="00BE7EA8"/>
    <w:rsid w:val="00BF0346"/>
    <w:rsid w:val="00BF11E6"/>
    <w:rsid w:val="00BF1458"/>
    <w:rsid w:val="00BF2B07"/>
    <w:rsid w:val="00BF38A9"/>
    <w:rsid w:val="00BF5161"/>
    <w:rsid w:val="00BF5C69"/>
    <w:rsid w:val="00BF5C80"/>
    <w:rsid w:val="00BF6510"/>
    <w:rsid w:val="00BF6A2B"/>
    <w:rsid w:val="00BF6EC0"/>
    <w:rsid w:val="00BF720B"/>
    <w:rsid w:val="00BF797D"/>
    <w:rsid w:val="00BF7C9B"/>
    <w:rsid w:val="00BF7F22"/>
    <w:rsid w:val="00C005B6"/>
    <w:rsid w:val="00C01084"/>
    <w:rsid w:val="00C01CCB"/>
    <w:rsid w:val="00C01D06"/>
    <w:rsid w:val="00C02AE2"/>
    <w:rsid w:val="00C02E7F"/>
    <w:rsid w:val="00C03047"/>
    <w:rsid w:val="00C03396"/>
    <w:rsid w:val="00C03531"/>
    <w:rsid w:val="00C03662"/>
    <w:rsid w:val="00C03B91"/>
    <w:rsid w:val="00C03F32"/>
    <w:rsid w:val="00C0469C"/>
    <w:rsid w:val="00C04BC1"/>
    <w:rsid w:val="00C0513E"/>
    <w:rsid w:val="00C0563E"/>
    <w:rsid w:val="00C05DE6"/>
    <w:rsid w:val="00C0646F"/>
    <w:rsid w:val="00C06647"/>
    <w:rsid w:val="00C0700D"/>
    <w:rsid w:val="00C07449"/>
    <w:rsid w:val="00C11588"/>
    <w:rsid w:val="00C12797"/>
    <w:rsid w:val="00C12B6F"/>
    <w:rsid w:val="00C12C0E"/>
    <w:rsid w:val="00C12C21"/>
    <w:rsid w:val="00C12D45"/>
    <w:rsid w:val="00C12D49"/>
    <w:rsid w:val="00C12E9F"/>
    <w:rsid w:val="00C141B1"/>
    <w:rsid w:val="00C153E5"/>
    <w:rsid w:val="00C15777"/>
    <w:rsid w:val="00C15B0B"/>
    <w:rsid w:val="00C15D05"/>
    <w:rsid w:val="00C160FA"/>
    <w:rsid w:val="00C16396"/>
    <w:rsid w:val="00C16C0C"/>
    <w:rsid w:val="00C16C81"/>
    <w:rsid w:val="00C17D05"/>
    <w:rsid w:val="00C201C7"/>
    <w:rsid w:val="00C209BB"/>
    <w:rsid w:val="00C20EAD"/>
    <w:rsid w:val="00C2190B"/>
    <w:rsid w:val="00C21CA4"/>
    <w:rsid w:val="00C21E3B"/>
    <w:rsid w:val="00C22544"/>
    <w:rsid w:val="00C237C1"/>
    <w:rsid w:val="00C23989"/>
    <w:rsid w:val="00C25B07"/>
    <w:rsid w:val="00C25FBA"/>
    <w:rsid w:val="00C265F3"/>
    <w:rsid w:val="00C27797"/>
    <w:rsid w:val="00C301D7"/>
    <w:rsid w:val="00C30559"/>
    <w:rsid w:val="00C30D5B"/>
    <w:rsid w:val="00C311E3"/>
    <w:rsid w:val="00C3173E"/>
    <w:rsid w:val="00C3186C"/>
    <w:rsid w:val="00C31991"/>
    <w:rsid w:val="00C31B22"/>
    <w:rsid w:val="00C31C84"/>
    <w:rsid w:val="00C3202C"/>
    <w:rsid w:val="00C32F95"/>
    <w:rsid w:val="00C33272"/>
    <w:rsid w:val="00C337EE"/>
    <w:rsid w:val="00C33825"/>
    <w:rsid w:val="00C3396B"/>
    <w:rsid w:val="00C33ACA"/>
    <w:rsid w:val="00C3442D"/>
    <w:rsid w:val="00C3475C"/>
    <w:rsid w:val="00C34CFE"/>
    <w:rsid w:val="00C34D5E"/>
    <w:rsid w:val="00C351B9"/>
    <w:rsid w:val="00C35909"/>
    <w:rsid w:val="00C364D7"/>
    <w:rsid w:val="00C36815"/>
    <w:rsid w:val="00C368B2"/>
    <w:rsid w:val="00C3728C"/>
    <w:rsid w:val="00C37344"/>
    <w:rsid w:val="00C37A41"/>
    <w:rsid w:val="00C40C3B"/>
    <w:rsid w:val="00C4114C"/>
    <w:rsid w:val="00C41625"/>
    <w:rsid w:val="00C4176D"/>
    <w:rsid w:val="00C41901"/>
    <w:rsid w:val="00C41FBC"/>
    <w:rsid w:val="00C4253D"/>
    <w:rsid w:val="00C4294F"/>
    <w:rsid w:val="00C42F3C"/>
    <w:rsid w:val="00C42FDB"/>
    <w:rsid w:val="00C431F1"/>
    <w:rsid w:val="00C4346D"/>
    <w:rsid w:val="00C44A7C"/>
    <w:rsid w:val="00C44AAE"/>
    <w:rsid w:val="00C44AB5"/>
    <w:rsid w:val="00C44D87"/>
    <w:rsid w:val="00C45BA1"/>
    <w:rsid w:val="00C45BE5"/>
    <w:rsid w:val="00C45E9C"/>
    <w:rsid w:val="00C463B2"/>
    <w:rsid w:val="00C4731B"/>
    <w:rsid w:val="00C476DD"/>
    <w:rsid w:val="00C50122"/>
    <w:rsid w:val="00C50386"/>
    <w:rsid w:val="00C5047B"/>
    <w:rsid w:val="00C507EB"/>
    <w:rsid w:val="00C5179C"/>
    <w:rsid w:val="00C52493"/>
    <w:rsid w:val="00C5254D"/>
    <w:rsid w:val="00C53960"/>
    <w:rsid w:val="00C53B62"/>
    <w:rsid w:val="00C558CD"/>
    <w:rsid w:val="00C55C26"/>
    <w:rsid w:val="00C55F28"/>
    <w:rsid w:val="00C560AE"/>
    <w:rsid w:val="00C561E0"/>
    <w:rsid w:val="00C56514"/>
    <w:rsid w:val="00C5705E"/>
    <w:rsid w:val="00C57324"/>
    <w:rsid w:val="00C573AD"/>
    <w:rsid w:val="00C577F0"/>
    <w:rsid w:val="00C60173"/>
    <w:rsid w:val="00C60F50"/>
    <w:rsid w:val="00C60FA5"/>
    <w:rsid w:val="00C629BC"/>
    <w:rsid w:val="00C63EB1"/>
    <w:rsid w:val="00C64F94"/>
    <w:rsid w:val="00C65624"/>
    <w:rsid w:val="00C65862"/>
    <w:rsid w:val="00C65B22"/>
    <w:rsid w:val="00C66723"/>
    <w:rsid w:val="00C667AC"/>
    <w:rsid w:val="00C671A6"/>
    <w:rsid w:val="00C700BF"/>
    <w:rsid w:val="00C7046E"/>
    <w:rsid w:val="00C70B1F"/>
    <w:rsid w:val="00C717D6"/>
    <w:rsid w:val="00C72B37"/>
    <w:rsid w:val="00C732B9"/>
    <w:rsid w:val="00C74372"/>
    <w:rsid w:val="00C7480B"/>
    <w:rsid w:val="00C753ED"/>
    <w:rsid w:val="00C7604E"/>
    <w:rsid w:val="00C76A28"/>
    <w:rsid w:val="00C76AEF"/>
    <w:rsid w:val="00C76F41"/>
    <w:rsid w:val="00C77677"/>
    <w:rsid w:val="00C77A09"/>
    <w:rsid w:val="00C77AEA"/>
    <w:rsid w:val="00C801A9"/>
    <w:rsid w:val="00C80C72"/>
    <w:rsid w:val="00C80E28"/>
    <w:rsid w:val="00C81081"/>
    <w:rsid w:val="00C81130"/>
    <w:rsid w:val="00C81D9B"/>
    <w:rsid w:val="00C81F37"/>
    <w:rsid w:val="00C827E1"/>
    <w:rsid w:val="00C8345F"/>
    <w:rsid w:val="00C83680"/>
    <w:rsid w:val="00C83B67"/>
    <w:rsid w:val="00C852D7"/>
    <w:rsid w:val="00C85898"/>
    <w:rsid w:val="00C858C3"/>
    <w:rsid w:val="00C85C4C"/>
    <w:rsid w:val="00C860D5"/>
    <w:rsid w:val="00C871FE"/>
    <w:rsid w:val="00C87B26"/>
    <w:rsid w:val="00C87BB3"/>
    <w:rsid w:val="00C87D0C"/>
    <w:rsid w:val="00C87F15"/>
    <w:rsid w:val="00C87F64"/>
    <w:rsid w:val="00C87FB9"/>
    <w:rsid w:val="00C902B4"/>
    <w:rsid w:val="00C90507"/>
    <w:rsid w:val="00C90B3A"/>
    <w:rsid w:val="00C91453"/>
    <w:rsid w:val="00C91906"/>
    <w:rsid w:val="00C91B77"/>
    <w:rsid w:val="00C92CD6"/>
    <w:rsid w:val="00C935C7"/>
    <w:rsid w:val="00C93B4F"/>
    <w:rsid w:val="00C942D0"/>
    <w:rsid w:val="00C949FE"/>
    <w:rsid w:val="00C94A20"/>
    <w:rsid w:val="00C94DC2"/>
    <w:rsid w:val="00C94F4F"/>
    <w:rsid w:val="00C952D1"/>
    <w:rsid w:val="00C9547C"/>
    <w:rsid w:val="00C959B3"/>
    <w:rsid w:val="00C95A66"/>
    <w:rsid w:val="00C95CF8"/>
    <w:rsid w:val="00C96990"/>
    <w:rsid w:val="00C9710C"/>
    <w:rsid w:val="00CA05EE"/>
    <w:rsid w:val="00CA0626"/>
    <w:rsid w:val="00CA090B"/>
    <w:rsid w:val="00CA0C96"/>
    <w:rsid w:val="00CA1FA8"/>
    <w:rsid w:val="00CA2CED"/>
    <w:rsid w:val="00CA3608"/>
    <w:rsid w:val="00CA49E5"/>
    <w:rsid w:val="00CA53AF"/>
    <w:rsid w:val="00CA5F5A"/>
    <w:rsid w:val="00CA5F96"/>
    <w:rsid w:val="00CA6263"/>
    <w:rsid w:val="00CA691F"/>
    <w:rsid w:val="00CB14F1"/>
    <w:rsid w:val="00CB2C2A"/>
    <w:rsid w:val="00CB2CA3"/>
    <w:rsid w:val="00CB2F23"/>
    <w:rsid w:val="00CB2F54"/>
    <w:rsid w:val="00CB3271"/>
    <w:rsid w:val="00CB3C98"/>
    <w:rsid w:val="00CB5594"/>
    <w:rsid w:val="00CB567B"/>
    <w:rsid w:val="00CB6B91"/>
    <w:rsid w:val="00CB6D0B"/>
    <w:rsid w:val="00CB79D1"/>
    <w:rsid w:val="00CB7BF1"/>
    <w:rsid w:val="00CC017A"/>
    <w:rsid w:val="00CC02AD"/>
    <w:rsid w:val="00CC03A4"/>
    <w:rsid w:val="00CC07E1"/>
    <w:rsid w:val="00CC09AC"/>
    <w:rsid w:val="00CC09B3"/>
    <w:rsid w:val="00CC0AC8"/>
    <w:rsid w:val="00CC10CE"/>
    <w:rsid w:val="00CC1140"/>
    <w:rsid w:val="00CC1D7F"/>
    <w:rsid w:val="00CC2190"/>
    <w:rsid w:val="00CC28E4"/>
    <w:rsid w:val="00CC3162"/>
    <w:rsid w:val="00CC3994"/>
    <w:rsid w:val="00CC3B94"/>
    <w:rsid w:val="00CC3C26"/>
    <w:rsid w:val="00CC4C5A"/>
    <w:rsid w:val="00CC4EFF"/>
    <w:rsid w:val="00CC5886"/>
    <w:rsid w:val="00CC5CB9"/>
    <w:rsid w:val="00CC5D48"/>
    <w:rsid w:val="00CC61CD"/>
    <w:rsid w:val="00CC6B72"/>
    <w:rsid w:val="00CC6C40"/>
    <w:rsid w:val="00CC6F14"/>
    <w:rsid w:val="00CC760F"/>
    <w:rsid w:val="00CC7B84"/>
    <w:rsid w:val="00CC7E99"/>
    <w:rsid w:val="00CD130D"/>
    <w:rsid w:val="00CD1C83"/>
    <w:rsid w:val="00CD1DFE"/>
    <w:rsid w:val="00CD259D"/>
    <w:rsid w:val="00CD2928"/>
    <w:rsid w:val="00CD31AE"/>
    <w:rsid w:val="00CD327D"/>
    <w:rsid w:val="00CD3688"/>
    <w:rsid w:val="00CD4A29"/>
    <w:rsid w:val="00CD50CD"/>
    <w:rsid w:val="00CD55FD"/>
    <w:rsid w:val="00CD600F"/>
    <w:rsid w:val="00CD6451"/>
    <w:rsid w:val="00CD6E36"/>
    <w:rsid w:val="00CD73F6"/>
    <w:rsid w:val="00CD7DF7"/>
    <w:rsid w:val="00CE0178"/>
    <w:rsid w:val="00CE0C0D"/>
    <w:rsid w:val="00CE0D41"/>
    <w:rsid w:val="00CE13FB"/>
    <w:rsid w:val="00CE1C27"/>
    <w:rsid w:val="00CE1E7B"/>
    <w:rsid w:val="00CE258F"/>
    <w:rsid w:val="00CE2A41"/>
    <w:rsid w:val="00CE341B"/>
    <w:rsid w:val="00CE35F9"/>
    <w:rsid w:val="00CE3698"/>
    <w:rsid w:val="00CE3C4A"/>
    <w:rsid w:val="00CE40EC"/>
    <w:rsid w:val="00CE4902"/>
    <w:rsid w:val="00CE4DC9"/>
    <w:rsid w:val="00CE50C4"/>
    <w:rsid w:val="00CE554B"/>
    <w:rsid w:val="00CE56DA"/>
    <w:rsid w:val="00CE608B"/>
    <w:rsid w:val="00CE673C"/>
    <w:rsid w:val="00CE674C"/>
    <w:rsid w:val="00CE6938"/>
    <w:rsid w:val="00CE6A45"/>
    <w:rsid w:val="00CE7419"/>
    <w:rsid w:val="00CE7955"/>
    <w:rsid w:val="00CE7D7B"/>
    <w:rsid w:val="00CF042A"/>
    <w:rsid w:val="00CF0F18"/>
    <w:rsid w:val="00CF12A9"/>
    <w:rsid w:val="00CF202E"/>
    <w:rsid w:val="00CF3649"/>
    <w:rsid w:val="00CF3684"/>
    <w:rsid w:val="00CF3F85"/>
    <w:rsid w:val="00CF429D"/>
    <w:rsid w:val="00CF482A"/>
    <w:rsid w:val="00CF67ED"/>
    <w:rsid w:val="00CF6CE2"/>
    <w:rsid w:val="00CF6E6D"/>
    <w:rsid w:val="00CF6FA3"/>
    <w:rsid w:val="00CF720A"/>
    <w:rsid w:val="00CF7BD4"/>
    <w:rsid w:val="00CF7EE9"/>
    <w:rsid w:val="00D0018D"/>
    <w:rsid w:val="00D00754"/>
    <w:rsid w:val="00D00757"/>
    <w:rsid w:val="00D009FC"/>
    <w:rsid w:val="00D00C75"/>
    <w:rsid w:val="00D018E9"/>
    <w:rsid w:val="00D01A3C"/>
    <w:rsid w:val="00D032DA"/>
    <w:rsid w:val="00D03E57"/>
    <w:rsid w:val="00D040EA"/>
    <w:rsid w:val="00D04DC5"/>
    <w:rsid w:val="00D0521C"/>
    <w:rsid w:val="00D053D3"/>
    <w:rsid w:val="00D07082"/>
    <w:rsid w:val="00D073BF"/>
    <w:rsid w:val="00D076B0"/>
    <w:rsid w:val="00D07CCB"/>
    <w:rsid w:val="00D07E27"/>
    <w:rsid w:val="00D101FA"/>
    <w:rsid w:val="00D105C0"/>
    <w:rsid w:val="00D1069A"/>
    <w:rsid w:val="00D11273"/>
    <w:rsid w:val="00D11419"/>
    <w:rsid w:val="00D1180B"/>
    <w:rsid w:val="00D11B01"/>
    <w:rsid w:val="00D11FC7"/>
    <w:rsid w:val="00D12279"/>
    <w:rsid w:val="00D122B5"/>
    <w:rsid w:val="00D12D37"/>
    <w:rsid w:val="00D133E0"/>
    <w:rsid w:val="00D1346C"/>
    <w:rsid w:val="00D139F8"/>
    <w:rsid w:val="00D13AB8"/>
    <w:rsid w:val="00D141BD"/>
    <w:rsid w:val="00D141DA"/>
    <w:rsid w:val="00D14EE7"/>
    <w:rsid w:val="00D1535C"/>
    <w:rsid w:val="00D15C99"/>
    <w:rsid w:val="00D1605E"/>
    <w:rsid w:val="00D168B0"/>
    <w:rsid w:val="00D168E4"/>
    <w:rsid w:val="00D16DD4"/>
    <w:rsid w:val="00D16F38"/>
    <w:rsid w:val="00D17833"/>
    <w:rsid w:val="00D17CB7"/>
    <w:rsid w:val="00D20313"/>
    <w:rsid w:val="00D20EB7"/>
    <w:rsid w:val="00D21105"/>
    <w:rsid w:val="00D2262A"/>
    <w:rsid w:val="00D22AFE"/>
    <w:rsid w:val="00D2329A"/>
    <w:rsid w:val="00D2417A"/>
    <w:rsid w:val="00D243C2"/>
    <w:rsid w:val="00D24C69"/>
    <w:rsid w:val="00D26697"/>
    <w:rsid w:val="00D27FA0"/>
    <w:rsid w:val="00D30132"/>
    <w:rsid w:val="00D30236"/>
    <w:rsid w:val="00D30365"/>
    <w:rsid w:val="00D30488"/>
    <w:rsid w:val="00D30661"/>
    <w:rsid w:val="00D30748"/>
    <w:rsid w:val="00D31747"/>
    <w:rsid w:val="00D31A82"/>
    <w:rsid w:val="00D31CD7"/>
    <w:rsid w:val="00D323BB"/>
    <w:rsid w:val="00D325A8"/>
    <w:rsid w:val="00D3351A"/>
    <w:rsid w:val="00D3364E"/>
    <w:rsid w:val="00D33A83"/>
    <w:rsid w:val="00D33D26"/>
    <w:rsid w:val="00D3474F"/>
    <w:rsid w:val="00D34D0B"/>
    <w:rsid w:val="00D34EAD"/>
    <w:rsid w:val="00D352AB"/>
    <w:rsid w:val="00D35A87"/>
    <w:rsid w:val="00D3609C"/>
    <w:rsid w:val="00D3674E"/>
    <w:rsid w:val="00D36D52"/>
    <w:rsid w:val="00D373E0"/>
    <w:rsid w:val="00D406DD"/>
    <w:rsid w:val="00D40AF8"/>
    <w:rsid w:val="00D40C7D"/>
    <w:rsid w:val="00D41620"/>
    <w:rsid w:val="00D41805"/>
    <w:rsid w:val="00D4193E"/>
    <w:rsid w:val="00D41BC2"/>
    <w:rsid w:val="00D42BAA"/>
    <w:rsid w:val="00D42E02"/>
    <w:rsid w:val="00D42EB9"/>
    <w:rsid w:val="00D43240"/>
    <w:rsid w:val="00D432E1"/>
    <w:rsid w:val="00D44669"/>
    <w:rsid w:val="00D44679"/>
    <w:rsid w:val="00D451BC"/>
    <w:rsid w:val="00D45AD0"/>
    <w:rsid w:val="00D45F6A"/>
    <w:rsid w:val="00D465BC"/>
    <w:rsid w:val="00D46A20"/>
    <w:rsid w:val="00D46FB9"/>
    <w:rsid w:val="00D4700C"/>
    <w:rsid w:val="00D47237"/>
    <w:rsid w:val="00D4742A"/>
    <w:rsid w:val="00D47AAA"/>
    <w:rsid w:val="00D5043E"/>
    <w:rsid w:val="00D50672"/>
    <w:rsid w:val="00D50747"/>
    <w:rsid w:val="00D50DF4"/>
    <w:rsid w:val="00D51017"/>
    <w:rsid w:val="00D5179E"/>
    <w:rsid w:val="00D521AF"/>
    <w:rsid w:val="00D5233C"/>
    <w:rsid w:val="00D52384"/>
    <w:rsid w:val="00D523E7"/>
    <w:rsid w:val="00D52498"/>
    <w:rsid w:val="00D52C64"/>
    <w:rsid w:val="00D53752"/>
    <w:rsid w:val="00D53FC3"/>
    <w:rsid w:val="00D54597"/>
    <w:rsid w:val="00D54C00"/>
    <w:rsid w:val="00D552CF"/>
    <w:rsid w:val="00D56448"/>
    <w:rsid w:val="00D56857"/>
    <w:rsid w:val="00D56EE5"/>
    <w:rsid w:val="00D57172"/>
    <w:rsid w:val="00D60151"/>
    <w:rsid w:val="00D602D7"/>
    <w:rsid w:val="00D60649"/>
    <w:rsid w:val="00D614BB"/>
    <w:rsid w:val="00D62617"/>
    <w:rsid w:val="00D64B3A"/>
    <w:rsid w:val="00D6533B"/>
    <w:rsid w:val="00D65D27"/>
    <w:rsid w:val="00D65EC9"/>
    <w:rsid w:val="00D661E1"/>
    <w:rsid w:val="00D66BF8"/>
    <w:rsid w:val="00D67122"/>
    <w:rsid w:val="00D676EC"/>
    <w:rsid w:val="00D67CFB"/>
    <w:rsid w:val="00D67D39"/>
    <w:rsid w:val="00D70BCB"/>
    <w:rsid w:val="00D71AF6"/>
    <w:rsid w:val="00D71F36"/>
    <w:rsid w:val="00D741D8"/>
    <w:rsid w:val="00D75352"/>
    <w:rsid w:val="00D75BA0"/>
    <w:rsid w:val="00D7618B"/>
    <w:rsid w:val="00D76204"/>
    <w:rsid w:val="00D76C05"/>
    <w:rsid w:val="00D76D61"/>
    <w:rsid w:val="00D772E6"/>
    <w:rsid w:val="00D807F2"/>
    <w:rsid w:val="00D80CDA"/>
    <w:rsid w:val="00D80FEE"/>
    <w:rsid w:val="00D81799"/>
    <w:rsid w:val="00D81A1A"/>
    <w:rsid w:val="00D81DDF"/>
    <w:rsid w:val="00D831A5"/>
    <w:rsid w:val="00D8367D"/>
    <w:rsid w:val="00D83829"/>
    <w:rsid w:val="00D846A6"/>
    <w:rsid w:val="00D8490D"/>
    <w:rsid w:val="00D84A63"/>
    <w:rsid w:val="00D84E7B"/>
    <w:rsid w:val="00D84F5D"/>
    <w:rsid w:val="00D8730E"/>
    <w:rsid w:val="00D87409"/>
    <w:rsid w:val="00D8743F"/>
    <w:rsid w:val="00D874B8"/>
    <w:rsid w:val="00D8753F"/>
    <w:rsid w:val="00D93895"/>
    <w:rsid w:val="00D94240"/>
    <w:rsid w:val="00D944A6"/>
    <w:rsid w:val="00D94547"/>
    <w:rsid w:val="00D946A8"/>
    <w:rsid w:val="00D94B09"/>
    <w:rsid w:val="00D959EF"/>
    <w:rsid w:val="00D965DF"/>
    <w:rsid w:val="00D9680F"/>
    <w:rsid w:val="00D9692E"/>
    <w:rsid w:val="00D96DA2"/>
    <w:rsid w:val="00DA030D"/>
    <w:rsid w:val="00DA0C21"/>
    <w:rsid w:val="00DA1BF2"/>
    <w:rsid w:val="00DA2264"/>
    <w:rsid w:val="00DA268E"/>
    <w:rsid w:val="00DA2C86"/>
    <w:rsid w:val="00DA3448"/>
    <w:rsid w:val="00DA36CA"/>
    <w:rsid w:val="00DA36D8"/>
    <w:rsid w:val="00DA37A4"/>
    <w:rsid w:val="00DA3D64"/>
    <w:rsid w:val="00DA437C"/>
    <w:rsid w:val="00DA5024"/>
    <w:rsid w:val="00DA5E54"/>
    <w:rsid w:val="00DA5F77"/>
    <w:rsid w:val="00DA604D"/>
    <w:rsid w:val="00DA6F2E"/>
    <w:rsid w:val="00DA7DAC"/>
    <w:rsid w:val="00DB0861"/>
    <w:rsid w:val="00DB1A3F"/>
    <w:rsid w:val="00DB2874"/>
    <w:rsid w:val="00DB3038"/>
    <w:rsid w:val="00DB30E4"/>
    <w:rsid w:val="00DB31BB"/>
    <w:rsid w:val="00DB35F7"/>
    <w:rsid w:val="00DB36B7"/>
    <w:rsid w:val="00DB38C0"/>
    <w:rsid w:val="00DB3EFF"/>
    <w:rsid w:val="00DB43CD"/>
    <w:rsid w:val="00DB46C9"/>
    <w:rsid w:val="00DB4731"/>
    <w:rsid w:val="00DB4C71"/>
    <w:rsid w:val="00DB5121"/>
    <w:rsid w:val="00DB5145"/>
    <w:rsid w:val="00DB5CD2"/>
    <w:rsid w:val="00DB5D32"/>
    <w:rsid w:val="00DB5F48"/>
    <w:rsid w:val="00DB60B2"/>
    <w:rsid w:val="00DB79BE"/>
    <w:rsid w:val="00DC08A5"/>
    <w:rsid w:val="00DC144D"/>
    <w:rsid w:val="00DC1660"/>
    <w:rsid w:val="00DC1ACD"/>
    <w:rsid w:val="00DC1D7B"/>
    <w:rsid w:val="00DC1E2C"/>
    <w:rsid w:val="00DC269C"/>
    <w:rsid w:val="00DC2E5B"/>
    <w:rsid w:val="00DC3116"/>
    <w:rsid w:val="00DC43A5"/>
    <w:rsid w:val="00DC48DE"/>
    <w:rsid w:val="00DC4FCE"/>
    <w:rsid w:val="00DC56E3"/>
    <w:rsid w:val="00DC58A3"/>
    <w:rsid w:val="00DC58AF"/>
    <w:rsid w:val="00DC592D"/>
    <w:rsid w:val="00DC5E06"/>
    <w:rsid w:val="00DC6C4D"/>
    <w:rsid w:val="00DC7772"/>
    <w:rsid w:val="00DC78D9"/>
    <w:rsid w:val="00DC7FFB"/>
    <w:rsid w:val="00DD020F"/>
    <w:rsid w:val="00DD09C8"/>
    <w:rsid w:val="00DD0D3B"/>
    <w:rsid w:val="00DD12EE"/>
    <w:rsid w:val="00DD138F"/>
    <w:rsid w:val="00DD179F"/>
    <w:rsid w:val="00DD28D2"/>
    <w:rsid w:val="00DD3326"/>
    <w:rsid w:val="00DD3698"/>
    <w:rsid w:val="00DD3ACC"/>
    <w:rsid w:val="00DD3C64"/>
    <w:rsid w:val="00DD4625"/>
    <w:rsid w:val="00DD4E8A"/>
    <w:rsid w:val="00DD4FAC"/>
    <w:rsid w:val="00DD54C4"/>
    <w:rsid w:val="00DD5636"/>
    <w:rsid w:val="00DD58BC"/>
    <w:rsid w:val="00DD614C"/>
    <w:rsid w:val="00DD65FF"/>
    <w:rsid w:val="00DD7202"/>
    <w:rsid w:val="00DD7E64"/>
    <w:rsid w:val="00DD7FB5"/>
    <w:rsid w:val="00DE0063"/>
    <w:rsid w:val="00DE0AE6"/>
    <w:rsid w:val="00DE101B"/>
    <w:rsid w:val="00DE1C40"/>
    <w:rsid w:val="00DE21DB"/>
    <w:rsid w:val="00DE222D"/>
    <w:rsid w:val="00DE283F"/>
    <w:rsid w:val="00DE2B86"/>
    <w:rsid w:val="00DE30C3"/>
    <w:rsid w:val="00DE4956"/>
    <w:rsid w:val="00DE4F5F"/>
    <w:rsid w:val="00DE6A23"/>
    <w:rsid w:val="00DE6D4A"/>
    <w:rsid w:val="00DE720C"/>
    <w:rsid w:val="00DE7765"/>
    <w:rsid w:val="00DF0B05"/>
    <w:rsid w:val="00DF1990"/>
    <w:rsid w:val="00DF2230"/>
    <w:rsid w:val="00DF3143"/>
    <w:rsid w:val="00DF3205"/>
    <w:rsid w:val="00DF626B"/>
    <w:rsid w:val="00DF6665"/>
    <w:rsid w:val="00DF6860"/>
    <w:rsid w:val="00DF69C6"/>
    <w:rsid w:val="00DF6C66"/>
    <w:rsid w:val="00DF6E7C"/>
    <w:rsid w:val="00DF75D2"/>
    <w:rsid w:val="00E0065E"/>
    <w:rsid w:val="00E00D46"/>
    <w:rsid w:val="00E019FD"/>
    <w:rsid w:val="00E026C6"/>
    <w:rsid w:val="00E027F8"/>
    <w:rsid w:val="00E029E4"/>
    <w:rsid w:val="00E032BA"/>
    <w:rsid w:val="00E03B85"/>
    <w:rsid w:val="00E03D86"/>
    <w:rsid w:val="00E0411E"/>
    <w:rsid w:val="00E047DC"/>
    <w:rsid w:val="00E047DE"/>
    <w:rsid w:val="00E05017"/>
    <w:rsid w:val="00E0587C"/>
    <w:rsid w:val="00E06825"/>
    <w:rsid w:val="00E06E54"/>
    <w:rsid w:val="00E0716C"/>
    <w:rsid w:val="00E0778E"/>
    <w:rsid w:val="00E07B14"/>
    <w:rsid w:val="00E07CF2"/>
    <w:rsid w:val="00E10E5E"/>
    <w:rsid w:val="00E11239"/>
    <w:rsid w:val="00E1194D"/>
    <w:rsid w:val="00E12A51"/>
    <w:rsid w:val="00E132EB"/>
    <w:rsid w:val="00E13AF1"/>
    <w:rsid w:val="00E147DA"/>
    <w:rsid w:val="00E148EA"/>
    <w:rsid w:val="00E14ADB"/>
    <w:rsid w:val="00E154F5"/>
    <w:rsid w:val="00E157CE"/>
    <w:rsid w:val="00E1620B"/>
    <w:rsid w:val="00E16D8D"/>
    <w:rsid w:val="00E17560"/>
    <w:rsid w:val="00E217CB"/>
    <w:rsid w:val="00E22050"/>
    <w:rsid w:val="00E22CDA"/>
    <w:rsid w:val="00E2335F"/>
    <w:rsid w:val="00E233A5"/>
    <w:rsid w:val="00E23DDF"/>
    <w:rsid w:val="00E246E2"/>
    <w:rsid w:val="00E2472C"/>
    <w:rsid w:val="00E24FB8"/>
    <w:rsid w:val="00E25606"/>
    <w:rsid w:val="00E2588F"/>
    <w:rsid w:val="00E26BF4"/>
    <w:rsid w:val="00E27C5A"/>
    <w:rsid w:val="00E27FC2"/>
    <w:rsid w:val="00E30344"/>
    <w:rsid w:val="00E30751"/>
    <w:rsid w:val="00E309CC"/>
    <w:rsid w:val="00E31583"/>
    <w:rsid w:val="00E31D74"/>
    <w:rsid w:val="00E321D6"/>
    <w:rsid w:val="00E32402"/>
    <w:rsid w:val="00E326BA"/>
    <w:rsid w:val="00E32CB5"/>
    <w:rsid w:val="00E32F2D"/>
    <w:rsid w:val="00E32F43"/>
    <w:rsid w:val="00E33983"/>
    <w:rsid w:val="00E3425F"/>
    <w:rsid w:val="00E35482"/>
    <w:rsid w:val="00E366E3"/>
    <w:rsid w:val="00E371F2"/>
    <w:rsid w:val="00E377AB"/>
    <w:rsid w:val="00E37A35"/>
    <w:rsid w:val="00E37C30"/>
    <w:rsid w:val="00E404C8"/>
    <w:rsid w:val="00E4143B"/>
    <w:rsid w:val="00E41DFA"/>
    <w:rsid w:val="00E422A1"/>
    <w:rsid w:val="00E4243E"/>
    <w:rsid w:val="00E42D4E"/>
    <w:rsid w:val="00E434B6"/>
    <w:rsid w:val="00E436B0"/>
    <w:rsid w:val="00E4386B"/>
    <w:rsid w:val="00E43C85"/>
    <w:rsid w:val="00E43CCC"/>
    <w:rsid w:val="00E43E2F"/>
    <w:rsid w:val="00E4411B"/>
    <w:rsid w:val="00E44626"/>
    <w:rsid w:val="00E44668"/>
    <w:rsid w:val="00E44BC1"/>
    <w:rsid w:val="00E45481"/>
    <w:rsid w:val="00E45641"/>
    <w:rsid w:val="00E461A5"/>
    <w:rsid w:val="00E464DC"/>
    <w:rsid w:val="00E469CC"/>
    <w:rsid w:val="00E47156"/>
    <w:rsid w:val="00E475EA"/>
    <w:rsid w:val="00E47834"/>
    <w:rsid w:val="00E47CE3"/>
    <w:rsid w:val="00E5094A"/>
    <w:rsid w:val="00E50C08"/>
    <w:rsid w:val="00E512D0"/>
    <w:rsid w:val="00E5186F"/>
    <w:rsid w:val="00E540E0"/>
    <w:rsid w:val="00E54336"/>
    <w:rsid w:val="00E5507F"/>
    <w:rsid w:val="00E55672"/>
    <w:rsid w:val="00E560F2"/>
    <w:rsid w:val="00E56168"/>
    <w:rsid w:val="00E56802"/>
    <w:rsid w:val="00E57D78"/>
    <w:rsid w:val="00E602F0"/>
    <w:rsid w:val="00E6073A"/>
    <w:rsid w:val="00E60868"/>
    <w:rsid w:val="00E61C09"/>
    <w:rsid w:val="00E61D60"/>
    <w:rsid w:val="00E61E74"/>
    <w:rsid w:val="00E624A1"/>
    <w:rsid w:val="00E628B9"/>
    <w:rsid w:val="00E62B28"/>
    <w:rsid w:val="00E63B6B"/>
    <w:rsid w:val="00E63C6E"/>
    <w:rsid w:val="00E651B4"/>
    <w:rsid w:val="00E66241"/>
    <w:rsid w:val="00E663E7"/>
    <w:rsid w:val="00E6640A"/>
    <w:rsid w:val="00E66F10"/>
    <w:rsid w:val="00E6711F"/>
    <w:rsid w:val="00E67602"/>
    <w:rsid w:val="00E678AB"/>
    <w:rsid w:val="00E70721"/>
    <w:rsid w:val="00E707DC"/>
    <w:rsid w:val="00E70890"/>
    <w:rsid w:val="00E70FBC"/>
    <w:rsid w:val="00E71023"/>
    <w:rsid w:val="00E71283"/>
    <w:rsid w:val="00E71BE2"/>
    <w:rsid w:val="00E71C7E"/>
    <w:rsid w:val="00E72D88"/>
    <w:rsid w:val="00E74162"/>
    <w:rsid w:val="00E74974"/>
    <w:rsid w:val="00E7502E"/>
    <w:rsid w:val="00E751E9"/>
    <w:rsid w:val="00E7557E"/>
    <w:rsid w:val="00E75F36"/>
    <w:rsid w:val="00E76007"/>
    <w:rsid w:val="00E76040"/>
    <w:rsid w:val="00E767EE"/>
    <w:rsid w:val="00E76B4D"/>
    <w:rsid w:val="00E77621"/>
    <w:rsid w:val="00E80F9A"/>
    <w:rsid w:val="00E80FEA"/>
    <w:rsid w:val="00E81483"/>
    <w:rsid w:val="00E81509"/>
    <w:rsid w:val="00E81F44"/>
    <w:rsid w:val="00E82D7B"/>
    <w:rsid w:val="00E86442"/>
    <w:rsid w:val="00E868EF"/>
    <w:rsid w:val="00E86E78"/>
    <w:rsid w:val="00E876E3"/>
    <w:rsid w:val="00E87800"/>
    <w:rsid w:val="00E87A1D"/>
    <w:rsid w:val="00E901BA"/>
    <w:rsid w:val="00E90C3E"/>
    <w:rsid w:val="00E92651"/>
    <w:rsid w:val="00E92744"/>
    <w:rsid w:val="00E927FF"/>
    <w:rsid w:val="00E94E1E"/>
    <w:rsid w:val="00E95C3D"/>
    <w:rsid w:val="00E95F5F"/>
    <w:rsid w:val="00E97205"/>
    <w:rsid w:val="00E97E17"/>
    <w:rsid w:val="00EA07E5"/>
    <w:rsid w:val="00EA092F"/>
    <w:rsid w:val="00EA0DC9"/>
    <w:rsid w:val="00EA105F"/>
    <w:rsid w:val="00EA177F"/>
    <w:rsid w:val="00EA17F1"/>
    <w:rsid w:val="00EA25D1"/>
    <w:rsid w:val="00EA2A4B"/>
    <w:rsid w:val="00EA2E2A"/>
    <w:rsid w:val="00EA2EFF"/>
    <w:rsid w:val="00EA392B"/>
    <w:rsid w:val="00EA4225"/>
    <w:rsid w:val="00EA4448"/>
    <w:rsid w:val="00EA4BDA"/>
    <w:rsid w:val="00EA4E83"/>
    <w:rsid w:val="00EA4F99"/>
    <w:rsid w:val="00EA502F"/>
    <w:rsid w:val="00EA516F"/>
    <w:rsid w:val="00EA51B1"/>
    <w:rsid w:val="00EA5573"/>
    <w:rsid w:val="00EA5C2E"/>
    <w:rsid w:val="00EA616D"/>
    <w:rsid w:val="00EA61F7"/>
    <w:rsid w:val="00EA6237"/>
    <w:rsid w:val="00EA6EE8"/>
    <w:rsid w:val="00EA6EFA"/>
    <w:rsid w:val="00EA6FCD"/>
    <w:rsid w:val="00EA74C1"/>
    <w:rsid w:val="00EA7630"/>
    <w:rsid w:val="00EB0081"/>
    <w:rsid w:val="00EB0782"/>
    <w:rsid w:val="00EB0789"/>
    <w:rsid w:val="00EB0B65"/>
    <w:rsid w:val="00EB10D6"/>
    <w:rsid w:val="00EB128C"/>
    <w:rsid w:val="00EB1BC5"/>
    <w:rsid w:val="00EB2447"/>
    <w:rsid w:val="00EB2649"/>
    <w:rsid w:val="00EB266A"/>
    <w:rsid w:val="00EB2EBA"/>
    <w:rsid w:val="00EB300A"/>
    <w:rsid w:val="00EB32E7"/>
    <w:rsid w:val="00EB4186"/>
    <w:rsid w:val="00EB4344"/>
    <w:rsid w:val="00EB4C23"/>
    <w:rsid w:val="00EB5794"/>
    <w:rsid w:val="00EB5C8D"/>
    <w:rsid w:val="00EB6496"/>
    <w:rsid w:val="00EB6DF0"/>
    <w:rsid w:val="00EB6E66"/>
    <w:rsid w:val="00EB7A3E"/>
    <w:rsid w:val="00EB7B6B"/>
    <w:rsid w:val="00EC008E"/>
    <w:rsid w:val="00EC01DF"/>
    <w:rsid w:val="00EC05B0"/>
    <w:rsid w:val="00EC0B5B"/>
    <w:rsid w:val="00EC0BEA"/>
    <w:rsid w:val="00EC15EC"/>
    <w:rsid w:val="00EC160E"/>
    <w:rsid w:val="00EC18EC"/>
    <w:rsid w:val="00EC1FCB"/>
    <w:rsid w:val="00EC251D"/>
    <w:rsid w:val="00EC4332"/>
    <w:rsid w:val="00EC4659"/>
    <w:rsid w:val="00EC46EE"/>
    <w:rsid w:val="00EC4C7D"/>
    <w:rsid w:val="00EC59F5"/>
    <w:rsid w:val="00EC6B98"/>
    <w:rsid w:val="00EC6CE9"/>
    <w:rsid w:val="00EC6D61"/>
    <w:rsid w:val="00ED103E"/>
    <w:rsid w:val="00ED1164"/>
    <w:rsid w:val="00ED135C"/>
    <w:rsid w:val="00ED1A54"/>
    <w:rsid w:val="00ED2FF3"/>
    <w:rsid w:val="00ED38B4"/>
    <w:rsid w:val="00ED3905"/>
    <w:rsid w:val="00ED39F4"/>
    <w:rsid w:val="00ED3B36"/>
    <w:rsid w:val="00ED3EEB"/>
    <w:rsid w:val="00ED4200"/>
    <w:rsid w:val="00ED4304"/>
    <w:rsid w:val="00ED43DC"/>
    <w:rsid w:val="00ED445C"/>
    <w:rsid w:val="00ED48D3"/>
    <w:rsid w:val="00ED517B"/>
    <w:rsid w:val="00ED5967"/>
    <w:rsid w:val="00ED5F6C"/>
    <w:rsid w:val="00ED65D9"/>
    <w:rsid w:val="00ED70EC"/>
    <w:rsid w:val="00ED7B0B"/>
    <w:rsid w:val="00EE030D"/>
    <w:rsid w:val="00EE1657"/>
    <w:rsid w:val="00EE1CC1"/>
    <w:rsid w:val="00EE1F14"/>
    <w:rsid w:val="00EE252B"/>
    <w:rsid w:val="00EE2AF7"/>
    <w:rsid w:val="00EE327F"/>
    <w:rsid w:val="00EE3299"/>
    <w:rsid w:val="00EE3A28"/>
    <w:rsid w:val="00EE3F0A"/>
    <w:rsid w:val="00EE5391"/>
    <w:rsid w:val="00EE5A1E"/>
    <w:rsid w:val="00EE75CB"/>
    <w:rsid w:val="00EE7C6F"/>
    <w:rsid w:val="00EF0A69"/>
    <w:rsid w:val="00EF1258"/>
    <w:rsid w:val="00EF14D9"/>
    <w:rsid w:val="00EF1EA8"/>
    <w:rsid w:val="00EF240C"/>
    <w:rsid w:val="00EF29D4"/>
    <w:rsid w:val="00EF3182"/>
    <w:rsid w:val="00EF3392"/>
    <w:rsid w:val="00EF4389"/>
    <w:rsid w:val="00EF4AAF"/>
    <w:rsid w:val="00EF4B10"/>
    <w:rsid w:val="00EF4D59"/>
    <w:rsid w:val="00EF4F0C"/>
    <w:rsid w:val="00EF5923"/>
    <w:rsid w:val="00EF5ABA"/>
    <w:rsid w:val="00EF5CED"/>
    <w:rsid w:val="00EF5FF0"/>
    <w:rsid w:val="00EF6D96"/>
    <w:rsid w:val="00EF7087"/>
    <w:rsid w:val="00EF7097"/>
    <w:rsid w:val="00EF71EC"/>
    <w:rsid w:val="00EF78FD"/>
    <w:rsid w:val="00EF7973"/>
    <w:rsid w:val="00EF79D7"/>
    <w:rsid w:val="00F0004F"/>
    <w:rsid w:val="00F001DF"/>
    <w:rsid w:val="00F005C4"/>
    <w:rsid w:val="00F0160E"/>
    <w:rsid w:val="00F02017"/>
    <w:rsid w:val="00F028F6"/>
    <w:rsid w:val="00F04872"/>
    <w:rsid w:val="00F04E9A"/>
    <w:rsid w:val="00F058A6"/>
    <w:rsid w:val="00F05C80"/>
    <w:rsid w:val="00F05CAE"/>
    <w:rsid w:val="00F06039"/>
    <w:rsid w:val="00F06610"/>
    <w:rsid w:val="00F06CCA"/>
    <w:rsid w:val="00F06EBE"/>
    <w:rsid w:val="00F072E0"/>
    <w:rsid w:val="00F079E2"/>
    <w:rsid w:val="00F07F5D"/>
    <w:rsid w:val="00F1056D"/>
    <w:rsid w:val="00F10D11"/>
    <w:rsid w:val="00F11FCD"/>
    <w:rsid w:val="00F12696"/>
    <w:rsid w:val="00F12CBD"/>
    <w:rsid w:val="00F12DB1"/>
    <w:rsid w:val="00F12EE3"/>
    <w:rsid w:val="00F1392D"/>
    <w:rsid w:val="00F13BAC"/>
    <w:rsid w:val="00F14DC6"/>
    <w:rsid w:val="00F1509A"/>
    <w:rsid w:val="00F15195"/>
    <w:rsid w:val="00F159DB"/>
    <w:rsid w:val="00F15E41"/>
    <w:rsid w:val="00F15E50"/>
    <w:rsid w:val="00F167FE"/>
    <w:rsid w:val="00F16D28"/>
    <w:rsid w:val="00F16E19"/>
    <w:rsid w:val="00F17CBC"/>
    <w:rsid w:val="00F20BBF"/>
    <w:rsid w:val="00F2102A"/>
    <w:rsid w:val="00F22097"/>
    <w:rsid w:val="00F221DD"/>
    <w:rsid w:val="00F22620"/>
    <w:rsid w:val="00F243A2"/>
    <w:rsid w:val="00F24AAD"/>
    <w:rsid w:val="00F24AAE"/>
    <w:rsid w:val="00F2542A"/>
    <w:rsid w:val="00F25E23"/>
    <w:rsid w:val="00F26A48"/>
    <w:rsid w:val="00F27690"/>
    <w:rsid w:val="00F27A04"/>
    <w:rsid w:val="00F3065E"/>
    <w:rsid w:val="00F3118D"/>
    <w:rsid w:val="00F313D7"/>
    <w:rsid w:val="00F316DB"/>
    <w:rsid w:val="00F31B2E"/>
    <w:rsid w:val="00F31D19"/>
    <w:rsid w:val="00F32021"/>
    <w:rsid w:val="00F325CD"/>
    <w:rsid w:val="00F326D8"/>
    <w:rsid w:val="00F32922"/>
    <w:rsid w:val="00F3381C"/>
    <w:rsid w:val="00F34610"/>
    <w:rsid w:val="00F3492E"/>
    <w:rsid w:val="00F34AE8"/>
    <w:rsid w:val="00F35126"/>
    <w:rsid w:val="00F352F6"/>
    <w:rsid w:val="00F35814"/>
    <w:rsid w:val="00F35B87"/>
    <w:rsid w:val="00F372DE"/>
    <w:rsid w:val="00F3730B"/>
    <w:rsid w:val="00F373F8"/>
    <w:rsid w:val="00F37F57"/>
    <w:rsid w:val="00F4032B"/>
    <w:rsid w:val="00F40D29"/>
    <w:rsid w:val="00F41171"/>
    <w:rsid w:val="00F41522"/>
    <w:rsid w:val="00F41792"/>
    <w:rsid w:val="00F4182B"/>
    <w:rsid w:val="00F41FC5"/>
    <w:rsid w:val="00F42607"/>
    <w:rsid w:val="00F4265F"/>
    <w:rsid w:val="00F42F7E"/>
    <w:rsid w:val="00F4319E"/>
    <w:rsid w:val="00F4336B"/>
    <w:rsid w:val="00F437CB"/>
    <w:rsid w:val="00F43B83"/>
    <w:rsid w:val="00F43C9B"/>
    <w:rsid w:val="00F440B7"/>
    <w:rsid w:val="00F446F7"/>
    <w:rsid w:val="00F457B6"/>
    <w:rsid w:val="00F46AC8"/>
    <w:rsid w:val="00F46C34"/>
    <w:rsid w:val="00F46C38"/>
    <w:rsid w:val="00F46C99"/>
    <w:rsid w:val="00F46D56"/>
    <w:rsid w:val="00F471B6"/>
    <w:rsid w:val="00F474C2"/>
    <w:rsid w:val="00F5041A"/>
    <w:rsid w:val="00F52880"/>
    <w:rsid w:val="00F539F5"/>
    <w:rsid w:val="00F53EA1"/>
    <w:rsid w:val="00F541A6"/>
    <w:rsid w:val="00F541FE"/>
    <w:rsid w:val="00F544A0"/>
    <w:rsid w:val="00F54B63"/>
    <w:rsid w:val="00F5526B"/>
    <w:rsid w:val="00F552AD"/>
    <w:rsid w:val="00F55599"/>
    <w:rsid w:val="00F55A96"/>
    <w:rsid w:val="00F56C82"/>
    <w:rsid w:val="00F57385"/>
    <w:rsid w:val="00F57456"/>
    <w:rsid w:val="00F5795A"/>
    <w:rsid w:val="00F6085D"/>
    <w:rsid w:val="00F60C44"/>
    <w:rsid w:val="00F60C7B"/>
    <w:rsid w:val="00F60CF0"/>
    <w:rsid w:val="00F647E0"/>
    <w:rsid w:val="00F648ED"/>
    <w:rsid w:val="00F64A96"/>
    <w:rsid w:val="00F64DA8"/>
    <w:rsid w:val="00F65751"/>
    <w:rsid w:val="00F65DD2"/>
    <w:rsid w:val="00F6620B"/>
    <w:rsid w:val="00F66323"/>
    <w:rsid w:val="00F6750F"/>
    <w:rsid w:val="00F67942"/>
    <w:rsid w:val="00F709F6"/>
    <w:rsid w:val="00F70BCF"/>
    <w:rsid w:val="00F712F2"/>
    <w:rsid w:val="00F71648"/>
    <w:rsid w:val="00F71921"/>
    <w:rsid w:val="00F72471"/>
    <w:rsid w:val="00F73882"/>
    <w:rsid w:val="00F743C7"/>
    <w:rsid w:val="00F75E75"/>
    <w:rsid w:val="00F75E76"/>
    <w:rsid w:val="00F75FF5"/>
    <w:rsid w:val="00F763CA"/>
    <w:rsid w:val="00F76C12"/>
    <w:rsid w:val="00F773C3"/>
    <w:rsid w:val="00F7740F"/>
    <w:rsid w:val="00F77789"/>
    <w:rsid w:val="00F77F22"/>
    <w:rsid w:val="00F80746"/>
    <w:rsid w:val="00F808B4"/>
    <w:rsid w:val="00F80F5A"/>
    <w:rsid w:val="00F811C5"/>
    <w:rsid w:val="00F81277"/>
    <w:rsid w:val="00F81D5B"/>
    <w:rsid w:val="00F81DBB"/>
    <w:rsid w:val="00F823B7"/>
    <w:rsid w:val="00F82CEF"/>
    <w:rsid w:val="00F833C0"/>
    <w:rsid w:val="00F837B1"/>
    <w:rsid w:val="00F83C65"/>
    <w:rsid w:val="00F83D3E"/>
    <w:rsid w:val="00F84AB6"/>
    <w:rsid w:val="00F84DD6"/>
    <w:rsid w:val="00F85B17"/>
    <w:rsid w:val="00F86232"/>
    <w:rsid w:val="00F86DE5"/>
    <w:rsid w:val="00F87C58"/>
    <w:rsid w:val="00F902EF"/>
    <w:rsid w:val="00F90333"/>
    <w:rsid w:val="00F90687"/>
    <w:rsid w:val="00F909CC"/>
    <w:rsid w:val="00F912E3"/>
    <w:rsid w:val="00F914C5"/>
    <w:rsid w:val="00F91A4A"/>
    <w:rsid w:val="00F9253E"/>
    <w:rsid w:val="00F926DD"/>
    <w:rsid w:val="00F92A04"/>
    <w:rsid w:val="00F931C7"/>
    <w:rsid w:val="00F9325B"/>
    <w:rsid w:val="00F94CCD"/>
    <w:rsid w:val="00F95076"/>
    <w:rsid w:val="00F95497"/>
    <w:rsid w:val="00F96092"/>
    <w:rsid w:val="00F96179"/>
    <w:rsid w:val="00F963CE"/>
    <w:rsid w:val="00F967D0"/>
    <w:rsid w:val="00F969DA"/>
    <w:rsid w:val="00F9721B"/>
    <w:rsid w:val="00F97AB1"/>
    <w:rsid w:val="00F97C9A"/>
    <w:rsid w:val="00F97D27"/>
    <w:rsid w:val="00FA030E"/>
    <w:rsid w:val="00FA10E9"/>
    <w:rsid w:val="00FA1217"/>
    <w:rsid w:val="00FA1395"/>
    <w:rsid w:val="00FA1E4D"/>
    <w:rsid w:val="00FA2723"/>
    <w:rsid w:val="00FA2B82"/>
    <w:rsid w:val="00FA2F7A"/>
    <w:rsid w:val="00FA3331"/>
    <w:rsid w:val="00FA3843"/>
    <w:rsid w:val="00FA463E"/>
    <w:rsid w:val="00FA4873"/>
    <w:rsid w:val="00FA4AA3"/>
    <w:rsid w:val="00FA4D75"/>
    <w:rsid w:val="00FA5093"/>
    <w:rsid w:val="00FA5E0D"/>
    <w:rsid w:val="00FA5E55"/>
    <w:rsid w:val="00FA6207"/>
    <w:rsid w:val="00FA734A"/>
    <w:rsid w:val="00FB0A82"/>
    <w:rsid w:val="00FB0FD5"/>
    <w:rsid w:val="00FB119B"/>
    <w:rsid w:val="00FB11A8"/>
    <w:rsid w:val="00FB2281"/>
    <w:rsid w:val="00FB2573"/>
    <w:rsid w:val="00FB2FB8"/>
    <w:rsid w:val="00FB3E35"/>
    <w:rsid w:val="00FB5478"/>
    <w:rsid w:val="00FB5680"/>
    <w:rsid w:val="00FB5DCC"/>
    <w:rsid w:val="00FB6167"/>
    <w:rsid w:val="00FB675F"/>
    <w:rsid w:val="00FB7F9C"/>
    <w:rsid w:val="00FC07AD"/>
    <w:rsid w:val="00FC0F02"/>
    <w:rsid w:val="00FC1112"/>
    <w:rsid w:val="00FC17A3"/>
    <w:rsid w:val="00FC1864"/>
    <w:rsid w:val="00FC18B9"/>
    <w:rsid w:val="00FC1ACF"/>
    <w:rsid w:val="00FC251C"/>
    <w:rsid w:val="00FC26BC"/>
    <w:rsid w:val="00FC28D6"/>
    <w:rsid w:val="00FC2C5D"/>
    <w:rsid w:val="00FC3368"/>
    <w:rsid w:val="00FC3EE6"/>
    <w:rsid w:val="00FC436D"/>
    <w:rsid w:val="00FC4EB3"/>
    <w:rsid w:val="00FC6089"/>
    <w:rsid w:val="00FC629B"/>
    <w:rsid w:val="00FC6D60"/>
    <w:rsid w:val="00FC7984"/>
    <w:rsid w:val="00FD18F0"/>
    <w:rsid w:val="00FD26C4"/>
    <w:rsid w:val="00FD5370"/>
    <w:rsid w:val="00FD5B1A"/>
    <w:rsid w:val="00FD6A8B"/>
    <w:rsid w:val="00FD75D2"/>
    <w:rsid w:val="00FD7A92"/>
    <w:rsid w:val="00FE0267"/>
    <w:rsid w:val="00FE0559"/>
    <w:rsid w:val="00FE08B5"/>
    <w:rsid w:val="00FE0B79"/>
    <w:rsid w:val="00FE1379"/>
    <w:rsid w:val="00FE2308"/>
    <w:rsid w:val="00FE23C7"/>
    <w:rsid w:val="00FE2429"/>
    <w:rsid w:val="00FE25D2"/>
    <w:rsid w:val="00FE2823"/>
    <w:rsid w:val="00FE28F2"/>
    <w:rsid w:val="00FE2A74"/>
    <w:rsid w:val="00FE2C02"/>
    <w:rsid w:val="00FE3018"/>
    <w:rsid w:val="00FE35B3"/>
    <w:rsid w:val="00FE4142"/>
    <w:rsid w:val="00FE4E07"/>
    <w:rsid w:val="00FE542B"/>
    <w:rsid w:val="00FE5734"/>
    <w:rsid w:val="00FE7715"/>
    <w:rsid w:val="00FF032D"/>
    <w:rsid w:val="00FF05EE"/>
    <w:rsid w:val="00FF0CBF"/>
    <w:rsid w:val="00FF10C4"/>
    <w:rsid w:val="00FF1A6F"/>
    <w:rsid w:val="00FF2411"/>
    <w:rsid w:val="00FF30F0"/>
    <w:rsid w:val="00FF3382"/>
    <w:rsid w:val="00FF374E"/>
    <w:rsid w:val="00FF3C93"/>
    <w:rsid w:val="00FF3DBF"/>
    <w:rsid w:val="00FF41EC"/>
    <w:rsid w:val="00FF450A"/>
    <w:rsid w:val="00FF574C"/>
    <w:rsid w:val="00FF68D5"/>
    <w:rsid w:val="00FF742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8180"/>
  <w15:docId w15:val="{8781C7F2-6525-441D-8F9A-28A773A7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084"/>
    <w:pPr>
      <w:spacing w:before="60" w:after="60" w:line="480" w:lineRule="auto"/>
      <w:ind w:firstLine="720"/>
    </w:pPr>
    <w:rPr>
      <w:rFonts w:cs="Times New Roman"/>
      <w:lang w:eastAsia="en-GB"/>
    </w:rPr>
  </w:style>
  <w:style w:type="paragraph" w:styleId="Heading1">
    <w:name w:val="heading 1"/>
    <w:basedOn w:val="Normal"/>
    <w:next w:val="Normal"/>
    <w:link w:val="Heading1Char"/>
    <w:uiPriority w:val="9"/>
    <w:qFormat/>
    <w:rsid w:val="00B621D1"/>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6319"/>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6319"/>
    <w:pPr>
      <w:keepNext/>
      <w:keepLines/>
      <w:numPr>
        <w:ilvl w:val="2"/>
        <w:numId w:val="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F1C05"/>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1C05"/>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1C05"/>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1C05"/>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1C05"/>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1C05"/>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36B6"/>
  </w:style>
  <w:style w:type="paragraph" w:customStyle="1" w:styleId="p1">
    <w:name w:val="p1"/>
    <w:basedOn w:val="Normal"/>
    <w:rsid w:val="0032780E"/>
    <w:rPr>
      <w:rFonts w:ascii="Courier New" w:hAnsi="Courier New" w:cs="Courier New"/>
      <w:sz w:val="21"/>
      <w:szCs w:val="21"/>
    </w:rPr>
  </w:style>
  <w:style w:type="paragraph" w:customStyle="1" w:styleId="p2">
    <w:name w:val="p2"/>
    <w:basedOn w:val="Normal"/>
    <w:rsid w:val="0032780E"/>
    <w:rPr>
      <w:rFonts w:ascii="Courier New" w:hAnsi="Courier New" w:cs="Courier New"/>
      <w:sz w:val="21"/>
      <w:szCs w:val="21"/>
    </w:rPr>
  </w:style>
  <w:style w:type="paragraph" w:customStyle="1" w:styleId="p3">
    <w:name w:val="p3"/>
    <w:basedOn w:val="Normal"/>
    <w:rsid w:val="0032780E"/>
    <w:pPr>
      <w:spacing w:line="300" w:lineRule="atLeast"/>
    </w:pPr>
    <w:rPr>
      <w:sz w:val="18"/>
      <w:szCs w:val="18"/>
    </w:rPr>
  </w:style>
  <w:style w:type="character" w:customStyle="1" w:styleId="apple-converted-space">
    <w:name w:val="apple-converted-space"/>
    <w:basedOn w:val="DefaultParagraphFont"/>
    <w:rsid w:val="0032780E"/>
  </w:style>
  <w:style w:type="character" w:customStyle="1" w:styleId="Heading1Char">
    <w:name w:val="Heading 1 Char"/>
    <w:basedOn w:val="DefaultParagraphFont"/>
    <w:link w:val="Heading1"/>
    <w:uiPriority w:val="9"/>
    <w:rsid w:val="00B621D1"/>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semiHidden/>
    <w:unhideWhenUsed/>
    <w:rsid w:val="0092042B"/>
  </w:style>
  <w:style w:type="character" w:customStyle="1" w:styleId="Heading2Char">
    <w:name w:val="Heading 2 Char"/>
    <w:basedOn w:val="DefaultParagraphFont"/>
    <w:link w:val="Heading2"/>
    <w:uiPriority w:val="9"/>
    <w:rsid w:val="003A631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A6319"/>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8F1C05"/>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8F1C05"/>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8F1C05"/>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8F1C05"/>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8F1C0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F1C05"/>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39"/>
    <w:rsid w:val="00AE4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45FF"/>
    <w:rPr>
      <w:rFonts w:cs="Times New Roman"/>
      <w:lang w:eastAsia="en-GB"/>
    </w:rPr>
  </w:style>
  <w:style w:type="character" w:styleId="Hyperlink">
    <w:name w:val="Hyperlink"/>
    <w:basedOn w:val="DefaultParagraphFont"/>
    <w:uiPriority w:val="99"/>
    <w:unhideWhenUsed/>
    <w:rsid w:val="00465935"/>
    <w:rPr>
      <w:color w:val="0563C1" w:themeColor="hyperlink"/>
      <w:u w:val="single"/>
    </w:rPr>
  </w:style>
  <w:style w:type="paragraph" w:styleId="DocumentMap">
    <w:name w:val="Document Map"/>
    <w:basedOn w:val="Normal"/>
    <w:link w:val="DocumentMapChar"/>
    <w:uiPriority w:val="99"/>
    <w:semiHidden/>
    <w:unhideWhenUsed/>
    <w:rsid w:val="00BF6EC0"/>
    <w:pPr>
      <w:spacing w:before="0"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BF6EC0"/>
    <w:rPr>
      <w:rFonts w:ascii="Times New Roman" w:hAnsi="Times New Roman" w:cs="Times New Roman"/>
      <w:lang w:eastAsia="en-GB"/>
    </w:rPr>
  </w:style>
  <w:style w:type="character" w:styleId="FollowedHyperlink">
    <w:name w:val="FollowedHyperlink"/>
    <w:basedOn w:val="DefaultParagraphFont"/>
    <w:uiPriority w:val="99"/>
    <w:semiHidden/>
    <w:unhideWhenUsed/>
    <w:rsid w:val="002E6A56"/>
    <w:rPr>
      <w:color w:val="954F72" w:themeColor="followedHyperlink"/>
      <w:u w:val="single"/>
    </w:rPr>
  </w:style>
  <w:style w:type="paragraph" w:customStyle="1" w:styleId="Table">
    <w:name w:val="Table"/>
    <w:basedOn w:val="Normal"/>
    <w:qFormat/>
    <w:rsid w:val="002927B5"/>
    <w:pPr>
      <w:spacing w:before="120" w:after="120" w:line="360" w:lineRule="auto"/>
      <w:ind w:firstLine="0"/>
    </w:pPr>
    <w:rPr>
      <w:rFonts w:eastAsia="Times New Roman"/>
      <w:szCs w:val="22"/>
      <w:lang w:eastAsia="en-US"/>
    </w:rPr>
  </w:style>
  <w:style w:type="paragraph" w:styleId="ListParagraph">
    <w:name w:val="List Paragraph"/>
    <w:basedOn w:val="Normal"/>
    <w:uiPriority w:val="34"/>
    <w:qFormat/>
    <w:rsid w:val="00741CA8"/>
    <w:pPr>
      <w:ind w:left="720"/>
      <w:contextualSpacing/>
    </w:pPr>
  </w:style>
  <w:style w:type="paragraph" w:styleId="Footer">
    <w:name w:val="footer"/>
    <w:basedOn w:val="Normal"/>
    <w:link w:val="FooterChar"/>
    <w:uiPriority w:val="99"/>
    <w:unhideWhenUsed/>
    <w:rsid w:val="00EF78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78FD"/>
    <w:rPr>
      <w:rFonts w:cs="Times New Roman"/>
      <w:lang w:eastAsia="en-GB"/>
    </w:rPr>
  </w:style>
  <w:style w:type="character" w:styleId="PageNumber">
    <w:name w:val="page number"/>
    <w:basedOn w:val="DefaultParagraphFont"/>
    <w:uiPriority w:val="99"/>
    <w:semiHidden/>
    <w:unhideWhenUsed/>
    <w:rsid w:val="00EF78FD"/>
  </w:style>
  <w:style w:type="character" w:styleId="CommentReference">
    <w:name w:val="annotation reference"/>
    <w:basedOn w:val="DefaultParagraphFont"/>
    <w:uiPriority w:val="99"/>
    <w:semiHidden/>
    <w:unhideWhenUsed/>
    <w:rsid w:val="00901E7E"/>
    <w:rPr>
      <w:sz w:val="16"/>
      <w:szCs w:val="16"/>
    </w:rPr>
  </w:style>
  <w:style w:type="paragraph" w:styleId="CommentText">
    <w:name w:val="annotation text"/>
    <w:basedOn w:val="Normal"/>
    <w:link w:val="CommentTextChar"/>
    <w:uiPriority w:val="99"/>
    <w:semiHidden/>
    <w:unhideWhenUsed/>
    <w:rsid w:val="00901E7E"/>
    <w:pPr>
      <w:spacing w:line="240" w:lineRule="auto"/>
    </w:pPr>
    <w:rPr>
      <w:sz w:val="20"/>
      <w:szCs w:val="20"/>
    </w:rPr>
  </w:style>
  <w:style w:type="character" w:customStyle="1" w:styleId="CommentTextChar">
    <w:name w:val="Comment Text Char"/>
    <w:basedOn w:val="DefaultParagraphFont"/>
    <w:link w:val="CommentText"/>
    <w:uiPriority w:val="99"/>
    <w:semiHidden/>
    <w:rsid w:val="00901E7E"/>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1E7E"/>
    <w:rPr>
      <w:b/>
      <w:bCs/>
    </w:rPr>
  </w:style>
  <w:style w:type="character" w:customStyle="1" w:styleId="CommentSubjectChar">
    <w:name w:val="Comment Subject Char"/>
    <w:basedOn w:val="CommentTextChar"/>
    <w:link w:val="CommentSubject"/>
    <w:uiPriority w:val="99"/>
    <w:semiHidden/>
    <w:rsid w:val="00901E7E"/>
    <w:rPr>
      <w:rFonts w:cs="Times New Roman"/>
      <w:b/>
      <w:bCs/>
      <w:sz w:val="20"/>
      <w:szCs w:val="20"/>
      <w:lang w:eastAsia="en-GB"/>
    </w:rPr>
  </w:style>
  <w:style w:type="paragraph" w:styleId="BalloonText">
    <w:name w:val="Balloon Text"/>
    <w:basedOn w:val="Normal"/>
    <w:link w:val="BalloonTextChar"/>
    <w:uiPriority w:val="99"/>
    <w:semiHidden/>
    <w:unhideWhenUsed/>
    <w:rsid w:val="00901E7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7E"/>
    <w:rPr>
      <w:rFonts w:ascii="Tahoma" w:hAnsi="Tahoma" w:cs="Tahoma"/>
      <w:sz w:val="16"/>
      <w:szCs w:val="16"/>
      <w:lang w:eastAsia="en-GB"/>
    </w:rPr>
  </w:style>
  <w:style w:type="paragraph" w:styleId="Header">
    <w:name w:val="header"/>
    <w:basedOn w:val="Normal"/>
    <w:link w:val="HeaderChar"/>
    <w:uiPriority w:val="99"/>
    <w:unhideWhenUsed/>
    <w:rsid w:val="007A14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1451"/>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346">
      <w:bodyDiv w:val="1"/>
      <w:marLeft w:val="0"/>
      <w:marRight w:val="0"/>
      <w:marTop w:val="0"/>
      <w:marBottom w:val="0"/>
      <w:divBdr>
        <w:top w:val="none" w:sz="0" w:space="0" w:color="auto"/>
        <w:left w:val="none" w:sz="0" w:space="0" w:color="auto"/>
        <w:bottom w:val="none" w:sz="0" w:space="0" w:color="auto"/>
        <w:right w:val="none" w:sz="0" w:space="0" w:color="auto"/>
      </w:divBdr>
    </w:div>
    <w:div w:id="61148609">
      <w:bodyDiv w:val="1"/>
      <w:marLeft w:val="0"/>
      <w:marRight w:val="0"/>
      <w:marTop w:val="0"/>
      <w:marBottom w:val="0"/>
      <w:divBdr>
        <w:top w:val="none" w:sz="0" w:space="0" w:color="auto"/>
        <w:left w:val="none" w:sz="0" w:space="0" w:color="auto"/>
        <w:bottom w:val="none" w:sz="0" w:space="0" w:color="auto"/>
        <w:right w:val="none" w:sz="0" w:space="0" w:color="auto"/>
      </w:divBdr>
    </w:div>
    <w:div w:id="107623616">
      <w:bodyDiv w:val="1"/>
      <w:marLeft w:val="0"/>
      <w:marRight w:val="0"/>
      <w:marTop w:val="0"/>
      <w:marBottom w:val="0"/>
      <w:divBdr>
        <w:top w:val="none" w:sz="0" w:space="0" w:color="auto"/>
        <w:left w:val="none" w:sz="0" w:space="0" w:color="auto"/>
        <w:bottom w:val="none" w:sz="0" w:space="0" w:color="auto"/>
        <w:right w:val="none" w:sz="0" w:space="0" w:color="auto"/>
      </w:divBdr>
      <w:divsChild>
        <w:div w:id="1497526500">
          <w:marLeft w:val="0"/>
          <w:marRight w:val="0"/>
          <w:marTop w:val="0"/>
          <w:marBottom w:val="0"/>
          <w:divBdr>
            <w:top w:val="none" w:sz="0" w:space="0" w:color="auto"/>
            <w:left w:val="none" w:sz="0" w:space="0" w:color="auto"/>
            <w:bottom w:val="none" w:sz="0" w:space="0" w:color="auto"/>
            <w:right w:val="none" w:sz="0" w:space="0" w:color="auto"/>
          </w:divBdr>
          <w:divsChild>
            <w:div w:id="1842115821">
              <w:marLeft w:val="0"/>
              <w:marRight w:val="0"/>
              <w:marTop w:val="0"/>
              <w:marBottom w:val="0"/>
              <w:divBdr>
                <w:top w:val="none" w:sz="0" w:space="0" w:color="auto"/>
                <w:left w:val="none" w:sz="0" w:space="0" w:color="auto"/>
                <w:bottom w:val="none" w:sz="0" w:space="0" w:color="auto"/>
                <w:right w:val="none" w:sz="0" w:space="0" w:color="auto"/>
              </w:divBdr>
              <w:divsChild>
                <w:div w:id="1424380980">
                  <w:marLeft w:val="0"/>
                  <w:marRight w:val="0"/>
                  <w:marTop w:val="0"/>
                  <w:marBottom w:val="0"/>
                  <w:divBdr>
                    <w:top w:val="none" w:sz="0" w:space="0" w:color="auto"/>
                    <w:left w:val="none" w:sz="0" w:space="0" w:color="auto"/>
                    <w:bottom w:val="none" w:sz="0" w:space="0" w:color="auto"/>
                    <w:right w:val="none" w:sz="0" w:space="0" w:color="auto"/>
                  </w:divBdr>
                  <w:divsChild>
                    <w:div w:id="1272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7808">
      <w:bodyDiv w:val="1"/>
      <w:marLeft w:val="0"/>
      <w:marRight w:val="0"/>
      <w:marTop w:val="0"/>
      <w:marBottom w:val="0"/>
      <w:divBdr>
        <w:top w:val="none" w:sz="0" w:space="0" w:color="auto"/>
        <w:left w:val="none" w:sz="0" w:space="0" w:color="auto"/>
        <w:bottom w:val="none" w:sz="0" w:space="0" w:color="auto"/>
        <w:right w:val="none" w:sz="0" w:space="0" w:color="auto"/>
      </w:divBdr>
    </w:div>
    <w:div w:id="244653173">
      <w:bodyDiv w:val="1"/>
      <w:marLeft w:val="0"/>
      <w:marRight w:val="0"/>
      <w:marTop w:val="0"/>
      <w:marBottom w:val="0"/>
      <w:divBdr>
        <w:top w:val="none" w:sz="0" w:space="0" w:color="auto"/>
        <w:left w:val="none" w:sz="0" w:space="0" w:color="auto"/>
        <w:bottom w:val="none" w:sz="0" w:space="0" w:color="auto"/>
        <w:right w:val="none" w:sz="0" w:space="0" w:color="auto"/>
      </w:divBdr>
    </w:div>
    <w:div w:id="277611352">
      <w:bodyDiv w:val="1"/>
      <w:marLeft w:val="0"/>
      <w:marRight w:val="0"/>
      <w:marTop w:val="0"/>
      <w:marBottom w:val="0"/>
      <w:divBdr>
        <w:top w:val="none" w:sz="0" w:space="0" w:color="auto"/>
        <w:left w:val="none" w:sz="0" w:space="0" w:color="auto"/>
        <w:bottom w:val="none" w:sz="0" w:space="0" w:color="auto"/>
        <w:right w:val="none" w:sz="0" w:space="0" w:color="auto"/>
      </w:divBdr>
    </w:div>
    <w:div w:id="277873960">
      <w:bodyDiv w:val="1"/>
      <w:marLeft w:val="0"/>
      <w:marRight w:val="0"/>
      <w:marTop w:val="0"/>
      <w:marBottom w:val="0"/>
      <w:divBdr>
        <w:top w:val="none" w:sz="0" w:space="0" w:color="auto"/>
        <w:left w:val="none" w:sz="0" w:space="0" w:color="auto"/>
        <w:bottom w:val="none" w:sz="0" w:space="0" w:color="auto"/>
        <w:right w:val="none" w:sz="0" w:space="0" w:color="auto"/>
      </w:divBdr>
    </w:div>
    <w:div w:id="346951968">
      <w:bodyDiv w:val="1"/>
      <w:marLeft w:val="0"/>
      <w:marRight w:val="0"/>
      <w:marTop w:val="0"/>
      <w:marBottom w:val="0"/>
      <w:divBdr>
        <w:top w:val="none" w:sz="0" w:space="0" w:color="auto"/>
        <w:left w:val="none" w:sz="0" w:space="0" w:color="auto"/>
        <w:bottom w:val="none" w:sz="0" w:space="0" w:color="auto"/>
        <w:right w:val="none" w:sz="0" w:space="0" w:color="auto"/>
      </w:divBdr>
    </w:div>
    <w:div w:id="353724532">
      <w:bodyDiv w:val="1"/>
      <w:marLeft w:val="0"/>
      <w:marRight w:val="0"/>
      <w:marTop w:val="0"/>
      <w:marBottom w:val="0"/>
      <w:divBdr>
        <w:top w:val="none" w:sz="0" w:space="0" w:color="auto"/>
        <w:left w:val="none" w:sz="0" w:space="0" w:color="auto"/>
        <w:bottom w:val="none" w:sz="0" w:space="0" w:color="auto"/>
        <w:right w:val="none" w:sz="0" w:space="0" w:color="auto"/>
      </w:divBdr>
    </w:div>
    <w:div w:id="356467568">
      <w:bodyDiv w:val="1"/>
      <w:marLeft w:val="0"/>
      <w:marRight w:val="0"/>
      <w:marTop w:val="0"/>
      <w:marBottom w:val="0"/>
      <w:divBdr>
        <w:top w:val="none" w:sz="0" w:space="0" w:color="auto"/>
        <w:left w:val="none" w:sz="0" w:space="0" w:color="auto"/>
        <w:bottom w:val="none" w:sz="0" w:space="0" w:color="auto"/>
        <w:right w:val="none" w:sz="0" w:space="0" w:color="auto"/>
      </w:divBdr>
    </w:div>
    <w:div w:id="387725069">
      <w:bodyDiv w:val="1"/>
      <w:marLeft w:val="0"/>
      <w:marRight w:val="0"/>
      <w:marTop w:val="0"/>
      <w:marBottom w:val="0"/>
      <w:divBdr>
        <w:top w:val="none" w:sz="0" w:space="0" w:color="auto"/>
        <w:left w:val="none" w:sz="0" w:space="0" w:color="auto"/>
        <w:bottom w:val="none" w:sz="0" w:space="0" w:color="auto"/>
        <w:right w:val="none" w:sz="0" w:space="0" w:color="auto"/>
      </w:divBdr>
    </w:div>
    <w:div w:id="389232888">
      <w:bodyDiv w:val="1"/>
      <w:marLeft w:val="0"/>
      <w:marRight w:val="0"/>
      <w:marTop w:val="0"/>
      <w:marBottom w:val="0"/>
      <w:divBdr>
        <w:top w:val="none" w:sz="0" w:space="0" w:color="auto"/>
        <w:left w:val="none" w:sz="0" w:space="0" w:color="auto"/>
        <w:bottom w:val="none" w:sz="0" w:space="0" w:color="auto"/>
        <w:right w:val="none" w:sz="0" w:space="0" w:color="auto"/>
      </w:divBdr>
    </w:div>
    <w:div w:id="469445151">
      <w:bodyDiv w:val="1"/>
      <w:marLeft w:val="0"/>
      <w:marRight w:val="0"/>
      <w:marTop w:val="0"/>
      <w:marBottom w:val="0"/>
      <w:divBdr>
        <w:top w:val="none" w:sz="0" w:space="0" w:color="auto"/>
        <w:left w:val="none" w:sz="0" w:space="0" w:color="auto"/>
        <w:bottom w:val="none" w:sz="0" w:space="0" w:color="auto"/>
        <w:right w:val="none" w:sz="0" w:space="0" w:color="auto"/>
      </w:divBdr>
    </w:div>
    <w:div w:id="636489997">
      <w:bodyDiv w:val="1"/>
      <w:marLeft w:val="0"/>
      <w:marRight w:val="0"/>
      <w:marTop w:val="0"/>
      <w:marBottom w:val="0"/>
      <w:divBdr>
        <w:top w:val="none" w:sz="0" w:space="0" w:color="auto"/>
        <w:left w:val="none" w:sz="0" w:space="0" w:color="auto"/>
        <w:bottom w:val="none" w:sz="0" w:space="0" w:color="auto"/>
        <w:right w:val="none" w:sz="0" w:space="0" w:color="auto"/>
      </w:divBdr>
    </w:div>
    <w:div w:id="651954320">
      <w:bodyDiv w:val="1"/>
      <w:marLeft w:val="0"/>
      <w:marRight w:val="0"/>
      <w:marTop w:val="0"/>
      <w:marBottom w:val="0"/>
      <w:divBdr>
        <w:top w:val="none" w:sz="0" w:space="0" w:color="auto"/>
        <w:left w:val="none" w:sz="0" w:space="0" w:color="auto"/>
        <w:bottom w:val="none" w:sz="0" w:space="0" w:color="auto"/>
        <w:right w:val="none" w:sz="0" w:space="0" w:color="auto"/>
      </w:divBdr>
    </w:div>
    <w:div w:id="734091467">
      <w:bodyDiv w:val="1"/>
      <w:marLeft w:val="0"/>
      <w:marRight w:val="0"/>
      <w:marTop w:val="0"/>
      <w:marBottom w:val="0"/>
      <w:divBdr>
        <w:top w:val="none" w:sz="0" w:space="0" w:color="auto"/>
        <w:left w:val="none" w:sz="0" w:space="0" w:color="auto"/>
        <w:bottom w:val="none" w:sz="0" w:space="0" w:color="auto"/>
        <w:right w:val="none" w:sz="0" w:space="0" w:color="auto"/>
      </w:divBdr>
    </w:div>
    <w:div w:id="765073081">
      <w:bodyDiv w:val="1"/>
      <w:marLeft w:val="0"/>
      <w:marRight w:val="0"/>
      <w:marTop w:val="0"/>
      <w:marBottom w:val="0"/>
      <w:divBdr>
        <w:top w:val="none" w:sz="0" w:space="0" w:color="auto"/>
        <w:left w:val="none" w:sz="0" w:space="0" w:color="auto"/>
        <w:bottom w:val="none" w:sz="0" w:space="0" w:color="auto"/>
        <w:right w:val="none" w:sz="0" w:space="0" w:color="auto"/>
      </w:divBdr>
    </w:div>
    <w:div w:id="907956005">
      <w:bodyDiv w:val="1"/>
      <w:marLeft w:val="0"/>
      <w:marRight w:val="0"/>
      <w:marTop w:val="0"/>
      <w:marBottom w:val="0"/>
      <w:divBdr>
        <w:top w:val="none" w:sz="0" w:space="0" w:color="auto"/>
        <w:left w:val="none" w:sz="0" w:space="0" w:color="auto"/>
        <w:bottom w:val="none" w:sz="0" w:space="0" w:color="auto"/>
        <w:right w:val="none" w:sz="0" w:space="0" w:color="auto"/>
      </w:divBdr>
    </w:div>
    <w:div w:id="935599670">
      <w:bodyDiv w:val="1"/>
      <w:marLeft w:val="0"/>
      <w:marRight w:val="0"/>
      <w:marTop w:val="0"/>
      <w:marBottom w:val="0"/>
      <w:divBdr>
        <w:top w:val="none" w:sz="0" w:space="0" w:color="auto"/>
        <w:left w:val="none" w:sz="0" w:space="0" w:color="auto"/>
        <w:bottom w:val="none" w:sz="0" w:space="0" w:color="auto"/>
        <w:right w:val="none" w:sz="0" w:space="0" w:color="auto"/>
      </w:divBdr>
    </w:div>
    <w:div w:id="968709434">
      <w:bodyDiv w:val="1"/>
      <w:marLeft w:val="0"/>
      <w:marRight w:val="0"/>
      <w:marTop w:val="0"/>
      <w:marBottom w:val="0"/>
      <w:divBdr>
        <w:top w:val="none" w:sz="0" w:space="0" w:color="auto"/>
        <w:left w:val="none" w:sz="0" w:space="0" w:color="auto"/>
        <w:bottom w:val="none" w:sz="0" w:space="0" w:color="auto"/>
        <w:right w:val="none" w:sz="0" w:space="0" w:color="auto"/>
      </w:divBdr>
    </w:div>
    <w:div w:id="977338794">
      <w:bodyDiv w:val="1"/>
      <w:marLeft w:val="0"/>
      <w:marRight w:val="0"/>
      <w:marTop w:val="0"/>
      <w:marBottom w:val="0"/>
      <w:divBdr>
        <w:top w:val="none" w:sz="0" w:space="0" w:color="auto"/>
        <w:left w:val="none" w:sz="0" w:space="0" w:color="auto"/>
        <w:bottom w:val="none" w:sz="0" w:space="0" w:color="auto"/>
        <w:right w:val="none" w:sz="0" w:space="0" w:color="auto"/>
      </w:divBdr>
    </w:div>
    <w:div w:id="981811091">
      <w:bodyDiv w:val="1"/>
      <w:marLeft w:val="0"/>
      <w:marRight w:val="0"/>
      <w:marTop w:val="0"/>
      <w:marBottom w:val="0"/>
      <w:divBdr>
        <w:top w:val="none" w:sz="0" w:space="0" w:color="auto"/>
        <w:left w:val="none" w:sz="0" w:space="0" w:color="auto"/>
        <w:bottom w:val="none" w:sz="0" w:space="0" w:color="auto"/>
        <w:right w:val="none" w:sz="0" w:space="0" w:color="auto"/>
      </w:divBdr>
    </w:div>
    <w:div w:id="998997504">
      <w:bodyDiv w:val="1"/>
      <w:marLeft w:val="0"/>
      <w:marRight w:val="0"/>
      <w:marTop w:val="0"/>
      <w:marBottom w:val="0"/>
      <w:divBdr>
        <w:top w:val="none" w:sz="0" w:space="0" w:color="auto"/>
        <w:left w:val="none" w:sz="0" w:space="0" w:color="auto"/>
        <w:bottom w:val="none" w:sz="0" w:space="0" w:color="auto"/>
        <w:right w:val="none" w:sz="0" w:space="0" w:color="auto"/>
      </w:divBdr>
    </w:div>
    <w:div w:id="1109621487">
      <w:bodyDiv w:val="1"/>
      <w:marLeft w:val="0"/>
      <w:marRight w:val="0"/>
      <w:marTop w:val="0"/>
      <w:marBottom w:val="0"/>
      <w:divBdr>
        <w:top w:val="none" w:sz="0" w:space="0" w:color="auto"/>
        <w:left w:val="none" w:sz="0" w:space="0" w:color="auto"/>
        <w:bottom w:val="none" w:sz="0" w:space="0" w:color="auto"/>
        <w:right w:val="none" w:sz="0" w:space="0" w:color="auto"/>
      </w:divBdr>
      <w:divsChild>
        <w:div w:id="498076938">
          <w:marLeft w:val="0"/>
          <w:marRight w:val="0"/>
          <w:marTop w:val="0"/>
          <w:marBottom w:val="0"/>
          <w:divBdr>
            <w:top w:val="none" w:sz="0" w:space="0" w:color="auto"/>
            <w:left w:val="none" w:sz="0" w:space="0" w:color="auto"/>
            <w:bottom w:val="none" w:sz="0" w:space="0" w:color="auto"/>
            <w:right w:val="none" w:sz="0" w:space="0" w:color="auto"/>
          </w:divBdr>
          <w:divsChild>
            <w:div w:id="667175792">
              <w:marLeft w:val="0"/>
              <w:marRight w:val="0"/>
              <w:marTop w:val="0"/>
              <w:marBottom w:val="0"/>
              <w:divBdr>
                <w:top w:val="none" w:sz="0" w:space="0" w:color="auto"/>
                <w:left w:val="none" w:sz="0" w:space="0" w:color="auto"/>
                <w:bottom w:val="none" w:sz="0" w:space="0" w:color="auto"/>
                <w:right w:val="none" w:sz="0" w:space="0" w:color="auto"/>
              </w:divBdr>
              <w:divsChild>
                <w:div w:id="337729616">
                  <w:marLeft w:val="0"/>
                  <w:marRight w:val="0"/>
                  <w:marTop w:val="0"/>
                  <w:marBottom w:val="0"/>
                  <w:divBdr>
                    <w:top w:val="none" w:sz="0" w:space="0" w:color="auto"/>
                    <w:left w:val="none" w:sz="0" w:space="0" w:color="auto"/>
                    <w:bottom w:val="none" w:sz="0" w:space="0" w:color="auto"/>
                    <w:right w:val="none" w:sz="0" w:space="0" w:color="auto"/>
                  </w:divBdr>
                  <w:divsChild>
                    <w:div w:id="262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707">
      <w:bodyDiv w:val="1"/>
      <w:marLeft w:val="0"/>
      <w:marRight w:val="0"/>
      <w:marTop w:val="0"/>
      <w:marBottom w:val="0"/>
      <w:divBdr>
        <w:top w:val="none" w:sz="0" w:space="0" w:color="auto"/>
        <w:left w:val="none" w:sz="0" w:space="0" w:color="auto"/>
        <w:bottom w:val="none" w:sz="0" w:space="0" w:color="auto"/>
        <w:right w:val="none" w:sz="0" w:space="0" w:color="auto"/>
      </w:divBdr>
    </w:div>
    <w:div w:id="1144353921">
      <w:bodyDiv w:val="1"/>
      <w:marLeft w:val="0"/>
      <w:marRight w:val="0"/>
      <w:marTop w:val="0"/>
      <w:marBottom w:val="0"/>
      <w:divBdr>
        <w:top w:val="none" w:sz="0" w:space="0" w:color="auto"/>
        <w:left w:val="none" w:sz="0" w:space="0" w:color="auto"/>
        <w:bottom w:val="none" w:sz="0" w:space="0" w:color="auto"/>
        <w:right w:val="none" w:sz="0" w:space="0" w:color="auto"/>
      </w:divBdr>
    </w:div>
    <w:div w:id="1168405645">
      <w:bodyDiv w:val="1"/>
      <w:marLeft w:val="0"/>
      <w:marRight w:val="0"/>
      <w:marTop w:val="0"/>
      <w:marBottom w:val="0"/>
      <w:divBdr>
        <w:top w:val="none" w:sz="0" w:space="0" w:color="auto"/>
        <w:left w:val="none" w:sz="0" w:space="0" w:color="auto"/>
        <w:bottom w:val="none" w:sz="0" w:space="0" w:color="auto"/>
        <w:right w:val="none" w:sz="0" w:space="0" w:color="auto"/>
      </w:divBdr>
    </w:div>
    <w:div w:id="1200124263">
      <w:bodyDiv w:val="1"/>
      <w:marLeft w:val="0"/>
      <w:marRight w:val="0"/>
      <w:marTop w:val="0"/>
      <w:marBottom w:val="0"/>
      <w:divBdr>
        <w:top w:val="none" w:sz="0" w:space="0" w:color="auto"/>
        <w:left w:val="none" w:sz="0" w:space="0" w:color="auto"/>
        <w:bottom w:val="none" w:sz="0" w:space="0" w:color="auto"/>
        <w:right w:val="none" w:sz="0" w:space="0" w:color="auto"/>
      </w:divBdr>
    </w:div>
    <w:div w:id="1204899441">
      <w:bodyDiv w:val="1"/>
      <w:marLeft w:val="0"/>
      <w:marRight w:val="0"/>
      <w:marTop w:val="0"/>
      <w:marBottom w:val="0"/>
      <w:divBdr>
        <w:top w:val="none" w:sz="0" w:space="0" w:color="auto"/>
        <w:left w:val="none" w:sz="0" w:space="0" w:color="auto"/>
        <w:bottom w:val="none" w:sz="0" w:space="0" w:color="auto"/>
        <w:right w:val="none" w:sz="0" w:space="0" w:color="auto"/>
      </w:divBdr>
    </w:div>
    <w:div w:id="1282612726">
      <w:bodyDiv w:val="1"/>
      <w:marLeft w:val="0"/>
      <w:marRight w:val="0"/>
      <w:marTop w:val="0"/>
      <w:marBottom w:val="0"/>
      <w:divBdr>
        <w:top w:val="none" w:sz="0" w:space="0" w:color="auto"/>
        <w:left w:val="none" w:sz="0" w:space="0" w:color="auto"/>
        <w:bottom w:val="none" w:sz="0" w:space="0" w:color="auto"/>
        <w:right w:val="none" w:sz="0" w:space="0" w:color="auto"/>
      </w:divBdr>
    </w:div>
    <w:div w:id="1295018348">
      <w:bodyDiv w:val="1"/>
      <w:marLeft w:val="0"/>
      <w:marRight w:val="0"/>
      <w:marTop w:val="0"/>
      <w:marBottom w:val="0"/>
      <w:divBdr>
        <w:top w:val="none" w:sz="0" w:space="0" w:color="auto"/>
        <w:left w:val="none" w:sz="0" w:space="0" w:color="auto"/>
        <w:bottom w:val="none" w:sz="0" w:space="0" w:color="auto"/>
        <w:right w:val="none" w:sz="0" w:space="0" w:color="auto"/>
      </w:divBdr>
    </w:div>
    <w:div w:id="1315183624">
      <w:bodyDiv w:val="1"/>
      <w:marLeft w:val="0"/>
      <w:marRight w:val="0"/>
      <w:marTop w:val="0"/>
      <w:marBottom w:val="0"/>
      <w:divBdr>
        <w:top w:val="none" w:sz="0" w:space="0" w:color="auto"/>
        <w:left w:val="none" w:sz="0" w:space="0" w:color="auto"/>
        <w:bottom w:val="none" w:sz="0" w:space="0" w:color="auto"/>
        <w:right w:val="none" w:sz="0" w:space="0" w:color="auto"/>
      </w:divBdr>
      <w:divsChild>
        <w:div w:id="1336031648">
          <w:marLeft w:val="0"/>
          <w:marRight w:val="0"/>
          <w:marTop w:val="0"/>
          <w:marBottom w:val="0"/>
          <w:divBdr>
            <w:top w:val="none" w:sz="0" w:space="0" w:color="auto"/>
            <w:left w:val="none" w:sz="0" w:space="0" w:color="auto"/>
            <w:bottom w:val="none" w:sz="0" w:space="0" w:color="auto"/>
            <w:right w:val="none" w:sz="0" w:space="0" w:color="auto"/>
          </w:divBdr>
          <w:divsChild>
            <w:div w:id="2067096915">
              <w:marLeft w:val="0"/>
              <w:marRight w:val="0"/>
              <w:marTop w:val="0"/>
              <w:marBottom w:val="0"/>
              <w:divBdr>
                <w:top w:val="none" w:sz="0" w:space="0" w:color="auto"/>
                <w:left w:val="none" w:sz="0" w:space="0" w:color="auto"/>
                <w:bottom w:val="none" w:sz="0" w:space="0" w:color="auto"/>
                <w:right w:val="none" w:sz="0" w:space="0" w:color="auto"/>
              </w:divBdr>
              <w:divsChild>
                <w:div w:id="11282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819">
      <w:bodyDiv w:val="1"/>
      <w:marLeft w:val="0"/>
      <w:marRight w:val="0"/>
      <w:marTop w:val="0"/>
      <w:marBottom w:val="0"/>
      <w:divBdr>
        <w:top w:val="none" w:sz="0" w:space="0" w:color="auto"/>
        <w:left w:val="none" w:sz="0" w:space="0" w:color="auto"/>
        <w:bottom w:val="none" w:sz="0" w:space="0" w:color="auto"/>
        <w:right w:val="none" w:sz="0" w:space="0" w:color="auto"/>
      </w:divBdr>
    </w:div>
    <w:div w:id="1323895763">
      <w:bodyDiv w:val="1"/>
      <w:marLeft w:val="0"/>
      <w:marRight w:val="0"/>
      <w:marTop w:val="0"/>
      <w:marBottom w:val="0"/>
      <w:divBdr>
        <w:top w:val="none" w:sz="0" w:space="0" w:color="auto"/>
        <w:left w:val="none" w:sz="0" w:space="0" w:color="auto"/>
        <w:bottom w:val="none" w:sz="0" w:space="0" w:color="auto"/>
        <w:right w:val="none" w:sz="0" w:space="0" w:color="auto"/>
      </w:divBdr>
    </w:div>
    <w:div w:id="1328748574">
      <w:bodyDiv w:val="1"/>
      <w:marLeft w:val="0"/>
      <w:marRight w:val="0"/>
      <w:marTop w:val="0"/>
      <w:marBottom w:val="0"/>
      <w:divBdr>
        <w:top w:val="none" w:sz="0" w:space="0" w:color="auto"/>
        <w:left w:val="none" w:sz="0" w:space="0" w:color="auto"/>
        <w:bottom w:val="none" w:sz="0" w:space="0" w:color="auto"/>
        <w:right w:val="none" w:sz="0" w:space="0" w:color="auto"/>
      </w:divBdr>
    </w:div>
    <w:div w:id="1340541781">
      <w:bodyDiv w:val="1"/>
      <w:marLeft w:val="0"/>
      <w:marRight w:val="0"/>
      <w:marTop w:val="0"/>
      <w:marBottom w:val="0"/>
      <w:divBdr>
        <w:top w:val="none" w:sz="0" w:space="0" w:color="auto"/>
        <w:left w:val="none" w:sz="0" w:space="0" w:color="auto"/>
        <w:bottom w:val="none" w:sz="0" w:space="0" w:color="auto"/>
        <w:right w:val="none" w:sz="0" w:space="0" w:color="auto"/>
      </w:divBdr>
    </w:div>
    <w:div w:id="1345671447">
      <w:bodyDiv w:val="1"/>
      <w:marLeft w:val="0"/>
      <w:marRight w:val="0"/>
      <w:marTop w:val="0"/>
      <w:marBottom w:val="0"/>
      <w:divBdr>
        <w:top w:val="none" w:sz="0" w:space="0" w:color="auto"/>
        <w:left w:val="none" w:sz="0" w:space="0" w:color="auto"/>
        <w:bottom w:val="none" w:sz="0" w:space="0" w:color="auto"/>
        <w:right w:val="none" w:sz="0" w:space="0" w:color="auto"/>
      </w:divBdr>
    </w:div>
    <w:div w:id="1349789575">
      <w:bodyDiv w:val="1"/>
      <w:marLeft w:val="0"/>
      <w:marRight w:val="0"/>
      <w:marTop w:val="0"/>
      <w:marBottom w:val="0"/>
      <w:divBdr>
        <w:top w:val="none" w:sz="0" w:space="0" w:color="auto"/>
        <w:left w:val="none" w:sz="0" w:space="0" w:color="auto"/>
        <w:bottom w:val="none" w:sz="0" w:space="0" w:color="auto"/>
        <w:right w:val="none" w:sz="0" w:space="0" w:color="auto"/>
      </w:divBdr>
    </w:div>
    <w:div w:id="1373000730">
      <w:bodyDiv w:val="1"/>
      <w:marLeft w:val="0"/>
      <w:marRight w:val="0"/>
      <w:marTop w:val="0"/>
      <w:marBottom w:val="0"/>
      <w:divBdr>
        <w:top w:val="none" w:sz="0" w:space="0" w:color="auto"/>
        <w:left w:val="none" w:sz="0" w:space="0" w:color="auto"/>
        <w:bottom w:val="none" w:sz="0" w:space="0" w:color="auto"/>
        <w:right w:val="none" w:sz="0" w:space="0" w:color="auto"/>
      </w:divBdr>
    </w:div>
    <w:div w:id="1403794056">
      <w:bodyDiv w:val="1"/>
      <w:marLeft w:val="0"/>
      <w:marRight w:val="0"/>
      <w:marTop w:val="0"/>
      <w:marBottom w:val="0"/>
      <w:divBdr>
        <w:top w:val="none" w:sz="0" w:space="0" w:color="auto"/>
        <w:left w:val="none" w:sz="0" w:space="0" w:color="auto"/>
        <w:bottom w:val="none" w:sz="0" w:space="0" w:color="auto"/>
        <w:right w:val="none" w:sz="0" w:space="0" w:color="auto"/>
      </w:divBdr>
    </w:div>
    <w:div w:id="1417749612">
      <w:bodyDiv w:val="1"/>
      <w:marLeft w:val="0"/>
      <w:marRight w:val="0"/>
      <w:marTop w:val="0"/>
      <w:marBottom w:val="0"/>
      <w:divBdr>
        <w:top w:val="none" w:sz="0" w:space="0" w:color="auto"/>
        <w:left w:val="none" w:sz="0" w:space="0" w:color="auto"/>
        <w:bottom w:val="none" w:sz="0" w:space="0" w:color="auto"/>
        <w:right w:val="none" w:sz="0" w:space="0" w:color="auto"/>
      </w:divBdr>
    </w:div>
    <w:div w:id="1438214361">
      <w:bodyDiv w:val="1"/>
      <w:marLeft w:val="0"/>
      <w:marRight w:val="0"/>
      <w:marTop w:val="0"/>
      <w:marBottom w:val="0"/>
      <w:divBdr>
        <w:top w:val="none" w:sz="0" w:space="0" w:color="auto"/>
        <w:left w:val="none" w:sz="0" w:space="0" w:color="auto"/>
        <w:bottom w:val="none" w:sz="0" w:space="0" w:color="auto"/>
        <w:right w:val="none" w:sz="0" w:space="0" w:color="auto"/>
      </w:divBdr>
    </w:div>
    <w:div w:id="1443264018">
      <w:bodyDiv w:val="1"/>
      <w:marLeft w:val="0"/>
      <w:marRight w:val="0"/>
      <w:marTop w:val="0"/>
      <w:marBottom w:val="0"/>
      <w:divBdr>
        <w:top w:val="none" w:sz="0" w:space="0" w:color="auto"/>
        <w:left w:val="none" w:sz="0" w:space="0" w:color="auto"/>
        <w:bottom w:val="none" w:sz="0" w:space="0" w:color="auto"/>
        <w:right w:val="none" w:sz="0" w:space="0" w:color="auto"/>
      </w:divBdr>
    </w:div>
    <w:div w:id="1471048328">
      <w:bodyDiv w:val="1"/>
      <w:marLeft w:val="0"/>
      <w:marRight w:val="0"/>
      <w:marTop w:val="0"/>
      <w:marBottom w:val="0"/>
      <w:divBdr>
        <w:top w:val="none" w:sz="0" w:space="0" w:color="auto"/>
        <w:left w:val="none" w:sz="0" w:space="0" w:color="auto"/>
        <w:bottom w:val="none" w:sz="0" w:space="0" w:color="auto"/>
        <w:right w:val="none" w:sz="0" w:space="0" w:color="auto"/>
      </w:divBdr>
    </w:div>
    <w:div w:id="1487428947">
      <w:bodyDiv w:val="1"/>
      <w:marLeft w:val="0"/>
      <w:marRight w:val="0"/>
      <w:marTop w:val="0"/>
      <w:marBottom w:val="0"/>
      <w:divBdr>
        <w:top w:val="none" w:sz="0" w:space="0" w:color="auto"/>
        <w:left w:val="none" w:sz="0" w:space="0" w:color="auto"/>
        <w:bottom w:val="none" w:sz="0" w:space="0" w:color="auto"/>
        <w:right w:val="none" w:sz="0" w:space="0" w:color="auto"/>
      </w:divBdr>
    </w:div>
    <w:div w:id="1548567414">
      <w:bodyDiv w:val="1"/>
      <w:marLeft w:val="0"/>
      <w:marRight w:val="0"/>
      <w:marTop w:val="0"/>
      <w:marBottom w:val="0"/>
      <w:divBdr>
        <w:top w:val="none" w:sz="0" w:space="0" w:color="auto"/>
        <w:left w:val="none" w:sz="0" w:space="0" w:color="auto"/>
        <w:bottom w:val="none" w:sz="0" w:space="0" w:color="auto"/>
        <w:right w:val="none" w:sz="0" w:space="0" w:color="auto"/>
      </w:divBdr>
    </w:div>
    <w:div w:id="1566137374">
      <w:bodyDiv w:val="1"/>
      <w:marLeft w:val="0"/>
      <w:marRight w:val="0"/>
      <w:marTop w:val="0"/>
      <w:marBottom w:val="0"/>
      <w:divBdr>
        <w:top w:val="none" w:sz="0" w:space="0" w:color="auto"/>
        <w:left w:val="none" w:sz="0" w:space="0" w:color="auto"/>
        <w:bottom w:val="none" w:sz="0" w:space="0" w:color="auto"/>
        <w:right w:val="none" w:sz="0" w:space="0" w:color="auto"/>
      </w:divBdr>
    </w:div>
    <w:div w:id="1613711520">
      <w:bodyDiv w:val="1"/>
      <w:marLeft w:val="0"/>
      <w:marRight w:val="0"/>
      <w:marTop w:val="0"/>
      <w:marBottom w:val="0"/>
      <w:divBdr>
        <w:top w:val="none" w:sz="0" w:space="0" w:color="auto"/>
        <w:left w:val="none" w:sz="0" w:space="0" w:color="auto"/>
        <w:bottom w:val="none" w:sz="0" w:space="0" w:color="auto"/>
        <w:right w:val="none" w:sz="0" w:space="0" w:color="auto"/>
      </w:divBdr>
    </w:div>
    <w:div w:id="1639646998">
      <w:bodyDiv w:val="1"/>
      <w:marLeft w:val="0"/>
      <w:marRight w:val="0"/>
      <w:marTop w:val="0"/>
      <w:marBottom w:val="0"/>
      <w:divBdr>
        <w:top w:val="none" w:sz="0" w:space="0" w:color="auto"/>
        <w:left w:val="none" w:sz="0" w:space="0" w:color="auto"/>
        <w:bottom w:val="none" w:sz="0" w:space="0" w:color="auto"/>
        <w:right w:val="none" w:sz="0" w:space="0" w:color="auto"/>
      </w:divBdr>
    </w:div>
    <w:div w:id="1659070623">
      <w:bodyDiv w:val="1"/>
      <w:marLeft w:val="0"/>
      <w:marRight w:val="0"/>
      <w:marTop w:val="0"/>
      <w:marBottom w:val="0"/>
      <w:divBdr>
        <w:top w:val="none" w:sz="0" w:space="0" w:color="auto"/>
        <w:left w:val="none" w:sz="0" w:space="0" w:color="auto"/>
        <w:bottom w:val="none" w:sz="0" w:space="0" w:color="auto"/>
        <w:right w:val="none" w:sz="0" w:space="0" w:color="auto"/>
      </w:divBdr>
    </w:div>
    <w:div w:id="1775324952">
      <w:bodyDiv w:val="1"/>
      <w:marLeft w:val="0"/>
      <w:marRight w:val="0"/>
      <w:marTop w:val="0"/>
      <w:marBottom w:val="0"/>
      <w:divBdr>
        <w:top w:val="none" w:sz="0" w:space="0" w:color="auto"/>
        <w:left w:val="none" w:sz="0" w:space="0" w:color="auto"/>
        <w:bottom w:val="none" w:sz="0" w:space="0" w:color="auto"/>
        <w:right w:val="none" w:sz="0" w:space="0" w:color="auto"/>
      </w:divBdr>
    </w:div>
    <w:div w:id="1795633441">
      <w:bodyDiv w:val="1"/>
      <w:marLeft w:val="0"/>
      <w:marRight w:val="0"/>
      <w:marTop w:val="0"/>
      <w:marBottom w:val="0"/>
      <w:divBdr>
        <w:top w:val="none" w:sz="0" w:space="0" w:color="auto"/>
        <w:left w:val="none" w:sz="0" w:space="0" w:color="auto"/>
        <w:bottom w:val="none" w:sz="0" w:space="0" w:color="auto"/>
        <w:right w:val="none" w:sz="0" w:space="0" w:color="auto"/>
      </w:divBdr>
    </w:div>
    <w:div w:id="1969167125">
      <w:bodyDiv w:val="1"/>
      <w:marLeft w:val="0"/>
      <w:marRight w:val="0"/>
      <w:marTop w:val="0"/>
      <w:marBottom w:val="0"/>
      <w:divBdr>
        <w:top w:val="none" w:sz="0" w:space="0" w:color="auto"/>
        <w:left w:val="none" w:sz="0" w:space="0" w:color="auto"/>
        <w:bottom w:val="none" w:sz="0" w:space="0" w:color="auto"/>
        <w:right w:val="none" w:sz="0" w:space="0" w:color="auto"/>
      </w:divBdr>
    </w:div>
    <w:div w:id="1991975619">
      <w:bodyDiv w:val="1"/>
      <w:marLeft w:val="0"/>
      <w:marRight w:val="0"/>
      <w:marTop w:val="0"/>
      <w:marBottom w:val="0"/>
      <w:divBdr>
        <w:top w:val="none" w:sz="0" w:space="0" w:color="auto"/>
        <w:left w:val="none" w:sz="0" w:space="0" w:color="auto"/>
        <w:bottom w:val="none" w:sz="0" w:space="0" w:color="auto"/>
        <w:right w:val="none" w:sz="0" w:space="0" w:color="auto"/>
      </w:divBdr>
    </w:div>
    <w:div w:id="2000842331">
      <w:bodyDiv w:val="1"/>
      <w:marLeft w:val="0"/>
      <w:marRight w:val="0"/>
      <w:marTop w:val="0"/>
      <w:marBottom w:val="0"/>
      <w:divBdr>
        <w:top w:val="none" w:sz="0" w:space="0" w:color="auto"/>
        <w:left w:val="none" w:sz="0" w:space="0" w:color="auto"/>
        <w:bottom w:val="none" w:sz="0" w:space="0" w:color="auto"/>
        <w:right w:val="none" w:sz="0" w:space="0" w:color="auto"/>
      </w:divBdr>
    </w:div>
    <w:div w:id="2112581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99DC22-AF9D-D044-B3DB-89482FD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9285</Words>
  <Characters>52925</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62086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Premkumar, Preethi</dc:creator>
  <cp:lastModifiedBy>Microsoft Office User</cp:lastModifiedBy>
  <cp:revision>17</cp:revision>
  <cp:lastPrinted>2017-09-26T13:22:00Z</cp:lastPrinted>
  <dcterms:created xsi:type="dcterms:W3CDTF">2018-06-03T21:45:00Z</dcterms:created>
  <dcterms:modified xsi:type="dcterms:W3CDTF">2018-08-11T10:48:00Z</dcterms:modified>
</cp:coreProperties>
</file>