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C8B" w:rsidRPr="00E05FF9" w:rsidRDefault="000F3A41" w:rsidP="004C531E">
      <w:pPr>
        <w:pStyle w:val="RSCM01ReceivedAccepted"/>
      </w:pPr>
      <w:bookmarkStart w:id="0" w:name="_GoBack"/>
      <w:bookmarkEnd w:id="0"/>
      <w:r w:rsidRPr="00E05FF9">
        <mc:AlternateContent>
          <mc:Choice Requires="wps">
            <w:drawing>
              <wp:anchor distT="180340" distB="0" distL="114300" distR="114300" simplePos="0" relativeHeight="251662336" behindDoc="1" locked="1" layoutInCell="0" allowOverlap="0" wp14:anchorId="794F6FA0" wp14:editId="777A44EF">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1361FD" w:rsidRDefault="001361FD" w:rsidP="001361FD">
                            <w:pPr>
                              <w:pStyle w:val="RSCF01FootnoteAuthorAddress"/>
                            </w:pPr>
                            <w:r>
                              <w:t xml:space="preserve">School of Engineering and Materials Science, Queen Mary, University of London, Mile End Road, E14NS,London, UK </w:t>
                            </w:r>
                          </w:p>
                          <w:p w:rsidR="00AD61C9" w:rsidRDefault="001361FD" w:rsidP="00C405FD">
                            <w:pPr>
                              <w:pStyle w:val="RSCF01FootnoteAuthorAddress"/>
                            </w:pPr>
                            <w:r>
                              <w:t>School of Chemistry, University of Manchester, Oxford Road, M13 9NJ, Manchester, UK</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794F6FA0"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361FD" w:rsidRDefault="001361FD" w:rsidP="001361FD">
                      <w:pPr>
                        <w:pStyle w:val="RSCF01FootnoteAuthorAddress"/>
                      </w:pPr>
                      <w:r>
                        <w:t xml:space="preserve">School of Engineering and Materials Science, Queen Mary, University of London, Mile End Road, E14NS,London, UK </w:t>
                      </w:r>
                    </w:p>
                    <w:p w:rsidR="00AD61C9" w:rsidRDefault="001361FD" w:rsidP="00C405FD">
                      <w:pPr>
                        <w:pStyle w:val="RSCF01FootnoteAuthorAddress"/>
                      </w:pPr>
                      <w:r>
                        <w:t>School of Chemistry, University of Manchester, Oxford Road, M13 9NJ, Manchester, UK</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E05FF9">
        <w:t>Received 00th January 20</w:t>
      </w:r>
      <w:r w:rsidR="00F15F90" w:rsidRPr="00E05FF9">
        <w:t>xx</w:t>
      </w:r>
      <w:r w:rsidR="00F62C8B" w:rsidRPr="00E05FF9">
        <w:t>,</w:t>
      </w:r>
    </w:p>
    <w:p w:rsidR="00F62C8B" w:rsidRPr="00E05FF9" w:rsidRDefault="00F62C8B" w:rsidP="004C531E">
      <w:pPr>
        <w:pStyle w:val="RSCM01ReceivedAccepted"/>
      </w:pPr>
      <w:r w:rsidRPr="00E05FF9">
        <w:t>Accepted 00th January 20</w:t>
      </w:r>
      <w:r w:rsidR="00F15F90" w:rsidRPr="00E05FF9">
        <w:t>xx</w:t>
      </w:r>
    </w:p>
    <w:p w:rsidR="00F62C8B" w:rsidRPr="00E05FF9" w:rsidRDefault="00F62C8B" w:rsidP="004C531E">
      <w:pPr>
        <w:pStyle w:val="RSCM02DOI"/>
        <w:rPr>
          <w:lang w:val="pt-BR"/>
        </w:rPr>
      </w:pPr>
      <w:r w:rsidRPr="00E05FF9">
        <w:rPr>
          <w:lang w:val="pt-BR"/>
        </w:rPr>
        <w:t>DOI: 10.1039/x0xx00000x</w:t>
      </w:r>
    </w:p>
    <w:p w:rsidR="00A9649E" w:rsidRPr="00075106" w:rsidRDefault="00A9649E" w:rsidP="004C531E">
      <w:pPr>
        <w:pStyle w:val="RSCM03Website"/>
        <w:rPr>
          <w:lang w:val="pt-BR"/>
        </w:rPr>
      </w:pPr>
      <w:r w:rsidRPr="00075106">
        <w:rPr>
          <w:lang w:val="pt-BR"/>
        </w:rPr>
        <w:t>www.rsc.org/</w:t>
      </w:r>
    </w:p>
    <w:p w:rsidR="004414A5" w:rsidRPr="00E05FF9" w:rsidRDefault="00F62C8B" w:rsidP="00E05FF9">
      <w:pPr>
        <w:pStyle w:val="RSCH01PaperTitle"/>
      </w:pPr>
      <w:r w:rsidRPr="00E73899">
        <w:br w:type="column"/>
      </w:r>
      <w:r w:rsidR="00F83B66">
        <w:lastRenderedPageBreak/>
        <w:t>P</w:t>
      </w:r>
      <w:r w:rsidR="00085AAF" w:rsidRPr="00E05FF9">
        <w:rPr>
          <w:rStyle w:val="Heading1Char"/>
          <w:rFonts w:asciiTheme="minorHAnsi" w:eastAsiaTheme="minorHAnsi" w:hAnsiTheme="minorHAnsi" w:cs="Times New Roman"/>
          <w:b/>
          <w:bCs w:val="0"/>
          <w:color w:val="auto"/>
          <w:sz w:val="29"/>
          <w:szCs w:val="32"/>
        </w:rPr>
        <w:t>lasmon enhanced visible light photocatalysis for TiO</w:t>
      </w:r>
      <w:r w:rsidR="00085AAF" w:rsidRPr="00986AEB">
        <w:rPr>
          <w:rStyle w:val="Heading1Char"/>
          <w:rFonts w:asciiTheme="minorHAnsi" w:eastAsiaTheme="minorHAnsi" w:hAnsiTheme="minorHAnsi" w:cs="Times New Roman"/>
          <w:b/>
          <w:bCs w:val="0"/>
          <w:color w:val="auto"/>
          <w:sz w:val="29"/>
          <w:szCs w:val="32"/>
          <w:vertAlign w:val="subscript"/>
        </w:rPr>
        <w:t>2</w:t>
      </w:r>
      <w:r w:rsidR="007A02ED" w:rsidRPr="00E05FF9">
        <w:rPr>
          <w:rStyle w:val="Heading1Char"/>
          <w:rFonts w:asciiTheme="minorHAnsi" w:eastAsiaTheme="minorHAnsi" w:hAnsiTheme="minorHAnsi" w:cs="Times New Roman"/>
          <w:b/>
          <w:bCs w:val="0"/>
          <w:color w:val="auto"/>
          <w:sz w:val="29"/>
          <w:szCs w:val="32"/>
        </w:rPr>
        <w:t xml:space="preserve"> supported Pd nanoparticles</w:t>
      </w:r>
    </w:p>
    <w:p w:rsidR="00670ED4" w:rsidRPr="00E05FF9" w:rsidRDefault="002253AE" w:rsidP="00F21465">
      <w:pPr>
        <w:pStyle w:val="RSCH02PaperAuthorsandByline"/>
        <w:sectPr w:rsidR="00670ED4" w:rsidRPr="00E05FF9"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E05FF9">
        <w:t>A. M. Lacerda</w:t>
      </w:r>
      <w:r w:rsidR="00CC7C64" w:rsidRPr="00E05FF9">
        <w:t>,</w:t>
      </w:r>
      <w:r w:rsidR="00CC7C64" w:rsidRPr="00E05FF9">
        <w:rPr>
          <w:vertAlign w:val="superscript"/>
        </w:rPr>
        <w:t>a</w:t>
      </w:r>
      <w:r w:rsidR="00CC7C64" w:rsidRPr="00E05FF9">
        <w:t xml:space="preserve"> </w:t>
      </w:r>
      <w:r w:rsidRPr="00E05FF9">
        <w:t>I. Larrosa*</w:t>
      </w:r>
      <w:r w:rsidR="00CC7C64" w:rsidRPr="00E05FF9">
        <w:rPr>
          <w:vertAlign w:val="superscript"/>
        </w:rPr>
        <w:t>b</w:t>
      </w:r>
      <w:r w:rsidR="00CC7C64" w:rsidRPr="00E05FF9">
        <w:t xml:space="preserve"> and </w:t>
      </w:r>
      <w:r w:rsidRPr="00E05FF9">
        <w:t>S. Dunn*</w:t>
      </w:r>
      <w:r w:rsidRPr="00E05FF9">
        <w:rPr>
          <w:vertAlign w:val="superscript"/>
        </w:rPr>
        <w:t>a</w:t>
      </w:r>
    </w:p>
    <w:p w:rsidR="00180ABE" w:rsidRPr="00E05FF9" w:rsidRDefault="00085AAF" w:rsidP="00F21465">
      <w:pPr>
        <w:pStyle w:val="RSCB01COMAbstract"/>
        <w:rPr>
          <w:rStyle w:val="06CHeading"/>
          <w:rFonts w:ascii="Calibri" w:hAnsi="Calibri" w:cstheme="minorBidi"/>
          <w:b/>
          <w:bCs/>
          <w:smallCaps w:val="0"/>
          <w:w w:val="100"/>
          <w:sz w:val="16"/>
          <w:szCs w:val="22"/>
        </w:rPr>
      </w:pPr>
      <w:r w:rsidRPr="00E05FF9">
        <w:lastRenderedPageBreak/>
        <w:t xml:space="preserve"> A photocatalyst consisting of nanostructured Pd photochemically deposited on 20nm TiO</w:t>
      </w:r>
      <w:r w:rsidRPr="00E05FF9">
        <w:rPr>
          <w:vertAlign w:val="subscript"/>
        </w:rPr>
        <w:t>2</w:t>
      </w:r>
      <w:r w:rsidRPr="00E05FF9">
        <w:t xml:space="preserve"> displays a reaction half-life for rhodamine b decolourisation of 0.5 minutes compared to the 9.4 minutes for </w:t>
      </w:r>
      <w:r w:rsidR="001211D0" w:rsidRPr="001211D0">
        <w:rPr>
          <w:u w:val="single"/>
        </w:rPr>
        <w:t>unmodified</w:t>
      </w:r>
      <w:r w:rsidRPr="00E05FF9">
        <w:t xml:space="preserve"> </w:t>
      </w:r>
      <w:r w:rsidR="009563B0">
        <w:t>P25</w:t>
      </w:r>
      <w:r w:rsidRPr="00E05FF9">
        <w:t xml:space="preserve"> under identical reaction conditions. We associate this increase decolourisation rate to the increase in solar light harvesting which we have measured at 8% due to a significant red shift in the absorption profile of the catalyst. We associate the increased absorption of light with a visible active plasmon </w:t>
      </w:r>
      <w:r w:rsidR="00345DB9">
        <w:t xml:space="preserve">effect </w:t>
      </w:r>
      <w:r w:rsidRPr="00E05FF9">
        <w:t>that is associated with the Pd nanostructures on the TiO</w:t>
      </w:r>
      <w:r w:rsidRPr="00E05FF9">
        <w:rPr>
          <w:vertAlign w:val="subscript"/>
        </w:rPr>
        <w:t>2</w:t>
      </w:r>
      <w:r w:rsidRPr="00E05FF9">
        <w:t>. This overall red-shift in the light harvesting for the catalyst leads to photocatalytic activity for excitations up to 600 nm.</w:t>
      </w:r>
    </w:p>
    <w:p w:rsidR="00085AAF" w:rsidRPr="003A2630" w:rsidRDefault="00085AAF" w:rsidP="00085AAF">
      <w:pPr>
        <w:pStyle w:val="RSCB02ArticleText"/>
      </w:pPr>
      <w:r w:rsidRPr="00E05FF9">
        <w:t>The use of commercial dyes by manufacturing industries such as the textile, pharmaceutical, paint and cosmetic industries regularly results in the release of excess contaminants into the local environment posing a threat to both aquatic and human populations.</w:t>
      </w:r>
      <w:r w:rsidRPr="00E05FF9">
        <w:fldChar w:fldCharType="begin" w:fldLock="1"/>
      </w:r>
      <w:r w:rsidR="003A2630">
        <w:instrText>ADDIN CSL_CITATION { "citationItems" : [ { "id" : "ITEM-1", "itemData" : { "DOI" : "http://dx.doi.org/10.1016/j.watres.2010.02.039", "ISSN" : "0043-1354", "abstract" : "In recent years, semiconductor photocatalytic process has shown a great potential as a low-cost, environmental friendly and sustainable treatment technology to align with the \u201czero\u201d waste scheme in the water/wastewater industry. The ability of this advanced oxidation technology has been widely demonstrated to remove persistent organic compounds and microorganisms in water. At present, the main technical barriers that impede its commercialisation remained on the post-recovery of the catalyst particles after water treatment.  This paper reviews the recent R&amp;amp;D progresses of engineered-photocatalysts, photoreactor systems, and the process optimizations and modellings of the photooxidation processes for water treatment. A number of potential and commercial photocatalytic reactor configurations are discussed, in particular the photocatalytic membrane reactors. The effects of key photoreactor operation parameters and water quality on the photo-process performances in terms of the mineralization and disinfection are assessed. For the first time, we describe how to utilize a multi-variables optimization approach to determine the optimum operation parameters so as to enhance process performance and photooxidation efficiency. Both photomineralization and photo-disinfection kinetics and their modellings associated with the photocatalytic water treatment process are detailed. A brief discussion on the life cycle assessment for retrofitting the photocatalytic technology as an alternative waste treatment process is presented. This paper will deliver a scientific and technical overview and useful information to scientists and engineers who work in this field.", "author" : [ { "dropping-particle" : "", "family" : "Chong", "given" : "Meng Nan", "non-dropping-particle" : "", "parse-names" : false, "suffix" : "" }, { "dropping-particle" : "", "family" : "Jin", "given" : "Bo", "non-dropping-particle" : "", "parse-names" : false, "suffix" : "" }, { "dropping-particle" : "", "family" : "Chow", "given" : "Christopher W K", "non-dropping-particle" : "", "parse-names" : false, "suffix" : "" }, { "dropping-particle" : "", "family" : "Saint", "given" : "Chris", "non-dropping-particle" : "", "parse-names" : false, "suffix" : "" } ], "container-title" : "Water Research", "id" : "ITEM-1", "issue" : "10", "issued" : { "date-parts" : [ [ "2010", "5" ] ] }, "page" : "2997-3027", "title" : "Recent developments in photocatalytic water treatment technology: A review", "type" : "article-journal", "volume" : "44" }, "uris" : [ "http://www.mendeley.com/documents/?uuid=02869039-8e44-437a-8744-73b14d4af21d" ] } ], "mendeley" : { "formattedCitation" : "&lt;sup&gt;1&lt;/sup&gt;", "plainTextFormattedCitation" : "1", "previouslyFormattedCitation" : "&lt;sup&gt;1&lt;/sup&gt;" }, "properties" : { "noteIndex" : 0 }, "schema" : "https://github.com/citation-style-language/schema/raw/master/csl-citation.json" }</w:instrText>
      </w:r>
      <w:r w:rsidRPr="00E05FF9">
        <w:fldChar w:fldCharType="separate"/>
      </w:r>
      <w:r w:rsidRPr="00E05FF9">
        <w:rPr>
          <w:noProof/>
          <w:vertAlign w:val="superscript"/>
        </w:rPr>
        <w:t>1</w:t>
      </w:r>
      <w:r w:rsidRPr="00E05FF9">
        <w:fldChar w:fldCharType="end"/>
      </w:r>
      <w:r w:rsidRPr="00E05FF9">
        <w:t xml:space="preserve"> A promising method for the effective treatment of this industrial effluent is via photocatalysis. Of the photocatalytic materials used in the remediation of environmental pollution, titanium dioxide (TiO</w:t>
      </w:r>
      <w:r w:rsidRPr="00E05FF9">
        <w:rPr>
          <w:vertAlign w:val="subscript"/>
        </w:rPr>
        <w:t>2</w:t>
      </w:r>
      <w:r w:rsidRPr="00E05FF9">
        <w:t>) has been one of the most studied catalysts</w:t>
      </w:r>
      <w:r w:rsidR="00EF7462">
        <w:t>.</w:t>
      </w:r>
      <w:r w:rsidRPr="00E05FF9">
        <w:fldChar w:fldCharType="begin" w:fldLock="1"/>
      </w:r>
      <w:r w:rsidR="003A2630">
        <w:instrText>ADDIN CSL_CITATION { "citationItems" : [ { "id" : "ITEM-1", "itemData" : { "DOI" : "10.1021/es00046a003", "ISBN" : "0013-936X", "ISSN" : "0013-936X", "abstract" : "Laboratory experiments were performed to investigate TiO2 photocatalysis for treating water contaminated with dissolved metals (Ag, Au, Cd, Cr, Cu, Hg, Ni, and Pt) and a variety of organics (e.g., methanol, formic acid, salicylic acid, EDTA, phenol,and nitrobenzene). It was found that only those metals with half-reaction standard reduction potentials more positive than 0.3 V (vs normal hydrogen electrode) can be treated using TiO2 as the photocatalyst. Kinetic data illustrating the synergism between oxidation and reduction are presented. Experiments using singly substituted benzenes as electron donors show that the rate of reduction of Cr(VI) is correlated with Hammett sigma constants. Photoefficiencies approaching 85% were measured for the conversion of Cr(VI) to Cr(III) using citric acid as the reductant. In contrast, photoefficiency was only 4% when oxidizing salicylic acid using O2 as the oxidant. It is concluded that efficient designs of photocatalytic systems for wastewater treatment must take into account both oxidation and reduction processes.", "author" : [ { "dropping-particle" : "", "family" : "Prairie", "given" : "Michael R.", "non-dropping-particle" : "", "parse-names" : false, "suffix" : "" }, { "dropping-particle" : "", "family" : "Evans", "given" : "Lindsey R.", "non-dropping-particle" : "", "parse-names" : false, "suffix" : "" }, { "dropping-particle" : "", "family" : "Stange", "given" : "Bertha M.", "non-dropping-particle" : "", "parse-names" : false, "suffix" : "" }, { "dropping-particle" : "", "family" : "Martinez", "given" : "Sheryl L.", "non-dropping-particle" : "", "parse-names" : false, "suffix" : "" } ], "container-title" : "Environmental Science &amp; Technology", "id" : "ITEM-1", "issue" : "9", "issued" : { "date-parts" : [ [ "1993" ] ] }, "page" : "1776-1782", "title" : "An investigation of titanium dioxide photocatalysis for the treatment of water contaminated with metals and organic chemicals", "type" : "article-journal", "volume" : "27" }, "uris" : [ "http://www.mendeley.com/documents/?uuid=ec8d5691-6ba3-4740-b257-01a46add0d9c", "http://www.mendeley.com/documents/?uuid=61c65956-6fa5-4d58-a44e-8c0fbda4ae12" ] }, { "id" : "ITEM-2", "itemData" : { "DOI" : "10.1021/cr00033a004", "ISBN" : "0009-2665", "author" : [ { "dropping-particle" : "", "family" : "Hoffmann", "given" : "Michael R", "non-dropping-particle" : "", "parse-names" : false, "suffix" : "" }, { "dropping-particle" : "", "family" : "Martin", "given" : "Scot T", "non-dropping-particle" : "", "parse-names" : false, "suffix" : "" }, { "dropping-particle" : "", "family" : "Choi", "given" : "Wonyong", "non-dropping-particle" : "", "parse-names" : false, "suffix" : "" }, { "dropping-particle" : "", "family" : "Bahnemann", "given" : "Detlef W", "non-dropping-particle" : "", "parse-names" : false, "suffix" : "" } ], "container-title" : "Chemical Reviews", "id" : "ITEM-2", "issue" : "1", "issued" : { "date-parts" : [ [ "1995" ] ] }, "page" : "69-96", "publisher" : "American Chemical Society", "title" : "Environmental Applications of Semiconductor Photocatalysis", "type" : "article-journal", "volume" : "95" }, "uris" : [ "http://www.mendeley.com/documents/?uuid=bf8949a3-c76b-4b53-8d51-d278373feec6" ] }, { "id" : "ITEM-3", "itemData" : { "DOI" : "10.1021/cr0500535", "ISSN" : "0009-2665", "PMID" : "17590053", "author" : [ { "dropping-particle" : "", "family" : "Chen", "given" : "Xiaobo", "non-dropping-particle" : "", "parse-names" : false, "suffix" : "" }, { "dropping-particle" : "", "family" : "Mao", "given" : "Samuel S", "non-dropping-particle" : "", "parse-names" : false, "suffix" : "" } ], "container-title" : "Chemical reviews", "id" : "ITEM-3", "issue" : "7", "issued" : { "date-parts" : [ [ "2007", "7" ] ] }, "page" : "2891-959", "title" : "Titanium dioxide nanomaterials: synthesis, properties, modifications, and applications.", "type" : "article-journal", "volume" : "107" }, "uris" : [ "http://www.mendeley.com/documents/?uuid=d791b9de-0aa6-4613-a1b3-948f43f3c095", "http://www.mendeley.com/documents/?uuid=ae5893eb-9002-4d2a-a884-3ba166f41d2a" ] }, { "id" : "ITEM-4", "itemData" : { "DOI" : "10.1021/jp204364a", "ISSN" : "1520-5215", "PMID" : "21919459", "abstract" : "Titania is one of the most widely used benchmark standard photocatalysts in the field of environmental applications. However, the large band gap of titania and massive recombination of photogenerated charge carriers limit its overall photocatalytic efficiency. The former can be overcome by modifying the electronic band structure of titania including various strategies like coupling with a narrow band gap semiconductor, metal ion/nonmetal ion doping, codoping with two or more foreign ions, surface sensitization by organic dyes or metal complexes, and noble metal deposition. The latter can be corrected by changing the surface properties of titania by fluorination or sulfation or by the addition of suitable electron acceptors besides molecular oxygen in the reaction medium. This review encompasses several advancements made in these aspects, and also some of the new physical insights related to the charge transfer events like charge carrier generation, trapping, detrapping, and their transfer to surface are discussed for each strategy of the modified titania to support the conclusions derived. The synergistic effects in the mixed polymorphs of titania and also the theories proposed for their enhanced activity are reported. A recent venture on the synthesis and applications of anatase titania with a large percentage of reactive {001} facets and their band gap extension to the visible region via nonmetal ion doping which is a current hot topic is briefly outlined.", "author" : [ { "dropping-particle" : "", "family" : "Kumar", "given" : "S Girish", "non-dropping-particle" : "", "parse-names" : false, "suffix" : "" }, { "dropping-particle" : "", "family" : "Devi", "given" : "L Gomathi", "non-dropping-particle" : "", "parse-names" : false, "suffix" : "" } ], "container-title" : "The Journal of Physical Chemistry A", "id" : "ITEM-4", "issue" : "46", "issued" : { "date-parts" : [ [ "2011", "12" ] ] }, "page" : "13211-41", "title" : "Review on modified TiO2 photocatalysis under UV/visible light: selected results and related mechanisms on interfacial charge carrier transfer dynamics.", "type" : "article-journal", "volume" : "115" }, "uris" : [ "http://www.mendeley.com/documents/?uuid=0a51a3aa-1e9b-419e-9f5e-0e005faafb43", "http://www.mendeley.com/documents/?uuid=f2ff007e-802d-4422-9c21-1ea30237926c" ] }, { "id" : "ITEM-5", "itemData" : { "DOI" : "10.1021/cr00035a013", "ISBN" : "0009-2665", "author" : [ { "dropping-particle" : "", "family" : "Linsebigler", "given" : "Amy L", "non-dropping-particle" : "", "parse-names" : false, "suffix" : "" }, { "dropping-particle" : "", "family" : "Lu", "given" : "Guangquan", "non-dropping-particle" : "", "parse-names" : false, "suffix" : "" }, { "dropping-particle" : "", "family" : "Yates", "given" : "John T", "non-dropping-particle" : "", "parse-names" : false, "suffix" : "" } ], "container-title" : "Chemical Reviews", "id" : "ITEM-5", "issue" : "3", "issued" : { "date-parts" : [ [ "1995" ] ] }, "page" : "735-758", "publisher" : "American Chemical Society", "title" : "Photocatalysis on TiO2 Surfaces: Principles, Mechanisms, and Selected Results", "type" : "article-journal", "volume" : "95" }, "uris" : [ "http://www.mendeley.com/documents/?uuid=dcc5fe4e-16ad-4292-8c7f-026560b2caf9" ] } ], "mendeley" : { "formattedCitation" : "&lt;sup&gt;2\u20136&lt;/sup&gt;", "plainTextFormattedCitation" : "2\u20136", "previouslyFormattedCitation" : "&lt;sup&gt;2\u20136&lt;/sup&gt;" }, "properties" : { "noteIndex" : 0 }, "schema" : "https://github.com/citation-style-language/schema/raw/master/csl-citation.json" }</w:instrText>
      </w:r>
      <w:r w:rsidRPr="00E05FF9">
        <w:fldChar w:fldCharType="separate"/>
      </w:r>
      <w:r w:rsidR="00EF7462" w:rsidRPr="00EF7462">
        <w:rPr>
          <w:noProof/>
          <w:vertAlign w:val="superscript"/>
        </w:rPr>
        <w:t>2–6</w:t>
      </w:r>
      <w:r w:rsidRPr="00E05FF9">
        <w:fldChar w:fldCharType="end"/>
      </w:r>
      <w:r w:rsidRPr="00E05FF9">
        <w:t xml:space="preserve"> Due to its low toxicity, high chemical stability and photosensitivity, TiO</w:t>
      </w:r>
      <w:r w:rsidRPr="00E05FF9">
        <w:rPr>
          <w:vertAlign w:val="subscript"/>
        </w:rPr>
        <w:t>2</w:t>
      </w:r>
      <w:r w:rsidRPr="00E05FF9">
        <w:t xml:space="preserve"> is a promising material in a wide range of applications from environmental depollution to the production of solar fuels.</w:t>
      </w:r>
      <w:r w:rsidRPr="00E05FF9">
        <w:fldChar w:fldCharType="begin" w:fldLock="1"/>
      </w:r>
      <w:r w:rsidR="003A2630">
        <w:instrText>ADDIN CSL_CITATION { "citationItems" : [ { "id" : "ITEM-1", "itemData" : { "author" : [ { "dropping-particle" : "", "family" : "Roy", "given" : "SC", "non-dropping-particle" : "", "parse-names" : false, "suffix" : "" }, { "dropping-particle" : "", "family" : "Varghese", "given" : "OK", "non-dropping-particle" : "", "parse-names" : false, "suffix" : "" }, { "dropping-particle" : "", "family" : "Paulose", "given" : "Maggie", "non-dropping-particle" : "", "parse-names" : false, "suffix" : "" }, { "dropping-particle" : "", "family" : "Grimes", "given" : "CA", "non-dropping-particle" : "", "parse-names" : false, "suffix" : "" } ], "container-title" : "Acs Nano", "id" : "ITEM-1", "issue" : "3", "issued" : { "date-parts" : [ [ "2010" ] ] }, "page" : "1259-1278", "title" : "Toward solar fuels: Photocatalytic conversion of carbon dioxide to hydrocarbons", "type" : "article-journal", "volume" : "4" }, "uris" : [ "http://www.mendeley.com/documents/?uuid=4f20cdb1-b2f2-4166-b4f8-63eb5d9cfb94", "http://www.mendeley.com/documents/?uuid=ad23a098-43a8-4327-ab4b-6d60797b767b" ] }, { "id" : "ITEM-2", "itemData" : { "DOI" : "10.1038/353737a0", "ISBN" : "0028-0836, 0028-0836", "ISSN" : "0028-0836", "PMID" : "20394051", "abstract" : "The large-scale use of photovoltaic devices for electricity generation is prohibitively expensive at present: generation from existing commercial devices costs about ten times more than conventional methods. Here we describe a photovoltaic, created from low- to medium-purity materials through low-cost processes, which exhibits a commercially realistic energy-conversion efficiency.", "author" : [ { "dropping-particle" : "", "family" : "O'Regan", "given" : "Brian", "non-dropping-particle" : "", "parse-names" : false, "suffix" : "" }, { "dropping-particle" : "", "family" : "Gr\u00e4tzel", "given" : "Michael", "non-dropping-particle" : "", "parse-names" : false, "suffix" : "" } ], "container-title" : "Nature", "id" : "ITEM-2", "issue" : "6346", "issued" : { "date-parts" : [ [ "1991" ] ] }, "page" : "737-740", "title" : "A low-cost, high-efficiency solar cell based on dye-sensitized colloidal TiO2 films", "type" : "article-journal", "volume" : "353" }, "uris" : [ "http://www.mendeley.com/documents/?uuid=7d5a2a34-e494-4a6a-a2fb-d59e06aa4208", "http://www.mendeley.com/documents/?uuid=f792396e-43b1-481a-82fc-42b72753d4a3" ] }, { "id" : "ITEM-3", "itemData" : { "DOI" : "10.1021/ja00039a039", "ISBN" : "0002-7863", "ISSN" : "0002-7863", "abstract" : "Our earlier theoretical analysis suggested that the quantum efficiency of photoassisted oxidation of organic compounds in water by O2 on n-TiO, surfaces can be limited by the kinetics of the reduction of 0,. When the rate of 0, reduction is not sufficiently fast to match the rate of reaction of holes, an excess of electrons will accumulate on the Ti02 particles, and the rate of electron-hole recombination will increase. We now show experimentally that electrons do indeed accumulate on slurried Ti0, particles during photoassisted oxidation of 1.6 M aqueous methanol and that electrons on the slurried particles persist for at least - 1 min even in O,-saturated solutions. The rate of particle depolarization, i.e. of electron transfer to dissolved 02i,s increased and the negative charge on the Ti02p articles is completely eliminated upon incorporation of Pdo in the surface of the TiO, particles. We also show that incorporation of Pdo in the surface increases the quantum efficiency of the photoassisted oxidation of M aqueous 2,2-dichloropropionate 3-fold at 0.01 wt % Pd and 7-fold at 2 wt % Pd.", "author" : [ { "dropping-particle" : "", "family" : "Wang", "given" : "Choung-Mou", "non-dropping-particle" : "", "parse-names" : false, "suffix" : "" }, { "dropping-particle" : "", "family" : "Gerischer", "given" : "Heinz", "non-dropping-particle" : "", "parse-names" : false, "suffix" : "" }, { "dropping-particle" : "", "family" : "Heller", "given" : "Adam", "non-dropping-particle" : "", "parse-names" : false, "suffix" : "" } ], "container-title" : "Journal of the American Chemical Society", "id" : "ITEM-3", "issue" : "17", "issued" : { "date-parts" : [ [ "1992" ] ] }, "page" : "5230-5234", "title" : "Palladium Catalysis of O2 Reduction by Electrons Accumulated on Ti02 Particles during Photoassisted Oxidation of Organic Compounds", "type" : "article-journal", "volume" : "114" }, "uris" : [ "http://www.mendeley.com/documents/?uuid=92869abc-0772-4d36-9ec0-9e894eb8d8c5", "http://www.mendeley.com/documents/?uuid=9f934d26-e1d5-4cfe-a6f8-b6d12a2f0a09" ] }, { "id" : "ITEM-4", "itemData" : { "author" : [ { "dropping-particle" : "", "family" : "Zhao", "given" : "J", "non-dropping-particle" : "", "parse-names" : false, "suffix" : "" }, { "dropping-particle" : "", "family" : "Wu", "given" : "T", "non-dropping-particle" : "", "parse-names" : false, "suffix" : "" }, { "dropping-particle" : "", "family" : "Wu", "given" : "Kaiqun", "non-dropping-particle" : "", "parse-names" : false, "suffix" : "" }, { "dropping-particle" : "", "family" : "Oikawa", "given" : "Kyoko", "non-dropping-particle" : "", "parse-names" : false, "suffix" : "" } ], "container-title" : "Environmental Science and Technology", "id" : "ITEM-4", "issue" : "16", "issued" : { "date-parts" : [ [ "1998" ] ] }, "page" : "2394-2400", "title" : "Photoassisted degradation of dye pollutants. 3. Degradation of the cationic dye rhodamine B in aqueous anionic surfactant/TiO2 dispersions under visible light irradiation: Evidence", "type" : "article-journal", "volume" : "32" }, "uris" : [ "http://www.mendeley.com/documents/?uuid=5a8f28c3-1ede-4986-a5c1-67e96f5a0c84", "http://www.mendeley.com/documents/?uuid=fca35084-407d-4179-b225-9fc022cc2462" ] }, { "id" : "ITEM-5", "itemData" : { "author" : [ { "dropping-particle" : "", "family" : "Wu", "given" : "Taixing", "non-dropping-particle" : "", "parse-names" : false, "suffix" : "" }, { "dropping-particle" : "", "family" : "Liu", "given" : "Guangming", "non-dropping-particle" : "", "parse-names" : false, "suffix" : "" }, { "dropping-particle" : "", "family" : "Zhao", "given" : "Jincai", "non-dropping-particle" : "", "parse-names" : false, "suffix" : "" }, { "dropping-particle" : "", "family" : "Serpone", "given" : "Nick", "non-dropping-particle" : "", "parse-names" : false, "suffix" : "" } ], "container-title" : "Journal of Physical Chemistry B", "id" : "ITEM-5", "issue" : "1", "issued" : { "date-parts" : [ [ "1998" ] ] }, "page" : "5845-5851", "title" : "Photoassisted degradation of dye pollutants. V. Self-photosensitized oxidative transformation of rhodamine B under visible light irradiation in aqueous TiO2", "type" : "article-journal", "volume" : "5647" }, "uris" : [ "http://www.mendeley.com/documents/?uuid=272bf298-c479-4094-ab2a-b22fb1e103f1", "http://www.mendeley.com/documents/?uuid=6aa4f565-30d9-4a72-afca-20a2b659e184" ] }, { "id" : "ITEM-6", "itemData" : { "ISBN" : "9180236006", "author" : [ { "dropping-particle" : "", "family" : "Aarthi", "given" : "T", "non-dropping-particle" : "", "parse-names" : false, "suffix" : "" }, { "dropping-particle" : "", "family" : "Madras", "given" : "Giridhar", "non-dropping-particle" : "", "parse-names" : false, "suffix" : "" } ], "container-title" : "Industrial &amp; engineering chemistry research", "id" : "ITEM-6", "issued" : { "date-parts" : [ [ "2007" ] ] }, "page" : "7-14", "title" : "Photocatalytic degradation of rhodamine dyes with nano-TiO2", "type" : "article-journal" }, "uris" : [ "http://www.mendeley.com/documents/?uuid=96abbba1-9ebd-4abf-bdac-fc9244d0bd12", "http://www.mendeley.com/documents/?uuid=a776fad7-526d-4b1c-b156-16d6797b8f1e" ] }, { "id" : "ITEM-7", "itemData" : { "DOI" : "10.1021/nl104005n", "ISBN" : "1530-6984", "ISSN" : "15306984", "PMID" : "21319840", "abstract" : "We demonstrate plasmonic enhancement of photocatalytic water splitting under visible illumination by integrating strongly plasmonic Au nanoparticles with strongly catalytic TiO2. Under visible illumination, we observe enhancements of up to 66\u00d7 in the photocatalytic splitting of water in TiO2 with the addition of Au nanoparticles. Above the plasmon resonance, under ultraviolet radiation we observe a 4-fold reduction in the photocatalytic activity. Electromagnetic simulations indicate that the improvement of photocatalytic activity in the visible range is caused by the local electric field enhancement near the TiO2 surface, rather than by the direct transfer of charge between the two materials. Here, the near-field optical enhancement increases the electron-hole pair generation rate at the surface of the TiO2, thus increasing the amount of photogenerated charge contributing to catalysis. This mechanism of enhancement is particularly effective because of the relatively short exciton diffusion length (or minority carrier diffusion length), which otherwise limits the photocatalytic performance. Our results suggest that enhancement factors many times larger than this are possible if this mechanism can be optimized.", "author" : [ { "dropping-particle" : "", "family" : "Liu", "given" : "Zuwei", "non-dropping-particle" : "", "parse-names" : false, "suffix" : "" }, { "dropping-particle" : "", "family" : "Hou", "given" : "Wenbo", "non-dropping-particle" : "", "parse-names" : false, "suffix" : "" }, { "dropping-particle" : "", "family" : "Pavaskar", "given" : "Prathamesh", "non-dropping-particle" : "", "parse-names" : false, "suffix" : "" }, { "dropping-particle" : "", "family" : "Aykol", "given" : "Mehmet", "non-dropping-particle" : "", "parse-names" : false, "suffix" : "" }, { "dropping-particle" : "", "family" : "Cronin", "given" : "Stephen B.", "non-dropping-particle" : "", "parse-names" : false, "suffix" : "" } ], "container-title" : "Nano Letters", "id" : "ITEM-7", "issued" : { "date-parts" : [ [ "2011" ] ] }, "page" : "1111-1116", "title" : "Plasmon resonant enhancement of photocatalytic water splitting under visible illumination", "type" : "article-journal", "volume" : "11" }, "uris" : [ "http://www.mendeley.com/documents/?uuid=a7a4e83b-0dfe-481d-9f5c-017bc083cef3", "http://www.mendeley.com/documents/?uuid=f1d4999d-365d-4ec7-b16a-a1e2283ce38c" ] } ], "mendeley" : { "formattedCitation" : "&lt;sup&gt;7\u201313&lt;/sup&gt;", "plainTextFormattedCitation" : "7\u201313", "previouslyFormattedCitation" : "&lt;sup&gt;7\u201313&lt;/sup&gt;" }, "properties" : { "noteIndex" : 0 }, "schema" : "https://github.com/citation-style-language/schema/raw/master/csl-citation.json" }</w:instrText>
      </w:r>
      <w:r w:rsidRPr="00E05FF9">
        <w:fldChar w:fldCharType="separate"/>
      </w:r>
      <w:r w:rsidR="00EF7462" w:rsidRPr="00EF7462">
        <w:rPr>
          <w:noProof/>
          <w:vertAlign w:val="superscript"/>
        </w:rPr>
        <w:t>7–13</w:t>
      </w:r>
      <w:r w:rsidRPr="00E05FF9">
        <w:fldChar w:fldCharType="end"/>
      </w:r>
      <w:r w:rsidRPr="00E05FF9">
        <w:t xml:space="preserve"> However, its energy band gap value of 3.2 eV limits the photo-functionality of TiO</w:t>
      </w:r>
      <w:r w:rsidRPr="00E05FF9">
        <w:rPr>
          <w:vertAlign w:val="subscript"/>
        </w:rPr>
        <w:t>2</w:t>
      </w:r>
      <w:r w:rsidRPr="00E05FF9">
        <w:t xml:space="preserve"> to the UV region of the electromagnetic (EM) spectrum. As only arou</w:t>
      </w:r>
      <w:r w:rsidR="00D406BB">
        <w:t>nd 4</w:t>
      </w:r>
      <w:r w:rsidRPr="00E05FF9">
        <w:t>% of solar irradiation incident on the surface of the Earth is in the UV, many efforts have been made to increase the absorption cross-section of TiO</w:t>
      </w:r>
      <w:r w:rsidRPr="00E05FF9">
        <w:rPr>
          <w:vertAlign w:val="subscript"/>
        </w:rPr>
        <w:t>2</w:t>
      </w:r>
      <w:r w:rsidRPr="00E05FF9">
        <w:t xml:space="preserve"> photocatalysts into the visible region.</w:t>
      </w:r>
      <w:r w:rsidRPr="00E05FF9">
        <w:fldChar w:fldCharType="begin" w:fldLock="1"/>
      </w:r>
      <w:r w:rsidR="003A2630">
        <w:instrText>ADDIN CSL_CITATION { "citationItems" : [ { "id" : "ITEM-1", "itemData" : { "DOI" : "10.1021/jp203754j", "ISBN" : "1932-7447", "ISSN" : "19327447", "abstract" : "Elimination of toxic organic compounds from wastewater is currently one of the most important subjects in water pollution control. Eosin Yellow, an anionic xanthene fluorescent dye, known to be carcinogenic, originates mainly from textile industrial processes and is resistant to conventional chemical or biological water treatment methods. Photocatalysis using non metal/platinum group metal-codoped TiO2 may provide effective means of removing such dyes from contaminated water. In this study, nitrogen/palladium-codoped TiO2 photocatalysts were prepared by calcination of the hydrolysis product of titanium isopropoxide, Ti(OC3H7)4, with aqueous ammonia. Samples were characterized by Fourier transform infrared spectroscopy (FTIR), Raman spectroscopy, thermogravimetric analysis (TGA), diffuse reflectance UV?vis spectrophotometry, X-ray diffraction (XRD), X-ray photoelectron spectroscopy (XPS), scanning electron microscopy (SEM), and transmission electron microscopy (TEM). Anatase phase particles of size range 10?20 nm were confirmed by XRD, Raman, TEM, and SEM analysis. Codoping imparted a red shift in the absorption edges of the materials. Codoped TiO2 showed greater photocatalytic Eosin Yellow degradation efficiency compared to singly doped N?TiO2 or Pd?TiO2 under visible light irradiation. The highest initial reaction rate of 2.238 ? 10?2 min?1 was observed for N/Pd?TiO2 (0.8% Pd). The results demonstrated that the N/Pd-codoped TiO2 (0.6% Pd) sample could completely degrade the dye in 3 h, while the commercial TiO2, (Degussa P25) showed the lowest dye degradation efficiency.", "author" : [ { "dropping-particle" : "", "family" : "Kuvarega", "given" : "Alex T.", "non-dropping-particle" : "", "parse-names" : false, "suffix" : "" }, { "dropping-particle" : "", "family" : "Krause", "given" : "Rui W M", "non-dropping-particle" : "", "parse-names" : false, "suffix" : "" }, { "dropping-particle" : "", "family" : "Mamba", "given" : "Bhekie B.", "non-dropping-particle" : "", "parse-names" : false, "suffix" : "" } ], "container-title" : "Journal of Physical Chemistry C", "id" : "ITEM-1", "issued" : { "date-parts" : [ [ "2011" ] ] }, "page" : "22110-22120", "title" : "Nitrogen/palladium-codoped TiO2 for efficient visible light photocatalytic dye degradation", "type" : "article-journal", "volume" : "115" }, "uris" : [ "http://www.mendeley.com/documents/?uuid=bc96f0a3-1a40-463e-90c5-f9baaf997088", "http://www.mendeley.com/documents/?uuid=1dff090b-309c-4f5a-89d4-884ee7e4eac1" ] }, { "id" : "ITEM-2", "itemData" : { "author" : [ { "dropping-particle" : "", "family" : "Zhang", "given" : "Nan", "non-dropping-particle" : "", "parse-names" : false, "suffix" : "" }, { "dropping-particle" : "", "family" : "Liu", "given" : "Siqi", "non-dropping-particle" : "", "parse-names" : false, "suffix" : "" }, { "dropping-particle" : "", "family" : "Fu", "given" : "Xianzhi", "non-dropping-particle" : "", "parse-names" : false, "suffix" : "" }, { "dropping-particle" : "", "family" : "Xu", "given" : "YJ", "non-dropping-particle" : "", "parse-names" : false, "suffix" : "" } ], "container-title" : "The Journal of Physical Chemistry C", "id" : "ITEM-2", "issued" : { "date-parts" : [ [ "2011" ] ] }, "page" : "9136-9145", "title" : "Synthesis of M@ TiO2 (M= Au, Pd, Pt) core\u2013shell nanocomposites with tunable photoreactivity", "type" : "article-journal", "volume" : "2" }, "uris" : [ "http://www.mendeley.com/documents/?uuid=8d6a01cf-ff30-434f-baf9-ad5222b4dd48", "http://www.mendeley.com/documents/?uuid=bd0b6470-c76f-4e86-9881-0e977c7915fa" ] }, { "id" : "ITEM-3", "itemData" : { "DOI" : "10.1021/jp305774n", "ISSN" : "1932-7447", "author" : [ { "dropping-particle" : "", "family" : "Liu", "given" : "Rui", "non-dropping-particle" : "", "parse-names" : false, "suffix" : "" }, { "dropping-particle" : "", "family" : "Wang", "given" : "Ping", "non-dropping-particle" : "", "parse-names" : false, "suffix" : "" }, { "dropping-particle" : "", "family" : "Wang", "given" : "Xuefei", "non-dropping-particle" : "", "parse-names" : false, "suffix" : "" }, { "dropping-particle" : "", "family" : "Yu", "given" : "Huogen", "non-dropping-particle" : "", "parse-names" : false, "suffix" : "" }, { "dropping-particle" : "", "family" : "Yu", "given" : "Jiaguo", "non-dropping-particle" : "", "parse-names" : false, "suffix" : "" } ], "container-title" : "The Journal of Physical Chemistry C", "id" : "ITEM-3", "issue" : "33", "issued" : { "date-parts" : [ [ "2012", "8" ] ] }, "page" : "17721-17728", "publisher" : "American Chemical Society", "title" : "UV-and Visible-Light Photocatalytic Activity of Simultaneously Deposited and Doped Ag/Ag(I)-TiO2 Photocatalyst", "type" : "article-journal", "volume" : "116" }, "uris" : [ "http://www.mendeley.com/documents/?uuid=1e859463-b222-40fe-9f03-be41c720a71d", "http://www.mendeley.com/documents/?uuid=b232eec0-d431-44e0-9c24-394115a1d483" ] } ], "mendeley" : { "formattedCitation" : "&lt;sup&gt;14\u201316&lt;/sup&gt;", "plainTextFormattedCitation" : "14\u201316", "previouslyFormattedCitation" : "&lt;sup&gt;14\u201316&lt;/sup&gt;" }, "properties" : { "noteIndex" : 0 }, "schema" : "https://github.com/citation-style-language/schema/raw/master/csl-citation.json" }</w:instrText>
      </w:r>
      <w:r w:rsidRPr="00E05FF9">
        <w:fldChar w:fldCharType="separate"/>
      </w:r>
      <w:r w:rsidR="00EF7462" w:rsidRPr="00EF7462">
        <w:rPr>
          <w:noProof/>
          <w:vertAlign w:val="superscript"/>
        </w:rPr>
        <w:t>14–16</w:t>
      </w:r>
      <w:r w:rsidRPr="00E05FF9">
        <w:fldChar w:fldCharType="end"/>
      </w:r>
      <w:r w:rsidR="003A2630">
        <w:t xml:space="preserve"> Recently there has been interest in investigating ‘functional materials’ for increasing light harvesting efficiency with large band gap semiconductors, but </w:t>
      </w:r>
      <w:r w:rsidR="003A2630">
        <w:lastRenderedPageBreak/>
        <w:t>there still remains a significant effort to increase the absorption spectrum for materials such as TiO</w:t>
      </w:r>
      <w:r w:rsidR="003A2630">
        <w:rPr>
          <w:vertAlign w:val="subscript"/>
        </w:rPr>
        <w:t>2</w:t>
      </w:r>
      <w:r w:rsidR="003A2630">
        <w:t xml:space="preserve">. </w:t>
      </w:r>
      <w:r w:rsidR="003A2630">
        <w:fldChar w:fldCharType="begin" w:fldLock="1"/>
      </w:r>
      <w:r w:rsidR="003A2630">
        <w:instrText>ADDIN CSL_CITATION { "citationItems" : [ { "id" : "ITEM-1", "itemData" : { "author" : [ { "dropping-particle" : "", "family" : "Cui", "given" : "Yongfei", "non-dropping-particle" : "", "parse-names" : false, "suffix" : "" }, { "dropping-particle" : "", "family" : "Briscoe", "given" : "Joe", "non-dropping-particle" : "", "parse-names" : false, "suffix" : "" }, { "dropping-particle" : "", "family" : "Dunn", "given" : "Steve", "non-dropping-particle" : "", "parse-names" : false, "suffix" : "" } ], "container-title" : "Chemistry of Materials", "id" : "ITEM-1", "issue" : "21", "issued" : { "date-parts" : [ [ "2013" ] ] }, "page" : "4215-4223", "publisher" : "ACS Publications", "title" : "Effect of Ferroelectricity on Solar-Light-Driven Photocatalytic Activity of BaTiO3\ue5f8 Influence on the Carrier Separation and Stern Layer Formation", "type" : "article-journal", "volume" : "25" }, "uris" : [ "http://www.mendeley.com/documents/?uuid=bbd0a5d6-4a40-474d-950c-3cd66dfc54cd" ] }, { "id" : "ITEM-2", "itemData" : { "DOI" : "10.1109/TUFFC.2011.2042", "ISSN" : "1525-8955", "PMID" : "21937336", "abstract" : "The solid-gas phase photo-assisted reduction of carbon dioxide (artificial photosynthesis) was performed using ferroelectric lithium niobate and titanium dioxide. Illumination with a high-pressure mercury lamp and visible sunlight showed that lithium niobate achieved unexpectedly high conversion of CO(2) to products despite the low levels of band-gap light available. The high reaction efficiency of lithium niobate is explained by its strong remnant polarization (70 \u03bcC/cm(2)), allowing a longer lifetime of photo-induced carriers as well as an alternative reaction pathway.", "author" : [ { "dropping-particle" : "", "family" : "Stock", "given" : "Matt", "non-dropping-particle" : "", "parse-names" : false, "suffix" : "" }, { "dropping-particle" : "", "family" : "Dunn", "given" : "Steve", "non-dropping-particle" : "", "parse-names" : false, "suffix" : "" } ], "container-title" : "IEEE transactions on ultrasonics, ferroelectrics, and frequency control", "id" : "ITEM-2", "issue" : "9", "issued" : { "date-parts" : [ [ "2011", "9" ] ] }, "page" : "1988-93", "title" : "LiNbO3--a new material for artificial photosynthesis.", "type" : "article-journal", "volume" : "58" }, "uris" : [ "http://www.mendeley.com/documents/?uuid=ca94fc82-6ecc-41f1-81b0-95ea9015b130" ] } ], "mendeley" : { "formattedCitation" : "&lt;sup&gt;17,18&lt;/sup&gt;", "plainTextFormattedCitation" : "17,18" }, "properties" : { "noteIndex" : 0 }, "schema" : "https://github.com/citation-style-language/schema/raw/master/csl-citation.json" }</w:instrText>
      </w:r>
      <w:r w:rsidR="003A2630">
        <w:fldChar w:fldCharType="separate"/>
      </w:r>
      <w:r w:rsidR="003A2630" w:rsidRPr="003A2630">
        <w:rPr>
          <w:noProof/>
          <w:vertAlign w:val="superscript"/>
        </w:rPr>
        <w:t>17,18</w:t>
      </w:r>
      <w:r w:rsidR="003A2630">
        <w:fldChar w:fldCharType="end"/>
      </w:r>
    </w:p>
    <w:p w:rsidR="00085AAF" w:rsidRPr="00E05FF9" w:rsidRDefault="00085AAF" w:rsidP="00085AAF">
      <w:pPr>
        <w:pStyle w:val="RSCB02ArticleText"/>
        <w:rPr>
          <w:vertAlign w:val="subscript"/>
        </w:rPr>
      </w:pPr>
      <w:r w:rsidRPr="00E05FF9">
        <w:t>A well-studied approach to increasing the light harvesting ability for TiO</w:t>
      </w:r>
      <w:r w:rsidRPr="00E05FF9">
        <w:rPr>
          <w:vertAlign w:val="subscript"/>
        </w:rPr>
        <w:t xml:space="preserve">2 </w:t>
      </w:r>
      <w:r w:rsidRPr="00E05FF9">
        <w:t>has been to decorate the surface of the catalyst with nanostructured metal. The free electrons of the metal are able to interact with incident light and generate a local</w:t>
      </w:r>
      <w:r w:rsidR="006B426B">
        <w:t>ised</w:t>
      </w:r>
      <w:r w:rsidRPr="00E05FF9">
        <w:t xml:space="preserve"> surface plasmon resonance (LSPR)</w:t>
      </w:r>
      <w:r w:rsidR="007A02ED" w:rsidRPr="00E05FF9">
        <w:t>.</w:t>
      </w:r>
      <w:r w:rsidRPr="00E05FF9">
        <w:fldChar w:fldCharType="begin" w:fldLock="1"/>
      </w:r>
      <w:r w:rsidR="003A2630">
        <w:instrText>ADDIN CSL_CITATION { "citationItems" : [ { "id" : "ITEM-1", "itemData" : { "DOI" : "10.1002/adma.200400271", "ISBN" : "1521-4095", "ISSN" : "09359648", "abstract" : "Recent advances in the exploitation of localized surface plasmons (charge density oscillations confined to metallic nanoparticles and nanostructures) in nanoscale optics and photonics, as well as in the construction of sensors and biosensors, are reviewed here. In particular, subsequent to brief surveys of the most-commonly used methods of preparation and arraying of materials with localized surface plasmon resonance (LSPR), and of the optical manifestations of LSPR, attention will be focused on the exploitation of metallic nanostructures as waveguides; as optical transmission, information storage, and nanophotonic devices; as switches; as resonant light scatterers (employed in the different near-field scanning optical microscopies); and finally as sensors and biosensors.", "author" : [ { "dropping-particle" : "", "family" : "Hutter", "given" : "Eliza", "non-dropping-particle" : "", "parse-names" : false, "suffix" : "" }, { "dropping-particle" : "", "family" : "Fendler", "given" : "Janos H.", "non-dropping-particle" : "", "parse-names" : false, "suffix" : "" } ], "container-title" : "Advanced Materials", "id" : "ITEM-1", "issue" : "19", "issued" : { "date-parts" : [ [ "2004", "10" ] ] }, "page" : "1685-1706", "title" : "Exploitation of localized surface plasmon resonance", "type" : "article-journal", "volume" : "16" }, "uris" : [ "http://www.mendeley.com/documents/?uuid=2bff5a2d-f51b-407a-9a92-5f6602fadd20", "http://www.mendeley.com/documents/?uuid=169df7d0-0031-4a4e-ad5c-6d0b59ed9d3d" ] } ], "mendeley" : { "formattedCitation" : "&lt;sup&gt;19&lt;/sup&gt;", "plainTextFormattedCitation" : "19", "previouslyFormattedCitation" : "&lt;sup&gt;18&lt;/sup&gt;" }, "properties" : { "noteIndex" : 0 }, "schema" : "https://github.com/citation-style-language/schema/raw/master/csl-citation.json" }</w:instrText>
      </w:r>
      <w:r w:rsidRPr="00E05FF9">
        <w:fldChar w:fldCharType="separate"/>
      </w:r>
      <w:r w:rsidR="003A2630" w:rsidRPr="003A2630">
        <w:rPr>
          <w:noProof/>
          <w:vertAlign w:val="superscript"/>
        </w:rPr>
        <w:t>19</w:t>
      </w:r>
      <w:r w:rsidRPr="00E05FF9">
        <w:fldChar w:fldCharType="end"/>
      </w:r>
      <w:r w:rsidRPr="00E05FF9">
        <w:t xml:space="preserve"> </w:t>
      </w:r>
      <w:r w:rsidR="00075106" w:rsidRPr="00075106">
        <w:rPr>
          <w:u w:val="single"/>
        </w:rPr>
        <w:t>LSPR can be described as the collective excitation of free electrons around a fixed positive ion cent</w:t>
      </w:r>
      <w:r w:rsidR="00075106">
        <w:rPr>
          <w:u w:val="single"/>
        </w:rPr>
        <w:t>re. This results</w:t>
      </w:r>
      <w:r w:rsidR="00075106" w:rsidRPr="00075106">
        <w:rPr>
          <w:u w:val="single"/>
        </w:rPr>
        <w:t xml:space="preserve"> in an increased absorption of light at the resonance frequency of the oscillation</w:t>
      </w:r>
      <w:r w:rsidR="00075106" w:rsidRPr="00075106">
        <w:rPr>
          <w:u w:val="single"/>
          <w:vertAlign w:val="superscript"/>
        </w:rPr>
        <w:t xml:space="preserve"> </w:t>
      </w:r>
      <w:r w:rsidR="00075106" w:rsidRPr="00075106">
        <w:rPr>
          <w:u w:val="single"/>
        </w:rPr>
        <w:t>and is reported to be highly dependent on the size, morphology, distribution and the local environment of the nanoparticles</w:t>
      </w:r>
      <w:r w:rsidR="00075106">
        <w:t>.</w:t>
      </w:r>
      <w:r w:rsidR="00075106">
        <w:fldChar w:fldCharType="begin" w:fldLock="1"/>
      </w:r>
      <w:r w:rsidR="003A2630">
        <w:instrText>ADDIN CSL_CITATION { "citationItems" : [ { "id" : "ITEM-1", "itemData" : { "DOI" : "10.1021/jp066539m", "ISBN" : "1932-7447", "ISSN" : "1932-7447", "PMID" : "22065782", "abstract" : "The surface plasmon response of metal nanoparticles is studied for different shapes and physical environments. For polyhedral nanoparticles, the surface plasmon resonances are studied as a function of the number of faces and vertices. The modification of these surface plasmons by different surrounding media and the presence of a substrate or other nanoparticles is also discussed. We found that polyhedral nanoparticles composed with less faces show more surface plasmon resonances, and as the nanoparticle becomes more symmetric, the main surface plasmon resonance is blue-shifted. It is also found that the corners induce more surface plasmons in a wider energy range. In the presence of a substrate, multipolar plasmon resonances are induced, and as the nanoparticle approaches the substrate, such resonances are red-shifted. The interaction among nanoparticles also induces multipolar resonances, but they can be red or blue-shifted depending on the polarization of the external field. The surface plasmon response of metal nanoparticles is studied for different shapes and physical environments. For polyhedral nanoparticles, the surface plasmon resonances are studied as a function of the number of faces and vertices. The modification of these surface plasmons by different surrounding media and the presence of a substrate or other nanoparticles is also discussed. We found that polyhedral nanoparticles composed with less faces show more surface plasmon resonances, and as the nanoparticle becomes more symmetric, the main surface plasmon resonance is blue-shifted. It is also found that the corners induce more surface plasmons in a wider energy range. In the presence of a substrate, multipolar plasmon resonances are induced, and as the nanoparticle approaches the substrate, such resonances are red-shifted. The interaction among nanoparticles also induces multipolar resonances, but they can be red or blue-shifted depending on the polarization of the external field.", "author" : [ { "dropping-particle" : "", "family" : "Noguez", "given" : "C.", "non-dropping-particle" : "", "parse-names" : false, "suffix" : "" } ], "container-title" : "Journal of Physical Chemistry C", "id" : "ITEM-1", "issue" : "10", "issued" : { "date-parts" : [ [ "2007" ] ] }, "page" : "3806-3819", "title" : "Surface Plasmons on Metal Nanoparticles: The Influence of Shape and Physical Environment", "type" : "article-journal", "volume" : "111" }, "uris" : [ "http://www.mendeley.com/documents/?uuid=4b34725c-edc6-45dc-b581-5d5ac304105e", "http://www.mendeley.com/documents/?uuid=b4a905cc-839f-47c0-a3d4-040bb1675998" ] }, { "id" : "ITEM-2", "itemData" : { "DOI" : "10.1002/adma.200400271", "ISBN" : "1521-4095", "ISSN" : "09359648", "abstract" : "Recent advances in the exploitation of localized surface plasmons (charge density oscillations confined to metallic nanoparticles and nanostructures) in nanoscale optics and photonics, as well as in the construction of sensors and biosensors, are reviewed here. In particular, subsequent to brief surveys of the most-commonly used methods of preparation and arraying of materials with localized surface plasmon resonance (LSPR), and of the optical manifestations of LSPR, attention will be focused on the exploitation of metallic nanostructures as waveguides; as optical transmission, information storage, and nanophotonic devices; as switches; as resonant light scatterers (employed in the different near-field scanning optical microscopies); and finally as sensors and biosensors.", "author" : [ { "dropping-particle" : "", "family" : "Hutter", "given" : "Eliza", "non-dropping-particle" : "", "parse-names" : false, "suffix" : "" }, { "dropping-particle" : "", "family" : "Fendler", "given" : "Janos H.", "non-dropping-particle" : "", "parse-names" : false, "suffix" : "" } ], "container-title" : "Advanced Materials", "id" : "ITEM-2", "issue" : "19", "issued" : { "date-parts" : [ [ "2004", "10" ] ] }, "page" : "1685-1706", "title" : "Exploitation of localized surface plasmon resonance", "type" : "article-journal", "volume" : "16" }, "uris" : [ "http://www.mendeley.com/documents/?uuid=169df7d0-0031-4a4e-ad5c-6d0b59ed9d3d", "http://www.mendeley.com/documents/?uuid=2bff5a2d-f51b-407a-9a92-5f6602fadd20" ] } ], "mendeley" : { "formattedCitation" : "&lt;sup&gt;19,20&lt;/sup&gt;", "plainTextFormattedCitation" : "19,20", "previouslyFormattedCitation" : "&lt;sup&gt;18,19&lt;/sup&gt;" }, "properties" : { "noteIndex" : 0 }, "schema" : "https://github.com/citation-style-language/schema/raw/master/csl-citation.json" }</w:instrText>
      </w:r>
      <w:r w:rsidR="00075106">
        <w:fldChar w:fldCharType="separate"/>
      </w:r>
      <w:r w:rsidR="003A2630" w:rsidRPr="003A2630">
        <w:rPr>
          <w:noProof/>
          <w:vertAlign w:val="superscript"/>
        </w:rPr>
        <w:t>19,20</w:t>
      </w:r>
      <w:r w:rsidR="00075106">
        <w:fldChar w:fldCharType="end"/>
      </w:r>
      <w:r w:rsidR="00075106">
        <w:t xml:space="preserve"> </w:t>
      </w:r>
      <w:r w:rsidRPr="00E05FF9">
        <w:t>To date metals such as Ag and Au have been extensively studied with regards to the LSPR effect due to the fact that the LSPR is found in the visible part of the solar spectrum. This enhanced interaction with light has been reported to increase the absorption cross-section of the catalyst into the visible region and increase its overall activity.</w:t>
      </w:r>
      <w:r w:rsidRPr="00E05FF9">
        <w:fldChar w:fldCharType="begin" w:fldLock="1"/>
      </w:r>
      <w:r w:rsidR="003A2630">
        <w:instrText>ADDIN CSL_CITATION { "citationItems" : [ { "id" : "ITEM-1", "itemData" : { "DOI" : "10.1146/annurev.physchem.040808.090434", "ISSN" : "0066-426X", "PMID" : "18976140", "abstract" : "Under the irradiation of light, the free electrons in a plasmonic nanoparticle are driven by the alternating electric field to collectively oscillate at a resonant frequency in a phenomenon known as surface plasmon resonance. Both calculations and measurements have shown that the frequency and amplitude of the resonance are sensitive to particle shape, which determines how the free electrons are polarized and distributed on the surface. As a result, controlling the shape of a plasmonic nanoparticle represents the most powerful means of tailoring and fine-tuning its optical resonance properties. In a solution-phase synthesis, the shape displayed by a nanoparticle is determined by the crystalline structure of the initial seed produced and the interaction of different seed facets with capping agents. Using polyol synthesis as a typical example, we illustrate how oxidative etching and kinetic control can be employed to manipulate the shapes and optical responses of plasmonic nanoparticles made of either Ag or Pd. We conclude by highlighting a few fundamental studies and applications enabled by plasmonic nanoparticles having well-defined and controllable shapes.", "author" : [ { "dropping-particle" : "", "family" : "Lu", "given" : "Xianmao", "non-dropping-particle" : "", "parse-names" : false, "suffix" : "" }, { "dropping-particle" : "", "family" : "Rycenga", "given" : "Matthew", "non-dropping-particle" : "", "parse-names" : false, "suffix" : "" }, { "dropping-particle" : "", "family" : "Skrabalak", "given" : "Sara E", "non-dropping-particle" : "", "parse-names" : false, "suffix" : "" }, { "dropping-particle" : "", "family" : "Wiley", "given" : "Benjamin", "non-dropping-particle" : "", "parse-names" : false, "suffix" : "" }, { "dropping-particle" : "", "family" : "Xia", "given" : "Younan", "non-dropping-particle" : "", "parse-names" : false, "suffix" : "" } ], "container-title" : "Annual review of physical chemistry", "id" : "ITEM-1", "issued" : { "date-parts" : [ [ "2009", "1" ] ] }, "page" : "167-92", "title" : "Chemical synthesis of novel plasmonic nanoparticles.", "type" : "article-journal", "volume" : "60" }, "uris" : [ "http://www.mendeley.com/documents/?uuid=d6591d41-acd6-4e67-83a8-a2285c120bf8", "http://www.mendeley.com/documents/?uuid=1b92957a-12ba-40a0-9d3c-a9b1584809ac" ] }, { "id" : "ITEM-2", "itemData" : { "author" : [ { "dropping-particle" : "", "family" : "Kochuveedu", "given" : "ST", "non-dropping-particle" : "", "parse-names" : false, "suffix" : "" }, { "dropping-particle" : "", "family" : "Kim", "given" : "DH DP", "non-dropping-particle" : "", "parse-names" : false, "suffix" : "" } ], "container-title" : "The Journal of Physical Chemistry C", "id" : "ITEM-2", "issue" : "3", "issued" : { "date-parts" : [ [ "2012" ] ] }, "page" : "2500-2506", "title" : "Surface-plasmon-induced visible light photocatalytic activity of TiO2 nanospheres decorated by Au nanoparticles with controlled configuration", "type" : "article-journal", "volume" : "116" }, "uris" : [ "http://www.mendeley.com/documents/?uuid=b8950d29-a329-4f99-8f0b-a663303b3649", "http://www.mendeley.com/documents/?uuid=7a95ab21-cc68-4d1b-9283-1eed7de3888e" ] }, { "id" : "ITEM-3", "itemData" : { "DOI" : "10.1021/ja305603t", "ISBN" : "1520-5126 (Electronic)\\r0002-7863 (Linking)", "ISSN" : "00027863", "PMID" : "22891916", "abstract" : "Plasmonic metal nanostructures have been incorporated into semiconductors to enhance the solar-light harvesting and the energy-conversion efficiency. So far the mechanism of energy transfer from the plasmonic metal to semiconductors remains unclear. Herein the underlying plasmonic energy-transfer mechanism is unambiguously determined in Au@SiO(2)@Cu(2)O sandwich nanostructures by transient-absorption and photocatalysis action spectrum measurement. The gold core converts the energy of incident photons into localized surface plasmon resonance oscillations and transfers the plasmonic energy to the Cu(2)O semiconductor shell via resonant energy transfer (RET). RET generates electron-hole pairs in the semiconductor by the dipole-dipole interaction between the plasmonic metal (donor) and semiconductor (acceptor), which greatly enhances the visible-light photocatalytic activity as compared to the semiconductor alone. RET from a plasmonic metal to a semiconductor is a viable and efficient mechanism that can be used to guide the design of photocatalysts, photovoltaics, and other optoelectronic devices.", "author" : [ { "dropping-particle" : "", "family" : "Cushing", "given" : "Scott K.", "non-dropping-particle" : "", "parse-names" : false, "suffix" : "" }, { "dropping-particle" : "", "family" : "Li", "given" : "Jiangtian", "non-dropping-particle" : "", "parse-names" : false, "suffix" : "" }, { "dropping-particle" : "", "family" : "Meng", "given" : "Fanke", "non-dropping-particle" : "", "parse-names" : false, "suffix" : "" }, { "dropping-particle" : "", "family" : "Senty", "given" : "Tess R.", "non-dropping-particle" : "", "parse-names" : false, "suffix" : "" }, { "dropping-particle" : "", "family" : "Suri", "given" : "Savan", "non-dropping-particle" : "", "parse-names" : false, "suffix" : "" }, { "dropping-particle" : "", "family" : "Zhi", "given" : "Mingjia", "non-dropping-particle" : "", "parse-names" : false, "suffix" : "" }, { "dropping-particle" : "", "family" : "Li", "given" : "Ming", "non-dropping-particle" : "", "parse-names" : false, "suffix" : "" }, { "dropping-particle" : "", "family" : "Bristow", "given" : "Alan D.", "non-dropping-particle" : "", "parse-names" : false, "suffix" : "" }, { "dropping-particle" : "", "family" : "Wu", "given" : "Nianqiang", "non-dropping-particle" : "", "parse-names" : false, "suffix" : "" } ], "container-title" : "Journal of the American Chemical Society", "id" : "ITEM-3", "issued" : { "date-parts" : [ [ "2012" ] ] }, "page" : "15033-15041", "title" : "Photocatalytic activity enhanced by plasmonic resonant energy transfer from metal to semiconductor", "type" : "article-journal", "volume" : "134" }, "uris" : [ "http://www.mendeley.com/documents/?uuid=3091352f-7dc1-4713-b202-3aa7a21ae3c1", "http://www.mendeley.com/documents/?uuid=ac225954-db6c-4000-a9ca-2a5794fba95e" ] }, { "id" : "ITEM-4", "itemData" : { "DOI" : "10.1021/jp066539m", "ISBN" : "1932-7447", "ISSN" : "1932-7447", "PMID" : "22065782", "abstract" : "The surface plasmon response of metal nanoparticles is studied for different shapes and physical environments. For polyhedral nanoparticles, the surface plasmon resonances are studied as a function of the number of faces and vertices. The modification of these surface plasmons by different surrounding media and the presence of a substrate or other nanoparticles is also discussed. We found that polyhedral nanoparticles composed with less faces show more surface plasmon resonances, and as the nanoparticle becomes more symmetric, the main surface plasmon resonance is blue-shifted. It is also found that the corners induce more surface plasmons in a wider energy range. In the presence of a substrate, multipolar plasmon resonances are induced, and as the nanoparticle approaches the substrate, such resonances are red-shifted. The interaction among nanoparticles also induces multipolar resonances, but they can be red or blue-shifted depending on the polarization of the external field. The surface plasmon response of metal nanoparticles is studied for different shapes and physical environments. For polyhedral nanoparticles, the surface plasmon resonances are studied as a function of the number of faces and vertices. The modification of these surface plasmons by different surrounding media and the presence of a substrate or other nanoparticles is also discussed. We found that polyhedral nanoparticles composed with less faces show more surface plasmon resonances, and as the nanoparticle becomes more symmetric, the main surface plasmon resonance is blue-shifted. It is also found that the corners induce more surface plasmons in a wider energy range. In the presence of a substrate, multipolar plasmon resonances are induced, and as the nanoparticle approaches the substrate, such resonances are red-shifted. The interaction among nanoparticles also induces multipolar resonances, but they can be red or blue-shifted depending on the polarization of the external field.", "author" : [ { "dropping-particle" : "", "family" : "Noguez", "given" : "C.", "non-dropping-particle" : "", "parse-names" : false, "suffix" : "" } ], "container-title" : "Journal of Physical Chemistry C", "id" : "ITEM-4", "issue" : "10", "issued" : { "date-parts" : [ [ "2007" ] ] }, "page" : "3806-3819", "title" : "Surface Plasmons on Metal Nanoparticles: The Influence of Shape and Physical Environment", "type" : "article-journal", "volume" : "111" }, "uris" : [ "http://www.mendeley.com/documents/?uuid=b4a905cc-839f-47c0-a3d4-040bb1675998", "http://www.mendeley.com/documents/?uuid=4b34725c-edc6-45dc-b581-5d5ac304105e" ] } ], "mendeley" : { "formattedCitation" : "&lt;sup&gt;20\u201323&lt;/sup&gt;", "plainTextFormattedCitation" : "20\u201323", "previouslyFormattedCitation" : "&lt;sup&gt;19\u201322&lt;/sup&gt;" }, "properties" : { "noteIndex" : 0 }, "schema" : "https://github.com/citation-style-language/schema/raw/master/csl-citation.json" }</w:instrText>
      </w:r>
      <w:r w:rsidRPr="00E05FF9">
        <w:fldChar w:fldCharType="separate"/>
      </w:r>
      <w:r w:rsidR="003A2630" w:rsidRPr="003A2630">
        <w:rPr>
          <w:noProof/>
          <w:vertAlign w:val="superscript"/>
        </w:rPr>
        <w:t>20–23</w:t>
      </w:r>
      <w:r w:rsidRPr="00E05FF9">
        <w:fldChar w:fldCharType="end"/>
      </w:r>
      <w:r w:rsidRPr="00E05FF9">
        <w:t xml:space="preserve"> Other non-reactive metals such as Pd can also produce a </w:t>
      </w:r>
      <w:r w:rsidR="00C676C2">
        <w:t>plasmon</w:t>
      </w:r>
      <w:r w:rsidRPr="00E05FF9">
        <w:t xml:space="preserve"> but, as is the case of Pd, have been less extensively studied as the LSPR is centred in the UV part of the spectrum and as such has less technological interest. For example studies by Xiong </w:t>
      </w:r>
      <w:r w:rsidRPr="00E05FF9">
        <w:rPr>
          <w:i/>
        </w:rPr>
        <w:t>et al</w:t>
      </w:r>
      <w:r w:rsidRPr="00E05FF9">
        <w:t xml:space="preserve"> have</w:t>
      </w:r>
      <w:r w:rsidRPr="00E05FF9">
        <w:fldChar w:fldCharType="begin" w:fldLock="1"/>
      </w:r>
      <w:r w:rsidR="003A2630">
        <w:instrText>ADDIN CSL_CITATION { "citationItems" : [ { "id" : "ITEM-1", "itemData" : { "DOI" : "10.1021/nl0508826", "ISBN" : "1530-6984 (Print)\\r1530-6984 (Linking)", "ISSN" : "15306984", "PMID" : "16178217", "abstract" : "Pd nanocubes between 8 and 50 nm in size were synthesized at the same concentration of Na2PdCl4 precursor by controlling the number of seeds formed in the nucleation stage. Increasing the concentration of FeCl3, an oxidative etchant for Pd, reduced the number of seeds and led to formation of larger Pd nanocubes. The larger nanocubes exhibited surface plasmon resonance peaks in the visible region, the locations of which matched with the results of the discrete dipole approximation calculation. While the nanocubes of 25 and 50 nm in size oxidized in air to form Pd@PdO core-shell structures, the 8-nm nanocubes were stable in air for over 90 days.", "author" : [ { "dropping-particle" : "", "family" : "Xiong", "given" : "Yujie", "non-dropping-particle" : "", "parse-names" : false, "suffix" : "" }, { "dropping-particle" : "", "family" : "Chen", "given" : "Jingyi", "non-dropping-particle" : "", "parse-names" : false, "suffix" : "" }, { "dropping-particle" : "", "family" : "Wiley", "given" : "Benjamin", "non-dropping-particle" : "", "parse-names" : false, "suffix" : "" }, { "dropping-particle" : "", "family" : "Xia", "given" : "Younan", "non-dropping-particle" : "", "parse-names" : false, "suffix" : "" }, { "dropping-particle" : "", "family" : "Yin", "given" : "Yadong", "non-dropping-particle" : "", "parse-names" : false, "suffix" : "" }, { "dropping-particle" : "", "family" : "Li", "given" : "Zhi Yuan", "non-dropping-particle" : "", "parse-names" : false, "suffix" : "" } ], "container-title" : "Nano Letters", "id" : "ITEM-1", "issue" : "7", "issued" : { "date-parts" : [ [ "2005", "7" ] ] }, "page" : "1237-1242", "title" : "Size-dependence of surface plasmon resonance and oxidation for Pd nanocubes synthesized via a seed etching process", "type" : "article-journal", "volume" : "5" }, "uris" : [ "http://www.mendeley.com/documents/?uuid=e9172a31-1648-46a9-b3c0-30e03207317f", "http://www.mendeley.com/documents/?uuid=9e720a09-426e-48ee-83ee-c38ab405d99d" ] } ], "mendeley" : { "formattedCitation" : "&lt;sup&gt;24&lt;/sup&gt;", "plainTextFormattedCitation" : "24", "previouslyFormattedCitation" : "&lt;sup&gt;23&lt;/sup&gt;" }, "properties" : { "noteIndex" : 0 }, "schema" : "https://github.com/citation-style-language/schema/raw/master/csl-citation.json" }</w:instrText>
      </w:r>
      <w:r w:rsidRPr="00E05FF9">
        <w:fldChar w:fldCharType="separate"/>
      </w:r>
      <w:r w:rsidR="003A2630" w:rsidRPr="003A2630">
        <w:rPr>
          <w:noProof/>
          <w:vertAlign w:val="superscript"/>
        </w:rPr>
        <w:t>24</w:t>
      </w:r>
      <w:r w:rsidRPr="00E05FF9">
        <w:fldChar w:fldCharType="end"/>
      </w:r>
      <w:r w:rsidRPr="00E05FF9">
        <w:t xml:space="preserve"> shown that the </w:t>
      </w:r>
      <w:r w:rsidR="00345DB9">
        <w:t>LSPR</w:t>
      </w:r>
      <w:r w:rsidRPr="00E05FF9">
        <w:t xml:space="preserve"> for Pd nanocubes of 10nm is limited to wavelengths below 300</w:t>
      </w:r>
      <w:r w:rsidR="00D406BB">
        <w:t xml:space="preserve"> </w:t>
      </w:r>
      <w:r w:rsidRPr="00E05FF9">
        <w:t>nm.</w:t>
      </w:r>
    </w:p>
    <w:p w:rsidR="00085AAF" w:rsidRPr="00E05FF9" w:rsidRDefault="00085AAF" w:rsidP="00085AAF">
      <w:pPr>
        <w:pStyle w:val="RSCB02ArticleText"/>
      </w:pPr>
      <w:r w:rsidRPr="00E05FF9">
        <w:t xml:space="preserve">However, there is growing evidence that the </w:t>
      </w:r>
      <w:r w:rsidR="00345DB9">
        <w:t>LSPR</w:t>
      </w:r>
      <w:r w:rsidRPr="00E05FF9">
        <w:t xml:space="preserve"> for Pd can be influenced not only the size of the Pd particles but also the local environment of the particles. </w:t>
      </w:r>
      <w:r w:rsidRPr="00D406BB">
        <w:rPr>
          <w:u w:val="single"/>
        </w:rPr>
        <w:t xml:space="preserve">In 2003 </w:t>
      </w:r>
      <w:r w:rsidR="00D406BB" w:rsidRPr="00D406BB">
        <w:rPr>
          <w:u w:val="single"/>
        </w:rPr>
        <w:t>it was</w:t>
      </w:r>
      <w:r w:rsidRPr="00D406BB">
        <w:rPr>
          <w:u w:val="single"/>
        </w:rPr>
        <w:t xml:space="preserve"> demonstrated that there </w:t>
      </w:r>
      <w:r w:rsidR="00FE0512">
        <w:rPr>
          <w:u w:val="single"/>
        </w:rPr>
        <w:t>is</w:t>
      </w:r>
      <w:r w:rsidRPr="00D406BB">
        <w:rPr>
          <w:u w:val="single"/>
        </w:rPr>
        <w:t xml:space="preserve"> a strong influence of LSPR position for Pd and refractive index of the substrate and that the LSPR position could red shift by up to 100</w:t>
      </w:r>
      <w:r w:rsidR="00D406BB" w:rsidRPr="00D406BB">
        <w:rPr>
          <w:u w:val="single"/>
        </w:rPr>
        <w:t xml:space="preserve"> </w:t>
      </w:r>
      <w:r w:rsidRPr="00D406BB">
        <w:rPr>
          <w:u w:val="single"/>
        </w:rPr>
        <w:t>nm.</w:t>
      </w:r>
      <w:r w:rsidR="00D406BB" w:rsidRPr="00D406BB">
        <w:rPr>
          <w:u w:val="single"/>
        </w:rPr>
        <w:fldChar w:fldCharType="begin" w:fldLock="1"/>
      </w:r>
      <w:r w:rsidR="003A2630">
        <w:rPr>
          <w:u w:val="single"/>
        </w:rPr>
        <w:instrText>ADDIN CSL_CITATION { "citationItems" : [ { "id" : "ITEM-1", "itemData" : { "DOI" : "10.1021/jp026731y", "ISSN" : "10895647", "PMID" : "11230091", "abstract" : "The optical properties of metal nanoparticles have long been of interest in physical chemistry, starting with Faraday\u2019s investigations of colloidal gold in the middle 1800s. More recently, new lithographic techniques as well as improvements to classical wet chemistry methods have made it possible to synthesize noble metal nanoparticles with a wide range of sizes, shapes, and dielectric environments. In this feature article, we describe recent progress in the theory of nanoparticle optical properties, particularly methods for solving Maxwell\u2019s equations for light scattering from particles of arbitrary shape in a complex environment. Included is a description of the qualitative features of dipole and quadrupole plasmon resonances for spherical particles; a discussion of analytical and numerical methods for calculating extinction and scattering cross-sections, local fields, and other optical properties for nonspherical particles; and a survey of applications to problems of recent interest involving triangular silver particles and related shapes.", "author" : [ { "dropping-particle" : "", "family" : "Kelly", "given" : "K. Lance", "non-dropping-particle" : "", "parse-names" : false, "suffix" : "" }, { "dropping-particle" : "", "family" : "Coronado", "given" : "Eduardo", "non-dropping-particle" : "", "parse-names" : false, "suffix" : "" }, { "dropping-particle" : "", "family" : "Zhao", "given" : "Lin Lin", "non-dropping-particle" : "", "parse-names" : false, "suffix" : "" }, { "dropping-particle" : "", "family" : "Schatz", "given" : "George C.", "non-dropping-particle" : "", "parse-names" : false, "suffix" : "" } ], "container-title" : "Journal of Physical Chemistry B", "id" : "ITEM-1", "issue" : "3", "issued" : { "date-parts" : [ [ "2003" ] ] }, "page" : "668-677", "title" : "The optical properties of metal nanoparticles: The influence of size, shape, and dielectric environment", "type" : "article-journal", "volume" : "107" }, "uris" : [ "http://www.mendeley.com/documents/?uuid=92b01c5d-461f-4c78-a882-e2d5b4076d67", "http://www.mendeley.com/documents/?uuid=573dcb86-a2b4-4640-a3ab-d0ba55e44d4e" ] } ], "mendeley" : { "formattedCitation" : "&lt;sup&gt;25&lt;/sup&gt;", "plainTextFormattedCitation" : "25", "previouslyFormattedCitation" : "&lt;sup&gt;24&lt;/sup&gt;" }, "properties" : { "noteIndex" : 0 }, "schema" : "https://github.com/citation-style-language/schema/raw/master/csl-citation.json" }</w:instrText>
      </w:r>
      <w:r w:rsidR="00D406BB" w:rsidRPr="00D406BB">
        <w:rPr>
          <w:u w:val="single"/>
        </w:rPr>
        <w:fldChar w:fldCharType="separate"/>
      </w:r>
      <w:r w:rsidR="003A2630" w:rsidRPr="003A2630">
        <w:rPr>
          <w:noProof/>
          <w:vertAlign w:val="superscript"/>
        </w:rPr>
        <w:t>25</w:t>
      </w:r>
      <w:r w:rsidR="00D406BB" w:rsidRPr="00D406BB">
        <w:rPr>
          <w:u w:val="single"/>
        </w:rPr>
        <w:fldChar w:fldCharType="end"/>
      </w:r>
      <w:r w:rsidRPr="00D406BB">
        <w:rPr>
          <w:u w:val="single"/>
        </w:rPr>
        <w:t xml:space="preserve"> The most compelling evidence that the LSPR for Pd can move into the visible part of the spectrum comes from work by Leong </w:t>
      </w:r>
      <w:r w:rsidRPr="00D406BB">
        <w:rPr>
          <w:i/>
          <w:u w:val="single"/>
        </w:rPr>
        <w:t>et al</w:t>
      </w:r>
      <w:r w:rsidRPr="00D406BB">
        <w:rPr>
          <w:u w:val="single"/>
        </w:rPr>
        <w:t>, who have shown that the LSPR for Pd nanoparticles in the size range of 20 – 30</w:t>
      </w:r>
      <w:r w:rsidR="00D406BB" w:rsidRPr="00D406BB">
        <w:rPr>
          <w:u w:val="single"/>
        </w:rPr>
        <w:t xml:space="preserve"> </w:t>
      </w:r>
      <w:r w:rsidRPr="00D406BB">
        <w:rPr>
          <w:u w:val="single"/>
        </w:rPr>
        <w:t>nm was significantly red-shifted from the expected UV position into the visible region at around 500</w:t>
      </w:r>
      <w:r w:rsidR="00D406BB" w:rsidRPr="00D406BB">
        <w:rPr>
          <w:u w:val="single"/>
        </w:rPr>
        <w:t xml:space="preserve"> </w:t>
      </w:r>
      <w:r w:rsidRPr="00D406BB">
        <w:rPr>
          <w:u w:val="single"/>
        </w:rPr>
        <w:t>nm.</w:t>
      </w:r>
      <w:r w:rsidR="00D406BB" w:rsidRPr="00D406BB">
        <w:rPr>
          <w:u w:val="single"/>
        </w:rPr>
        <w:fldChar w:fldCharType="begin" w:fldLock="1"/>
      </w:r>
      <w:r w:rsidR="003A2630">
        <w:rPr>
          <w:u w:val="single"/>
        </w:rPr>
        <w:instrText>ADDIN CSL_CITATION { "citationItems" : [ { "id" : "ITEM-1", "itemData" : { "DOI" : "10.3762/bjnano.6.43", "ISSN" : "2190-4286", "author" : [ { "dropping-particle" : "", "family" : "Leong", "given" : "Kah Hon", "non-dropping-particle" : "", "parse-names" : false, "suffix" : "" }, { "dropping-particle" : "", "family" : "Chu", "given" : "Hong Ye", "non-dropping-particle" : "", "parse-names" : false, "suffix" : "" }, { "dropping-particle" : "", "family" : "Ibrahim", "given" : "Shaliza", "non-dropping-particle" : "", "parse-names" : false, "suffix" : "" }, { "dropping-particle" : "", "family" : "Saravanan", "given" : "Pichiah", "non-dropping-particle" : "", "parse-names" : false, "suffix" : "" } ], "container-title" : "Beilstein Journal of Nanotechnology", "id" : "ITEM-1", "issued" : { "date-parts" : [ [ "2015" ] ] }, "page" : "428-437", "title" : "Palladium nanoparticles anchored to anatase TiO2 for enhanced surface plasmon resonance-stimulated, visible-light-driven photocatalytic activity", "type" : "article-journal", "volume" : "6" }, "uris" : [ "http://www.mendeley.com/documents/?uuid=97fee4ac-9662-4a73-840b-3ab9c7379aaf", "http://www.mendeley.com/documents/?uuid=001ca1cb-f7e8-48e5-9084-af3f387eed58" ] } ], "mendeley" : { "formattedCitation" : "&lt;sup&gt;26&lt;/sup&gt;", "plainTextFormattedCitation" : "26", "previouslyFormattedCitation" : "&lt;sup&gt;25&lt;/sup&gt;" }, "properties" : { "noteIndex" : 0 }, "schema" : "https://github.com/citation-style-language/schema/raw/master/csl-citation.json" }</w:instrText>
      </w:r>
      <w:r w:rsidR="00D406BB" w:rsidRPr="00D406BB">
        <w:rPr>
          <w:u w:val="single"/>
        </w:rPr>
        <w:fldChar w:fldCharType="separate"/>
      </w:r>
      <w:r w:rsidR="003A2630" w:rsidRPr="003A2630">
        <w:rPr>
          <w:noProof/>
          <w:vertAlign w:val="superscript"/>
        </w:rPr>
        <w:t>26</w:t>
      </w:r>
      <w:r w:rsidR="00D406BB" w:rsidRPr="00D406BB">
        <w:rPr>
          <w:u w:val="single"/>
        </w:rPr>
        <w:fldChar w:fldCharType="end"/>
      </w:r>
      <w:r w:rsidRPr="00E05FF9">
        <w:t xml:space="preserve"> This work indicates that there may be some significant advantages in using Pd nanostructures in photocatalysts if the size and morphology of the Pd structure can be controlled to increase both light harvesting and effective surface activity. As such there is renewed interest in Pd </w:t>
      </w:r>
      <w:r w:rsidRPr="00E05FF9">
        <w:lastRenderedPageBreak/>
        <w:t xml:space="preserve">nanostructures as they afford an interesting new approach to visible light photocatalysis as the interaction with light can be driven towards the visible portion of the spectrum as </w:t>
      </w:r>
      <w:r w:rsidR="00986AEB" w:rsidRPr="00986AEB">
        <w:rPr>
          <w:u w:val="single"/>
        </w:rPr>
        <w:t>Pd</w:t>
      </w:r>
      <w:r w:rsidRPr="00E05FF9">
        <w:t xml:space="preserve"> shows excellent catalytic activity compared with Ag and Au.</w:t>
      </w:r>
      <w:r w:rsidRPr="00E05FF9">
        <w:fldChar w:fldCharType="begin" w:fldLock="1"/>
      </w:r>
      <w:r w:rsidR="003A2630">
        <w:instrText>ADDIN CSL_CITATION { "citationItems" : [ { "id" : "ITEM-1", "itemData" : { "DOI" : "10.1002/cssc.200800227", "ISBN" : "1864-5631", "ISSN" : "18645631", "PMID" : "19142903", "abstract" : "Metal nanoparticles have attracted much attention over the last decade owing to their unique properties as compared to their bulk metal equivalents, including a large surface-to-volume ratio and tunable shapes. To control the properties of nanoparticles with particular respect to shape, size and dispersity is imperative, as these will determine the activity in the desired application. Supported metal nanoparticles are widely employed in catalysis. Recent advances in controlling the shape and size of nanoparticles have opened the possibility to optimise the particle geometry for enhanced catalytic activity, providing the optimum size and surface properties for specific applications. This Review describes the state of the art with respect to the preparation and use of supported metal nanoparticles in catalysis. The main groups of such nanoparticles (noble and transition metal nanoparticles) are highlighted and future prospects are discussed.", "author" : [ { "dropping-particle" : "", "family" : "Campelo", "given" : "Juan M.", "non-dropping-particle" : "", "parse-names" : false, "suffix" : "" }, { "dropping-particle" : "", "family" : "Luna", "given" : "Diego", "non-dropping-particle" : "", "parse-names" : false, "suffix" : "" }, { "dropping-particle" : "", "family" : "Luque", "given" : "Rafael", "non-dropping-particle" : "", "parse-names" : false, "suffix" : "" }, { "dropping-particle" : "", "family" : "Marinas", "given" : "Jos\u00e9 M.", "non-dropping-particle" : "", "parse-names" : false, "suffix" : "" }, { "dropping-particle" : "", "family" : "Romero", "given" : "Antonio a.", "non-dropping-particle" : "", "parse-names" : false, "suffix" : "" } ], "container-title" : "ChemSusChem", "id" : "ITEM-1", "issue" : "1", "issued" : { "date-parts" : [ [ "2009" ] ] }, "page" : "18-45", "title" : "Sustainable preparation of supported metal nanoparticles and their applications in catalysis", "type" : "article-journal", "volume" : "2" }, "uris" : [ "http://www.mendeley.com/documents/?uuid=8eba1ced-c22d-4d7f-8e05-6ce7781bce4d", "http://www.mendeley.com/documents/?uuid=51990bf4-e4d3-4532-991c-22d4fe992479" ] } ], "mendeley" : { "formattedCitation" : "&lt;sup&gt;27&lt;/sup&gt;", "plainTextFormattedCitation" : "27", "previouslyFormattedCitation" : "&lt;sup&gt;26&lt;/sup&gt;" }, "properties" : { "noteIndex" : 0 }, "schema" : "https://github.com/citation-style-language/schema/raw/master/csl-citation.json" }</w:instrText>
      </w:r>
      <w:r w:rsidRPr="00E05FF9">
        <w:fldChar w:fldCharType="separate"/>
      </w:r>
      <w:r w:rsidR="003A2630" w:rsidRPr="003A2630">
        <w:rPr>
          <w:noProof/>
          <w:vertAlign w:val="superscript"/>
        </w:rPr>
        <w:t>27</w:t>
      </w:r>
      <w:r w:rsidRPr="00E05FF9">
        <w:fldChar w:fldCharType="end"/>
      </w:r>
      <w:r w:rsidR="007A02ED" w:rsidRPr="00E05FF9">
        <w:rPr>
          <w:vertAlign w:val="superscript"/>
        </w:rPr>
        <w:t>,</w:t>
      </w:r>
      <w:r w:rsidRPr="00E05FF9">
        <w:fldChar w:fldCharType="begin" w:fldLock="1"/>
      </w:r>
      <w:r w:rsidR="003A2630">
        <w:instrText>ADDIN CSL_CITATION { "citationItems" : [ { "id" : "ITEM-1", "itemData" : { "DOI" : "10.1021/jp047349j", "ISSN" : "1520-6106", "author" : [ { "dropping-particle" : "", "family" : "N\u00f8rskov", "given" : "J K", "non-dropping-particle" : "", "parse-names" : false, "suffix" : "" }, { "dropping-particle" : "", "family" : "Ressmeisl", "given" : "J", "non-dropping-particle" : "", "parse-names" : false, "suffix" : "" }, { "dropping-particle" : "", "family" : "Logadottir", "given" : "a.", "non-dropping-particle" : "", "parse-names" : false, "suffix" : "" }, { "dropping-particle" : "", "family" : "Lindqvist", "given" : "L", "non-dropping-particle" : "", "parse-names" : false, "suffix" : "" }, { "dropping-particle" : "", "family" : "Kitchin", "given" : "J. R.", "non-dropping-particle" : "", "parse-names" : false, "suffix" : "" }, { "dropping-particle" : "", "family" : "Bligaard", "given" : "T.", "non-dropping-particle" : "", "parse-names" : false, "suffix" : "" }, { "dropping-particle" : "", "family" : "Jonsson", "given" : "H", "non-dropping-particle" : "", "parse-names" : false, "suffix" : "" } ], "container-title" : "J. Phys. Chem. B", "id" : "ITEM-1", "issued" : { "date-parts" : [ [ "2004" ] ] }, "page" : "17886-17892", "title" : "Origin of the overpotential for oxygen reduction at a fuel cell cathode", "type" : "article-journal", "volume" : "108" }, "uris" : [ "http://www.mendeley.com/documents/?uuid=61542614-02ef-423f-836f-e2b7521f3bed", "http://www.mendeley.com/documents/?uuid=57d503bd-c6f0-4161-a2c6-2e599b8d89be" ] } ], "mendeley" : { "formattedCitation" : "&lt;sup&gt;28&lt;/sup&gt;", "plainTextFormattedCitation" : "28", "previouslyFormattedCitation" : "&lt;sup&gt;27&lt;/sup&gt;" }, "properties" : { "noteIndex" : 0 }, "schema" : "https://github.com/citation-style-language/schema/raw/master/csl-citation.json" }</w:instrText>
      </w:r>
      <w:r w:rsidRPr="00E05FF9">
        <w:fldChar w:fldCharType="separate"/>
      </w:r>
      <w:r w:rsidR="003A2630" w:rsidRPr="003A2630">
        <w:rPr>
          <w:noProof/>
          <w:vertAlign w:val="superscript"/>
        </w:rPr>
        <w:t>28</w:t>
      </w:r>
      <w:r w:rsidRPr="00E05FF9">
        <w:fldChar w:fldCharType="end"/>
      </w:r>
      <w:r w:rsidRPr="00E05FF9">
        <w:t xml:space="preserve"> </w:t>
      </w:r>
    </w:p>
    <w:p w:rsidR="00085AAF" w:rsidRPr="00E05FF9" w:rsidRDefault="00085AAF" w:rsidP="00085AAF">
      <w:pPr>
        <w:pStyle w:val="RSCB02ArticleText"/>
      </w:pPr>
      <w:r w:rsidRPr="00E05FF9">
        <w:t xml:space="preserve">Here we report the reactivity of a photocatalyst composed of </w:t>
      </w:r>
      <w:r w:rsidR="00986AEB" w:rsidRPr="00986AEB">
        <w:rPr>
          <w:u w:val="single"/>
        </w:rPr>
        <w:t>Pd</w:t>
      </w:r>
      <w:r w:rsidRPr="00E05FF9">
        <w:t xml:space="preserve"> nanoparticles on TiO</w:t>
      </w:r>
      <w:r w:rsidRPr="00E05FF9">
        <w:rPr>
          <w:vertAlign w:val="subscript"/>
        </w:rPr>
        <w:t>2</w:t>
      </w:r>
      <w:r w:rsidRPr="00E05FF9">
        <w:t xml:space="preserve"> (Pd:TiO</w:t>
      </w:r>
      <w:r w:rsidRPr="00E05FF9">
        <w:rPr>
          <w:vertAlign w:val="subscript"/>
        </w:rPr>
        <w:t>2</w:t>
      </w:r>
      <w:r w:rsidRPr="00E05FF9">
        <w:t>). Our tests follow the decolourisation of rhodamine b dye (RhB) under solar, UV and full visible light irradiation giving a t</w:t>
      </w:r>
      <w:r w:rsidRPr="00E05FF9">
        <w:rPr>
          <w:vertAlign w:val="subscript"/>
        </w:rPr>
        <w:t xml:space="preserve">1/2 </w:t>
      </w:r>
      <w:r w:rsidRPr="00E05FF9">
        <w:t>value of 0.5 minutes.  This represents a 19-fold increase in activity compared with untreated, and a significant improvement over the previously published literature data which gives t</w:t>
      </w:r>
      <w:r w:rsidRPr="00E05FF9">
        <w:rPr>
          <w:vertAlign w:val="subscript"/>
        </w:rPr>
        <w:t>1/2</w:t>
      </w:r>
      <w:r w:rsidRPr="00E05FF9">
        <w:t xml:space="preserve"> values at around 7 minutes under solar and visible light irradiation.</w:t>
      </w:r>
      <w:r w:rsidRPr="00E05FF9">
        <w:fldChar w:fldCharType="begin" w:fldLock="1"/>
      </w:r>
      <w:r w:rsidR="003A2630">
        <w:instrText>ADDIN CSL_CITATION { "citationItems" : [ { "id" : "ITEM-1", "itemData" : { "DOI" : "10.1002/anie.201101969", "ISBN" : "1521-3773", "ISSN" : "14337851", "PMID" : "21710514", "author" : [ { "dropping-particle" : "", "family" : "Zhang", "given" : "Qiao", "non-dropping-particle" : "", "parse-names" : false, "suffix" : "" }, { "dropping-particle" : "", "family" : "Lima", "given" : "Diana Q.", "non-dropping-particle" : "", "parse-names" : false, "suffix" : "" }, { "dropping-particle" : "", "family" : "Lee", "given" : "Ilkeun", "non-dropping-particle" : "", "parse-names" : false, "suffix" : "" }, { "dropping-particle" : "", "family" : "Zaera", "given" : "Francisco", "non-dropping-particle" : "", "parse-names" : false, "suffix" : "" }, { "dropping-particle" : "", "family" : "Chi", "given" : "Miaofang", "non-dropping-particle" : "", "parse-names" : false, "suffix" : "" }, { "dropping-particle" : "", "family" : "Yin", "given" : "Yadong", "non-dropping-particle" : "", "parse-names" : false, "suffix" : "" } ], "container-title" : "Angewandte Chemie - International Edition", "id" : "ITEM-1", "issue" : "31", "issued" : { "date-parts" : [ [ "2011", "7" ] ] }, "page" : "7088-7092", "title" : "A highly active titanium dioxide based visible-light photocatalyst with nonmetal doping and plasmonic metal decoration", "type" : "article-journal", "volume" : "50" }, "uris" : [ "http://www.mendeley.com/documents/?uuid=4222a01e-d290-4510-a86d-71bd76d8409b", "http://www.mendeley.com/documents/?uuid=8da6d533-9846-4369-b286-0241c6f1897d" ] }, { "id" : "ITEM-2", "itemData" : { "DOI" : "10.1021/jp905173e", "ISSN" : "1520-5215", "PMID" : "19705819", "abstract" : "The photocatalytic degradation of rhodamine B (RhB) over NaBiO3 under visible light irradiation was investigated in this study. RhB (20 mg/L) was almost completely decolorized in 30 min in given conditions. It was found that catalyst heating temperature significantly influenced the photocatalytic activity of the catalyst in which crystal water may played an important role, and the original sample exhibited higher activity than the heated samples did. To scrutinize the mechanistic details of the dye photodegradation, several critical analytical methods including UV-vis spectroscopy, HPLC, LC/MS/MS, and GC/MS were utilized to monitor the temporal course of the reaction. All N-deethylation intermediates and several small molecular products were separated and identified. The yield distinctness between two isomer intermediates (DR and EER) was considered to be correlated with the changes in the electron density of the dye molecule. Then two possible competitive photodegradation pathways of RhB over NaBiO3 were proposed: Chromophore cleavage and N-deethylation. Yet, cleavage of dye chromophore structure predominated over the N-deethylation.", "author" : [ { "dropping-particle" : "", "family" : "Yu", "given" : "Kai", "non-dropping-particle" : "", "parse-names" : false, "suffix" : "" }, { "dropping-particle" : "", "family" : "Yang", "given" : "Shaogui", "non-dropping-particle" : "", "parse-names" : false, "suffix" : "" }, { "dropping-particle" : "", "family" : "He", "given" : "Huan", "non-dropping-particle" : "", "parse-names" : false, "suffix" : "" }, { "dropping-particle" : "", "family" : "Sun", "given" : "Cheng", "non-dropping-particle" : "", "parse-names" : false, "suffix" : "" }, { "dropping-particle" : "", "family" : "Gu", "given" : "Chenggang", "non-dropping-particle" : "", "parse-names" : false, "suffix" : "" }, { "dropping-particle" : "", "family" : "Ju", "given" : "Yongming", "non-dropping-particle" : "", "parse-names" : false, "suffix" : "" } ], "container-title" : "The journal of physical chemistry. A", "id" : "ITEM-2", "issue" : "37", "issued" : { "date-parts" : [ [ "2009", "9" ] ] }, "page" : "10024-32", "publisher" : "American Chemical Society", "title" : "Visible light-driven photocatalytic degradation of rhodamine B over NaBiO3: pathways and mechanism.", "type" : "article-journal", "volume" : "113" }, "uris" : [ "http://www.mendeley.com/documents/?uuid=7e874f33-b8bf-4982-b9e5-04585e7e6f48" ] } ], "mendeley" : { "formattedCitation" : "&lt;sup&gt;29,30&lt;/sup&gt;", "plainTextFormattedCitation" : "29,30", "previouslyFormattedCitation" : "&lt;sup&gt;28,29&lt;/sup&gt;" }, "properties" : { "noteIndex" : 0 }, "schema" : "https://github.com/citation-style-language/schema/raw/master/csl-citation.json" }</w:instrText>
      </w:r>
      <w:r w:rsidRPr="00E05FF9">
        <w:fldChar w:fldCharType="separate"/>
      </w:r>
      <w:r w:rsidR="003A2630" w:rsidRPr="003A2630">
        <w:rPr>
          <w:noProof/>
          <w:vertAlign w:val="superscript"/>
        </w:rPr>
        <w:t>29,30</w:t>
      </w:r>
      <w:r w:rsidRPr="00E05FF9">
        <w:fldChar w:fldCharType="end"/>
      </w:r>
      <w:r w:rsidRPr="00E05FF9">
        <w:t xml:space="preserve"> </w:t>
      </w:r>
    </w:p>
    <w:p w:rsidR="00085AAF" w:rsidRPr="00E05FF9" w:rsidRDefault="00085AAF" w:rsidP="00085AAF">
      <w:pPr>
        <w:pStyle w:val="RSCB02ArticleText"/>
      </w:pPr>
      <w:r w:rsidRPr="00E05FF9">
        <w:t>Experimental</w:t>
      </w:r>
    </w:p>
    <w:p w:rsidR="00085AAF" w:rsidRPr="00E05FF9" w:rsidRDefault="00085AAF" w:rsidP="00085AAF">
      <w:pPr>
        <w:pStyle w:val="RSCB02ArticleText"/>
      </w:pPr>
      <w:r w:rsidRPr="00E05FF9">
        <w:t>The Pd:TiO</w:t>
      </w:r>
      <w:r w:rsidRPr="00E05FF9">
        <w:rPr>
          <w:vertAlign w:val="subscript"/>
        </w:rPr>
        <w:t>2</w:t>
      </w:r>
      <w:r w:rsidRPr="00E05FF9">
        <w:t xml:space="preserve"> catalyst was prepared via the photochemical reduction of Pd metal from a PdCl</w:t>
      </w:r>
      <w:r w:rsidRPr="00E05FF9">
        <w:rPr>
          <w:vertAlign w:val="subscript"/>
        </w:rPr>
        <w:t>2</w:t>
      </w:r>
      <w:r w:rsidRPr="00E05FF9">
        <w:t xml:space="preserve"> solution onto commercially available TiO</w:t>
      </w:r>
      <w:r w:rsidRPr="009563B0">
        <w:rPr>
          <w:vertAlign w:val="subscript"/>
        </w:rPr>
        <w:t>2</w:t>
      </w:r>
      <w:r w:rsidRPr="00E05FF9">
        <w:t xml:space="preserve"> (</w:t>
      </w:r>
      <w:r w:rsidR="00E73899">
        <w:rPr>
          <w:u w:val="single"/>
        </w:rPr>
        <w:t>Evonik</w:t>
      </w:r>
      <w:r w:rsidR="00E869A9" w:rsidRPr="006B426B">
        <w:rPr>
          <w:u w:val="single"/>
        </w:rPr>
        <w:t xml:space="preserve"> </w:t>
      </w:r>
      <w:r w:rsidRPr="006B426B">
        <w:rPr>
          <w:u w:val="single"/>
        </w:rPr>
        <w:t>P25</w:t>
      </w:r>
      <w:r w:rsidRPr="00E05FF9">
        <w:t>) under UV irradiation (see SI for details). The BET (Brunauer-Emmet-Teller) surface area was measured at 52 m</w:t>
      </w:r>
      <w:r w:rsidRPr="00E05FF9">
        <w:rPr>
          <w:vertAlign w:val="superscript"/>
        </w:rPr>
        <w:t>2</w:t>
      </w:r>
      <w:r w:rsidRPr="00E05FF9">
        <w:t xml:space="preserve">/g and the Pd loading was determined via ICP (inductively coupled plasma) to be 0.5 wt %. The deposited nanoparticles were confirmed to be metallic Pd by XPS and ranging in size from 1.8 nm to 3.0 nm as determined through TEM analysis. The distribution of the Pd nanoparticles and the morphology of the catalyst are shown in </w:t>
      </w:r>
      <w:r w:rsidR="007A02ED" w:rsidRPr="00E05FF9">
        <w:rPr>
          <w:b/>
        </w:rPr>
        <w:t>F</w:t>
      </w:r>
      <w:r w:rsidRPr="00E05FF9">
        <w:rPr>
          <w:b/>
        </w:rPr>
        <w:t>igure 1</w:t>
      </w:r>
      <w:r w:rsidRPr="00E05FF9">
        <w:t xml:space="preserve">. </w:t>
      </w:r>
    </w:p>
    <w:p w:rsidR="00085AAF" w:rsidRPr="00E05FF9" w:rsidRDefault="00085AAF" w:rsidP="00085AAF">
      <w:pPr>
        <w:pStyle w:val="RSCB02ArticleText"/>
      </w:pPr>
    </w:p>
    <w:p w:rsidR="00085AAF" w:rsidRPr="00E05FF9" w:rsidRDefault="00CB3377" w:rsidP="00085AAF">
      <w:pPr>
        <w:pStyle w:val="TAMainText"/>
        <w:spacing w:line="360" w:lineRule="auto"/>
        <w:jc w:val="center"/>
      </w:pPr>
      <w:r>
        <w:rPr>
          <w:noProof/>
          <w:lang w:val="en-GB" w:eastAsia="en-GB"/>
        </w:rPr>
        <w:drawing>
          <wp:inline distT="0" distB="0" distL="0" distR="0" wp14:anchorId="71AEC153" wp14:editId="583B84A9">
            <wp:extent cx="3028950" cy="2019300"/>
            <wp:effectExtent l="0" t="0" r="0" b="0"/>
            <wp:docPr id="10" name="Picture 10" descr="C:\Users\exw449\Google Drive\PhD\Reports, papers, posters, images and presentations\Journal submissions\Dye degradation\RSC dye degradation paper - accepted\Figures\RSC Nano MS figs\Figure 1 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w449\Google Drive\PhD\Reports, papers, posters, images and presentations\Journal submissions\Dye degradation\RSC dye degradation paper - accepted\Figures\RSC Nano MS figs\Figure 1 H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50" cy="2019300"/>
                    </a:xfrm>
                    <a:prstGeom prst="rect">
                      <a:avLst/>
                    </a:prstGeom>
                    <a:noFill/>
                    <a:ln>
                      <a:noFill/>
                    </a:ln>
                  </pic:spPr>
                </pic:pic>
              </a:graphicData>
            </a:graphic>
          </wp:inline>
        </w:drawing>
      </w:r>
    </w:p>
    <w:p w:rsidR="00085AAF" w:rsidRPr="00E05FF9" w:rsidRDefault="00085AAF" w:rsidP="00E05FF9">
      <w:pPr>
        <w:pStyle w:val="Caption"/>
        <w:jc w:val="both"/>
      </w:pPr>
      <w:r w:rsidRPr="00E05FF9">
        <w:t xml:space="preserve">Figure </w:t>
      </w:r>
      <w:fldSimple w:instr=" SEQ Figure \* ARABIC ">
        <w:r w:rsidR="00460899">
          <w:rPr>
            <w:noProof/>
          </w:rPr>
          <w:t>1</w:t>
        </w:r>
      </w:fldSimple>
      <w:r w:rsidRPr="00E05FF9">
        <w:t xml:space="preserve"> TEM micrograph of the Pd:TiO</w:t>
      </w:r>
      <w:r w:rsidRPr="00E05FF9">
        <w:rPr>
          <w:vertAlign w:val="subscript"/>
        </w:rPr>
        <w:t>2</w:t>
      </w:r>
      <w:r w:rsidRPr="00E05FF9">
        <w:t xml:space="preserve"> photocatalyst showing Pd </w:t>
      </w:r>
      <w:r w:rsidR="007A21A7">
        <w:t>n</w:t>
      </w:r>
      <w:r w:rsidRPr="00E05FF9">
        <w:t>anoparticles as hemispherical artefacts distributed on the TiO</w:t>
      </w:r>
      <w:r w:rsidRPr="00E05FF9">
        <w:rPr>
          <w:vertAlign w:val="subscript"/>
        </w:rPr>
        <w:t>2</w:t>
      </w:r>
      <w:r w:rsidRPr="00E05FF9">
        <w:t xml:space="preserve"> support. The Pd is well dispersed in a range of sizes to a maximum of 3 nm</w:t>
      </w:r>
    </w:p>
    <w:p w:rsidR="00085AAF" w:rsidRPr="00E05FF9" w:rsidRDefault="00085AAF" w:rsidP="00085AAF">
      <w:pPr>
        <w:pStyle w:val="RSCB02ArticleText"/>
      </w:pPr>
      <w:r w:rsidRPr="00E05FF9">
        <w:t>The Pd nanoparticles are well dispersed on the P25 although the distribution appears to be uneven across the surface. XRD data from the particles indicated that there was no change to the TiO</w:t>
      </w:r>
      <w:r w:rsidRPr="00E05FF9">
        <w:rPr>
          <w:vertAlign w:val="subscript"/>
        </w:rPr>
        <w:t>2</w:t>
      </w:r>
      <w:r w:rsidRPr="00E05FF9">
        <w:t xml:space="preserve"> crystal structure and that the loading of Pd was too low to be detected by the diffractometer. Diffuse reflectance (DR) analysis measured an increase in light absorption in the visible region for the Pd:TiO2 compared with that of P25 as shown in </w:t>
      </w:r>
      <w:r w:rsidR="007A02ED" w:rsidRPr="00E05FF9">
        <w:rPr>
          <w:b/>
        </w:rPr>
        <w:t>F</w:t>
      </w:r>
      <w:r w:rsidRPr="00E05FF9">
        <w:rPr>
          <w:b/>
        </w:rPr>
        <w:t>igure 2</w:t>
      </w:r>
      <w:r w:rsidRPr="00E05FF9">
        <w:t xml:space="preserve">. </w:t>
      </w:r>
    </w:p>
    <w:p w:rsidR="00B97A1E" w:rsidRPr="00E05FF9" w:rsidRDefault="00B97A1E" w:rsidP="00B97A1E">
      <w:pPr>
        <w:pStyle w:val="RSCB02ArticleText"/>
      </w:pPr>
      <w:r w:rsidRPr="00E05FF9">
        <w:t xml:space="preserve">An increase to 8% increase in light harvesting capability of the catalyst was calculated from the normalized spectra, which highlighted the change in the absorption profile of the new catalyst and where no anamorphic effects were observed after normalization. </w:t>
      </w:r>
    </w:p>
    <w:p w:rsidR="00B97A1E" w:rsidRPr="00E05FF9" w:rsidRDefault="00B97A1E" w:rsidP="00B97A1E">
      <w:pPr>
        <w:pStyle w:val="RSCB02ArticleText"/>
      </w:pPr>
      <w:r w:rsidRPr="00E05FF9">
        <w:t>The onset of absorption for P25 is in agreement with that of the literature (</w:t>
      </w:r>
      <w:r w:rsidRPr="00E05FF9">
        <w:rPr>
          <w:rFonts w:ascii="Times New Roman" w:hAnsi="Times New Roman"/>
        </w:rPr>
        <w:t>~</w:t>
      </w:r>
      <w:r w:rsidRPr="00E05FF9">
        <w:t xml:space="preserve"> 390 nm) and the band gap was estimated to be 3.23 </w:t>
      </w:r>
      <w:r w:rsidRPr="00E05FF9">
        <w:lastRenderedPageBreak/>
        <w:t>eV as is expected for a TiO</w:t>
      </w:r>
      <w:r w:rsidRPr="00E05FF9">
        <w:rPr>
          <w:vertAlign w:val="subscript"/>
        </w:rPr>
        <w:t>2</w:t>
      </w:r>
      <w:r w:rsidRPr="00E05FF9">
        <w:t xml:space="preserve"> substrate. However, Figure 2 clearly shows a new feature in the absorption spectra for the Pd:TiO</w:t>
      </w:r>
      <w:r w:rsidRPr="00E05FF9">
        <w:rPr>
          <w:vertAlign w:val="subscript"/>
        </w:rPr>
        <w:t>2</w:t>
      </w:r>
      <w:r w:rsidRPr="00E05FF9">
        <w:t xml:space="preserve"> system that must be explained in order to fully understand the improvement of photocatalytic performance for this new system. The Pd:TiO</w:t>
      </w:r>
      <w:r w:rsidRPr="00E05FF9">
        <w:rPr>
          <w:vertAlign w:val="subscript"/>
        </w:rPr>
        <w:t>2</w:t>
      </w:r>
      <w:r w:rsidRPr="00E05FF9">
        <w:t xml:space="preserve"> exhibits a broad absorption into the visible region with the peak centred at 456 nm and an estimated energy band gap of 3.19 eV. The band gap is within error for the measurements undertaken and so is associated with the direct band to band transition in the TiO</w:t>
      </w:r>
      <w:r w:rsidRPr="00E05FF9">
        <w:rPr>
          <w:vertAlign w:val="subscript"/>
        </w:rPr>
        <w:t>2</w:t>
      </w:r>
      <w:r w:rsidRPr="00E05FF9">
        <w:t xml:space="preserve">.  The peak centred around 456 nm is believed to be a characteristic of a local surface </w:t>
      </w:r>
      <w:r>
        <w:t>LSPR</w:t>
      </w:r>
      <w:r w:rsidRPr="00E05FF9">
        <w:t xml:space="preserve"> for the Pd nanoparticles. </w:t>
      </w:r>
    </w:p>
    <w:p w:rsidR="000D3D6E" w:rsidRPr="00E05FF9" w:rsidRDefault="000D3D6E" w:rsidP="00085AAF">
      <w:pPr>
        <w:pStyle w:val="RSCB02ArticleText"/>
      </w:pPr>
    </w:p>
    <w:p w:rsidR="00085AAF" w:rsidRPr="00E05FF9" w:rsidRDefault="00CB3377" w:rsidP="00085AAF">
      <w:pPr>
        <w:pStyle w:val="TAMainText"/>
        <w:spacing w:line="360" w:lineRule="auto"/>
        <w:jc w:val="center"/>
      </w:pPr>
      <w:r>
        <w:rPr>
          <w:noProof/>
          <w:lang w:val="en-GB" w:eastAsia="en-GB"/>
        </w:rPr>
        <w:drawing>
          <wp:inline distT="0" distB="0" distL="0" distR="0" wp14:anchorId="7E5D3CCE" wp14:editId="59F29CE0">
            <wp:extent cx="2944906" cy="2085975"/>
            <wp:effectExtent l="0" t="0" r="8255" b="0"/>
            <wp:docPr id="11" name="Picture 11" descr="C:\Users\exw449\Google Drive\PhD\Reports, papers, posters, images and presentations\Journal submissions\Dye degradation\RSC dye degradation paper - accepted\Figures\RSC Nano MS figs\Figure 2 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w449\Google Drive\PhD\Reports, papers, posters, images and presentations\Journal submissions\Dye degradation\RSC dye degradation paper - accepted\Figures\RSC Nano MS figs\Figure 2 H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3644" cy="2092164"/>
                    </a:xfrm>
                    <a:prstGeom prst="rect">
                      <a:avLst/>
                    </a:prstGeom>
                    <a:noFill/>
                    <a:ln>
                      <a:noFill/>
                    </a:ln>
                  </pic:spPr>
                </pic:pic>
              </a:graphicData>
            </a:graphic>
          </wp:inline>
        </w:drawing>
      </w:r>
    </w:p>
    <w:p w:rsidR="00085AAF" w:rsidRPr="00E05FF9" w:rsidRDefault="00085AAF" w:rsidP="00085AAF">
      <w:pPr>
        <w:pStyle w:val="Caption"/>
        <w:spacing w:line="360" w:lineRule="auto"/>
      </w:pPr>
      <w:r w:rsidRPr="00E05FF9">
        <w:t xml:space="preserve">Figure </w:t>
      </w:r>
      <w:fldSimple w:instr=" SEQ Figure \* ARABIC ">
        <w:r w:rsidR="00460899">
          <w:rPr>
            <w:noProof/>
          </w:rPr>
          <w:t>2</w:t>
        </w:r>
      </w:fldSimple>
      <w:r w:rsidRPr="00E05FF9">
        <w:rPr>
          <w:noProof/>
        </w:rPr>
        <w:t xml:space="preserve"> Normalized absorption specrtra of DR measurements of Pd:TiO</w:t>
      </w:r>
      <w:r w:rsidRPr="00E05FF9">
        <w:rPr>
          <w:noProof/>
          <w:vertAlign w:val="subscript"/>
        </w:rPr>
        <w:t>2</w:t>
      </w:r>
      <w:r w:rsidRPr="00E05FF9">
        <w:rPr>
          <w:noProof/>
        </w:rPr>
        <w:t xml:space="preserve"> compared with P25 </w:t>
      </w:r>
    </w:p>
    <w:p w:rsidR="00085AAF" w:rsidRPr="00E05FF9" w:rsidRDefault="00085AAF" w:rsidP="00085AAF">
      <w:pPr>
        <w:pStyle w:val="RSCB02ArticleText"/>
      </w:pPr>
      <w:r w:rsidRPr="00E05FF9">
        <w:t xml:space="preserve">That </w:t>
      </w:r>
      <w:r w:rsidR="00D64AAE" w:rsidRPr="00D64AAE">
        <w:rPr>
          <w:u w:val="single"/>
        </w:rPr>
        <w:t>nano</w:t>
      </w:r>
      <w:r w:rsidRPr="00D64AAE">
        <w:rPr>
          <w:u w:val="single"/>
        </w:rPr>
        <w:t>structured</w:t>
      </w:r>
      <w:r w:rsidRPr="00E05FF9">
        <w:t xml:space="preserve"> Pd can develop a </w:t>
      </w:r>
      <w:r w:rsidR="00345DB9">
        <w:t>LSPR</w:t>
      </w:r>
      <w:r w:rsidRPr="00E05FF9">
        <w:t xml:space="preserve"> is not in question as there are </w:t>
      </w:r>
      <w:r w:rsidRPr="004F262D">
        <w:rPr>
          <w:u w:val="single"/>
        </w:rPr>
        <w:t>various contributions to the literature indicating both theoretical and practical examples of a plasmonic interaction.</w:t>
      </w:r>
      <w:r w:rsidR="004E6D24" w:rsidRPr="004F262D">
        <w:rPr>
          <w:u w:val="single"/>
        </w:rPr>
        <w:fldChar w:fldCharType="begin" w:fldLock="1"/>
      </w:r>
      <w:r w:rsidR="003A2630">
        <w:rPr>
          <w:u w:val="single"/>
        </w:rPr>
        <w:instrText>ADDIN CSL_CITATION { "citationItems" : [ { "id" : "ITEM-1", "itemData" : { "DOI" : "10.1021/nl060219x", "ISSN" : "1530-6984", "PMID" : "16608293", "abstract" : "The plasmonic properties of nanodisk arrays of Pt, Pd, and, for comparison, Ag are studied over a large size and spectral range and analyzed theoretically by an electrostatic model. Pt and Pd nanodisks exhibit broad localized surface plasmons with a higher sensitivity of the plasmon to the disk aspect ratio compared to Ag. Extinction cross-sections are generally about 50% smaller for Pt and Pd. The spectral plasmon positions, line-widths, and extinction cross-sections are well reproduced by the model.", "author" : [ { "dropping-particle" : "", "family" : "Langhammer", "given" : "Christoph", "non-dropping-particle" : "", "parse-names" : false, "suffix" : "" }, { "dropping-particle" : "", "family" : "Yuan", "given" : "Zhe", "non-dropping-particle" : "", "parse-names" : false, "suffix" : "" }, { "dropping-particle" : "", "family" : "Zori\u0107", "given" : "Igor", "non-dropping-particle" : "", "parse-names" : false, "suffix" : "" }, { "dropping-particle" : "", "family" : "Kasemo", "given" : "Bengt", "non-dropping-particle" : "", "parse-names" : false, "suffix" : "" } ], "container-title" : "Nano letters", "id" : "ITEM-1", "issue" : "4", "issued" : { "date-parts" : [ [ "2006", "5" ] ] }, "page" : "833-8", "title" : "Plasmonic properties of supported Pt and Pd nanostructures.", "type" : "article-journal", "volume" : "6" }, "uris" : [ "http://www.mendeley.com/documents/?uuid=01d84dd9-a106-4a5a-a933-e7df6b7e8495", "http://www.mendeley.com/documents/?uuid=3f14ed66-79e8-4f4c-8038-a37a709c873d" ] }, { "id" : "ITEM-2", "itemData" : { "DOI" : "10.1021/nl0508826", "ISBN" : "1530-6984 (Print)\\r1530-6984 (Linking)", "ISSN" : "15306984", "PMID" : "16178217", "abstract" : "Pd nanocubes between 8 and 50 nm in size were synthesized at the same concentration of Na2PdCl4 precursor by controlling the number of seeds formed in the nucleation stage. Increasing the concentration of FeCl3, an oxidative etchant for Pd, reduced the number of seeds and led to formation of larger Pd nanocubes. The larger nanocubes exhibited surface plasmon resonance peaks in the visible region, the locations of which matched with the results of the discrete dipole approximation calculation. While the nanocubes of 25 and 50 nm in size oxidized in air to form Pd@PdO core-shell structures, the 8-nm nanocubes were stable in air for over 90 days.", "author" : [ { "dropping-particle" : "", "family" : "Xiong", "given" : "Yujie", "non-dropping-particle" : "", "parse-names" : false, "suffix" : "" }, { "dropping-particle" : "", "family" : "Chen", "given" : "Jingyi", "non-dropping-particle" : "", "parse-names" : false, "suffix" : "" }, { "dropping-particle" : "", "family" : "Wiley", "given" : "Benjamin", "non-dropping-particle" : "", "parse-names" : false, "suffix" : "" }, { "dropping-particle" : "", "family" : "Xia", "given" : "Younan", "non-dropping-particle" : "", "parse-names" : false, "suffix" : "" }, { "dropping-particle" : "", "family" : "Yin", "given" : "Yadong", "non-dropping-particle" : "", "parse-names" : false, "suffix" : "" }, { "dropping-particle" : "", "family" : "Li", "given" : "Zhi Yuan", "non-dropping-particle" : "", "parse-names" : false, "suffix" : "" } ], "container-title" : "Nano Letters", "id" : "ITEM-2", "issue" : "7", "issued" : { "date-parts" : [ [ "2005", "7" ] ] }, "page" : "1237-1242", "title" : "Size-dependence of surface plasmon resonance and oxidation for Pd nanocubes synthesized via a seed etching process", "type" : "article-journal", "volume" : "5" }, "uris" : [ "http://www.mendeley.com/documents/?uuid=9e720a09-426e-48ee-83ee-c38ab405d99d", "http://www.mendeley.com/documents/?uuid=e9172a31-1648-46a9-b3c0-30e03207317f" ] } ], "mendeley" : { "formattedCitation" : "&lt;sup&gt;24,31&lt;/sup&gt;", "plainTextFormattedCitation" : "24,31", "previouslyFormattedCitation" : "&lt;sup&gt;23,30&lt;/sup&gt;" }, "properties" : { "noteIndex" : 0 }, "schema" : "https://github.com/citation-style-language/schema/raw/master/csl-citation.json" }</w:instrText>
      </w:r>
      <w:r w:rsidR="004E6D24" w:rsidRPr="004F262D">
        <w:rPr>
          <w:u w:val="single"/>
        </w:rPr>
        <w:fldChar w:fldCharType="separate"/>
      </w:r>
      <w:r w:rsidR="003A2630" w:rsidRPr="003A2630">
        <w:rPr>
          <w:noProof/>
          <w:vertAlign w:val="superscript"/>
        </w:rPr>
        <w:t>24,31</w:t>
      </w:r>
      <w:r w:rsidR="004E6D24" w:rsidRPr="004F262D">
        <w:rPr>
          <w:u w:val="single"/>
        </w:rPr>
        <w:fldChar w:fldCharType="end"/>
      </w:r>
      <w:r w:rsidRPr="00E05FF9">
        <w:t xml:space="preserve"> Indeed</w:t>
      </w:r>
      <w:r w:rsidR="008F139B">
        <w:t>,</w:t>
      </w:r>
      <w:r w:rsidRPr="00E05FF9">
        <w:t xml:space="preserve"> similar metal systems such as Au and Ag have very well documented LSPR. The location of the </w:t>
      </w:r>
      <w:r w:rsidR="00345DB9">
        <w:t>LSPR peak</w:t>
      </w:r>
      <w:r w:rsidRPr="00E05FF9">
        <w:t xml:space="preserve"> in our system is significantly red-shifted over that for the theoretical position of the Pd system when considered in a vacuum. However, there is evidence of a red shift in the </w:t>
      </w:r>
      <w:r w:rsidR="00345DB9">
        <w:t>LSPR peak</w:t>
      </w:r>
      <w:r w:rsidRPr="00E05FF9">
        <w:t xml:space="preserve"> when Pd nanostructures are developed on the surface of dielectric material such as in our system. These red shifts can be up to 100 nm so if we have the theoretical position of the LSPR centred around 300 nm and red shift by 100 nm the centre for the LSPR in this supported system could reside around 400 nm. Our measured LSPR centre point is 456 nm which is now on the order of that expected. </w:t>
      </w:r>
      <w:r w:rsidRPr="00C02DE8">
        <w:rPr>
          <w:u w:val="single"/>
        </w:rPr>
        <w:t>One additional piece of evidence to support our as</w:t>
      </w:r>
      <w:r w:rsidR="00D406BB" w:rsidRPr="00C02DE8">
        <w:rPr>
          <w:u w:val="single"/>
        </w:rPr>
        <w:t>sertion</w:t>
      </w:r>
      <w:r w:rsidRPr="00C02DE8">
        <w:rPr>
          <w:u w:val="single"/>
        </w:rPr>
        <w:t xml:space="preserve"> that the Pd nanoparticles</w:t>
      </w:r>
      <w:r w:rsidRPr="00E05FF9">
        <w:t xml:space="preserve"> are producing a LSPR at </w:t>
      </w:r>
      <w:r w:rsidRPr="00E05FF9">
        <w:rPr>
          <w:i/>
        </w:rPr>
        <w:t xml:space="preserve">ca </w:t>
      </w:r>
      <w:r w:rsidRPr="00E05FF9">
        <w:t>450 nm comes from recent work where a Pd LSPR was described at more than 550 nm. In that case the Pd nanoparticles were around 20 to 30 nm in cross section compared to our 3 – 5 nm particle size</w:t>
      </w:r>
      <w:r w:rsidRPr="00141A00">
        <w:rPr>
          <w:u w:val="single"/>
        </w:rPr>
        <w:t xml:space="preserve">. </w:t>
      </w:r>
      <w:r w:rsidR="002B1523" w:rsidRPr="00141A00">
        <w:rPr>
          <w:u w:val="single"/>
        </w:rPr>
        <w:t xml:space="preserve">A study by Langhammer et al. showed </w:t>
      </w:r>
      <w:r w:rsidRPr="00141A00">
        <w:rPr>
          <w:u w:val="single"/>
        </w:rPr>
        <w:t xml:space="preserve">that reducing </w:t>
      </w:r>
      <w:r w:rsidR="002B1523" w:rsidRPr="00141A00">
        <w:rPr>
          <w:u w:val="single"/>
        </w:rPr>
        <w:t xml:space="preserve">the Pd </w:t>
      </w:r>
      <w:r w:rsidRPr="00141A00">
        <w:rPr>
          <w:u w:val="single"/>
        </w:rPr>
        <w:t>particle size blue shifts the LSPR centre point</w:t>
      </w:r>
      <w:r w:rsidR="002B1523" w:rsidRPr="00141A00">
        <w:rPr>
          <w:u w:val="single"/>
        </w:rPr>
        <w:t>.</w:t>
      </w:r>
      <w:r w:rsidR="00141A00" w:rsidRPr="00141A00">
        <w:rPr>
          <w:u w:val="single"/>
        </w:rPr>
        <w:fldChar w:fldCharType="begin" w:fldLock="1"/>
      </w:r>
      <w:r w:rsidR="003A2630">
        <w:rPr>
          <w:u w:val="single"/>
        </w:rPr>
        <w:instrText>ADDIN CSL_CITATION { "citationItems" : [ { "id" : "ITEM-1", "itemData" : { "DOI" : "10.1021/nl060219x", "ISSN" : "1530-6984", "PMID" : "16608293", "abstract" : "The plasmonic properties of nanodisk arrays of Pt, Pd, and, for comparison, Ag are studied over a large size and spectral range and analyzed theoretically by an electrostatic model. Pt and Pd nanodisks exhibit broad localized surface plasmons with a higher sensitivity of the plasmon to the disk aspect ratio compared to Ag. Extinction cross-sections are generally about 50% smaller for Pt and Pd. The spectral plasmon positions, line-widths, and extinction cross-sections are well reproduced by the model.", "author" : [ { "dropping-particle" : "", "family" : "Langhammer", "given" : "Christoph", "non-dropping-particle" : "", "parse-names" : false, "suffix" : "" }, { "dropping-particle" : "", "family" : "Yuan", "given" : "Zhe", "non-dropping-particle" : "", "parse-names" : false, "suffix" : "" }, { "dropping-particle" : "", "family" : "Zori\u0107", "given" : "Igor", "non-dropping-particle" : "", "parse-names" : false, "suffix" : "" }, { "dropping-particle" : "", "family" : "Kasemo", "given" : "Bengt", "non-dropping-particle" : "", "parse-names" : false, "suffix" : "" } ], "container-title" : "Nano letters", "id" : "ITEM-1", "issue" : "4", "issued" : { "date-parts" : [ [ "2006", "5" ] ] }, "page" : "833-8", "title" : "Plasmonic properties of supported Pt and Pd nanostructures.", "type" : "article-journal", "volume" : "6" }, "uris" : [ "http://www.mendeley.com/documents/?uuid=3f14ed66-79e8-4f4c-8038-a37a709c873d", "http://www.mendeley.com/documents/?uuid=01d84dd9-a106-4a5a-a933-e7df6b7e8495" ] } ], "mendeley" : { "formattedCitation" : "&lt;sup&gt;31&lt;/sup&gt;", "plainTextFormattedCitation" : "31", "previouslyFormattedCitation" : "&lt;sup&gt;30&lt;/sup&gt;" }, "properties" : { "noteIndex" : 0 }, "schema" : "https://github.com/citation-style-language/schema/raw/master/csl-citation.json" }</w:instrText>
      </w:r>
      <w:r w:rsidR="00141A00" w:rsidRPr="00141A00">
        <w:rPr>
          <w:u w:val="single"/>
        </w:rPr>
        <w:fldChar w:fldCharType="separate"/>
      </w:r>
      <w:r w:rsidR="003A2630" w:rsidRPr="003A2630">
        <w:rPr>
          <w:noProof/>
          <w:vertAlign w:val="superscript"/>
        </w:rPr>
        <w:t>31</w:t>
      </w:r>
      <w:r w:rsidR="00141A00" w:rsidRPr="00141A00">
        <w:rPr>
          <w:u w:val="single"/>
        </w:rPr>
        <w:fldChar w:fldCharType="end"/>
      </w:r>
      <w:r w:rsidR="002B1523" w:rsidRPr="00141A00">
        <w:rPr>
          <w:u w:val="single"/>
        </w:rPr>
        <w:t xml:space="preserve"> I</w:t>
      </w:r>
      <w:r w:rsidRPr="00141A00">
        <w:rPr>
          <w:u w:val="single"/>
        </w:rPr>
        <w:t xml:space="preserve">t </w:t>
      </w:r>
      <w:r w:rsidR="002B1523" w:rsidRPr="00141A00">
        <w:rPr>
          <w:u w:val="single"/>
        </w:rPr>
        <w:t xml:space="preserve">therefore </w:t>
      </w:r>
      <w:r w:rsidRPr="00141A00">
        <w:rPr>
          <w:u w:val="single"/>
        </w:rPr>
        <w:t xml:space="preserve">seems more than reasonable that our Pd nanoparticles are generating a LSPR at </w:t>
      </w:r>
      <w:r w:rsidRPr="00141A00">
        <w:rPr>
          <w:i/>
          <w:u w:val="single"/>
        </w:rPr>
        <w:t>ca</w:t>
      </w:r>
      <w:r w:rsidRPr="00141A00">
        <w:rPr>
          <w:u w:val="single"/>
        </w:rPr>
        <w:t xml:space="preserve"> 450 nm due to the size of the particles and interaction with the supporting media as has been predicted by theory.</w:t>
      </w:r>
    </w:p>
    <w:p w:rsidR="00085AAF" w:rsidRPr="00E05FF9" w:rsidRDefault="00085AAF" w:rsidP="00085AAF">
      <w:pPr>
        <w:pStyle w:val="RSCB02ArticleText"/>
      </w:pPr>
      <w:r w:rsidRPr="00E05FF9">
        <w:t>In order to determine whether the increased light harvesting potential of Pd:TiO</w:t>
      </w:r>
      <w:r w:rsidRPr="00E05FF9">
        <w:rPr>
          <w:vertAlign w:val="subscript"/>
        </w:rPr>
        <w:t>2</w:t>
      </w:r>
      <w:r w:rsidRPr="00E05FF9">
        <w:t xml:space="preserve"> would directly translated to an increase in </w:t>
      </w:r>
      <w:r w:rsidRPr="00E05FF9">
        <w:lastRenderedPageBreak/>
        <w:t xml:space="preserve">the photocatalytic efficiency of the system. This was done by testing the efficiency of the catalyst in the photodecolourisation of RhB under simulated sunlight and using optical filters to block regions of the spectrum and determine the activity of the catalyst under these conditions. The irradiance value from the solar simulator was adjusted when using the optical filters to compensate for the reduction in transmittance. When a filter was used the power of the solar simulator was adjusted to match the irradiance value to the same value as when no filter was used. This ensured that there was no loss of irradiation intensity at the incoming regions. </w:t>
      </w:r>
    </w:p>
    <w:p w:rsidR="00085AAF" w:rsidRPr="00E05FF9" w:rsidRDefault="00085AAF" w:rsidP="00085AAF">
      <w:pPr>
        <w:pStyle w:val="RSCB02ArticleText"/>
      </w:pPr>
      <w:r w:rsidRPr="00E05FF9">
        <w:t>The decolorization of RhB in the presence of Pd:TiO</w:t>
      </w:r>
      <w:r w:rsidRPr="00E05FF9">
        <w:rPr>
          <w:vertAlign w:val="subscript"/>
        </w:rPr>
        <w:t>2</w:t>
      </w:r>
      <w:r w:rsidRPr="00E05FF9">
        <w:t xml:space="preserve"> was monitored by measuring the change in the absorbance value of the dye over time at λ</w:t>
      </w:r>
      <w:r w:rsidRPr="00E05FF9">
        <w:rPr>
          <w:vertAlign w:val="subscript"/>
        </w:rPr>
        <w:t>max</w:t>
      </w:r>
      <w:r w:rsidRPr="00E05FF9">
        <w:t xml:space="preserve"> = 554 nm following the Beer-Lambert law. This </w:t>
      </w:r>
      <w:r w:rsidR="009563B0">
        <w:t xml:space="preserve">process </w:t>
      </w:r>
      <w:r w:rsidRPr="00E05FF9">
        <w:t xml:space="preserve">was </w:t>
      </w:r>
      <w:r w:rsidR="009563B0">
        <w:t>carried out</w:t>
      </w:r>
      <w:r w:rsidRPr="00E05FF9">
        <w:t xml:space="preserve"> over </w:t>
      </w:r>
      <w:r w:rsidR="009563B0">
        <w:rPr>
          <w:u w:val="single"/>
        </w:rPr>
        <w:t>6</w:t>
      </w:r>
      <w:r w:rsidRPr="006071E1">
        <w:rPr>
          <w:u w:val="single"/>
        </w:rPr>
        <w:t xml:space="preserve"> experiments</w:t>
      </w:r>
      <w:r w:rsidRPr="00E05FF9">
        <w:t xml:space="preserve"> using optical filters to block irradiation at λ &gt; 400 nm (VIS block) and also at λ &lt; 400 nm (UV block) where </w:t>
      </w:r>
      <w:r w:rsidR="009563B0">
        <w:rPr>
          <w:u w:val="single"/>
        </w:rPr>
        <w:t>P25</w:t>
      </w:r>
      <w:r w:rsidRPr="00E05FF9">
        <w:t xml:space="preserve"> was used as a reference. In order to fully determine the impact of the presence of the photocatalysts a control experiment was also carried out in the absence of photocatalyst, see SI for results of control test. The catalysts and optical filters used, as well as the calculated t</w:t>
      </w:r>
      <w:r w:rsidRPr="00E05FF9">
        <w:rPr>
          <w:vertAlign w:val="subscript"/>
        </w:rPr>
        <w:t xml:space="preserve">1/2 </w:t>
      </w:r>
      <w:r w:rsidRPr="00E05FF9">
        <w:t xml:space="preserve">and rate of reaction values of RhB are given in </w:t>
      </w:r>
      <w:r w:rsidR="002C0CD8">
        <w:rPr>
          <w:b/>
        </w:rPr>
        <w:t>T</w:t>
      </w:r>
      <w:r w:rsidRPr="00E05FF9">
        <w:rPr>
          <w:b/>
        </w:rPr>
        <w:t>able 1</w:t>
      </w:r>
      <w:r w:rsidRPr="00E05FF9">
        <w:t xml:space="preserve">. </w:t>
      </w:r>
    </w:p>
    <w:p w:rsidR="00085AAF" w:rsidRPr="00E05FF9" w:rsidRDefault="00085AAF" w:rsidP="00085AAF">
      <w:pPr>
        <w:pStyle w:val="RSCB02ArticleText"/>
      </w:pPr>
    </w:p>
    <w:p w:rsidR="00085AAF" w:rsidRPr="00E05FF9" w:rsidRDefault="00085AAF" w:rsidP="00085AAF">
      <w:pPr>
        <w:pStyle w:val="Caption"/>
        <w:spacing w:line="360" w:lineRule="auto"/>
        <w:rPr>
          <w:sz w:val="22"/>
          <w:szCs w:val="22"/>
        </w:rPr>
      </w:pPr>
      <w:r w:rsidRPr="00E05FF9">
        <w:t xml:space="preserve">Table </w:t>
      </w:r>
      <w:fldSimple w:instr=" SEQ Table \* ARABIC ">
        <w:r w:rsidR="00460899">
          <w:rPr>
            <w:noProof/>
          </w:rPr>
          <w:t>1</w:t>
        </w:r>
      </w:fldSimple>
      <w:r w:rsidRPr="00E05FF9">
        <w:rPr>
          <w:noProof/>
        </w:rPr>
        <w:t xml:space="preserve"> </w:t>
      </w:r>
      <w:r w:rsidRPr="00E05FF9">
        <w:t>The photocatalytic activity of Pd:TiO</w:t>
      </w:r>
      <w:r w:rsidRPr="00E05FF9">
        <w:rPr>
          <w:vertAlign w:val="subscript"/>
        </w:rPr>
        <w:t>2</w:t>
      </w:r>
      <w:r w:rsidRPr="00E05FF9">
        <w:t xml:space="preserve"> compared with P25. </w:t>
      </w:r>
    </w:p>
    <w:tbl>
      <w:tblPr>
        <w:tblW w:w="0" w:type="auto"/>
        <w:jc w:val="center"/>
        <w:tblLayout w:type="fixed"/>
        <w:tblLook w:val="04A0" w:firstRow="1" w:lastRow="0" w:firstColumn="1" w:lastColumn="0" w:noHBand="0" w:noVBand="1"/>
      </w:tblPr>
      <w:tblGrid>
        <w:gridCol w:w="1296"/>
        <w:gridCol w:w="1080"/>
        <w:gridCol w:w="993"/>
        <w:gridCol w:w="888"/>
      </w:tblGrid>
      <w:tr w:rsidR="00085AAF" w:rsidRPr="00E05FF9" w:rsidTr="00F049E9">
        <w:trPr>
          <w:trHeight w:val="375"/>
          <w:jc w:val="center"/>
        </w:trPr>
        <w:tc>
          <w:tcPr>
            <w:tcW w:w="1296" w:type="dxa"/>
            <w:tcBorders>
              <w:top w:val="single" w:sz="4" w:space="0" w:color="auto"/>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Photocatalyst</w:t>
            </w:r>
          </w:p>
        </w:tc>
        <w:tc>
          <w:tcPr>
            <w:tcW w:w="1080" w:type="dxa"/>
            <w:tcBorders>
              <w:top w:val="single" w:sz="4" w:space="0" w:color="auto"/>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Filter used</w:t>
            </w:r>
          </w:p>
        </w:tc>
        <w:tc>
          <w:tcPr>
            <w:tcW w:w="993" w:type="dxa"/>
            <w:tcBorders>
              <w:top w:val="single" w:sz="4" w:space="0" w:color="auto"/>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t</w:t>
            </w:r>
            <w:r w:rsidRPr="00E05FF9">
              <w:rPr>
                <w:vertAlign w:val="subscript"/>
              </w:rPr>
              <w:t>1/2</w:t>
            </w:r>
            <w:r w:rsidRPr="00E05FF9">
              <w:t>/ minutes</w:t>
            </w:r>
          </w:p>
        </w:tc>
        <w:tc>
          <w:tcPr>
            <w:tcW w:w="888" w:type="dxa"/>
            <w:tcBorders>
              <w:top w:val="single" w:sz="4" w:space="0" w:color="auto"/>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k</w:t>
            </w:r>
            <w:r w:rsidRPr="00E05FF9">
              <w:rPr>
                <w:vertAlign w:val="subscript"/>
              </w:rPr>
              <w:t>app</w:t>
            </w:r>
            <w:r w:rsidRPr="00E05FF9">
              <w:t xml:space="preserve">/ </w:t>
            </w:r>
          </w:p>
          <w:p w:rsidR="00085AAF" w:rsidRPr="00E05FF9" w:rsidRDefault="00085AAF" w:rsidP="00F049E9">
            <w:pPr>
              <w:pStyle w:val="RSCT03TableBody"/>
            </w:pPr>
            <w:r w:rsidRPr="00E05FF9">
              <w:t>minute</w:t>
            </w:r>
            <w:r w:rsidRPr="00E05FF9">
              <w:rPr>
                <w:vertAlign w:val="superscript"/>
              </w:rPr>
              <w:t>-1</w:t>
            </w:r>
          </w:p>
        </w:tc>
      </w:tr>
      <w:tr w:rsidR="00085AAF" w:rsidRPr="00E05FF9" w:rsidTr="00F049E9">
        <w:trPr>
          <w:trHeight w:val="360"/>
          <w:jc w:val="center"/>
        </w:trPr>
        <w:tc>
          <w:tcPr>
            <w:tcW w:w="1296" w:type="dxa"/>
            <w:vMerge w:val="restart"/>
            <w:tcBorders>
              <w:top w:val="nil"/>
              <w:left w:val="nil"/>
              <w:bottom w:val="single" w:sz="4" w:space="0" w:color="000000"/>
              <w:right w:val="nil"/>
            </w:tcBorders>
            <w:shd w:val="clear" w:color="auto" w:fill="auto"/>
            <w:noWrap/>
            <w:vAlign w:val="center"/>
            <w:hideMark/>
          </w:tcPr>
          <w:p w:rsidR="00085AAF" w:rsidRPr="009839E1" w:rsidRDefault="009563B0" w:rsidP="00F049E9">
            <w:pPr>
              <w:pStyle w:val="RSCT03TableBody"/>
              <w:rPr>
                <w:u w:val="single"/>
              </w:rPr>
            </w:pPr>
            <w:r w:rsidRPr="009839E1">
              <w:rPr>
                <w:u w:val="single"/>
              </w:rPr>
              <w:t>P25</w:t>
            </w:r>
          </w:p>
        </w:tc>
        <w:tc>
          <w:tcPr>
            <w:tcW w:w="1080"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No filter</w:t>
            </w:r>
          </w:p>
        </w:tc>
        <w:tc>
          <w:tcPr>
            <w:tcW w:w="993"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9.4</w:t>
            </w:r>
          </w:p>
        </w:tc>
        <w:tc>
          <w:tcPr>
            <w:tcW w:w="888"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0.073</w:t>
            </w:r>
          </w:p>
        </w:tc>
      </w:tr>
      <w:tr w:rsidR="00085AAF" w:rsidRPr="00E05FF9" w:rsidTr="00F049E9">
        <w:trPr>
          <w:trHeight w:val="300"/>
          <w:jc w:val="center"/>
        </w:trPr>
        <w:tc>
          <w:tcPr>
            <w:tcW w:w="1296" w:type="dxa"/>
            <w:vMerge/>
            <w:tcBorders>
              <w:top w:val="nil"/>
              <w:left w:val="nil"/>
              <w:bottom w:val="single" w:sz="4" w:space="0" w:color="000000"/>
              <w:right w:val="nil"/>
            </w:tcBorders>
            <w:vAlign w:val="center"/>
            <w:hideMark/>
          </w:tcPr>
          <w:p w:rsidR="00085AAF" w:rsidRPr="00E05FF9" w:rsidRDefault="00085AAF" w:rsidP="00F049E9">
            <w:pPr>
              <w:pStyle w:val="RSCT03TableBody"/>
            </w:pPr>
          </w:p>
        </w:tc>
        <w:tc>
          <w:tcPr>
            <w:tcW w:w="1080"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VIS block</w:t>
            </w:r>
          </w:p>
        </w:tc>
        <w:tc>
          <w:tcPr>
            <w:tcW w:w="993"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19.3</w:t>
            </w:r>
          </w:p>
        </w:tc>
        <w:tc>
          <w:tcPr>
            <w:tcW w:w="888"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0.04</w:t>
            </w:r>
          </w:p>
        </w:tc>
      </w:tr>
      <w:tr w:rsidR="00085AAF" w:rsidRPr="00E05FF9" w:rsidTr="00F049E9">
        <w:trPr>
          <w:trHeight w:val="300"/>
          <w:jc w:val="center"/>
        </w:trPr>
        <w:tc>
          <w:tcPr>
            <w:tcW w:w="1296" w:type="dxa"/>
            <w:vMerge/>
            <w:tcBorders>
              <w:top w:val="nil"/>
              <w:left w:val="nil"/>
              <w:bottom w:val="single" w:sz="4" w:space="0" w:color="000000"/>
              <w:right w:val="nil"/>
            </w:tcBorders>
            <w:vAlign w:val="center"/>
            <w:hideMark/>
          </w:tcPr>
          <w:p w:rsidR="00085AAF" w:rsidRPr="00E05FF9" w:rsidRDefault="00085AAF" w:rsidP="00F049E9">
            <w:pPr>
              <w:pStyle w:val="RSCT03TableBody"/>
            </w:pPr>
          </w:p>
        </w:tc>
        <w:tc>
          <w:tcPr>
            <w:tcW w:w="1080" w:type="dxa"/>
            <w:tcBorders>
              <w:top w:val="nil"/>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UV block</w:t>
            </w:r>
          </w:p>
        </w:tc>
        <w:tc>
          <w:tcPr>
            <w:tcW w:w="993" w:type="dxa"/>
            <w:tcBorders>
              <w:top w:val="nil"/>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63.6</w:t>
            </w:r>
          </w:p>
        </w:tc>
        <w:tc>
          <w:tcPr>
            <w:tcW w:w="888" w:type="dxa"/>
            <w:tcBorders>
              <w:top w:val="nil"/>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0.011</w:t>
            </w:r>
          </w:p>
        </w:tc>
      </w:tr>
      <w:tr w:rsidR="00085AAF" w:rsidRPr="00E05FF9" w:rsidTr="00F049E9">
        <w:trPr>
          <w:trHeight w:val="300"/>
          <w:jc w:val="center"/>
        </w:trPr>
        <w:tc>
          <w:tcPr>
            <w:tcW w:w="1296" w:type="dxa"/>
            <w:vMerge w:val="restart"/>
            <w:tcBorders>
              <w:top w:val="nil"/>
              <w:left w:val="nil"/>
              <w:bottom w:val="single" w:sz="4" w:space="0" w:color="000000"/>
              <w:right w:val="nil"/>
            </w:tcBorders>
            <w:shd w:val="clear" w:color="auto" w:fill="auto"/>
            <w:noWrap/>
            <w:vAlign w:val="center"/>
            <w:hideMark/>
          </w:tcPr>
          <w:p w:rsidR="00085AAF" w:rsidRPr="00E05FF9" w:rsidRDefault="009563B0" w:rsidP="00F049E9">
            <w:pPr>
              <w:pStyle w:val="RSCT03TableBody"/>
            </w:pPr>
            <w:r>
              <w:t>Pd:</w:t>
            </w:r>
            <w:r w:rsidR="00085AAF" w:rsidRPr="00E05FF9">
              <w:t>TiO</w:t>
            </w:r>
            <w:r w:rsidR="00085AAF" w:rsidRPr="00E05FF9">
              <w:rPr>
                <w:vertAlign w:val="subscript"/>
              </w:rPr>
              <w:t>2</w:t>
            </w:r>
          </w:p>
        </w:tc>
        <w:tc>
          <w:tcPr>
            <w:tcW w:w="1080"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No filter</w:t>
            </w:r>
          </w:p>
        </w:tc>
        <w:tc>
          <w:tcPr>
            <w:tcW w:w="993"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0.5</w:t>
            </w:r>
          </w:p>
        </w:tc>
        <w:tc>
          <w:tcPr>
            <w:tcW w:w="888"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1.410</w:t>
            </w:r>
          </w:p>
        </w:tc>
      </w:tr>
      <w:tr w:rsidR="00085AAF" w:rsidRPr="00E05FF9" w:rsidTr="00F049E9">
        <w:trPr>
          <w:trHeight w:val="300"/>
          <w:jc w:val="center"/>
        </w:trPr>
        <w:tc>
          <w:tcPr>
            <w:tcW w:w="1296" w:type="dxa"/>
            <w:vMerge/>
            <w:tcBorders>
              <w:top w:val="nil"/>
              <w:left w:val="nil"/>
              <w:bottom w:val="single" w:sz="4" w:space="0" w:color="000000"/>
              <w:right w:val="nil"/>
            </w:tcBorders>
            <w:vAlign w:val="center"/>
            <w:hideMark/>
          </w:tcPr>
          <w:p w:rsidR="00085AAF" w:rsidRPr="00E05FF9" w:rsidRDefault="00085AAF" w:rsidP="00F049E9">
            <w:pPr>
              <w:pStyle w:val="RSCT03TableBody"/>
            </w:pPr>
          </w:p>
        </w:tc>
        <w:tc>
          <w:tcPr>
            <w:tcW w:w="1080" w:type="dxa"/>
            <w:tcBorders>
              <w:top w:val="nil"/>
              <w:left w:val="nil"/>
              <w:bottom w:val="nil"/>
              <w:right w:val="nil"/>
            </w:tcBorders>
            <w:shd w:val="clear" w:color="auto" w:fill="auto"/>
            <w:noWrap/>
            <w:vAlign w:val="center"/>
            <w:hideMark/>
          </w:tcPr>
          <w:p w:rsidR="00085AAF" w:rsidRPr="00E05FF9" w:rsidRDefault="00085AAF" w:rsidP="00F049E9">
            <w:pPr>
              <w:pStyle w:val="RSCT03TableBody"/>
            </w:pPr>
            <w:r w:rsidRPr="00E05FF9">
              <w:t>VIS block</w:t>
            </w:r>
          </w:p>
        </w:tc>
        <w:tc>
          <w:tcPr>
            <w:tcW w:w="993" w:type="dxa"/>
            <w:tcBorders>
              <w:top w:val="nil"/>
              <w:left w:val="nil"/>
              <w:bottom w:val="nil"/>
              <w:right w:val="nil"/>
            </w:tcBorders>
            <w:shd w:val="clear" w:color="auto" w:fill="auto"/>
            <w:noWrap/>
            <w:vAlign w:val="center"/>
          </w:tcPr>
          <w:p w:rsidR="00085AAF" w:rsidRPr="00E05FF9" w:rsidRDefault="00085AAF" w:rsidP="00F049E9">
            <w:pPr>
              <w:pStyle w:val="RSCT03TableBody"/>
            </w:pPr>
            <w:r w:rsidRPr="00E05FF9">
              <w:t>3.1</w:t>
            </w:r>
          </w:p>
        </w:tc>
        <w:tc>
          <w:tcPr>
            <w:tcW w:w="888" w:type="dxa"/>
            <w:tcBorders>
              <w:top w:val="nil"/>
              <w:left w:val="nil"/>
              <w:bottom w:val="nil"/>
              <w:right w:val="nil"/>
            </w:tcBorders>
            <w:shd w:val="clear" w:color="auto" w:fill="auto"/>
            <w:noWrap/>
            <w:vAlign w:val="center"/>
          </w:tcPr>
          <w:p w:rsidR="00085AAF" w:rsidRPr="00E05FF9" w:rsidRDefault="00085AAF" w:rsidP="00F049E9">
            <w:pPr>
              <w:pStyle w:val="RSCT03TableBody"/>
            </w:pPr>
            <w:r w:rsidRPr="00E05FF9">
              <w:t>0.226</w:t>
            </w:r>
          </w:p>
        </w:tc>
      </w:tr>
      <w:tr w:rsidR="00085AAF" w:rsidRPr="00E05FF9" w:rsidTr="00F049E9">
        <w:trPr>
          <w:trHeight w:val="300"/>
          <w:jc w:val="center"/>
        </w:trPr>
        <w:tc>
          <w:tcPr>
            <w:tcW w:w="1296" w:type="dxa"/>
            <w:vMerge/>
            <w:tcBorders>
              <w:top w:val="nil"/>
              <w:left w:val="nil"/>
              <w:bottom w:val="single" w:sz="4" w:space="0" w:color="000000"/>
              <w:right w:val="nil"/>
            </w:tcBorders>
            <w:vAlign w:val="center"/>
            <w:hideMark/>
          </w:tcPr>
          <w:p w:rsidR="00085AAF" w:rsidRPr="00E05FF9" w:rsidRDefault="00085AAF" w:rsidP="00F049E9">
            <w:pPr>
              <w:pStyle w:val="RSCT03TableBody"/>
            </w:pPr>
          </w:p>
        </w:tc>
        <w:tc>
          <w:tcPr>
            <w:tcW w:w="1080" w:type="dxa"/>
            <w:tcBorders>
              <w:top w:val="nil"/>
              <w:left w:val="nil"/>
              <w:bottom w:val="single" w:sz="4" w:space="0" w:color="auto"/>
              <w:right w:val="nil"/>
            </w:tcBorders>
            <w:shd w:val="clear" w:color="auto" w:fill="auto"/>
            <w:noWrap/>
            <w:vAlign w:val="center"/>
            <w:hideMark/>
          </w:tcPr>
          <w:p w:rsidR="00085AAF" w:rsidRPr="00E05FF9" w:rsidRDefault="00085AAF" w:rsidP="00F049E9">
            <w:pPr>
              <w:pStyle w:val="RSCT03TableBody"/>
            </w:pPr>
            <w:r w:rsidRPr="00E05FF9">
              <w:t>UV block</w:t>
            </w:r>
          </w:p>
        </w:tc>
        <w:tc>
          <w:tcPr>
            <w:tcW w:w="993" w:type="dxa"/>
            <w:tcBorders>
              <w:top w:val="nil"/>
              <w:left w:val="nil"/>
              <w:bottom w:val="single" w:sz="4" w:space="0" w:color="auto"/>
              <w:right w:val="nil"/>
            </w:tcBorders>
            <w:shd w:val="clear" w:color="auto" w:fill="auto"/>
            <w:noWrap/>
            <w:vAlign w:val="center"/>
          </w:tcPr>
          <w:p w:rsidR="00085AAF" w:rsidRPr="00E05FF9" w:rsidRDefault="00085AAF" w:rsidP="00F049E9">
            <w:pPr>
              <w:pStyle w:val="RSCT03TableBody"/>
            </w:pPr>
            <w:r w:rsidRPr="00E05FF9">
              <w:t>8.5</w:t>
            </w:r>
          </w:p>
        </w:tc>
        <w:tc>
          <w:tcPr>
            <w:tcW w:w="888" w:type="dxa"/>
            <w:tcBorders>
              <w:top w:val="nil"/>
              <w:left w:val="nil"/>
              <w:bottom w:val="single" w:sz="4" w:space="0" w:color="auto"/>
              <w:right w:val="nil"/>
            </w:tcBorders>
            <w:shd w:val="clear" w:color="auto" w:fill="auto"/>
            <w:noWrap/>
            <w:vAlign w:val="center"/>
          </w:tcPr>
          <w:p w:rsidR="00085AAF" w:rsidRPr="00E05FF9" w:rsidRDefault="00085AAF" w:rsidP="00F049E9">
            <w:pPr>
              <w:pStyle w:val="RSCT03TableBody"/>
            </w:pPr>
            <w:r w:rsidRPr="00E05FF9">
              <w:t>0.078</w:t>
            </w:r>
          </w:p>
        </w:tc>
      </w:tr>
    </w:tbl>
    <w:p w:rsidR="00085AAF" w:rsidRPr="00E05FF9" w:rsidRDefault="00085AAF" w:rsidP="00085AAF">
      <w:pPr>
        <w:pStyle w:val="TAMainText"/>
        <w:spacing w:line="360" w:lineRule="auto"/>
      </w:pPr>
    </w:p>
    <w:p w:rsidR="00085AAF" w:rsidRPr="00E05FF9" w:rsidRDefault="00085AAF" w:rsidP="00085AAF">
      <w:pPr>
        <w:pStyle w:val="RSCB02ArticleText"/>
      </w:pPr>
      <w:r w:rsidRPr="00E05FF9">
        <w:t>The decolourisation pathway and mechanism for the degradation of RhB has been reported elsewhere</w:t>
      </w:r>
      <w:r w:rsidRPr="00E05FF9">
        <w:fldChar w:fldCharType="begin" w:fldLock="1"/>
      </w:r>
      <w:r w:rsidR="003A2630">
        <w:instrText>ADDIN CSL_CITATION { "citationItems" : [ { "id" : "ITEM-1", "itemData" : { "DOI" : "10.1039/C5RA00798D", "ISSN" : "2046-2069", "author" : [ { "dropping-particle" : "", "family" : "Cui", "given" : "Yongfei", "non-dropping-particle" : "", "parse-names" : false, "suffix" : "" }, { "dropping-particle" : "", "family" : "Goldup", "given" : "Stephen M.", "non-dropping-particle" : "", "parse-names" : false, "suffix" : "" }, { "dropping-particle" : "", "family" : "Dunn", "given" : "Steve", "non-dropping-particle" : "", "parse-names" : false, "suffix" : "" } ], "container-title" : "RSC Adv.", "id" : "ITEM-1", "issue" : "38", "issued" : { "date-parts" : [ [ "2015" ] ] }, "page" : "30372-30379", "publisher" : "Royal Society of Chemistry", "title" : "Photodegradation of Rhodamine B over Ag modified ferroelectric BaTiO3 under simulated solar light: pathways and mechanism", "type" : "article-journal", "volume" : "5" }, "uris" : [ "http://www.mendeley.com/documents/?uuid=fbb26db1-7c7c-4009-acac-580d010577ce", "http://www.mendeley.com/documents/?uuid=dae5350d-3a7f-4542-a7ef-d406929a089c" ] }, { "id" : "ITEM-2", "itemData" : { "DOI" : "http://dx.doi.org/10.1016/j.molcata.2006.08.018", "ISSN" : "1381-1169", "abstract" : "Titanium dioxides (TiO2) nanoparticles with one-dimensional (1D) geometry, nanorods and nanostripes, were used as photocatalysts to photodegrade Rhodamine B (RhB) under ultraviolet (UV) and visible irradiation. The nanorods catalyst exhibited very interesting photocatalytic properties: under the UV irradiation its catalytic activity was slightly below that of the well-known TiO2 catalyst P25, while under visible light it exhibited a better activity than P25.  This fact indicates that the nanorods have a superior ability to utilize less energetic but more abundant visible light. Moreover, the 1D TiO2 nanoparticles can be readily separated from aqueous suspensions by sedimentation after the reaction. With these advantages the 1D TiO2 catalysts have a great potential for environmental applications. Various analytical techniques were employed to characterize TiO2 catalysts and monitor the photocatalytic reaction. It was found that the catalytic performance of the catalysts is greatly dependent on their structures: The superior activity of P25 (consists of anatase and rutile nanocrystals) under UV light results probably from the interfacial interaction between anatase and rutile nanocrystals in this solid, which do not exist in the nanorods (only anatase). The titanate nanostripes (titanate) can absorb UV photons with shorter wavelength only.", "author" : [ { "dropping-particle" : "", "family" : "Li", "given" : "Jingyi", "non-dropping-particle" : "", "parse-names" : false, "suffix" : "" }, { "dropping-particle" : "", "family" : "Ma", "given" : "Wanhong", "non-dropping-particle" : "", "parse-names" : false, "suffix" : "" }, { "dropping-particle" : "", "family" : "Chen", "given" : "Chuncheng", "non-dropping-particle" : "", "parse-names" : false, "suffix" : "" }, { "dropping-particle" : "", "family" : "Zhao", "given" : "Jincai", "non-dropping-particle" : "", "parse-names" : false, "suffix" : "" }, { "dropping-particle" : "", "family" : "Zhu", "given" : "Huaiyong", "non-dropping-particle" : "", "parse-names" : false, "suffix" : "" }, { "dropping-particle" : "", "family" : "Gao", "given" : "Xueping", "non-dropping-particle" : "", "parse-names" : false, "suffix" : "" } ], "container-title" : "Journal of Molecular Catalysis A: Chemical", "id" : "ITEM-2", "issue" : "1", "issued" : { "date-parts" : [ [ "2007", "1" ] ] }, "page" : "131-138", "title" : "Photodegradation of dye pollutants on one-dimensional TiO2 nanoparticles under UV and visible irradiation", "type" : "article-journal", "volume" : "261" }, "uris" : [ "http://www.mendeley.com/documents/?uuid=caa2e260-f3a5-416c-8fce-c2d394e8b661" ] }, { "id" : "ITEM-3", "itemData" : { "DOI" : "http://dx.doi.org/10.1016/S1001-0742(07)60148-X", "ISSN" : "1001-0742", "abstract" : "The photocatalytic degradation of dye Rhodamine B (RhB) in the presence of TiO2 nanostripe or P25 under visible light irradiation was investigated. The degradation intermediates were identified using Infrared spectra (IR spectra), 1H nuclear magnetic resonance (1HNMR) spectra, and gas chromatography-mass spectroscopy (GC-MS). The IR and the 1HNMR results showed that the large conjugated chromophore structure of RhB was efficiently destroyed under visible light irradiation in both the photocatalytic systems (TiO2 nanostripe or P25 and Rhodamine B systems). GC-MS results showed that the main identified intermediates were ethanediotic acid, 1,2-benzenedicarboxylic acid, 4-hydroxy benzoic acid and benzoic acid, which were almost the same in the TiO2 nanostripes and P25 systems. This work provides a good insight into the reaction pathway(s) for the TiO2-assisted photocatalytic degradation of dye pollutants under visible light irradiation.", "author" : [ { "dropping-particle" : "", "family" : "LI", "given" : "Jing-yi", "non-dropping-particle" : "", "parse-names" : false, "suffix" : "" }, { "dropping-particle" : "", "family" : "MA", "given" : "Wan-hong", "non-dropping-particle" : "", "parse-names" : false, "suffix" : "" }, { "dropping-particle" : "", "family" : "LEI", "given" : "Peng-xiang", "non-dropping-particle" : "", "parse-names" : false, "suffix" : "" }, { "dropping-particle" : "", "family" : "ZHAO", "given" : "Jin-cai", "non-dropping-particle" : "", "parse-names" : false, "suffix" : "" } ], "container-title" : "Journal of Environmental Sciences", "id" : "ITEM-3", "issue" : "7", "issued" : { "date-parts" : [ [ "2007" ] ] }, "page" : "892-896", "title" : "Detection of intermediates in the TiO2-assisted photodegradation of Rhodamine B under visible light irradiation", "type" : "article-journal", "volume" : "19" }, "uris" : [ "http://www.mendeley.com/documents/?uuid=d7819f1a-e7f6-443a-a54f-0338c5b518c5" ] } ], "mendeley" : { "formattedCitation" : "&lt;sup&gt;32\u201334&lt;/sup&gt;", "plainTextFormattedCitation" : "32\u201334", "previouslyFormattedCitation" : "&lt;sup&gt;31\u201333&lt;/sup&gt;" }, "properties" : { "noteIndex" : 0 }, "schema" : "https://github.com/citation-style-language/schema/raw/master/csl-citation.json" }</w:instrText>
      </w:r>
      <w:r w:rsidRPr="00E05FF9">
        <w:fldChar w:fldCharType="separate"/>
      </w:r>
      <w:r w:rsidR="003A2630" w:rsidRPr="003A2630">
        <w:rPr>
          <w:noProof/>
          <w:vertAlign w:val="superscript"/>
        </w:rPr>
        <w:t>32–34</w:t>
      </w:r>
      <w:r w:rsidRPr="00E05FF9">
        <w:fldChar w:fldCharType="end"/>
      </w:r>
      <w:r w:rsidRPr="00E05FF9">
        <w:t xml:space="preserve"> for TiO</w:t>
      </w:r>
      <w:r w:rsidRPr="00E05FF9">
        <w:rPr>
          <w:vertAlign w:val="subscript"/>
        </w:rPr>
        <w:t>2</w:t>
      </w:r>
      <w:r w:rsidRPr="00E05FF9">
        <w:t xml:space="preserve"> based catalysts and it is thought that the degradation of RhB in the presence of the Pd:TiO</w:t>
      </w:r>
      <w:r w:rsidRPr="00E05FF9">
        <w:rPr>
          <w:vertAlign w:val="subscript"/>
        </w:rPr>
        <w:t>2</w:t>
      </w:r>
      <w:r w:rsidRPr="00E05FF9">
        <w:t xml:space="preserve"> co-catalyst undergoes a similar pathway.</w:t>
      </w:r>
    </w:p>
    <w:p w:rsidR="00085AAF" w:rsidRPr="00E05FF9" w:rsidRDefault="00085AAF" w:rsidP="00085AAF">
      <w:pPr>
        <w:pStyle w:val="RSCB02ArticleText"/>
      </w:pPr>
      <w:r w:rsidRPr="00E05FF9">
        <w:t>The fastest t</w:t>
      </w:r>
      <w:r w:rsidRPr="00E05FF9">
        <w:rPr>
          <w:vertAlign w:val="subscript"/>
        </w:rPr>
        <w:t xml:space="preserve">1/2 </w:t>
      </w:r>
      <w:r w:rsidRPr="00E05FF9">
        <w:t>value was measured for the Pd:TiO</w:t>
      </w:r>
      <w:r w:rsidRPr="00E05FF9">
        <w:rPr>
          <w:vertAlign w:val="subscript"/>
        </w:rPr>
        <w:t>2</w:t>
      </w:r>
      <w:r w:rsidRPr="00E05FF9">
        <w:t xml:space="preserve"> catalyst under full solar irradiation. This value constitutes a 19-fold inc</w:t>
      </w:r>
      <w:r w:rsidR="009563B0">
        <w:t>rease in activity compared with TiO</w:t>
      </w:r>
      <w:r w:rsidR="009563B0">
        <w:rPr>
          <w:vertAlign w:val="subscript"/>
        </w:rPr>
        <w:t>2</w:t>
      </w:r>
      <w:r w:rsidRPr="00E05FF9">
        <w:t xml:space="preserve"> under identical conditions. Under visible irradiation with the UV blocked the reaction rate of P25 was the lowest value of any catalyst tested. The reduced activity observed under these conditions is attributed to the photo-assisted oxidation (PAO) of the dye, which has been previously well reported. </w:t>
      </w:r>
    </w:p>
    <w:p w:rsidR="00085AAF" w:rsidRPr="00E05FF9" w:rsidRDefault="00085AAF" w:rsidP="00085AAF">
      <w:pPr>
        <w:pStyle w:val="RSCB02ArticleText"/>
      </w:pPr>
      <w:r w:rsidRPr="00E05FF9">
        <w:t>Under full solar irradiation our Pd:TiO</w:t>
      </w:r>
      <w:r w:rsidRPr="00E05FF9">
        <w:rPr>
          <w:vertAlign w:val="subscript"/>
        </w:rPr>
        <w:t>2</w:t>
      </w:r>
      <w:r w:rsidRPr="00E05FF9">
        <w:t xml:space="preserve"> gave the fastest t</w:t>
      </w:r>
      <w:r w:rsidRPr="00E05FF9">
        <w:rPr>
          <w:vertAlign w:val="subscript"/>
        </w:rPr>
        <w:t>1/2</w:t>
      </w:r>
      <w:r w:rsidRPr="00E05FF9">
        <w:t xml:space="preserve"> value. Employing a filter that only let the UV portion of the spectrum pass (λ &lt; 400 nm) the reaction rate of P25 was reduced compared when compared to the activity under full solar irradiation.  When illuminated with the same portion of the solar spectrum the Pd:TiO</w:t>
      </w:r>
      <w:r w:rsidRPr="00E05FF9">
        <w:rPr>
          <w:vertAlign w:val="subscript"/>
        </w:rPr>
        <w:t>2</w:t>
      </w:r>
      <w:r w:rsidRPr="00E05FF9">
        <w:t xml:space="preserve"> catalyst also showed a reduced reaction rate that was intermediate when compared to its activity under full spectrum and visible spectrum irradiation. The decolourization rate profiles for P25 and Pd:TiO</w:t>
      </w:r>
      <w:r w:rsidRPr="00E05FF9">
        <w:rPr>
          <w:vertAlign w:val="subscript"/>
        </w:rPr>
        <w:t>2</w:t>
      </w:r>
      <w:r w:rsidRPr="00E05FF9">
        <w:t xml:space="preserve"> in the RhB decolorization experiments are shown in </w:t>
      </w:r>
      <w:r w:rsidR="007A02ED" w:rsidRPr="00E05FF9">
        <w:rPr>
          <w:b/>
        </w:rPr>
        <w:t>F</w:t>
      </w:r>
      <w:r w:rsidRPr="00E05FF9">
        <w:rPr>
          <w:b/>
        </w:rPr>
        <w:t xml:space="preserve">igure 3 </w:t>
      </w:r>
      <w:r w:rsidRPr="00E05FF9">
        <w:t>(A comparison of the catalytic performance of this catalyst compared with other Pd-TiO</w:t>
      </w:r>
      <w:r w:rsidRPr="00E05FF9">
        <w:rPr>
          <w:vertAlign w:val="subscript"/>
        </w:rPr>
        <w:t>2</w:t>
      </w:r>
      <w:r w:rsidRPr="00E05FF9">
        <w:t xml:space="preserve"> systems can be found in the SI).</w:t>
      </w:r>
    </w:p>
    <w:p w:rsidR="00F049E9" w:rsidRPr="00E05FF9" w:rsidRDefault="00F049E9" w:rsidP="00085AAF">
      <w:pPr>
        <w:pStyle w:val="RSCB02ArticleText"/>
      </w:pPr>
    </w:p>
    <w:p w:rsidR="00085AAF" w:rsidRPr="00E05FF9" w:rsidRDefault="00CB3377" w:rsidP="00085AAF">
      <w:pPr>
        <w:pStyle w:val="TAMainText"/>
        <w:spacing w:line="360" w:lineRule="auto"/>
        <w:jc w:val="center"/>
      </w:pPr>
      <w:r>
        <w:rPr>
          <w:noProof/>
          <w:lang w:val="en-GB" w:eastAsia="en-GB"/>
        </w:rPr>
        <w:drawing>
          <wp:inline distT="0" distB="0" distL="0" distR="0" wp14:anchorId="415DFD14" wp14:editId="4DC2C986">
            <wp:extent cx="2733675" cy="2211619"/>
            <wp:effectExtent l="0" t="0" r="0" b="0"/>
            <wp:docPr id="17" name="Picture 17" descr="C:\Users\exw449\Google Drive\PhD\Reports, papers, posters, images and presentations\Journal submissions\Dye degradation\RSC dye degradation paper - accepted\Figures\RSC Nano MS figs\Figure 3 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w449\Google Drive\PhD\Reports, papers, posters, images and presentations\Journal submissions\Dye degradation\RSC dye degradation paper - accepted\Figures\RSC Nano MS figs\Figure 3 H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855" cy="2214192"/>
                    </a:xfrm>
                    <a:prstGeom prst="rect">
                      <a:avLst/>
                    </a:prstGeom>
                    <a:noFill/>
                    <a:ln>
                      <a:noFill/>
                    </a:ln>
                  </pic:spPr>
                </pic:pic>
              </a:graphicData>
            </a:graphic>
          </wp:inline>
        </w:drawing>
      </w:r>
    </w:p>
    <w:p w:rsidR="00085AAF" w:rsidRDefault="00085AAF" w:rsidP="00E05FF9">
      <w:pPr>
        <w:pStyle w:val="Caption"/>
        <w:spacing w:line="360" w:lineRule="auto"/>
        <w:jc w:val="both"/>
      </w:pPr>
      <w:r w:rsidRPr="00E05FF9">
        <w:t xml:space="preserve">Figure </w:t>
      </w:r>
      <w:fldSimple w:instr=" SEQ Figure \* ARABIC ">
        <w:r w:rsidR="00460899">
          <w:rPr>
            <w:noProof/>
          </w:rPr>
          <w:t>3</w:t>
        </w:r>
      </w:fldSimple>
      <w:r w:rsidRPr="00E05FF9">
        <w:t xml:space="preserve"> </w:t>
      </w:r>
      <w:r w:rsidR="008570A2" w:rsidRPr="00E05FF9">
        <w:t>N</w:t>
      </w:r>
      <w:r w:rsidRPr="00E05FF9">
        <w:t>ormalized</w:t>
      </w:r>
      <w:r w:rsidR="008570A2" w:rsidRPr="00E05FF9">
        <w:t xml:space="preserve"> RhB</w:t>
      </w:r>
      <w:r w:rsidRPr="00E05FF9">
        <w:t xml:space="preserve"> </w:t>
      </w:r>
      <w:r w:rsidR="008570A2" w:rsidRPr="00E05FF9">
        <w:t>decolourisation</w:t>
      </w:r>
      <w:r w:rsidRPr="00E05FF9">
        <w:t xml:space="preserve"> curves</w:t>
      </w:r>
      <w:r w:rsidR="008570A2" w:rsidRPr="00E05FF9">
        <w:t xml:space="preserve"> in the for</w:t>
      </w:r>
      <w:r w:rsidRPr="00E05FF9">
        <w:t xml:space="preserve"> P25 and Pd:TiO</w:t>
      </w:r>
      <w:r w:rsidRPr="00E05FF9">
        <w:rPr>
          <w:vertAlign w:val="subscript"/>
        </w:rPr>
        <w:t>2</w:t>
      </w:r>
      <w:r w:rsidR="008570A2" w:rsidRPr="00E05FF9">
        <w:t xml:space="preserve"> photocatalysts under different regions of the spectrum</w:t>
      </w:r>
    </w:p>
    <w:p w:rsidR="00B97A1E" w:rsidRPr="00E05FF9" w:rsidRDefault="00B97A1E" w:rsidP="00B97A1E">
      <w:pPr>
        <w:pStyle w:val="RSCB02ArticleText"/>
      </w:pPr>
      <w:r w:rsidRPr="00E05FF9">
        <w:t>As can be seen from Figure 3 the Pd:TiO</w:t>
      </w:r>
      <w:r w:rsidRPr="00E05FF9">
        <w:rPr>
          <w:vertAlign w:val="subscript"/>
        </w:rPr>
        <w:t>2</w:t>
      </w:r>
      <w:r w:rsidRPr="00E05FF9">
        <w:t xml:space="preserve"> catalyst outperforms </w:t>
      </w:r>
      <w:r w:rsidRPr="001211D0">
        <w:rPr>
          <w:u w:val="single"/>
        </w:rPr>
        <w:t>unmodified</w:t>
      </w:r>
      <w:r w:rsidRPr="00E05FF9">
        <w:t xml:space="preserve"> P25 in all the experimental conditions. Further review of Figure 3 shows that there is a requirement for a contribution from the UV and visible portion of the spectrum for the Pd:TiO</w:t>
      </w:r>
      <w:r w:rsidRPr="00E05FF9">
        <w:rPr>
          <w:vertAlign w:val="subscript"/>
        </w:rPr>
        <w:t>2</w:t>
      </w:r>
      <w:r w:rsidRPr="00E05FF9">
        <w:t xml:space="preserve"> catalyst to perform at the optimum rate.</w:t>
      </w:r>
    </w:p>
    <w:p w:rsidR="00F049E9" w:rsidRPr="00E05FF9" w:rsidRDefault="002B1523" w:rsidP="00F049E9">
      <w:pPr>
        <w:pStyle w:val="RSCB02ArticleText"/>
      </w:pPr>
      <w:r w:rsidRPr="002B1523">
        <w:rPr>
          <w:u w:val="single"/>
        </w:rPr>
        <w:t xml:space="preserve">The presence of the Pd nanoparticles was found to enhance the optical response of the photocatalyst up to </w:t>
      </w:r>
      <w:r w:rsidRPr="002B1523">
        <w:rPr>
          <w:rFonts w:ascii="Times New Roman" w:hAnsi="Times New Roman"/>
          <w:u w:val="single"/>
        </w:rPr>
        <w:t>~</w:t>
      </w:r>
      <w:r w:rsidRPr="002B1523">
        <w:rPr>
          <w:u w:val="single"/>
        </w:rPr>
        <w:t xml:space="preserve"> 600 nm, which constitutes an increase of 8% compared with P25. This altered absorption profile improved the photocatalytic activity of Pd:TiO</w:t>
      </w:r>
      <w:r w:rsidRPr="002B1523">
        <w:rPr>
          <w:u w:val="single"/>
          <w:vertAlign w:val="subscript"/>
        </w:rPr>
        <w:t>2</w:t>
      </w:r>
      <w:r w:rsidRPr="002B1523">
        <w:rPr>
          <w:u w:val="single"/>
        </w:rPr>
        <w:t xml:space="preserve"> and this can be explained by the LSPR effect of the Pd nanoparticles as depicted in </w:t>
      </w:r>
      <w:r w:rsidRPr="002B1523">
        <w:rPr>
          <w:b/>
          <w:u w:val="single"/>
        </w:rPr>
        <w:t>Figure 4</w:t>
      </w:r>
      <w:r w:rsidRPr="00E05FF9">
        <w:t>.</w:t>
      </w:r>
    </w:p>
    <w:p w:rsidR="00FA3AA2" w:rsidRPr="00E05FF9" w:rsidRDefault="00FA3AA2" w:rsidP="00F049E9">
      <w:pPr>
        <w:pStyle w:val="RSCB02ArticleText"/>
      </w:pPr>
    </w:p>
    <w:p w:rsidR="00085AAF" w:rsidRPr="00E05FF9" w:rsidRDefault="00CB3377" w:rsidP="00B97A1E">
      <w:pPr>
        <w:pStyle w:val="TAMainText"/>
        <w:spacing w:line="360" w:lineRule="auto"/>
        <w:jc w:val="center"/>
      </w:pPr>
      <w:r>
        <w:rPr>
          <w:noProof/>
          <w:lang w:val="en-GB" w:eastAsia="en-GB"/>
        </w:rPr>
        <w:drawing>
          <wp:inline distT="0" distB="0" distL="0" distR="0" wp14:anchorId="44B9EAAD" wp14:editId="2B6CD640">
            <wp:extent cx="2962275" cy="1861707"/>
            <wp:effectExtent l="0" t="0" r="0" b="5715"/>
            <wp:docPr id="16" name="Picture 16" descr="C:\Users\exw449\Google Drive\PhD\Reports, papers, posters, images and presentations\Journal submissions\Dye degradation\RSC dye degradation paper - accepted\Figures\RSC Nano MS figs\Figure 4 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xw449\Google Drive\PhD\Reports, papers, posters, images and presentations\Journal submissions\Dye degradation\RSC dye degradation paper - accepted\Figures\RSC Nano MS figs\Figure 4 HR.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523" cy="1867519"/>
                    </a:xfrm>
                    <a:prstGeom prst="rect">
                      <a:avLst/>
                    </a:prstGeom>
                    <a:noFill/>
                    <a:ln>
                      <a:noFill/>
                    </a:ln>
                  </pic:spPr>
                </pic:pic>
              </a:graphicData>
            </a:graphic>
          </wp:inline>
        </w:drawing>
      </w:r>
    </w:p>
    <w:p w:rsidR="00085AAF" w:rsidRPr="00E05FF9" w:rsidRDefault="00085AAF" w:rsidP="00E05FF9">
      <w:pPr>
        <w:pStyle w:val="Caption"/>
        <w:jc w:val="both"/>
      </w:pPr>
      <w:r w:rsidRPr="00E05FF9">
        <w:lastRenderedPageBreak/>
        <w:t xml:space="preserve">Figure </w:t>
      </w:r>
      <w:fldSimple w:instr=" SEQ Figure \* ARABIC ">
        <w:r w:rsidR="00460899">
          <w:rPr>
            <w:noProof/>
          </w:rPr>
          <w:t>4</w:t>
        </w:r>
      </w:fldSimple>
      <w:r w:rsidRPr="00E05FF9">
        <w:t xml:space="preserve"> Schematic representation of the mechanisms thought to be occurring during photocatalyst excitation by different regions of the spectrum where a) shows that excited electrons can overcome the Schottky barrier and transfer to the TiO</w:t>
      </w:r>
      <w:r w:rsidRPr="00E05FF9">
        <w:rPr>
          <w:vertAlign w:val="subscript"/>
        </w:rPr>
        <w:t>2</w:t>
      </w:r>
      <w:r w:rsidRPr="00E05FF9">
        <w:t xml:space="preserve"> via resonant energy transfer (RET) from </w:t>
      </w:r>
      <w:r w:rsidR="00B97A1E">
        <w:t xml:space="preserve">the </w:t>
      </w:r>
      <w:r w:rsidRPr="00E05FF9">
        <w:t>Pd</w:t>
      </w:r>
      <w:r w:rsidR="00B97A1E">
        <w:t>,</w:t>
      </w:r>
      <w:r w:rsidRPr="00E05FF9">
        <w:t xml:space="preserve"> promoting oxidation on the Pd under visible light irradiation b) Under UV irradiation, charge carriers are generated within TiO</w:t>
      </w:r>
      <w:r w:rsidRPr="00E05FF9">
        <w:rPr>
          <w:vertAlign w:val="subscript"/>
        </w:rPr>
        <w:t>2</w:t>
      </w:r>
      <w:r w:rsidRPr="00E05FF9">
        <w:t>. The LSPR of Pd also extends into the UV region where RET can occur leading to charge transfer to TiO</w:t>
      </w:r>
      <w:r w:rsidRPr="00E05FF9">
        <w:rPr>
          <w:vertAlign w:val="subscript"/>
        </w:rPr>
        <w:t>2</w:t>
      </w:r>
      <w:r w:rsidRPr="00E05FF9">
        <w:t xml:space="preserve"> and oxidation on Pd c) the combination of these processes results in the enhanced photocatalytic activity of the system d) shows the Schottky barrier formed at the metal/ semiconductor interface and the values of χ, </w:t>
      </w:r>
      <w:r w:rsidRPr="00E05FF9">
        <w:rPr>
          <w:rFonts w:ascii="Times New Roman" w:hAnsi="Times New Roman"/>
        </w:rPr>
        <w:t>ϕ</w:t>
      </w:r>
      <w:r w:rsidRPr="00E05FF9">
        <w:rPr>
          <w:vertAlign w:val="subscript"/>
        </w:rPr>
        <w:t>B</w:t>
      </w:r>
      <w:r w:rsidRPr="00E05FF9">
        <w:t xml:space="preserve"> and </w:t>
      </w:r>
      <w:r w:rsidRPr="00E05FF9">
        <w:rPr>
          <w:rFonts w:ascii="Times New Roman" w:hAnsi="Times New Roman"/>
        </w:rPr>
        <w:t>ϕ</w:t>
      </w:r>
      <w:r w:rsidRPr="00E05FF9">
        <w:rPr>
          <w:vertAlign w:val="subscript"/>
        </w:rPr>
        <w:t>M</w:t>
      </w:r>
      <w:r w:rsidRPr="00E05FF9">
        <w:t>, which are the TiO</w:t>
      </w:r>
      <w:r w:rsidRPr="00E05FF9">
        <w:rPr>
          <w:vertAlign w:val="subscript"/>
        </w:rPr>
        <w:t>2</w:t>
      </w:r>
      <w:r w:rsidRPr="00E05FF9">
        <w:t xml:space="preserve"> electron affinity, barrier height and the Pd work function, respectively.</w:t>
      </w:r>
    </w:p>
    <w:p w:rsidR="00FA3AA2" w:rsidRPr="00E05FF9" w:rsidRDefault="00FA3AA2" w:rsidP="00FA3AA2">
      <w:pPr>
        <w:pStyle w:val="RSCB02ArticleText"/>
      </w:pPr>
      <w:r w:rsidRPr="00E05FF9">
        <w:t>In order to explain the need for full spectrum illumination it seems reasonable that two processes are taking place on the catalyst. One mechanism attributed to the LSPR where electrons in the Pd are excited sufficiently to overcome the Schottky barrier at the semiconductor/ metal interface and transfer ‘hot electrons’ to the TiO</w:t>
      </w:r>
      <w:r w:rsidRPr="00E05FF9">
        <w:rPr>
          <w:vertAlign w:val="subscript"/>
        </w:rPr>
        <w:t>2</w:t>
      </w:r>
      <w:r w:rsidRPr="00E05FF9">
        <w:t xml:space="preserve"> (</w:t>
      </w:r>
      <w:r w:rsidR="007A02ED" w:rsidRPr="00E05FF9">
        <w:t>F</w:t>
      </w:r>
      <w:r w:rsidRPr="00E05FF9">
        <w:t>igure 4a) has been previously reported.</w:t>
      </w:r>
      <w:r w:rsidRPr="00E05FF9">
        <w:fldChar w:fldCharType="begin" w:fldLock="1"/>
      </w:r>
      <w:r w:rsidR="003A2630">
        <w:instrText>ADDIN CSL_CITATION { "citationItems" : [ { "id" : "ITEM-1", "itemData" : { "DOI" : "10.1039/c3ee42731e", "ISSN" : "1754-5692", "abstract" : "Plasmonic nano-structures of d10 metals are suggested to be the future of photo-voltaics and photo-catalysis under solar irradiation thanks to their large light absorption cross- section, versatility, and stability. We investigated the impact 1 of continuous plasmon excitation at 532 nm on the density of 0 states of gold nanoparticles, and found an increase of the unoccupied density of d states of gold nanoparticles at the Fermi level, consistent with the formation of electron-hole pairs. Some of those electrons have sufficient energy to 1 overcome the Schottky barrier, and be injected into TiO2 5 conduction band. The results confirm that d10 metals plasmonic structures can act as light sensitizers and photo- catalysts.", "author" : [ { "dropping-particle" : "", "family" : "S\u00e1", "given" : "Jacinto", "non-dropping-particle" : "", "parse-names" : false, "suffix" : "" }, { "dropping-particle" : "", "family" : "Tagliabue", "given" : "Giulia", "non-dropping-particle" : "", "parse-names" : false, "suffix" : "" }, { "dropping-particle" : "", "family" : "Friedli", "given" : "Peter", "non-dropping-particle" : "", "parse-names" : false, "suffix" : "" }, { "dropping-particle" : "", "family" : "Szlachetko", "given" : "Jakub", "non-dropping-particle" : "", "parse-names" : false, "suffix" : "" }, { "dropping-particle" : "", "family" : "Rittmann-Frank", "given" : "Mercedes H.", "non-dropping-particle" : "", "parse-names" : false, "suffix" : "" }, { "dropping-particle" : "", "family" : "Santomauro", "given" : "Fabio G.", "non-dropping-particle" : "", "parse-names" : false, "suffix" : "" }, { "dropping-particle" : "", "family" : "Milne", "given" : "Christopher J.", "non-dropping-particle" : "", "parse-names" : false, "suffix" : "" }, { "dropping-particle" : "", "family" : "Sigg", "given" : "Hans", "non-dropping-particle" : "", "parse-names" : false, "suffix" : "" } ], "container-title" : "Energy &amp; Environmental Science", "id" : "ITEM-1", "issue" : "12", "issued" : { "date-parts" : [ [ "2013" ] ] }, "page" : "3584-3588", "publisher" : "The Royal Society of Chemistry", "title" : "Direct observation of charge separation on Au localized surface plasmons", "type" : "article-journal", "volume" : "6" }, "uris" : [ "http://www.mendeley.com/documents/?uuid=1b7b3216-e041-461d-b093-65ce29aa40da", "http://www.mendeley.com/documents/?uuid=2304485e-945f-4bfe-ac66-3bd22dd8177b" ] } ], "mendeley" : { "formattedCitation" : "&lt;sup&gt;35&lt;/sup&gt;", "plainTextFormattedCitation" : "35", "previouslyFormattedCitation" : "&lt;sup&gt;34&lt;/sup&gt;" }, "properties" : { "noteIndex" : 0 }, "schema" : "https://github.com/citation-style-language/schema/raw/master/csl-citation.json" }</w:instrText>
      </w:r>
      <w:r w:rsidRPr="00E05FF9">
        <w:fldChar w:fldCharType="separate"/>
      </w:r>
      <w:r w:rsidR="003A2630" w:rsidRPr="003A2630">
        <w:rPr>
          <w:noProof/>
          <w:vertAlign w:val="superscript"/>
        </w:rPr>
        <w:t>35</w:t>
      </w:r>
      <w:r w:rsidRPr="00E05FF9">
        <w:fldChar w:fldCharType="end"/>
      </w:r>
      <w:r w:rsidRPr="00E05FF9">
        <w:t xml:space="preserve"> The height of the Schottky barrier (</w:t>
      </w:r>
      <w:r w:rsidRPr="00E05FF9">
        <w:rPr>
          <w:rFonts w:ascii="Times New Roman" w:hAnsi="Times New Roman"/>
        </w:rPr>
        <w:t>ϕ</w:t>
      </w:r>
      <w:r w:rsidRPr="00E05FF9">
        <w:rPr>
          <w:vertAlign w:val="subscript"/>
        </w:rPr>
        <w:t>B</w:t>
      </w:r>
      <w:r w:rsidRPr="00E05FF9">
        <w:t>) formed at the Pd/TiO</w:t>
      </w:r>
      <w:r w:rsidRPr="00E05FF9">
        <w:rPr>
          <w:vertAlign w:val="subscript"/>
        </w:rPr>
        <w:t>2</w:t>
      </w:r>
      <w:r w:rsidRPr="00E05FF9">
        <w:t xml:space="preserve"> junction was calculated at 1.10 eV (</w:t>
      </w:r>
      <w:r w:rsidR="007A02ED" w:rsidRPr="00E05FF9">
        <w:t>F</w:t>
      </w:r>
      <w:r w:rsidRPr="00E05FF9">
        <w:t>igure 4d and details in SI), making it possible for visible irradiation to excite electrons into the conduction band of TiO</w:t>
      </w:r>
      <w:r w:rsidRPr="00E05FF9">
        <w:rPr>
          <w:vertAlign w:val="subscript"/>
        </w:rPr>
        <w:t>2</w:t>
      </w:r>
      <w:r w:rsidRPr="00E05FF9">
        <w:t xml:space="preserve">. ‘Hot holes’ remaining in the metal </w:t>
      </w:r>
      <w:r w:rsidR="009563B0">
        <w:t>nanoparticle</w:t>
      </w:r>
      <w:r w:rsidRPr="00E05FF9">
        <w:t xml:space="preserve"> can react with adsorbed species and further increasing the reactivity of the co-catalyst.</w:t>
      </w:r>
      <w:r w:rsidRPr="00E05FF9">
        <w:fldChar w:fldCharType="begin" w:fldLock="1"/>
      </w:r>
      <w:r w:rsidR="003A2630">
        <w:instrText>ADDIN CSL_CITATION { "citationItems" : [ { "id" : "ITEM-1", "itemData" : { "DOI" : "10.1038/nphoton.2013.238", "ISBN" : "1749-4885", "ISSN" : "1749-4885", "abstract" : "Finding higher efficiency schemes for electron-hole separation is of paramount importance for realizing more efficient conversion of solar energy in photovoltaic and photocatalytic devices. Plasmonic energy conversion has been proposed as a promising alternative to conventional electron-hole separation in semiconductor devices. This emerging method is based on the generation of hot electrons in plasmonic nanostructures through electromagnetic decay of surface plasmons. Here, the fundamentals of hot-electron generation, injection and regeneration are reviewed, with special attention paid to recent progress towards photovoltaic devices. This new energy-conversion method potentially offers high conversion efficiencies, while keeping fabrication costs low. However, several considerations regarding the materials, architectures and fabrication methods used need to be carefully evaluated to advance this field.", "author" : [ { "dropping-particle" : "", "family" : "Clavero", "given" : "C\u00e9sar", "non-dropping-particle" : "", "parse-names" : false, "suffix" : "" } ], "container-title" : "Nature Photonics", "id" : "ITEM-1", "issue" : "2", "issued" : { "date-parts" : [ [ "2014" ] ] }, "page" : "95-103", "publisher" : "Nature Publishing Group", "title" : "Plasmon-induced hot-electron generation at nanoparticle/metal-oxide interfaces for photovoltaic and photocatalytic devices", "type" : "article-journal", "volume" : "8" }, "uris" : [ "http://www.mendeley.com/documents/?uuid=82c7bda1-edf1-4580-95c1-59250563832b", "http://www.mendeley.com/documents/?uuid=9377e39e-f33f-4ff4-b7c6-b615711a3f2b" ] } ], "mendeley" : { "formattedCitation" : "&lt;sup&gt;36&lt;/sup&gt;", "plainTextFormattedCitation" : "36", "previouslyFormattedCitation" : "&lt;sup&gt;35&lt;/sup&gt;" }, "properties" : { "noteIndex" : 0 }, "schema" : "https://github.com/citation-style-language/schema/raw/master/csl-citation.json" }</w:instrText>
      </w:r>
      <w:r w:rsidRPr="00E05FF9">
        <w:fldChar w:fldCharType="separate"/>
      </w:r>
      <w:r w:rsidR="003A2630" w:rsidRPr="003A2630">
        <w:rPr>
          <w:noProof/>
          <w:vertAlign w:val="superscript"/>
        </w:rPr>
        <w:t>36</w:t>
      </w:r>
      <w:r w:rsidRPr="00E05FF9">
        <w:fldChar w:fldCharType="end"/>
      </w:r>
    </w:p>
    <w:p w:rsidR="009A721D" w:rsidRDefault="00FA3AA2" w:rsidP="009A721D">
      <w:pPr>
        <w:pStyle w:val="RSCB02ArticleText"/>
        <w:rPr>
          <w:u w:val="single"/>
        </w:rPr>
      </w:pPr>
      <w:r w:rsidRPr="00E05FF9">
        <w:t>The other mechanism occurs under super band gap irradiation where electron excitation within the TiO</w:t>
      </w:r>
      <w:r w:rsidRPr="00E05FF9">
        <w:rPr>
          <w:vertAlign w:val="subscript"/>
        </w:rPr>
        <w:t>2</w:t>
      </w:r>
      <w:r w:rsidRPr="00E05FF9">
        <w:t xml:space="preserve"> occurs (</w:t>
      </w:r>
      <w:r w:rsidR="007A02ED" w:rsidRPr="00E05FF9">
        <w:t>F</w:t>
      </w:r>
      <w:r w:rsidRPr="00E05FF9">
        <w:t xml:space="preserve">igure 4b). Hot electrons are </w:t>
      </w:r>
      <w:r w:rsidR="001B576F">
        <w:t xml:space="preserve">also </w:t>
      </w:r>
      <w:r w:rsidRPr="00E05FF9">
        <w:t>excited from the Pd nanoparticle to the conduction band of TiO</w:t>
      </w:r>
      <w:r w:rsidRPr="00E05FF9">
        <w:rPr>
          <w:vertAlign w:val="subscript"/>
        </w:rPr>
        <w:t>2</w:t>
      </w:r>
      <w:r w:rsidRPr="00E05FF9">
        <w:t>. The activity of the catalyst is therefore, further increased by a combination of these processes. If, as has been reported</w:t>
      </w:r>
      <w:r w:rsidR="001B576F">
        <w:t>,</w:t>
      </w:r>
      <w:r w:rsidRPr="00E05FF9">
        <w:t xml:space="preserve"> there is the additional contribution that charge recombination is suppressed due to the Pd </w:t>
      </w:r>
      <w:r w:rsidR="009563B0">
        <w:t>n</w:t>
      </w:r>
      <w:r w:rsidRPr="00E05FF9">
        <w:t>anoparticles on the surface of the TiO</w:t>
      </w:r>
      <w:r w:rsidRPr="00E05FF9">
        <w:rPr>
          <w:vertAlign w:val="subscript"/>
        </w:rPr>
        <w:t xml:space="preserve">2 </w:t>
      </w:r>
      <w:r w:rsidRPr="00E05FF9">
        <w:t>there is an increase in carrier lifetimes which will still further enhance t</w:t>
      </w:r>
      <w:r w:rsidR="009A721D">
        <w:t>he performance of the catalyst.</w:t>
      </w:r>
    </w:p>
    <w:p w:rsidR="009A721D" w:rsidRDefault="00500A03" w:rsidP="00FA3AA2">
      <w:pPr>
        <w:pStyle w:val="RSCB02ArticleText"/>
      </w:pPr>
      <w:r>
        <w:rPr>
          <w:u w:val="single"/>
        </w:rPr>
        <w:t>We believe that the</w:t>
      </w:r>
      <w:r w:rsidR="009A721D" w:rsidRPr="00BB17C6">
        <w:rPr>
          <w:u w:val="single"/>
        </w:rPr>
        <w:t xml:space="preserve"> trapping of electrons in our system </w:t>
      </w:r>
      <w:r>
        <w:rPr>
          <w:u w:val="single"/>
        </w:rPr>
        <w:t xml:space="preserve">is </w:t>
      </w:r>
      <w:r w:rsidR="009A721D" w:rsidRPr="00BB17C6">
        <w:rPr>
          <w:u w:val="single"/>
        </w:rPr>
        <w:t>particularly effective as a result of the hemispherical morphology of the supported Pd (Figure 1). This morphology is the result of the nucleation and growth of Pd nanoclusters on electron rich defect sites in the P25 lattice. The defect sites promote the photochemical reduction of Pd at preferential locations from where the deposited nanoparticles can then grow and form the hemispherical nanostructures. This process is markedly different form the precipitation of spherical nanoparticles formed in solution onto a substrate. Compared with systems in which hemispherical metal nanoparticles are present on the surface of a semiconductor, there is a larger contact area between the metal and the semiconductor for the hemispherical structures. This provides a lar</w:t>
      </w:r>
      <w:r>
        <w:rPr>
          <w:u w:val="single"/>
        </w:rPr>
        <w:t xml:space="preserve">ger pathway for the transfer and trapping of </w:t>
      </w:r>
      <w:r w:rsidR="009A721D" w:rsidRPr="00BB17C6">
        <w:rPr>
          <w:u w:val="single"/>
        </w:rPr>
        <w:t>photo-excited electrons to the Pd</w:t>
      </w:r>
      <w:r>
        <w:rPr>
          <w:u w:val="single"/>
        </w:rPr>
        <w:t xml:space="preserve"> thus, improving charge separation and increasing the charge carrier lifetimes.</w:t>
      </w:r>
    </w:p>
    <w:p w:rsidR="001A332C" w:rsidRDefault="001A332C" w:rsidP="00FA3AA2">
      <w:pPr>
        <w:pStyle w:val="RSCB02ArticleText"/>
      </w:pPr>
      <w:r>
        <w:rPr>
          <w:u w:val="single"/>
        </w:rPr>
        <w:t>In comparison</w:t>
      </w:r>
      <w:r w:rsidR="00500A03" w:rsidRPr="00500A03">
        <w:rPr>
          <w:u w:val="single"/>
        </w:rPr>
        <w:t xml:space="preserve"> with similar metal-TiO</w:t>
      </w:r>
      <w:r w:rsidR="00500A03" w:rsidRPr="00500A03">
        <w:rPr>
          <w:u w:val="single"/>
          <w:vertAlign w:val="subscript"/>
        </w:rPr>
        <w:t>2</w:t>
      </w:r>
      <w:r w:rsidR="00500A03" w:rsidRPr="00500A03">
        <w:rPr>
          <w:u w:val="single"/>
        </w:rPr>
        <w:t xml:space="preserve"> systems, we f</w:t>
      </w:r>
      <w:r w:rsidR="00500A03">
        <w:rPr>
          <w:u w:val="single"/>
        </w:rPr>
        <w:t>ou</w:t>
      </w:r>
      <w:r w:rsidR="00500A03" w:rsidRPr="00500A03">
        <w:rPr>
          <w:u w:val="single"/>
        </w:rPr>
        <w:t xml:space="preserve">nd that the combination of the LSPR </w:t>
      </w:r>
      <w:r>
        <w:rPr>
          <w:u w:val="single"/>
        </w:rPr>
        <w:t>and the</w:t>
      </w:r>
      <w:r w:rsidR="00500A03" w:rsidRPr="00500A03">
        <w:rPr>
          <w:u w:val="single"/>
        </w:rPr>
        <w:t xml:space="preserve"> </w:t>
      </w:r>
      <w:r w:rsidR="00500A03">
        <w:rPr>
          <w:u w:val="single"/>
        </w:rPr>
        <w:t>improved charge carrier trapping</w:t>
      </w:r>
      <w:r>
        <w:rPr>
          <w:u w:val="single"/>
        </w:rPr>
        <w:t xml:space="preserve"> of the </w:t>
      </w:r>
      <w:r w:rsidRPr="00500A03">
        <w:rPr>
          <w:u w:val="single"/>
        </w:rPr>
        <w:t>Pd</w:t>
      </w:r>
      <w:r>
        <w:rPr>
          <w:u w:val="single"/>
        </w:rPr>
        <w:t xml:space="preserve"> nanoparticles under full solar irradiation</w:t>
      </w:r>
      <w:r w:rsidR="00500A03">
        <w:rPr>
          <w:u w:val="single"/>
        </w:rPr>
        <w:t xml:space="preserve"> </w:t>
      </w:r>
      <w:r>
        <w:rPr>
          <w:u w:val="single"/>
        </w:rPr>
        <w:t>results in a beneficial synergistic effect that gives a high photodecolourisation rate of RhB dye.</w:t>
      </w:r>
    </w:p>
    <w:p w:rsidR="001A332C" w:rsidRPr="001A332C" w:rsidRDefault="001A332C" w:rsidP="00FA3AA2">
      <w:pPr>
        <w:pStyle w:val="RSCB02ArticleText"/>
        <w:rPr>
          <w:u w:val="single"/>
        </w:rPr>
      </w:pPr>
      <w:r w:rsidRPr="001A332C">
        <w:rPr>
          <w:u w:val="single"/>
        </w:rPr>
        <w:t xml:space="preserve">Our experiments also show that in order for both mechanisms discussed above to occur simultaneously, there is a need for </w:t>
      </w:r>
      <w:r w:rsidRPr="001A332C">
        <w:rPr>
          <w:u w:val="single"/>
        </w:rPr>
        <w:lastRenderedPageBreak/>
        <w:t>full solar irradiation (Figure 4c) which results in the highest rate of reaction.</w:t>
      </w:r>
    </w:p>
    <w:p w:rsidR="00E05FF9" w:rsidRPr="00E05FF9" w:rsidRDefault="00E05FF9" w:rsidP="00E05FF9">
      <w:pPr>
        <w:pStyle w:val="RSCB04SectionHeading"/>
      </w:pPr>
      <w:r w:rsidRPr="00A61D3E">
        <w:t>Conclusions</w:t>
      </w:r>
    </w:p>
    <w:p w:rsidR="00085AAF" w:rsidRPr="00E05FF9" w:rsidRDefault="00085AAF" w:rsidP="00F049E9">
      <w:pPr>
        <w:pStyle w:val="RSCB02ArticleText"/>
      </w:pPr>
      <w:r w:rsidRPr="00E05FF9">
        <w:t>By developing a nanostructured Pd:TiO</w:t>
      </w:r>
      <w:r w:rsidRPr="00E05FF9">
        <w:rPr>
          <w:vertAlign w:val="subscript"/>
        </w:rPr>
        <w:t>2</w:t>
      </w:r>
      <w:r w:rsidRPr="00E05FF9">
        <w:t xml:space="preserve"> catalyst we have developed a system that demonstrates a LSPR for a Pd nanoparticle in the visible part of the spectrum. Our LSPR centred around </w:t>
      </w:r>
      <w:r w:rsidRPr="00E05FF9">
        <w:rPr>
          <w:i/>
        </w:rPr>
        <w:t>450</w:t>
      </w:r>
      <w:r w:rsidRPr="00E05FF9">
        <w:t xml:space="preserve"> nm is significantly red shifted when compared to the theoretical position of the LSPR but fits the trends seen with the most recent work published on the topic of a Pd LSPR, and interaction with the TiO</w:t>
      </w:r>
      <w:r w:rsidRPr="00E05FF9">
        <w:rPr>
          <w:vertAlign w:val="subscript"/>
        </w:rPr>
        <w:t>2</w:t>
      </w:r>
      <w:r w:rsidRPr="00E05FF9">
        <w:t xml:space="preserve"> support. The combination of a highly catalytic metal nanostructure capable of interaction with a photocatalyst leads to 19-fold increase in the decolourisation rate of a typical commercial dye material under full solar irradiation. Our evidence for the LSPR effect comes from selective filtering of the incident light used in photocatalyst experiments, analysis of the diffuse reflectance spectrum and review of the available literature in the area. </w:t>
      </w:r>
    </w:p>
    <w:p w:rsidR="00D010E8" w:rsidRPr="00E05FF9" w:rsidRDefault="00E61949" w:rsidP="00EF6BD4">
      <w:pPr>
        <w:pStyle w:val="RSCB04SectionHeading"/>
      </w:pPr>
      <w:r w:rsidRPr="00E05FF9">
        <w:t>Notes and references</w:t>
      </w:r>
    </w:p>
    <w:p w:rsidR="00EB5C28" w:rsidRPr="00E05FF9" w:rsidRDefault="00D010E8" w:rsidP="00241ACD">
      <w:pPr>
        <w:pStyle w:val="RSCF02FootnotestoTitleAuthors"/>
        <w:spacing w:line="200" w:lineRule="exact"/>
        <w:rPr>
          <w:sz w:val="18"/>
          <w:szCs w:val="18"/>
        </w:rPr>
      </w:pPr>
      <w:r w:rsidRPr="00E05FF9">
        <w:rPr>
          <w:sz w:val="18"/>
          <w:szCs w:val="18"/>
        </w:rPr>
        <w:t>‡</w:t>
      </w:r>
      <w:r w:rsidR="00D216BC" w:rsidRPr="00E05FF9">
        <w:rPr>
          <w:sz w:val="18"/>
          <w:szCs w:val="18"/>
        </w:rPr>
        <w:t xml:space="preserve"> </w:t>
      </w:r>
      <w:r w:rsidR="00AD5483" w:rsidRPr="00E05FF9">
        <w:rPr>
          <w:sz w:val="18"/>
          <w:szCs w:val="18"/>
        </w:rPr>
        <w:t>Footnotes relating to the main text should appear here. These might include comments relevant to but not central to the matter under discussion, limited experimental and spectral data, and crystallographic data.</w:t>
      </w:r>
    </w:p>
    <w:p w:rsidR="000D3D6E" w:rsidRPr="00E05FF9" w:rsidRDefault="000D3D6E" w:rsidP="00241ACD">
      <w:pPr>
        <w:pStyle w:val="RSCF02FootnotestoTitleAuthors"/>
        <w:spacing w:line="200" w:lineRule="exact"/>
        <w:rPr>
          <w:b/>
          <w:sz w:val="18"/>
          <w:szCs w:val="18"/>
        </w:rPr>
      </w:pPr>
    </w:p>
    <w:p w:rsidR="003A2630" w:rsidRPr="003A2630" w:rsidRDefault="000D3D6E">
      <w:pPr>
        <w:pStyle w:val="NormalWeb"/>
        <w:ind w:left="640" w:hanging="640"/>
        <w:divId w:val="596014383"/>
        <w:rPr>
          <w:rFonts w:ascii="Calibri" w:eastAsiaTheme="minorEastAsia" w:hAnsi="Calibri" w:cs="Calibri"/>
          <w:noProof/>
          <w:sz w:val="18"/>
        </w:rPr>
      </w:pPr>
      <w:r w:rsidRPr="00E05FF9">
        <w:fldChar w:fldCharType="begin" w:fldLock="1"/>
      </w:r>
      <w:r w:rsidRPr="00E05FF9">
        <w:instrText xml:space="preserve">ADDIN Mendeley Bibliography CSL_BIBLIOGRAPHY </w:instrText>
      </w:r>
      <w:r w:rsidRPr="00E05FF9">
        <w:fldChar w:fldCharType="separate"/>
      </w:r>
      <w:r w:rsidR="003A2630" w:rsidRPr="003A2630">
        <w:rPr>
          <w:rFonts w:ascii="Calibri" w:hAnsi="Calibri" w:cs="Calibri"/>
          <w:noProof/>
          <w:sz w:val="18"/>
        </w:rPr>
        <w:t xml:space="preserve">(1) </w:t>
      </w:r>
      <w:r w:rsidR="003A2630" w:rsidRPr="003A2630">
        <w:rPr>
          <w:rFonts w:ascii="Calibri" w:hAnsi="Calibri" w:cs="Calibri"/>
          <w:noProof/>
          <w:sz w:val="18"/>
        </w:rPr>
        <w:tab/>
        <w:t xml:space="preserve">Chong, M. N.; Jin, B.; Chow, C. W. K.; Saint, C. </w:t>
      </w:r>
      <w:r w:rsidR="003A2630" w:rsidRPr="003A2630">
        <w:rPr>
          <w:rFonts w:ascii="Calibri" w:hAnsi="Calibri" w:cs="Calibri"/>
          <w:i/>
          <w:iCs/>
          <w:noProof/>
          <w:sz w:val="18"/>
        </w:rPr>
        <w:t>Water Res.</w:t>
      </w:r>
      <w:r w:rsidR="003A2630" w:rsidRPr="003A2630">
        <w:rPr>
          <w:rFonts w:ascii="Calibri" w:hAnsi="Calibri" w:cs="Calibri"/>
          <w:noProof/>
          <w:sz w:val="18"/>
        </w:rPr>
        <w:t xml:space="preserve"> </w:t>
      </w:r>
      <w:r w:rsidR="003A2630" w:rsidRPr="003A2630">
        <w:rPr>
          <w:rFonts w:ascii="Calibri" w:hAnsi="Calibri" w:cs="Calibri"/>
          <w:b/>
          <w:bCs/>
          <w:noProof/>
          <w:sz w:val="18"/>
        </w:rPr>
        <w:t>2010</w:t>
      </w:r>
      <w:r w:rsidR="003A2630" w:rsidRPr="003A2630">
        <w:rPr>
          <w:rFonts w:ascii="Calibri" w:hAnsi="Calibri" w:cs="Calibri"/>
          <w:noProof/>
          <w:sz w:val="18"/>
        </w:rPr>
        <w:t xml:space="preserve">, </w:t>
      </w:r>
      <w:r w:rsidR="003A2630" w:rsidRPr="003A2630">
        <w:rPr>
          <w:rFonts w:ascii="Calibri" w:hAnsi="Calibri" w:cs="Calibri"/>
          <w:i/>
          <w:iCs/>
          <w:noProof/>
          <w:sz w:val="18"/>
        </w:rPr>
        <w:t>44</w:t>
      </w:r>
      <w:r w:rsidR="003A2630" w:rsidRPr="003A2630">
        <w:rPr>
          <w:rFonts w:ascii="Calibri" w:hAnsi="Calibri" w:cs="Calibri"/>
          <w:noProof/>
          <w:sz w:val="18"/>
        </w:rPr>
        <w:t>, 2997–3027.</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 </w:t>
      </w:r>
      <w:r w:rsidRPr="003A2630">
        <w:rPr>
          <w:rFonts w:ascii="Calibri" w:hAnsi="Calibri" w:cs="Calibri"/>
          <w:noProof/>
          <w:sz w:val="18"/>
        </w:rPr>
        <w:tab/>
        <w:t xml:space="preserve">Prairie, M. R.; Evans, L. R.; Stange, B. M.; Martinez, S. L. </w:t>
      </w:r>
      <w:r w:rsidRPr="003A2630">
        <w:rPr>
          <w:rFonts w:ascii="Calibri" w:hAnsi="Calibri" w:cs="Calibri"/>
          <w:i/>
          <w:iCs/>
          <w:noProof/>
          <w:sz w:val="18"/>
        </w:rPr>
        <w:t>Environ. Sci. Technol.</w:t>
      </w:r>
      <w:r w:rsidRPr="003A2630">
        <w:rPr>
          <w:rFonts w:ascii="Calibri" w:hAnsi="Calibri" w:cs="Calibri"/>
          <w:noProof/>
          <w:sz w:val="18"/>
        </w:rPr>
        <w:t xml:space="preserve"> </w:t>
      </w:r>
      <w:r w:rsidRPr="003A2630">
        <w:rPr>
          <w:rFonts w:ascii="Calibri" w:hAnsi="Calibri" w:cs="Calibri"/>
          <w:b/>
          <w:bCs/>
          <w:noProof/>
          <w:sz w:val="18"/>
        </w:rPr>
        <w:t>1993</w:t>
      </w:r>
      <w:r w:rsidRPr="003A2630">
        <w:rPr>
          <w:rFonts w:ascii="Calibri" w:hAnsi="Calibri" w:cs="Calibri"/>
          <w:noProof/>
          <w:sz w:val="18"/>
        </w:rPr>
        <w:t xml:space="preserve">, </w:t>
      </w:r>
      <w:r w:rsidRPr="003A2630">
        <w:rPr>
          <w:rFonts w:ascii="Calibri" w:hAnsi="Calibri" w:cs="Calibri"/>
          <w:i/>
          <w:iCs/>
          <w:noProof/>
          <w:sz w:val="18"/>
        </w:rPr>
        <w:t>27</w:t>
      </w:r>
      <w:r w:rsidRPr="003A2630">
        <w:rPr>
          <w:rFonts w:ascii="Calibri" w:hAnsi="Calibri" w:cs="Calibri"/>
          <w:noProof/>
          <w:sz w:val="18"/>
        </w:rPr>
        <w:t>, 1776–1782.</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(3) </w:t>
      </w:r>
      <w:r w:rsidRPr="003A2630">
        <w:rPr>
          <w:rFonts w:ascii="Calibri" w:hAnsi="Calibri" w:cs="Calibri"/>
          <w:noProof/>
          <w:sz w:val="18"/>
        </w:rPr>
        <w:tab/>
        <w:t xml:space="preserve">Hoffmann, M. R.; Martin, S. T.; Choi, W.; Bahnemann, D. W. </w:t>
      </w:r>
      <w:r w:rsidRPr="003A2630">
        <w:rPr>
          <w:rFonts w:ascii="Calibri" w:hAnsi="Calibri" w:cs="Calibri"/>
          <w:i/>
          <w:iCs/>
          <w:noProof/>
          <w:sz w:val="18"/>
        </w:rPr>
        <w:t>Chem. Rev.</w:t>
      </w:r>
      <w:r w:rsidRPr="003A2630">
        <w:rPr>
          <w:rFonts w:ascii="Calibri" w:hAnsi="Calibri" w:cs="Calibri"/>
          <w:noProof/>
          <w:sz w:val="18"/>
        </w:rPr>
        <w:t xml:space="preserve"> </w:t>
      </w:r>
      <w:r w:rsidRPr="003A2630">
        <w:rPr>
          <w:rFonts w:ascii="Calibri" w:hAnsi="Calibri" w:cs="Calibri"/>
          <w:b/>
          <w:bCs/>
          <w:noProof/>
          <w:sz w:val="18"/>
        </w:rPr>
        <w:t>1995</w:t>
      </w:r>
      <w:r w:rsidRPr="003A2630">
        <w:rPr>
          <w:rFonts w:ascii="Calibri" w:hAnsi="Calibri" w:cs="Calibri"/>
          <w:noProof/>
          <w:sz w:val="18"/>
        </w:rPr>
        <w:t xml:space="preserve">, </w:t>
      </w:r>
      <w:r w:rsidRPr="003A2630">
        <w:rPr>
          <w:rFonts w:ascii="Calibri" w:hAnsi="Calibri" w:cs="Calibri"/>
          <w:i/>
          <w:iCs/>
          <w:noProof/>
          <w:sz w:val="18"/>
        </w:rPr>
        <w:t>95</w:t>
      </w:r>
      <w:r w:rsidRPr="003A2630">
        <w:rPr>
          <w:rFonts w:ascii="Calibri" w:hAnsi="Calibri" w:cs="Calibri"/>
          <w:noProof/>
          <w:sz w:val="18"/>
        </w:rPr>
        <w:t>, 69–96.</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(4) </w:t>
      </w:r>
      <w:r w:rsidRPr="003A2630">
        <w:rPr>
          <w:rFonts w:ascii="Calibri" w:hAnsi="Calibri" w:cs="Calibri"/>
          <w:noProof/>
          <w:sz w:val="18"/>
        </w:rPr>
        <w:tab/>
        <w:t xml:space="preserve">Chen, X.; Mao, S. S. </w:t>
      </w:r>
      <w:r w:rsidRPr="003A2630">
        <w:rPr>
          <w:rFonts w:ascii="Calibri" w:hAnsi="Calibri" w:cs="Calibri"/>
          <w:i/>
          <w:iCs/>
          <w:noProof/>
          <w:sz w:val="18"/>
        </w:rPr>
        <w:t>Chem. Rev.</w:t>
      </w:r>
      <w:r w:rsidRPr="003A2630">
        <w:rPr>
          <w:rFonts w:ascii="Calibri" w:hAnsi="Calibri" w:cs="Calibri"/>
          <w:noProof/>
          <w:sz w:val="18"/>
        </w:rPr>
        <w:t xml:space="preserve"> </w:t>
      </w:r>
      <w:r w:rsidRPr="003A2630">
        <w:rPr>
          <w:rFonts w:ascii="Calibri" w:hAnsi="Calibri" w:cs="Calibri"/>
          <w:b/>
          <w:bCs/>
          <w:noProof/>
          <w:sz w:val="18"/>
        </w:rPr>
        <w:t>2007</w:t>
      </w:r>
      <w:r w:rsidRPr="003A2630">
        <w:rPr>
          <w:rFonts w:ascii="Calibri" w:hAnsi="Calibri" w:cs="Calibri"/>
          <w:noProof/>
          <w:sz w:val="18"/>
        </w:rPr>
        <w:t xml:space="preserve">, </w:t>
      </w:r>
      <w:r w:rsidRPr="003A2630">
        <w:rPr>
          <w:rFonts w:ascii="Calibri" w:hAnsi="Calibri" w:cs="Calibri"/>
          <w:i/>
          <w:iCs/>
          <w:noProof/>
          <w:sz w:val="18"/>
        </w:rPr>
        <w:t>107</w:t>
      </w:r>
      <w:r w:rsidRPr="003A2630">
        <w:rPr>
          <w:rFonts w:ascii="Calibri" w:hAnsi="Calibri" w:cs="Calibri"/>
          <w:noProof/>
          <w:sz w:val="18"/>
        </w:rPr>
        <w:t>, 2891–2959.</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(5) </w:t>
      </w:r>
      <w:r w:rsidRPr="003A2630">
        <w:rPr>
          <w:rFonts w:ascii="Calibri" w:hAnsi="Calibri" w:cs="Calibri"/>
          <w:noProof/>
          <w:sz w:val="18"/>
        </w:rPr>
        <w:tab/>
        <w:t xml:space="preserve">Kumar, S. G.; Devi, L. G. </w:t>
      </w:r>
      <w:r w:rsidRPr="003A2630">
        <w:rPr>
          <w:rFonts w:ascii="Calibri" w:hAnsi="Calibri" w:cs="Calibri"/>
          <w:i/>
          <w:iCs/>
          <w:noProof/>
          <w:sz w:val="18"/>
        </w:rPr>
        <w:t>J. Phys. Chem. A</w:t>
      </w:r>
      <w:r w:rsidRPr="003A2630">
        <w:rPr>
          <w:rFonts w:ascii="Calibri" w:hAnsi="Calibri" w:cs="Calibri"/>
          <w:noProof/>
          <w:sz w:val="18"/>
        </w:rPr>
        <w:t xml:space="preserve"> </w:t>
      </w:r>
      <w:r w:rsidRPr="003A2630">
        <w:rPr>
          <w:rFonts w:ascii="Calibri" w:hAnsi="Calibri" w:cs="Calibri"/>
          <w:b/>
          <w:bCs/>
          <w:noProof/>
          <w:sz w:val="18"/>
        </w:rPr>
        <w:t>2011</w:t>
      </w:r>
      <w:r w:rsidRPr="003A2630">
        <w:rPr>
          <w:rFonts w:ascii="Calibri" w:hAnsi="Calibri" w:cs="Calibri"/>
          <w:noProof/>
          <w:sz w:val="18"/>
        </w:rPr>
        <w:t xml:space="preserve">, </w:t>
      </w:r>
      <w:r w:rsidRPr="003A2630">
        <w:rPr>
          <w:rFonts w:ascii="Calibri" w:hAnsi="Calibri" w:cs="Calibri"/>
          <w:i/>
          <w:iCs/>
          <w:noProof/>
          <w:sz w:val="18"/>
        </w:rPr>
        <w:t>115</w:t>
      </w:r>
      <w:r w:rsidRPr="003A2630">
        <w:rPr>
          <w:rFonts w:ascii="Calibri" w:hAnsi="Calibri" w:cs="Calibri"/>
          <w:noProof/>
          <w:sz w:val="18"/>
        </w:rPr>
        <w:t>, 13211–13241.</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(6) </w:t>
      </w:r>
      <w:r w:rsidRPr="003A2630">
        <w:rPr>
          <w:rFonts w:ascii="Calibri" w:hAnsi="Calibri" w:cs="Calibri"/>
          <w:noProof/>
          <w:sz w:val="18"/>
        </w:rPr>
        <w:tab/>
        <w:t xml:space="preserve">Linsebigler, A. L.; Lu, G.; Yates, J. T. </w:t>
      </w:r>
      <w:r w:rsidRPr="003A2630">
        <w:rPr>
          <w:rFonts w:ascii="Calibri" w:hAnsi="Calibri" w:cs="Calibri"/>
          <w:i/>
          <w:iCs/>
          <w:noProof/>
          <w:sz w:val="18"/>
        </w:rPr>
        <w:t>Chem. Rev.</w:t>
      </w:r>
      <w:r w:rsidRPr="003A2630">
        <w:rPr>
          <w:rFonts w:ascii="Calibri" w:hAnsi="Calibri" w:cs="Calibri"/>
          <w:noProof/>
          <w:sz w:val="18"/>
        </w:rPr>
        <w:t xml:space="preserve"> </w:t>
      </w:r>
      <w:r w:rsidRPr="003A2630">
        <w:rPr>
          <w:rFonts w:ascii="Calibri" w:hAnsi="Calibri" w:cs="Calibri"/>
          <w:b/>
          <w:bCs/>
          <w:noProof/>
          <w:sz w:val="18"/>
        </w:rPr>
        <w:t>1995</w:t>
      </w:r>
      <w:r w:rsidRPr="003A2630">
        <w:rPr>
          <w:rFonts w:ascii="Calibri" w:hAnsi="Calibri" w:cs="Calibri"/>
          <w:noProof/>
          <w:sz w:val="18"/>
        </w:rPr>
        <w:t xml:space="preserve">, </w:t>
      </w:r>
      <w:r w:rsidRPr="003A2630">
        <w:rPr>
          <w:rFonts w:ascii="Calibri" w:hAnsi="Calibri" w:cs="Calibri"/>
          <w:i/>
          <w:iCs/>
          <w:noProof/>
          <w:sz w:val="18"/>
        </w:rPr>
        <w:t>95</w:t>
      </w:r>
      <w:r w:rsidRPr="003A2630">
        <w:rPr>
          <w:rFonts w:ascii="Calibri" w:hAnsi="Calibri" w:cs="Calibri"/>
          <w:noProof/>
          <w:sz w:val="18"/>
        </w:rPr>
        <w:t>, 735–758.</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(7) </w:t>
      </w:r>
      <w:r w:rsidRPr="003A2630">
        <w:rPr>
          <w:rFonts w:ascii="Calibri" w:hAnsi="Calibri" w:cs="Calibri"/>
          <w:noProof/>
          <w:sz w:val="18"/>
        </w:rPr>
        <w:tab/>
        <w:t xml:space="preserve">Roy, S.; Varghese, O.; Paulose, M.; Grimes, C. </w:t>
      </w:r>
      <w:r w:rsidRPr="003A2630">
        <w:rPr>
          <w:rFonts w:ascii="Calibri" w:hAnsi="Calibri" w:cs="Calibri"/>
          <w:i/>
          <w:iCs/>
          <w:noProof/>
          <w:sz w:val="18"/>
        </w:rPr>
        <w:t>ACS Nano</w:t>
      </w:r>
      <w:r w:rsidRPr="003A2630">
        <w:rPr>
          <w:rFonts w:ascii="Calibri" w:hAnsi="Calibri" w:cs="Calibri"/>
          <w:noProof/>
          <w:sz w:val="18"/>
        </w:rPr>
        <w:t xml:space="preserve"> </w:t>
      </w:r>
      <w:r w:rsidRPr="003A2630">
        <w:rPr>
          <w:rFonts w:ascii="Calibri" w:hAnsi="Calibri" w:cs="Calibri"/>
          <w:b/>
          <w:bCs/>
          <w:noProof/>
          <w:sz w:val="18"/>
        </w:rPr>
        <w:t>2010</w:t>
      </w:r>
      <w:r w:rsidRPr="003A2630">
        <w:rPr>
          <w:rFonts w:ascii="Calibri" w:hAnsi="Calibri" w:cs="Calibri"/>
          <w:noProof/>
          <w:sz w:val="18"/>
        </w:rPr>
        <w:t xml:space="preserve">, </w:t>
      </w:r>
      <w:r w:rsidRPr="003A2630">
        <w:rPr>
          <w:rFonts w:ascii="Calibri" w:hAnsi="Calibri" w:cs="Calibri"/>
          <w:i/>
          <w:iCs/>
          <w:noProof/>
          <w:sz w:val="18"/>
        </w:rPr>
        <w:t>4</w:t>
      </w:r>
      <w:r w:rsidRPr="003A2630">
        <w:rPr>
          <w:rFonts w:ascii="Calibri" w:hAnsi="Calibri" w:cs="Calibri"/>
          <w:noProof/>
          <w:sz w:val="18"/>
        </w:rPr>
        <w:t>, 1259–1278.</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(8) </w:t>
      </w:r>
      <w:r w:rsidRPr="003A2630">
        <w:rPr>
          <w:rFonts w:ascii="Calibri" w:hAnsi="Calibri" w:cs="Calibri"/>
          <w:noProof/>
          <w:sz w:val="18"/>
        </w:rPr>
        <w:tab/>
        <w:t xml:space="preserve">O’Regan, B.; Grätzel, M. </w:t>
      </w:r>
      <w:r w:rsidRPr="003A2630">
        <w:rPr>
          <w:rFonts w:ascii="Calibri" w:hAnsi="Calibri" w:cs="Calibri"/>
          <w:i/>
          <w:iCs/>
          <w:noProof/>
          <w:sz w:val="18"/>
        </w:rPr>
        <w:t>Nature</w:t>
      </w:r>
      <w:r w:rsidRPr="003A2630">
        <w:rPr>
          <w:rFonts w:ascii="Calibri" w:hAnsi="Calibri" w:cs="Calibri"/>
          <w:noProof/>
          <w:sz w:val="18"/>
        </w:rPr>
        <w:t xml:space="preserve"> </w:t>
      </w:r>
      <w:r w:rsidRPr="003A2630">
        <w:rPr>
          <w:rFonts w:ascii="Calibri" w:hAnsi="Calibri" w:cs="Calibri"/>
          <w:b/>
          <w:bCs/>
          <w:noProof/>
          <w:sz w:val="18"/>
        </w:rPr>
        <w:t>1991</w:t>
      </w:r>
      <w:r w:rsidRPr="003A2630">
        <w:rPr>
          <w:rFonts w:ascii="Calibri" w:hAnsi="Calibri" w:cs="Calibri"/>
          <w:noProof/>
          <w:sz w:val="18"/>
        </w:rPr>
        <w:t xml:space="preserve">, </w:t>
      </w:r>
      <w:r w:rsidRPr="003A2630">
        <w:rPr>
          <w:rFonts w:ascii="Calibri" w:hAnsi="Calibri" w:cs="Calibri"/>
          <w:i/>
          <w:iCs/>
          <w:noProof/>
          <w:sz w:val="18"/>
        </w:rPr>
        <w:t>353</w:t>
      </w:r>
      <w:r w:rsidRPr="003A2630">
        <w:rPr>
          <w:rFonts w:ascii="Calibri" w:hAnsi="Calibri" w:cs="Calibri"/>
          <w:noProof/>
          <w:sz w:val="18"/>
        </w:rPr>
        <w:t>, 737–740.</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(9) </w:t>
      </w:r>
      <w:r w:rsidRPr="003A2630">
        <w:rPr>
          <w:rFonts w:ascii="Calibri" w:hAnsi="Calibri" w:cs="Calibri"/>
          <w:noProof/>
          <w:sz w:val="18"/>
        </w:rPr>
        <w:tab/>
        <w:t xml:space="preserve">Wang, C.-M.; Gerischer, H.; Heller, A. </w:t>
      </w:r>
      <w:r w:rsidRPr="003A2630">
        <w:rPr>
          <w:rFonts w:ascii="Calibri" w:hAnsi="Calibri" w:cs="Calibri"/>
          <w:i/>
          <w:iCs/>
          <w:noProof/>
          <w:sz w:val="18"/>
        </w:rPr>
        <w:t>J. Am. Chem. Soc.</w:t>
      </w:r>
      <w:r w:rsidRPr="003A2630">
        <w:rPr>
          <w:rFonts w:ascii="Calibri" w:hAnsi="Calibri" w:cs="Calibri"/>
          <w:noProof/>
          <w:sz w:val="18"/>
        </w:rPr>
        <w:t xml:space="preserve"> </w:t>
      </w:r>
      <w:r w:rsidRPr="003A2630">
        <w:rPr>
          <w:rFonts w:ascii="Calibri" w:hAnsi="Calibri" w:cs="Calibri"/>
          <w:b/>
          <w:bCs/>
          <w:noProof/>
          <w:sz w:val="18"/>
        </w:rPr>
        <w:t>1992</w:t>
      </w:r>
      <w:r w:rsidRPr="003A2630">
        <w:rPr>
          <w:rFonts w:ascii="Calibri" w:hAnsi="Calibri" w:cs="Calibri"/>
          <w:noProof/>
          <w:sz w:val="18"/>
        </w:rPr>
        <w:t xml:space="preserve">, </w:t>
      </w:r>
      <w:r w:rsidRPr="003A2630">
        <w:rPr>
          <w:rFonts w:ascii="Calibri" w:hAnsi="Calibri" w:cs="Calibri"/>
          <w:i/>
          <w:iCs/>
          <w:noProof/>
          <w:sz w:val="18"/>
        </w:rPr>
        <w:t>114</w:t>
      </w:r>
      <w:r w:rsidRPr="003A2630">
        <w:rPr>
          <w:rFonts w:ascii="Calibri" w:hAnsi="Calibri" w:cs="Calibri"/>
          <w:noProof/>
          <w:sz w:val="18"/>
        </w:rPr>
        <w:t>, 5230–5234.</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(10) </w:t>
      </w:r>
      <w:r w:rsidRPr="003A2630">
        <w:rPr>
          <w:rFonts w:ascii="Calibri" w:hAnsi="Calibri" w:cs="Calibri"/>
          <w:noProof/>
          <w:sz w:val="18"/>
        </w:rPr>
        <w:tab/>
        <w:t xml:space="preserve">Zhao, J.; Wu, T.; Wu, K.; Oikawa, K. </w:t>
      </w:r>
      <w:r w:rsidRPr="003A2630">
        <w:rPr>
          <w:rFonts w:ascii="Calibri" w:hAnsi="Calibri" w:cs="Calibri"/>
          <w:i/>
          <w:iCs/>
          <w:noProof/>
          <w:sz w:val="18"/>
        </w:rPr>
        <w:t>Environ. Sci. Technol.</w:t>
      </w:r>
      <w:r w:rsidRPr="003A2630">
        <w:rPr>
          <w:rFonts w:ascii="Calibri" w:hAnsi="Calibri" w:cs="Calibri"/>
          <w:noProof/>
          <w:sz w:val="18"/>
        </w:rPr>
        <w:t xml:space="preserve"> </w:t>
      </w:r>
      <w:r w:rsidRPr="003A2630">
        <w:rPr>
          <w:rFonts w:ascii="Calibri" w:hAnsi="Calibri" w:cs="Calibri"/>
          <w:b/>
          <w:bCs/>
          <w:noProof/>
          <w:sz w:val="18"/>
        </w:rPr>
        <w:t>1998</w:t>
      </w:r>
      <w:r w:rsidRPr="003A2630">
        <w:rPr>
          <w:rFonts w:ascii="Calibri" w:hAnsi="Calibri" w:cs="Calibri"/>
          <w:noProof/>
          <w:sz w:val="18"/>
        </w:rPr>
        <w:t xml:space="preserve">, </w:t>
      </w:r>
      <w:r w:rsidRPr="003A2630">
        <w:rPr>
          <w:rFonts w:ascii="Calibri" w:hAnsi="Calibri" w:cs="Calibri"/>
          <w:i/>
          <w:iCs/>
          <w:noProof/>
          <w:sz w:val="18"/>
        </w:rPr>
        <w:t>32</w:t>
      </w:r>
      <w:r w:rsidRPr="003A2630">
        <w:rPr>
          <w:rFonts w:ascii="Calibri" w:hAnsi="Calibri" w:cs="Calibri"/>
          <w:noProof/>
          <w:sz w:val="18"/>
        </w:rPr>
        <w:t>, 2394–2400.</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lastRenderedPageBreak/>
        <w:t xml:space="preserve">(11) </w:t>
      </w:r>
      <w:r w:rsidRPr="003A2630">
        <w:rPr>
          <w:rFonts w:ascii="Calibri" w:hAnsi="Calibri" w:cs="Calibri"/>
          <w:noProof/>
          <w:sz w:val="18"/>
        </w:rPr>
        <w:tab/>
        <w:t xml:space="preserve">Wu, T.; Liu, G.; Zhao, J.; Serpone, N. </w:t>
      </w:r>
      <w:r w:rsidRPr="003A2630">
        <w:rPr>
          <w:rFonts w:ascii="Calibri" w:hAnsi="Calibri" w:cs="Calibri"/>
          <w:i/>
          <w:iCs/>
          <w:noProof/>
          <w:sz w:val="18"/>
        </w:rPr>
        <w:t>J. Phys. Chem. B</w:t>
      </w:r>
      <w:r w:rsidRPr="003A2630">
        <w:rPr>
          <w:rFonts w:ascii="Calibri" w:hAnsi="Calibri" w:cs="Calibri"/>
          <w:noProof/>
          <w:sz w:val="18"/>
        </w:rPr>
        <w:t xml:space="preserve"> </w:t>
      </w:r>
      <w:r w:rsidRPr="003A2630">
        <w:rPr>
          <w:rFonts w:ascii="Calibri" w:hAnsi="Calibri" w:cs="Calibri"/>
          <w:b/>
          <w:bCs/>
          <w:noProof/>
          <w:sz w:val="18"/>
        </w:rPr>
        <w:t>1998</w:t>
      </w:r>
      <w:r w:rsidRPr="003A2630">
        <w:rPr>
          <w:rFonts w:ascii="Calibri" w:hAnsi="Calibri" w:cs="Calibri"/>
          <w:noProof/>
          <w:sz w:val="18"/>
        </w:rPr>
        <w:t xml:space="preserve">, </w:t>
      </w:r>
      <w:r w:rsidRPr="003A2630">
        <w:rPr>
          <w:rFonts w:ascii="Calibri" w:hAnsi="Calibri" w:cs="Calibri"/>
          <w:i/>
          <w:iCs/>
          <w:noProof/>
          <w:sz w:val="18"/>
        </w:rPr>
        <w:t>5647</w:t>
      </w:r>
      <w:r w:rsidRPr="003A2630">
        <w:rPr>
          <w:rFonts w:ascii="Calibri" w:hAnsi="Calibri" w:cs="Calibri"/>
          <w:noProof/>
          <w:sz w:val="18"/>
        </w:rPr>
        <w:t>, 5845–5851.</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(12) </w:t>
      </w:r>
      <w:r w:rsidRPr="003A2630">
        <w:rPr>
          <w:rFonts w:ascii="Calibri" w:hAnsi="Calibri" w:cs="Calibri"/>
          <w:noProof/>
          <w:sz w:val="18"/>
        </w:rPr>
        <w:tab/>
        <w:t xml:space="preserve">Aarthi, T.; Madras, G. </w:t>
      </w:r>
      <w:r w:rsidRPr="003A2630">
        <w:rPr>
          <w:rFonts w:ascii="Calibri" w:hAnsi="Calibri" w:cs="Calibri"/>
          <w:i/>
          <w:iCs/>
          <w:noProof/>
          <w:sz w:val="18"/>
        </w:rPr>
        <w:t>Ind. Eng. Chem. Res.</w:t>
      </w:r>
      <w:r w:rsidRPr="003A2630">
        <w:rPr>
          <w:rFonts w:ascii="Calibri" w:hAnsi="Calibri" w:cs="Calibri"/>
          <w:noProof/>
          <w:sz w:val="18"/>
        </w:rPr>
        <w:t xml:space="preserve"> </w:t>
      </w:r>
      <w:r w:rsidRPr="003A2630">
        <w:rPr>
          <w:rFonts w:ascii="Calibri" w:hAnsi="Calibri" w:cs="Calibri"/>
          <w:b/>
          <w:bCs/>
          <w:noProof/>
          <w:sz w:val="18"/>
        </w:rPr>
        <w:t>2007</w:t>
      </w:r>
      <w:r w:rsidRPr="003A2630">
        <w:rPr>
          <w:rFonts w:ascii="Calibri" w:hAnsi="Calibri" w:cs="Calibri"/>
          <w:noProof/>
          <w:sz w:val="18"/>
        </w:rPr>
        <w:t>, 7–14.</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(13) </w:t>
      </w:r>
      <w:r w:rsidRPr="003A2630">
        <w:rPr>
          <w:rFonts w:ascii="Calibri" w:hAnsi="Calibri" w:cs="Calibri"/>
          <w:noProof/>
          <w:sz w:val="18"/>
        </w:rPr>
        <w:tab/>
        <w:t xml:space="preserve">Liu, Z.; Hou, W.; Pavaskar, P.; Aykol, M.; Cronin, S. B. </w:t>
      </w:r>
      <w:r w:rsidRPr="003A2630">
        <w:rPr>
          <w:rFonts w:ascii="Calibri" w:hAnsi="Calibri" w:cs="Calibri"/>
          <w:i/>
          <w:iCs/>
          <w:noProof/>
          <w:sz w:val="18"/>
        </w:rPr>
        <w:t>Nano Lett.</w:t>
      </w:r>
      <w:r w:rsidRPr="003A2630">
        <w:rPr>
          <w:rFonts w:ascii="Calibri" w:hAnsi="Calibri" w:cs="Calibri"/>
          <w:noProof/>
          <w:sz w:val="18"/>
        </w:rPr>
        <w:t xml:space="preserve"> </w:t>
      </w:r>
      <w:r w:rsidRPr="003A2630">
        <w:rPr>
          <w:rFonts w:ascii="Calibri" w:hAnsi="Calibri" w:cs="Calibri"/>
          <w:b/>
          <w:bCs/>
          <w:noProof/>
          <w:sz w:val="18"/>
        </w:rPr>
        <w:t>2011</w:t>
      </w:r>
      <w:r w:rsidRPr="003A2630">
        <w:rPr>
          <w:rFonts w:ascii="Calibri" w:hAnsi="Calibri" w:cs="Calibri"/>
          <w:noProof/>
          <w:sz w:val="18"/>
        </w:rPr>
        <w:t xml:space="preserve">, </w:t>
      </w:r>
      <w:r w:rsidRPr="003A2630">
        <w:rPr>
          <w:rFonts w:ascii="Calibri" w:hAnsi="Calibri" w:cs="Calibri"/>
          <w:i/>
          <w:iCs/>
          <w:noProof/>
          <w:sz w:val="18"/>
        </w:rPr>
        <w:t>11</w:t>
      </w:r>
      <w:r w:rsidRPr="003A2630">
        <w:rPr>
          <w:rFonts w:ascii="Calibri" w:hAnsi="Calibri" w:cs="Calibri"/>
          <w:noProof/>
          <w:sz w:val="18"/>
        </w:rPr>
        <w:t>, 1111–1116.</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(14) </w:t>
      </w:r>
      <w:r w:rsidRPr="003A2630">
        <w:rPr>
          <w:rFonts w:ascii="Calibri" w:hAnsi="Calibri" w:cs="Calibri"/>
          <w:noProof/>
          <w:sz w:val="18"/>
        </w:rPr>
        <w:tab/>
        <w:t xml:space="preserve">Kuvarega, A. T.; Krause, R. W. M.; Mamba, B. B. </w:t>
      </w:r>
      <w:r w:rsidRPr="003A2630">
        <w:rPr>
          <w:rFonts w:ascii="Calibri" w:hAnsi="Calibri" w:cs="Calibri"/>
          <w:i/>
          <w:iCs/>
          <w:noProof/>
          <w:sz w:val="18"/>
        </w:rPr>
        <w:t>J. Phys. Chem. C</w:t>
      </w:r>
      <w:r w:rsidRPr="003A2630">
        <w:rPr>
          <w:rFonts w:ascii="Calibri" w:hAnsi="Calibri" w:cs="Calibri"/>
          <w:noProof/>
          <w:sz w:val="18"/>
        </w:rPr>
        <w:t xml:space="preserve"> </w:t>
      </w:r>
      <w:r w:rsidRPr="003A2630">
        <w:rPr>
          <w:rFonts w:ascii="Calibri" w:hAnsi="Calibri" w:cs="Calibri"/>
          <w:b/>
          <w:bCs/>
          <w:noProof/>
          <w:sz w:val="18"/>
        </w:rPr>
        <w:t>2011</w:t>
      </w:r>
      <w:r w:rsidRPr="003A2630">
        <w:rPr>
          <w:rFonts w:ascii="Calibri" w:hAnsi="Calibri" w:cs="Calibri"/>
          <w:noProof/>
          <w:sz w:val="18"/>
        </w:rPr>
        <w:t xml:space="preserve">, </w:t>
      </w:r>
      <w:r w:rsidRPr="003A2630">
        <w:rPr>
          <w:rFonts w:ascii="Calibri" w:hAnsi="Calibri" w:cs="Calibri"/>
          <w:i/>
          <w:iCs/>
          <w:noProof/>
          <w:sz w:val="18"/>
        </w:rPr>
        <w:t>115</w:t>
      </w:r>
      <w:r w:rsidRPr="003A2630">
        <w:rPr>
          <w:rFonts w:ascii="Calibri" w:hAnsi="Calibri" w:cs="Calibri"/>
          <w:noProof/>
          <w:sz w:val="18"/>
        </w:rPr>
        <w:t>, 22110–22120.</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(15) </w:t>
      </w:r>
      <w:r w:rsidRPr="003A2630">
        <w:rPr>
          <w:rFonts w:ascii="Calibri" w:hAnsi="Calibri" w:cs="Calibri"/>
          <w:noProof/>
          <w:sz w:val="18"/>
        </w:rPr>
        <w:tab/>
        <w:t xml:space="preserve">Zhang, N.; Liu, S.; Fu, X.; Xu, Y. </w:t>
      </w:r>
      <w:r w:rsidRPr="003A2630">
        <w:rPr>
          <w:rFonts w:ascii="Calibri" w:hAnsi="Calibri" w:cs="Calibri"/>
          <w:i/>
          <w:iCs/>
          <w:noProof/>
          <w:sz w:val="18"/>
        </w:rPr>
        <w:t>J. Phys. Chem. C</w:t>
      </w:r>
      <w:r w:rsidRPr="003A2630">
        <w:rPr>
          <w:rFonts w:ascii="Calibri" w:hAnsi="Calibri" w:cs="Calibri"/>
          <w:noProof/>
          <w:sz w:val="18"/>
        </w:rPr>
        <w:t xml:space="preserve"> </w:t>
      </w:r>
      <w:r w:rsidRPr="003A2630">
        <w:rPr>
          <w:rFonts w:ascii="Calibri" w:hAnsi="Calibri" w:cs="Calibri"/>
          <w:b/>
          <w:bCs/>
          <w:noProof/>
          <w:sz w:val="18"/>
        </w:rPr>
        <w:t>2011</w:t>
      </w:r>
      <w:r w:rsidRPr="003A2630">
        <w:rPr>
          <w:rFonts w:ascii="Calibri" w:hAnsi="Calibri" w:cs="Calibri"/>
          <w:noProof/>
          <w:sz w:val="18"/>
        </w:rPr>
        <w:t xml:space="preserve">, </w:t>
      </w:r>
      <w:r w:rsidRPr="003A2630">
        <w:rPr>
          <w:rFonts w:ascii="Calibri" w:hAnsi="Calibri" w:cs="Calibri"/>
          <w:i/>
          <w:iCs/>
          <w:noProof/>
          <w:sz w:val="18"/>
        </w:rPr>
        <w:t>2</w:t>
      </w:r>
      <w:r w:rsidRPr="003A2630">
        <w:rPr>
          <w:rFonts w:ascii="Calibri" w:hAnsi="Calibri" w:cs="Calibri"/>
          <w:noProof/>
          <w:sz w:val="18"/>
        </w:rPr>
        <w:t>, 9136–9145.</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(16) </w:t>
      </w:r>
      <w:r w:rsidRPr="003A2630">
        <w:rPr>
          <w:rFonts w:ascii="Calibri" w:hAnsi="Calibri" w:cs="Calibri"/>
          <w:noProof/>
          <w:sz w:val="18"/>
        </w:rPr>
        <w:tab/>
        <w:t xml:space="preserve">Liu, R.; Wang, P.; Wang, X.; Yu, H.; Yu, J. </w:t>
      </w:r>
      <w:r w:rsidRPr="003A2630">
        <w:rPr>
          <w:rFonts w:ascii="Calibri" w:hAnsi="Calibri" w:cs="Calibri"/>
          <w:i/>
          <w:iCs/>
          <w:noProof/>
          <w:sz w:val="18"/>
        </w:rPr>
        <w:t>J. Phys. Chem. C</w:t>
      </w:r>
      <w:r w:rsidRPr="003A2630">
        <w:rPr>
          <w:rFonts w:ascii="Calibri" w:hAnsi="Calibri" w:cs="Calibri"/>
          <w:noProof/>
          <w:sz w:val="18"/>
        </w:rPr>
        <w:t xml:space="preserve"> </w:t>
      </w:r>
      <w:r w:rsidRPr="003A2630">
        <w:rPr>
          <w:rFonts w:ascii="Calibri" w:hAnsi="Calibri" w:cs="Calibri"/>
          <w:b/>
          <w:bCs/>
          <w:noProof/>
          <w:sz w:val="18"/>
        </w:rPr>
        <w:t>2012</w:t>
      </w:r>
      <w:r w:rsidRPr="003A2630">
        <w:rPr>
          <w:rFonts w:ascii="Calibri" w:hAnsi="Calibri" w:cs="Calibri"/>
          <w:noProof/>
          <w:sz w:val="18"/>
        </w:rPr>
        <w:t xml:space="preserve">, </w:t>
      </w:r>
      <w:r w:rsidRPr="003A2630">
        <w:rPr>
          <w:rFonts w:ascii="Calibri" w:hAnsi="Calibri" w:cs="Calibri"/>
          <w:i/>
          <w:iCs/>
          <w:noProof/>
          <w:sz w:val="18"/>
        </w:rPr>
        <w:t>116</w:t>
      </w:r>
      <w:r w:rsidRPr="003A2630">
        <w:rPr>
          <w:rFonts w:ascii="Calibri" w:hAnsi="Calibri" w:cs="Calibri"/>
          <w:noProof/>
          <w:sz w:val="18"/>
        </w:rPr>
        <w:t>, 17721–17728.</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(17) </w:t>
      </w:r>
      <w:r w:rsidRPr="003A2630">
        <w:rPr>
          <w:rFonts w:ascii="Calibri" w:hAnsi="Calibri" w:cs="Calibri"/>
          <w:noProof/>
          <w:sz w:val="18"/>
        </w:rPr>
        <w:tab/>
        <w:t xml:space="preserve">Cui, Y.; Briscoe, J.; Dunn, S. </w:t>
      </w:r>
      <w:r w:rsidRPr="003A2630">
        <w:rPr>
          <w:rFonts w:ascii="Calibri" w:hAnsi="Calibri" w:cs="Calibri"/>
          <w:i/>
          <w:iCs/>
          <w:noProof/>
          <w:sz w:val="18"/>
        </w:rPr>
        <w:t>Chem. Mater.</w:t>
      </w:r>
      <w:r w:rsidRPr="003A2630">
        <w:rPr>
          <w:rFonts w:ascii="Calibri" w:hAnsi="Calibri" w:cs="Calibri"/>
          <w:noProof/>
          <w:sz w:val="18"/>
        </w:rPr>
        <w:t xml:space="preserve"> </w:t>
      </w:r>
      <w:r w:rsidRPr="003A2630">
        <w:rPr>
          <w:rFonts w:ascii="Calibri" w:hAnsi="Calibri" w:cs="Calibri"/>
          <w:b/>
          <w:bCs/>
          <w:noProof/>
          <w:sz w:val="18"/>
        </w:rPr>
        <w:t>2013</w:t>
      </w:r>
      <w:r w:rsidRPr="003A2630">
        <w:rPr>
          <w:rFonts w:ascii="Calibri" w:hAnsi="Calibri" w:cs="Calibri"/>
          <w:noProof/>
          <w:sz w:val="18"/>
        </w:rPr>
        <w:t xml:space="preserve">, </w:t>
      </w:r>
      <w:r w:rsidRPr="003A2630">
        <w:rPr>
          <w:rFonts w:ascii="Calibri" w:hAnsi="Calibri" w:cs="Calibri"/>
          <w:i/>
          <w:iCs/>
          <w:noProof/>
          <w:sz w:val="18"/>
        </w:rPr>
        <w:t>25</w:t>
      </w:r>
      <w:r w:rsidRPr="003A2630">
        <w:rPr>
          <w:rFonts w:ascii="Calibri" w:hAnsi="Calibri" w:cs="Calibri"/>
          <w:noProof/>
          <w:sz w:val="18"/>
        </w:rPr>
        <w:t>, 4215–4223.</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(18) </w:t>
      </w:r>
      <w:r w:rsidRPr="003A2630">
        <w:rPr>
          <w:rFonts w:ascii="Calibri" w:hAnsi="Calibri" w:cs="Calibri"/>
          <w:noProof/>
          <w:sz w:val="18"/>
        </w:rPr>
        <w:tab/>
        <w:t xml:space="preserve">Stock, M.; Dunn, S. </w:t>
      </w:r>
      <w:r w:rsidRPr="003A2630">
        <w:rPr>
          <w:rFonts w:ascii="Calibri" w:hAnsi="Calibri" w:cs="Calibri"/>
          <w:i/>
          <w:iCs/>
          <w:noProof/>
          <w:sz w:val="18"/>
        </w:rPr>
        <w:t>IEEE Trans. Ultrason. Ferroelectr. Freq. Control</w:t>
      </w:r>
      <w:r w:rsidRPr="003A2630">
        <w:rPr>
          <w:rFonts w:ascii="Calibri" w:hAnsi="Calibri" w:cs="Calibri"/>
          <w:noProof/>
          <w:sz w:val="18"/>
        </w:rPr>
        <w:t xml:space="preserve"> </w:t>
      </w:r>
      <w:r w:rsidRPr="003A2630">
        <w:rPr>
          <w:rFonts w:ascii="Calibri" w:hAnsi="Calibri" w:cs="Calibri"/>
          <w:b/>
          <w:bCs/>
          <w:noProof/>
          <w:sz w:val="18"/>
        </w:rPr>
        <w:t>2011</w:t>
      </w:r>
      <w:r w:rsidRPr="003A2630">
        <w:rPr>
          <w:rFonts w:ascii="Calibri" w:hAnsi="Calibri" w:cs="Calibri"/>
          <w:noProof/>
          <w:sz w:val="18"/>
        </w:rPr>
        <w:t xml:space="preserve">, </w:t>
      </w:r>
      <w:r w:rsidRPr="003A2630">
        <w:rPr>
          <w:rFonts w:ascii="Calibri" w:hAnsi="Calibri" w:cs="Calibri"/>
          <w:i/>
          <w:iCs/>
          <w:noProof/>
          <w:sz w:val="18"/>
        </w:rPr>
        <w:t>58</w:t>
      </w:r>
      <w:r w:rsidRPr="003A2630">
        <w:rPr>
          <w:rFonts w:ascii="Calibri" w:hAnsi="Calibri" w:cs="Calibri"/>
          <w:noProof/>
          <w:sz w:val="18"/>
        </w:rPr>
        <w:t>, 1988–1993.</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(19) </w:t>
      </w:r>
      <w:r w:rsidRPr="003A2630">
        <w:rPr>
          <w:rFonts w:ascii="Calibri" w:hAnsi="Calibri" w:cs="Calibri"/>
          <w:noProof/>
          <w:sz w:val="18"/>
        </w:rPr>
        <w:tab/>
        <w:t xml:space="preserve">Hutter, E.; Fendler, J. H. </w:t>
      </w:r>
      <w:r w:rsidRPr="003A2630">
        <w:rPr>
          <w:rFonts w:ascii="Calibri" w:hAnsi="Calibri" w:cs="Calibri"/>
          <w:i/>
          <w:iCs/>
          <w:noProof/>
          <w:sz w:val="18"/>
        </w:rPr>
        <w:t>Adv. Mater.</w:t>
      </w:r>
      <w:r w:rsidRPr="003A2630">
        <w:rPr>
          <w:rFonts w:ascii="Calibri" w:hAnsi="Calibri" w:cs="Calibri"/>
          <w:noProof/>
          <w:sz w:val="18"/>
        </w:rPr>
        <w:t xml:space="preserve"> </w:t>
      </w:r>
      <w:r w:rsidRPr="003A2630">
        <w:rPr>
          <w:rFonts w:ascii="Calibri" w:hAnsi="Calibri" w:cs="Calibri"/>
          <w:b/>
          <w:bCs/>
          <w:noProof/>
          <w:sz w:val="18"/>
        </w:rPr>
        <w:t>2004</w:t>
      </w:r>
      <w:r w:rsidRPr="003A2630">
        <w:rPr>
          <w:rFonts w:ascii="Calibri" w:hAnsi="Calibri" w:cs="Calibri"/>
          <w:noProof/>
          <w:sz w:val="18"/>
        </w:rPr>
        <w:t xml:space="preserve">, </w:t>
      </w:r>
      <w:r w:rsidRPr="003A2630">
        <w:rPr>
          <w:rFonts w:ascii="Calibri" w:hAnsi="Calibri" w:cs="Calibri"/>
          <w:i/>
          <w:iCs/>
          <w:noProof/>
          <w:sz w:val="18"/>
        </w:rPr>
        <w:t>16</w:t>
      </w:r>
      <w:r w:rsidRPr="003A2630">
        <w:rPr>
          <w:rFonts w:ascii="Calibri" w:hAnsi="Calibri" w:cs="Calibri"/>
          <w:noProof/>
          <w:sz w:val="18"/>
        </w:rPr>
        <w:t>, 1685–1706.</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(20) </w:t>
      </w:r>
      <w:r w:rsidRPr="003A2630">
        <w:rPr>
          <w:rFonts w:ascii="Calibri" w:hAnsi="Calibri" w:cs="Calibri"/>
          <w:noProof/>
          <w:sz w:val="18"/>
        </w:rPr>
        <w:tab/>
        <w:t xml:space="preserve">Noguez, C. </w:t>
      </w:r>
      <w:r w:rsidRPr="003A2630">
        <w:rPr>
          <w:rFonts w:ascii="Calibri" w:hAnsi="Calibri" w:cs="Calibri"/>
          <w:i/>
          <w:iCs/>
          <w:noProof/>
          <w:sz w:val="18"/>
        </w:rPr>
        <w:t>J. Phys. Chem. C</w:t>
      </w:r>
      <w:r w:rsidRPr="003A2630">
        <w:rPr>
          <w:rFonts w:ascii="Calibri" w:hAnsi="Calibri" w:cs="Calibri"/>
          <w:noProof/>
          <w:sz w:val="18"/>
        </w:rPr>
        <w:t xml:space="preserve"> </w:t>
      </w:r>
      <w:r w:rsidRPr="003A2630">
        <w:rPr>
          <w:rFonts w:ascii="Calibri" w:hAnsi="Calibri" w:cs="Calibri"/>
          <w:b/>
          <w:bCs/>
          <w:noProof/>
          <w:sz w:val="18"/>
        </w:rPr>
        <w:t>2007</w:t>
      </w:r>
      <w:r w:rsidRPr="003A2630">
        <w:rPr>
          <w:rFonts w:ascii="Calibri" w:hAnsi="Calibri" w:cs="Calibri"/>
          <w:noProof/>
          <w:sz w:val="18"/>
        </w:rPr>
        <w:t xml:space="preserve">, </w:t>
      </w:r>
      <w:r w:rsidRPr="003A2630">
        <w:rPr>
          <w:rFonts w:ascii="Calibri" w:hAnsi="Calibri" w:cs="Calibri"/>
          <w:i/>
          <w:iCs/>
          <w:noProof/>
          <w:sz w:val="18"/>
        </w:rPr>
        <w:t>111</w:t>
      </w:r>
      <w:r w:rsidRPr="003A2630">
        <w:rPr>
          <w:rFonts w:ascii="Calibri" w:hAnsi="Calibri" w:cs="Calibri"/>
          <w:noProof/>
          <w:sz w:val="18"/>
        </w:rPr>
        <w:t>, 3806–3819.</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(21) </w:t>
      </w:r>
      <w:r w:rsidRPr="003A2630">
        <w:rPr>
          <w:rFonts w:ascii="Calibri" w:hAnsi="Calibri" w:cs="Calibri"/>
          <w:noProof/>
          <w:sz w:val="18"/>
        </w:rPr>
        <w:tab/>
        <w:t xml:space="preserve">Lu, X.; Rycenga, M.; Skrabalak, S. E.; Wiley, B.; Xia, Y. </w:t>
      </w:r>
      <w:r w:rsidRPr="003A2630">
        <w:rPr>
          <w:rFonts w:ascii="Calibri" w:hAnsi="Calibri" w:cs="Calibri"/>
          <w:i/>
          <w:iCs/>
          <w:noProof/>
          <w:sz w:val="18"/>
        </w:rPr>
        <w:t>Annu. Rev. Phys. Chem.</w:t>
      </w:r>
      <w:r w:rsidRPr="003A2630">
        <w:rPr>
          <w:rFonts w:ascii="Calibri" w:hAnsi="Calibri" w:cs="Calibri"/>
          <w:noProof/>
          <w:sz w:val="18"/>
        </w:rPr>
        <w:t xml:space="preserve"> </w:t>
      </w:r>
      <w:r w:rsidRPr="003A2630">
        <w:rPr>
          <w:rFonts w:ascii="Calibri" w:hAnsi="Calibri" w:cs="Calibri"/>
          <w:b/>
          <w:bCs/>
          <w:noProof/>
          <w:sz w:val="18"/>
        </w:rPr>
        <w:t>2009</w:t>
      </w:r>
      <w:r w:rsidRPr="003A2630">
        <w:rPr>
          <w:rFonts w:ascii="Calibri" w:hAnsi="Calibri" w:cs="Calibri"/>
          <w:noProof/>
          <w:sz w:val="18"/>
        </w:rPr>
        <w:t xml:space="preserve">, </w:t>
      </w:r>
      <w:r w:rsidRPr="003A2630">
        <w:rPr>
          <w:rFonts w:ascii="Calibri" w:hAnsi="Calibri" w:cs="Calibri"/>
          <w:i/>
          <w:iCs/>
          <w:noProof/>
          <w:sz w:val="18"/>
        </w:rPr>
        <w:t>60</w:t>
      </w:r>
      <w:r w:rsidRPr="003A2630">
        <w:rPr>
          <w:rFonts w:ascii="Calibri" w:hAnsi="Calibri" w:cs="Calibri"/>
          <w:noProof/>
          <w:sz w:val="18"/>
        </w:rPr>
        <w:t>, 167–192.</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(22) </w:t>
      </w:r>
      <w:r w:rsidRPr="003A2630">
        <w:rPr>
          <w:rFonts w:ascii="Calibri" w:hAnsi="Calibri" w:cs="Calibri"/>
          <w:noProof/>
          <w:sz w:val="18"/>
        </w:rPr>
        <w:tab/>
        <w:t xml:space="preserve">Kochuveedu, S.; Kim, D. D. </w:t>
      </w:r>
      <w:r w:rsidRPr="003A2630">
        <w:rPr>
          <w:rFonts w:ascii="Calibri" w:hAnsi="Calibri" w:cs="Calibri"/>
          <w:i/>
          <w:iCs/>
          <w:noProof/>
          <w:sz w:val="18"/>
        </w:rPr>
        <w:t>J. Phys. Chem. C</w:t>
      </w:r>
      <w:r w:rsidRPr="003A2630">
        <w:rPr>
          <w:rFonts w:ascii="Calibri" w:hAnsi="Calibri" w:cs="Calibri"/>
          <w:noProof/>
          <w:sz w:val="18"/>
        </w:rPr>
        <w:t xml:space="preserve"> </w:t>
      </w:r>
      <w:r w:rsidRPr="003A2630">
        <w:rPr>
          <w:rFonts w:ascii="Calibri" w:hAnsi="Calibri" w:cs="Calibri"/>
          <w:b/>
          <w:bCs/>
          <w:noProof/>
          <w:sz w:val="18"/>
        </w:rPr>
        <w:t>2012</w:t>
      </w:r>
      <w:r w:rsidRPr="003A2630">
        <w:rPr>
          <w:rFonts w:ascii="Calibri" w:hAnsi="Calibri" w:cs="Calibri"/>
          <w:noProof/>
          <w:sz w:val="18"/>
        </w:rPr>
        <w:t xml:space="preserve">, </w:t>
      </w:r>
      <w:r w:rsidRPr="003A2630">
        <w:rPr>
          <w:rFonts w:ascii="Calibri" w:hAnsi="Calibri" w:cs="Calibri"/>
          <w:i/>
          <w:iCs/>
          <w:noProof/>
          <w:sz w:val="18"/>
        </w:rPr>
        <w:t>116</w:t>
      </w:r>
      <w:r w:rsidRPr="003A2630">
        <w:rPr>
          <w:rFonts w:ascii="Calibri" w:hAnsi="Calibri" w:cs="Calibri"/>
          <w:noProof/>
          <w:sz w:val="18"/>
        </w:rPr>
        <w:t>, 2500–2506.</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(23) </w:t>
      </w:r>
      <w:r w:rsidRPr="003A2630">
        <w:rPr>
          <w:rFonts w:ascii="Calibri" w:hAnsi="Calibri" w:cs="Calibri"/>
          <w:noProof/>
          <w:sz w:val="18"/>
        </w:rPr>
        <w:tab/>
        <w:t xml:space="preserve">Cushing, S. K.; Li, J.; Meng, F.; Senty, T. R.; Suri, S.; Zhi, M.; Li, M.; Bristow, A. D.; Wu, N. </w:t>
      </w:r>
      <w:r w:rsidRPr="003A2630">
        <w:rPr>
          <w:rFonts w:ascii="Calibri" w:hAnsi="Calibri" w:cs="Calibri"/>
          <w:i/>
          <w:iCs/>
          <w:noProof/>
          <w:sz w:val="18"/>
        </w:rPr>
        <w:t>J. Am. Chem. Soc.</w:t>
      </w:r>
      <w:r w:rsidRPr="003A2630">
        <w:rPr>
          <w:rFonts w:ascii="Calibri" w:hAnsi="Calibri" w:cs="Calibri"/>
          <w:noProof/>
          <w:sz w:val="18"/>
        </w:rPr>
        <w:t xml:space="preserve"> </w:t>
      </w:r>
      <w:r w:rsidRPr="003A2630">
        <w:rPr>
          <w:rFonts w:ascii="Calibri" w:hAnsi="Calibri" w:cs="Calibri"/>
          <w:b/>
          <w:bCs/>
          <w:noProof/>
          <w:sz w:val="18"/>
        </w:rPr>
        <w:t>2012</w:t>
      </w:r>
      <w:r w:rsidRPr="003A2630">
        <w:rPr>
          <w:rFonts w:ascii="Calibri" w:hAnsi="Calibri" w:cs="Calibri"/>
          <w:noProof/>
          <w:sz w:val="18"/>
        </w:rPr>
        <w:t xml:space="preserve">, </w:t>
      </w:r>
      <w:r w:rsidRPr="003A2630">
        <w:rPr>
          <w:rFonts w:ascii="Calibri" w:hAnsi="Calibri" w:cs="Calibri"/>
          <w:i/>
          <w:iCs/>
          <w:noProof/>
          <w:sz w:val="18"/>
        </w:rPr>
        <w:t>134</w:t>
      </w:r>
      <w:r w:rsidRPr="003A2630">
        <w:rPr>
          <w:rFonts w:ascii="Calibri" w:hAnsi="Calibri" w:cs="Calibri"/>
          <w:noProof/>
          <w:sz w:val="18"/>
        </w:rPr>
        <w:t>, 15033–15041.</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(24) </w:t>
      </w:r>
      <w:r w:rsidRPr="003A2630">
        <w:rPr>
          <w:rFonts w:ascii="Calibri" w:hAnsi="Calibri" w:cs="Calibri"/>
          <w:noProof/>
          <w:sz w:val="18"/>
        </w:rPr>
        <w:tab/>
        <w:t xml:space="preserve">Xiong, Y.; Chen, J.; Wiley, B.; Xia, Y.; Yin, Y.; Li, Z. Y. </w:t>
      </w:r>
      <w:r w:rsidRPr="003A2630">
        <w:rPr>
          <w:rFonts w:ascii="Calibri" w:hAnsi="Calibri" w:cs="Calibri"/>
          <w:i/>
          <w:iCs/>
          <w:noProof/>
          <w:sz w:val="18"/>
        </w:rPr>
        <w:t>Nano Lett.</w:t>
      </w:r>
      <w:r w:rsidRPr="003A2630">
        <w:rPr>
          <w:rFonts w:ascii="Calibri" w:hAnsi="Calibri" w:cs="Calibri"/>
          <w:noProof/>
          <w:sz w:val="18"/>
        </w:rPr>
        <w:t xml:space="preserve"> </w:t>
      </w:r>
      <w:r w:rsidRPr="003A2630">
        <w:rPr>
          <w:rFonts w:ascii="Calibri" w:hAnsi="Calibri" w:cs="Calibri"/>
          <w:b/>
          <w:bCs/>
          <w:noProof/>
          <w:sz w:val="18"/>
        </w:rPr>
        <w:t>2005</w:t>
      </w:r>
      <w:r w:rsidRPr="003A2630">
        <w:rPr>
          <w:rFonts w:ascii="Calibri" w:hAnsi="Calibri" w:cs="Calibri"/>
          <w:noProof/>
          <w:sz w:val="18"/>
        </w:rPr>
        <w:t xml:space="preserve">, </w:t>
      </w:r>
      <w:r w:rsidRPr="003A2630">
        <w:rPr>
          <w:rFonts w:ascii="Calibri" w:hAnsi="Calibri" w:cs="Calibri"/>
          <w:i/>
          <w:iCs/>
          <w:noProof/>
          <w:sz w:val="18"/>
        </w:rPr>
        <w:t>5</w:t>
      </w:r>
      <w:r w:rsidRPr="003A2630">
        <w:rPr>
          <w:rFonts w:ascii="Calibri" w:hAnsi="Calibri" w:cs="Calibri"/>
          <w:noProof/>
          <w:sz w:val="18"/>
        </w:rPr>
        <w:t>, 1237–1242.</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(25) </w:t>
      </w:r>
      <w:r w:rsidRPr="003A2630">
        <w:rPr>
          <w:rFonts w:ascii="Calibri" w:hAnsi="Calibri" w:cs="Calibri"/>
          <w:noProof/>
          <w:sz w:val="18"/>
        </w:rPr>
        <w:tab/>
        <w:t xml:space="preserve">Kelly, K. L.; Coronado, E.; Zhao, L. L.; Schatz, G. C. </w:t>
      </w:r>
      <w:r w:rsidRPr="003A2630">
        <w:rPr>
          <w:rFonts w:ascii="Calibri" w:hAnsi="Calibri" w:cs="Calibri"/>
          <w:i/>
          <w:iCs/>
          <w:noProof/>
          <w:sz w:val="18"/>
        </w:rPr>
        <w:t>J. Phys. Chem. B</w:t>
      </w:r>
      <w:r w:rsidRPr="003A2630">
        <w:rPr>
          <w:rFonts w:ascii="Calibri" w:hAnsi="Calibri" w:cs="Calibri"/>
          <w:noProof/>
          <w:sz w:val="18"/>
        </w:rPr>
        <w:t xml:space="preserve"> </w:t>
      </w:r>
      <w:r w:rsidRPr="003A2630">
        <w:rPr>
          <w:rFonts w:ascii="Calibri" w:hAnsi="Calibri" w:cs="Calibri"/>
          <w:b/>
          <w:bCs/>
          <w:noProof/>
          <w:sz w:val="18"/>
        </w:rPr>
        <w:t>2003</w:t>
      </w:r>
      <w:r w:rsidRPr="003A2630">
        <w:rPr>
          <w:rFonts w:ascii="Calibri" w:hAnsi="Calibri" w:cs="Calibri"/>
          <w:noProof/>
          <w:sz w:val="18"/>
        </w:rPr>
        <w:t xml:space="preserve">, </w:t>
      </w:r>
      <w:r w:rsidRPr="003A2630">
        <w:rPr>
          <w:rFonts w:ascii="Calibri" w:hAnsi="Calibri" w:cs="Calibri"/>
          <w:i/>
          <w:iCs/>
          <w:noProof/>
          <w:sz w:val="18"/>
        </w:rPr>
        <w:t>107</w:t>
      </w:r>
      <w:r w:rsidRPr="003A2630">
        <w:rPr>
          <w:rFonts w:ascii="Calibri" w:hAnsi="Calibri" w:cs="Calibri"/>
          <w:noProof/>
          <w:sz w:val="18"/>
        </w:rPr>
        <w:t>, 668–677.</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(26) </w:t>
      </w:r>
      <w:r w:rsidRPr="003A2630">
        <w:rPr>
          <w:rFonts w:ascii="Calibri" w:hAnsi="Calibri" w:cs="Calibri"/>
          <w:noProof/>
          <w:sz w:val="18"/>
        </w:rPr>
        <w:tab/>
        <w:t xml:space="preserve">Leong, K. H.; Chu, H. Y.; Ibrahim, S.; Saravanan, P. </w:t>
      </w:r>
      <w:r w:rsidRPr="003A2630">
        <w:rPr>
          <w:rFonts w:ascii="Calibri" w:hAnsi="Calibri" w:cs="Calibri"/>
          <w:i/>
          <w:iCs/>
          <w:noProof/>
          <w:sz w:val="18"/>
        </w:rPr>
        <w:t>Beilstein J. Nanotechnol.</w:t>
      </w:r>
      <w:r w:rsidRPr="003A2630">
        <w:rPr>
          <w:rFonts w:ascii="Calibri" w:hAnsi="Calibri" w:cs="Calibri"/>
          <w:noProof/>
          <w:sz w:val="18"/>
        </w:rPr>
        <w:t xml:space="preserve"> </w:t>
      </w:r>
      <w:r w:rsidRPr="003A2630">
        <w:rPr>
          <w:rFonts w:ascii="Calibri" w:hAnsi="Calibri" w:cs="Calibri"/>
          <w:b/>
          <w:bCs/>
          <w:noProof/>
          <w:sz w:val="18"/>
        </w:rPr>
        <w:t>2015</w:t>
      </w:r>
      <w:r w:rsidRPr="003A2630">
        <w:rPr>
          <w:rFonts w:ascii="Calibri" w:hAnsi="Calibri" w:cs="Calibri"/>
          <w:noProof/>
          <w:sz w:val="18"/>
        </w:rPr>
        <w:t xml:space="preserve">, </w:t>
      </w:r>
      <w:r w:rsidRPr="003A2630">
        <w:rPr>
          <w:rFonts w:ascii="Calibri" w:hAnsi="Calibri" w:cs="Calibri"/>
          <w:i/>
          <w:iCs/>
          <w:noProof/>
          <w:sz w:val="18"/>
        </w:rPr>
        <w:t>6</w:t>
      </w:r>
      <w:r w:rsidRPr="003A2630">
        <w:rPr>
          <w:rFonts w:ascii="Calibri" w:hAnsi="Calibri" w:cs="Calibri"/>
          <w:noProof/>
          <w:sz w:val="18"/>
        </w:rPr>
        <w:t>, 428–437.</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(27) </w:t>
      </w:r>
      <w:r w:rsidRPr="003A2630">
        <w:rPr>
          <w:rFonts w:ascii="Calibri" w:hAnsi="Calibri" w:cs="Calibri"/>
          <w:noProof/>
          <w:sz w:val="18"/>
        </w:rPr>
        <w:tab/>
        <w:t xml:space="preserve">Campelo, J. M.; Luna, D.; Luque, R.; Marinas, J. M.; Romero, A. a. </w:t>
      </w:r>
      <w:r w:rsidRPr="003A2630">
        <w:rPr>
          <w:rFonts w:ascii="Calibri" w:hAnsi="Calibri" w:cs="Calibri"/>
          <w:i/>
          <w:iCs/>
          <w:noProof/>
          <w:sz w:val="18"/>
        </w:rPr>
        <w:t>ChemSusChem</w:t>
      </w:r>
      <w:r w:rsidRPr="003A2630">
        <w:rPr>
          <w:rFonts w:ascii="Calibri" w:hAnsi="Calibri" w:cs="Calibri"/>
          <w:noProof/>
          <w:sz w:val="18"/>
        </w:rPr>
        <w:t xml:space="preserve"> </w:t>
      </w:r>
      <w:r w:rsidRPr="003A2630">
        <w:rPr>
          <w:rFonts w:ascii="Calibri" w:hAnsi="Calibri" w:cs="Calibri"/>
          <w:b/>
          <w:bCs/>
          <w:noProof/>
          <w:sz w:val="18"/>
        </w:rPr>
        <w:t>2009</w:t>
      </w:r>
      <w:r w:rsidRPr="003A2630">
        <w:rPr>
          <w:rFonts w:ascii="Calibri" w:hAnsi="Calibri" w:cs="Calibri"/>
          <w:noProof/>
          <w:sz w:val="18"/>
        </w:rPr>
        <w:t xml:space="preserve">, </w:t>
      </w:r>
      <w:r w:rsidRPr="003A2630">
        <w:rPr>
          <w:rFonts w:ascii="Calibri" w:hAnsi="Calibri" w:cs="Calibri"/>
          <w:i/>
          <w:iCs/>
          <w:noProof/>
          <w:sz w:val="18"/>
        </w:rPr>
        <w:t>2</w:t>
      </w:r>
      <w:r w:rsidRPr="003A2630">
        <w:rPr>
          <w:rFonts w:ascii="Calibri" w:hAnsi="Calibri" w:cs="Calibri"/>
          <w:noProof/>
          <w:sz w:val="18"/>
        </w:rPr>
        <w:t>, 18–45.</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(28) </w:t>
      </w:r>
      <w:r w:rsidRPr="003A2630">
        <w:rPr>
          <w:rFonts w:ascii="Calibri" w:hAnsi="Calibri" w:cs="Calibri"/>
          <w:noProof/>
          <w:sz w:val="18"/>
        </w:rPr>
        <w:tab/>
        <w:t xml:space="preserve">Nørskov, J. K.; Ressmeisl, J.; Logadottir, a.; Lindqvist, L.; Kitchin, J. R.; Bligaard, T.; Jonsson, H. </w:t>
      </w:r>
      <w:r w:rsidRPr="003A2630">
        <w:rPr>
          <w:rFonts w:ascii="Calibri" w:hAnsi="Calibri" w:cs="Calibri"/>
          <w:i/>
          <w:iCs/>
          <w:noProof/>
          <w:sz w:val="18"/>
        </w:rPr>
        <w:t>J. Phys. Chem. B</w:t>
      </w:r>
      <w:r w:rsidRPr="003A2630">
        <w:rPr>
          <w:rFonts w:ascii="Calibri" w:hAnsi="Calibri" w:cs="Calibri"/>
          <w:noProof/>
          <w:sz w:val="18"/>
        </w:rPr>
        <w:t xml:space="preserve"> </w:t>
      </w:r>
      <w:r w:rsidRPr="003A2630">
        <w:rPr>
          <w:rFonts w:ascii="Calibri" w:hAnsi="Calibri" w:cs="Calibri"/>
          <w:b/>
          <w:bCs/>
          <w:noProof/>
          <w:sz w:val="18"/>
        </w:rPr>
        <w:t>2004</w:t>
      </w:r>
      <w:r w:rsidRPr="003A2630">
        <w:rPr>
          <w:rFonts w:ascii="Calibri" w:hAnsi="Calibri" w:cs="Calibri"/>
          <w:noProof/>
          <w:sz w:val="18"/>
        </w:rPr>
        <w:t xml:space="preserve">, </w:t>
      </w:r>
      <w:r w:rsidRPr="003A2630">
        <w:rPr>
          <w:rFonts w:ascii="Calibri" w:hAnsi="Calibri" w:cs="Calibri"/>
          <w:i/>
          <w:iCs/>
          <w:noProof/>
          <w:sz w:val="18"/>
        </w:rPr>
        <w:t>108</w:t>
      </w:r>
      <w:r w:rsidRPr="003A2630">
        <w:rPr>
          <w:rFonts w:ascii="Calibri" w:hAnsi="Calibri" w:cs="Calibri"/>
          <w:noProof/>
          <w:sz w:val="18"/>
        </w:rPr>
        <w:t>, 17886–17892.</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(29) </w:t>
      </w:r>
      <w:r w:rsidRPr="003A2630">
        <w:rPr>
          <w:rFonts w:ascii="Calibri" w:hAnsi="Calibri" w:cs="Calibri"/>
          <w:noProof/>
          <w:sz w:val="18"/>
        </w:rPr>
        <w:tab/>
        <w:t xml:space="preserve">Zhang, Q.; Lima, D. Q.; Lee, I.; Zaera, F.; Chi, M.; Yin, Y. </w:t>
      </w:r>
      <w:r w:rsidRPr="003A2630">
        <w:rPr>
          <w:rFonts w:ascii="Calibri" w:hAnsi="Calibri" w:cs="Calibri"/>
          <w:i/>
          <w:iCs/>
          <w:noProof/>
          <w:sz w:val="18"/>
        </w:rPr>
        <w:t>Angew. Chemie - Int. Ed.</w:t>
      </w:r>
      <w:r w:rsidRPr="003A2630">
        <w:rPr>
          <w:rFonts w:ascii="Calibri" w:hAnsi="Calibri" w:cs="Calibri"/>
          <w:noProof/>
          <w:sz w:val="18"/>
        </w:rPr>
        <w:t xml:space="preserve"> </w:t>
      </w:r>
      <w:r w:rsidRPr="003A2630">
        <w:rPr>
          <w:rFonts w:ascii="Calibri" w:hAnsi="Calibri" w:cs="Calibri"/>
          <w:b/>
          <w:bCs/>
          <w:noProof/>
          <w:sz w:val="18"/>
        </w:rPr>
        <w:t>2011</w:t>
      </w:r>
      <w:r w:rsidRPr="003A2630">
        <w:rPr>
          <w:rFonts w:ascii="Calibri" w:hAnsi="Calibri" w:cs="Calibri"/>
          <w:noProof/>
          <w:sz w:val="18"/>
        </w:rPr>
        <w:t xml:space="preserve">, </w:t>
      </w:r>
      <w:r w:rsidRPr="003A2630">
        <w:rPr>
          <w:rFonts w:ascii="Calibri" w:hAnsi="Calibri" w:cs="Calibri"/>
          <w:i/>
          <w:iCs/>
          <w:noProof/>
          <w:sz w:val="18"/>
        </w:rPr>
        <w:t>50</w:t>
      </w:r>
      <w:r w:rsidRPr="003A2630">
        <w:rPr>
          <w:rFonts w:ascii="Calibri" w:hAnsi="Calibri" w:cs="Calibri"/>
          <w:noProof/>
          <w:sz w:val="18"/>
        </w:rPr>
        <w:t>, 7088–7092.</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lastRenderedPageBreak/>
        <w:t xml:space="preserve">(30) </w:t>
      </w:r>
      <w:r w:rsidRPr="003A2630">
        <w:rPr>
          <w:rFonts w:ascii="Calibri" w:hAnsi="Calibri" w:cs="Calibri"/>
          <w:noProof/>
          <w:sz w:val="18"/>
        </w:rPr>
        <w:tab/>
        <w:t xml:space="preserve">Yu, K.; Yang, S.; He, H.; Sun, C.; Gu, C.; Ju, Y. </w:t>
      </w:r>
      <w:r w:rsidRPr="003A2630">
        <w:rPr>
          <w:rFonts w:ascii="Calibri" w:hAnsi="Calibri" w:cs="Calibri"/>
          <w:i/>
          <w:iCs/>
          <w:noProof/>
          <w:sz w:val="18"/>
        </w:rPr>
        <w:t>J. Phys. Chem. A</w:t>
      </w:r>
      <w:r w:rsidRPr="003A2630">
        <w:rPr>
          <w:rFonts w:ascii="Calibri" w:hAnsi="Calibri" w:cs="Calibri"/>
          <w:noProof/>
          <w:sz w:val="18"/>
        </w:rPr>
        <w:t xml:space="preserve"> </w:t>
      </w:r>
      <w:r w:rsidRPr="003A2630">
        <w:rPr>
          <w:rFonts w:ascii="Calibri" w:hAnsi="Calibri" w:cs="Calibri"/>
          <w:b/>
          <w:bCs/>
          <w:noProof/>
          <w:sz w:val="18"/>
        </w:rPr>
        <w:t>2009</w:t>
      </w:r>
      <w:r w:rsidRPr="003A2630">
        <w:rPr>
          <w:rFonts w:ascii="Calibri" w:hAnsi="Calibri" w:cs="Calibri"/>
          <w:noProof/>
          <w:sz w:val="18"/>
        </w:rPr>
        <w:t xml:space="preserve">, </w:t>
      </w:r>
      <w:r w:rsidRPr="003A2630">
        <w:rPr>
          <w:rFonts w:ascii="Calibri" w:hAnsi="Calibri" w:cs="Calibri"/>
          <w:i/>
          <w:iCs/>
          <w:noProof/>
          <w:sz w:val="18"/>
        </w:rPr>
        <w:t>113</w:t>
      </w:r>
      <w:r w:rsidRPr="003A2630">
        <w:rPr>
          <w:rFonts w:ascii="Calibri" w:hAnsi="Calibri" w:cs="Calibri"/>
          <w:noProof/>
          <w:sz w:val="18"/>
        </w:rPr>
        <w:t>, 10024–10032.</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(31) </w:t>
      </w:r>
      <w:r w:rsidRPr="003A2630">
        <w:rPr>
          <w:rFonts w:ascii="Calibri" w:hAnsi="Calibri" w:cs="Calibri"/>
          <w:noProof/>
          <w:sz w:val="18"/>
        </w:rPr>
        <w:tab/>
        <w:t xml:space="preserve">Langhammer, C.; Yuan, Z.; Zorić, I.; Kasemo, B. </w:t>
      </w:r>
      <w:r w:rsidRPr="003A2630">
        <w:rPr>
          <w:rFonts w:ascii="Calibri" w:hAnsi="Calibri" w:cs="Calibri"/>
          <w:i/>
          <w:iCs/>
          <w:noProof/>
          <w:sz w:val="18"/>
        </w:rPr>
        <w:t>Nano Lett.</w:t>
      </w:r>
      <w:r w:rsidRPr="003A2630">
        <w:rPr>
          <w:rFonts w:ascii="Calibri" w:hAnsi="Calibri" w:cs="Calibri"/>
          <w:noProof/>
          <w:sz w:val="18"/>
        </w:rPr>
        <w:t xml:space="preserve"> </w:t>
      </w:r>
      <w:r w:rsidRPr="003A2630">
        <w:rPr>
          <w:rFonts w:ascii="Calibri" w:hAnsi="Calibri" w:cs="Calibri"/>
          <w:b/>
          <w:bCs/>
          <w:noProof/>
          <w:sz w:val="18"/>
        </w:rPr>
        <w:t>2006</w:t>
      </w:r>
      <w:r w:rsidRPr="003A2630">
        <w:rPr>
          <w:rFonts w:ascii="Calibri" w:hAnsi="Calibri" w:cs="Calibri"/>
          <w:noProof/>
          <w:sz w:val="18"/>
        </w:rPr>
        <w:t xml:space="preserve">, </w:t>
      </w:r>
      <w:r w:rsidRPr="003A2630">
        <w:rPr>
          <w:rFonts w:ascii="Calibri" w:hAnsi="Calibri" w:cs="Calibri"/>
          <w:i/>
          <w:iCs/>
          <w:noProof/>
          <w:sz w:val="18"/>
        </w:rPr>
        <w:t>6</w:t>
      </w:r>
      <w:r w:rsidRPr="003A2630">
        <w:rPr>
          <w:rFonts w:ascii="Calibri" w:hAnsi="Calibri" w:cs="Calibri"/>
          <w:noProof/>
          <w:sz w:val="18"/>
        </w:rPr>
        <w:t>, 833–838.</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(32) </w:t>
      </w:r>
      <w:r w:rsidRPr="003A2630">
        <w:rPr>
          <w:rFonts w:ascii="Calibri" w:hAnsi="Calibri" w:cs="Calibri"/>
          <w:noProof/>
          <w:sz w:val="18"/>
        </w:rPr>
        <w:tab/>
        <w:t xml:space="preserve">Cui, Y.; Goldup, S. M.; Dunn, S. </w:t>
      </w:r>
      <w:r w:rsidRPr="003A2630">
        <w:rPr>
          <w:rFonts w:ascii="Calibri" w:hAnsi="Calibri" w:cs="Calibri"/>
          <w:i/>
          <w:iCs/>
          <w:noProof/>
          <w:sz w:val="18"/>
        </w:rPr>
        <w:t>RSC Adv.</w:t>
      </w:r>
      <w:r w:rsidRPr="003A2630">
        <w:rPr>
          <w:rFonts w:ascii="Calibri" w:hAnsi="Calibri" w:cs="Calibri"/>
          <w:noProof/>
          <w:sz w:val="18"/>
        </w:rPr>
        <w:t xml:space="preserve"> </w:t>
      </w:r>
      <w:r w:rsidRPr="003A2630">
        <w:rPr>
          <w:rFonts w:ascii="Calibri" w:hAnsi="Calibri" w:cs="Calibri"/>
          <w:b/>
          <w:bCs/>
          <w:noProof/>
          <w:sz w:val="18"/>
        </w:rPr>
        <w:t>2015</w:t>
      </w:r>
      <w:r w:rsidRPr="003A2630">
        <w:rPr>
          <w:rFonts w:ascii="Calibri" w:hAnsi="Calibri" w:cs="Calibri"/>
          <w:noProof/>
          <w:sz w:val="18"/>
        </w:rPr>
        <w:t xml:space="preserve">, </w:t>
      </w:r>
      <w:r w:rsidRPr="003A2630">
        <w:rPr>
          <w:rFonts w:ascii="Calibri" w:hAnsi="Calibri" w:cs="Calibri"/>
          <w:i/>
          <w:iCs/>
          <w:noProof/>
          <w:sz w:val="18"/>
        </w:rPr>
        <w:t>5</w:t>
      </w:r>
      <w:r w:rsidRPr="003A2630">
        <w:rPr>
          <w:rFonts w:ascii="Calibri" w:hAnsi="Calibri" w:cs="Calibri"/>
          <w:noProof/>
          <w:sz w:val="18"/>
        </w:rPr>
        <w:t>, 30372–30379.</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(33) </w:t>
      </w:r>
      <w:r w:rsidRPr="003A2630">
        <w:rPr>
          <w:rFonts w:ascii="Calibri" w:hAnsi="Calibri" w:cs="Calibri"/>
          <w:noProof/>
          <w:sz w:val="18"/>
        </w:rPr>
        <w:tab/>
        <w:t xml:space="preserve">Li, J.; Ma, W.; Chen, C.; Zhao, J.; Zhu, H.; Gao, X. </w:t>
      </w:r>
      <w:r w:rsidRPr="003A2630">
        <w:rPr>
          <w:rFonts w:ascii="Calibri" w:hAnsi="Calibri" w:cs="Calibri"/>
          <w:i/>
          <w:iCs/>
          <w:noProof/>
          <w:sz w:val="18"/>
        </w:rPr>
        <w:t>J. Mol. Catal. A Chem.</w:t>
      </w:r>
      <w:r w:rsidRPr="003A2630">
        <w:rPr>
          <w:rFonts w:ascii="Calibri" w:hAnsi="Calibri" w:cs="Calibri"/>
          <w:noProof/>
          <w:sz w:val="18"/>
        </w:rPr>
        <w:t xml:space="preserve"> </w:t>
      </w:r>
      <w:r w:rsidRPr="003A2630">
        <w:rPr>
          <w:rFonts w:ascii="Calibri" w:hAnsi="Calibri" w:cs="Calibri"/>
          <w:b/>
          <w:bCs/>
          <w:noProof/>
          <w:sz w:val="18"/>
        </w:rPr>
        <w:t>2007</w:t>
      </w:r>
      <w:r w:rsidRPr="003A2630">
        <w:rPr>
          <w:rFonts w:ascii="Calibri" w:hAnsi="Calibri" w:cs="Calibri"/>
          <w:noProof/>
          <w:sz w:val="18"/>
        </w:rPr>
        <w:t xml:space="preserve">, </w:t>
      </w:r>
      <w:r w:rsidRPr="003A2630">
        <w:rPr>
          <w:rFonts w:ascii="Calibri" w:hAnsi="Calibri" w:cs="Calibri"/>
          <w:i/>
          <w:iCs/>
          <w:noProof/>
          <w:sz w:val="18"/>
        </w:rPr>
        <w:t>261</w:t>
      </w:r>
      <w:r w:rsidRPr="003A2630">
        <w:rPr>
          <w:rFonts w:ascii="Calibri" w:hAnsi="Calibri" w:cs="Calibri"/>
          <w:noProof/>
          <w:sz w:val="18"/>
        </w:rPr>
        <w:t>, 131–138.</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(34) </w:t>
      </w:r>
      <w:r w:rsidRPr="003A2630">
        <w:rPr>
          <w:rFonts w:ascii="Calibri" w:hAnsi="Calibri" w:cs="Calibri"/>
          <w:noProof/>
          <w:sz w:val="18"/>
        </w:rPr>
        <w:tab/>
        <w:t xml:space="preserve">LI, J.; MA, W.; LEI, P.; ZHAO, J. </w:t>
      </w:r>
      <w:r w:rsidRPr="003A2630">
        <w:rPr>
          <w:rFonts w:ascii="Calibri" w:hAnsi="Calibri" w:cs="Calibri"/>
          <w:i/>
          <w:iCs/>
          <w:noProof/>
          <w:sz w:val="18"/>
        </w:rPr>
        <w:t>J. Environ. Sci.</w:t>
      </w:r>
      <w:r w:rsidRPr="003A2630">
        <w:rPr>
          <w:rFonts w:ascii="Calibri" w:hAnsi="Calibri" w:cs="Calibri"/>
          <w:noProof/>
          <w:sz w:val="18"/>
        </w:rPr>
        <w:t xml:space="preserve"> </w:t>
      </w:r>
      <w:r w:rsidRPr="003A2630">
        <w:rPr>
          <w:rFonts w:ascii="Calibri" w:hAnsi="Calibri" w:cs="Calibri"/>
          <w:b/>
          <w:bCs/>
          <w:noProof/>
          <w:sz w:val="18"/>
        </w:rPr>
        <w:t>2007</w:t>
      </w:r>
      <w:r w:rsidRPr="003A2630">
        <w:rPr>
          <w:rFonts w:ascii="Calibri" w:hAnsi="Calibri" w:cs="Calibri"/>
          <w:noProof/>
          <w:sz w:val="18"/>
        </w:rPr>
        <w:t xml:space="preserve">, </w:t>
      </w:r>
      <w:r w:rsidRPr="003A2630">
        <w:rPr>
          <w:rFonts w:ascii="Calibri" w:hAnsi="Calibri" w:cs="Calibri"/>
          <w:i/>
          <w:iCs/>
          <w:noProof/>
          <w:sz w:val="18"/>
        </w:rPr>
        <w:t>19</w:t>
      </w:r>
      <w:r w:rsidRPr="003A2630">
        <w:rPr>
          <w:rFonts w:ascii="Calibri" w:hAnsi="Calibri" w:cs="Calibri"/>
          <w:noProof/>
          <w:sz w:val="18"/>
        </w:rPr>
        <w:t>, 892–896.</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(35) </w:t>
      </w:r>
      <w:r w:rsidRPr="003A2630">
        <w:rPr>
          <w:rFonts w:ascii="Calibri" w:hAnsi="Calibri" w:cs="Calibri"/>
          <w:noProof/>
          <w:sz w:val="18"/>
        </w:rPr>
        <w:tab/>
        <w:t xml:space="preserve">Sá, J.; Tagliabue, G.; Friedli, P.; Szlachetko, J.; Rittmann-Frank, M. H.; Santomauro, F. G.; Milne, C. J.; Sigg, H. </w:t>
      </w:r>
      <w:r w:rsidRPr="003A2630">
        <w:rPr>
          <w:rFonts w:ascii="Calibri" w:hAnsi="Calibri" w:cs="Calibri"/>
          <w:i/>
          <w:iCs/>
          <w:noProof/>
          <w:sz w:val="18"/>
        </w:rPr>
        <w:t>Energy Environ. Sci.</w:t>
      </w:r>
      <w:r w:rsidRPr="003A2630">
        <w:rPr>
          <w:rFonts w:ascii="Calibri" w:hAnsi="Calibri" w:cs="Calibri"/>
          <w:noProof/>
          <w:sz w:val="18"/>
        </w:rPr>
        <w:t xml:space="preserve"> </w:t>
      </w:r>
      <w:r w:rsidRPr="003A2630">
        <w:rPr>
          <w:rFonts w:ascii="Calibri" w:hAnsi="Calibri" w:cs="Calibri"/>
          <w:b/>
          <w:bCs/>
          <w:noProof/>
          <w:sz w:val="18"/>
        </w:rPr>
        <w:t>2013</w:t>
      </w:r>
      <w:r w:rsidRPr="003A2630">
        <w:rPr>
          <w:rFonts w:ascii="Calibri" w:hAnsi="Calibri" w:cs="Calibri"/>
          <w:noProof/>
          <w:sz w:val="18"/>
        </w:rPr>
        <w:t xml:space="preserve">, </w:t>
      </w:r>
      <w:r w:rsidRPr="003A2630">
        <w:rPr>
          <w:rFonts w:ascii="Calibri" w:hAnsi="Calibri" w:cs="Calibri"/>
          <w:i/>
          <w:iCs/>
          <w:noProof/>
          <w:sz w:val="18"/>
        </w:rPr>
        <w:t>6</w:t>
      </w:r>
      <w:r w:rsidRPr="003A2630">
        <w:rPr>
          <w:rFonts w:ascii="Calibri" w:hAnsi="Calibri" w:cs="Calibri"/>
          <w:noProof/>
          <w:sz w:val="18"/>
        </w:rPr>
        <w:t>, 3584–3588.</w:t>
      </w:r>
    </w:p>
    <w:p w:rsidR="003A2630" w:rsidRPr="003A2630" w:rsidRDefault="003A2630">
      <w:pPr>
        <w:pStyle w:val="NormalWeb"/>
        <w:ind w:left="640" w:hanging="640"/>
        <w:divId w:val="596014383"/>
        <w:rPr>
          <w:rFonts w:ascii="Calibri" w:hAnsi="Calibri" w:cs="Calibri"/>
          <w:noProof/>
          <w:sz w:val="18"/>
        </w:rPr>
      </w:pPr>
      <w:r w:rsidRPr="003A2630">
        <w:rPr>
          <w:rFonts w:ascii="Calibri" w:hAnsi="Calibri" w:cs="Calibri"/>
          <w:noProof/>
          <w:sz w:val="18"/>
        </w:rPr>
        <w:t xml:space="preserve">(36) </w:t>
      </w:r>
      <w:r w:rsidRPr="003A2630">
        <w:rPr>
          <w:rFonts w:ascii="Calibri" w:hAnsi="Calibri" w:cs="Calibri"/>
          <w:noProof/>
          <w:sz w:val="18"/>
        </w:rPr>
        <w:tab/>
        <w:t xml:space="preserve">Clavero, C. </w:t>
      </w:r>
      <w:r w:rsidRPr="003A2630">
        <w:rPr>
          <w:rFonts w:ascii="Calibri" w:hAnsi="Calibri" w:cs="Calibri"/>
          <w:i/>
          <w:iCs/>
          <w:noProof/>
          <w:sz w:val="18"/>
        </w:rPr>
        <w:t>Nat. Photonics</w:t>
      </w:r>
      <w:r w:rsidRPr="003A2630">
        <w:rPr>
          <w:rFonts w:ascii="Calibri" w:hAnsi="Calibri" w:cs="Calibri"/>
          <w:noProof/>
          <w:sz w:val="18"/>
        </w:rPr>
        <w:t xml:space="preserve"> </w:t>
      </w:r>
      <w:r w:rsidRPr="003A2630">
        <w:rPr>
          <w:rFonts w:ascii="Calibri" w:hAnsi="Calibri" w:cs="Calibri"/>
          <w:b/>
          <w:bCs/>
          <w:noProof/>
          <w:sz w:val="18"/>
        </w:rPr>
        <w:t>2014</w:t>
      </w:r>
      <w:r w:rsidRPr="003A2630">
        <w:rPr>
          <w:rFonts w:ascii="Calibri" w:hAnsi="Calibri" w:cs="Calibri"/>
          <w:noProof/>
          <w:sz w:val="18"/>
        </w:rPr>
        <w:t xml:space="preserve">, </w:t>
      </w:r>
      <w:r w:rsidRPr="003A2630">
        <w:rPr>
          <w:rFonts w:ascii="Calibri" w:hAnsi="Calibri" w:cs="Calibri"/>
          <w:i/>
          <w:iCs/>
          <w:noProof/>
          <w:sz w:val="18"/>
        </w:rPr>
        <w:t>8</w:t>
      </w:r>
      <w:r w:rsidRPr="003A2630">
        <w:rPr>
          <w:rFonts w:ascii="Calibri" w:hAnsi="Calibri" w:cs="Calibri"/>
          <w:noProof/>
          <w:sz w:val="18"/>
        </w:rPr>
        <w:t xml:space="preserve">, 95–103. </w:t>
      </w:r>
    </w:p>
    <w:p w:rsidR="000D3D6E" w:rsidRPr="00241ACD" w:rsidRDefault="000D3D6E" w:rsidP="003A2630">
      <w:pPr>
        <w:pStyle w:val="NormalWeb"/>
        <w:ind w:left="640" w:hanging="640"/>
        <w:divId w:val="1964457435"/>
      </w:pPr>
      <w:r w:rsidRPr="00E05FF9">
        <w:fldChar w:fldCharType="end"/>
      </w:r>
    </w:p>
    <w:sectPr w:rsidR="000D3D6E"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153" w:rsidRDefault="00FB2153" w:rsidP="00E547DB">
      <w:pPr>
        <w:spacing w:after="0" w:line="240" w:lineRule="auto"/>
      </w:pPr>
      <w:r>
        <w:separator/>
      </w:r>
    </w:p>
    <w:p w:rsidR="00FB2153" w:rsidRDefault="00FB2153"/>
    <w:p w:rsidR="00FB2153" w:rsidRDefault="00FB2153"/>
    <w:p w:rsidR="00FB2153" w:rsidRDefault="00FB2153"/>
    <w:p w:rsidR="00FB2153" w:rsidRDefault="00FB2153"/>
    <w:p w:rsidR="00FB2153" w:rsidRDefault="00FB2153"/>
  </w:endnote>
  <w:endnote w:type="continuationSeparator" w:id="0">
    <w:p w:rsidR="00FB2153" w:rsidRDefault="00FB2153" w:rsidP="00E547DB">
      <w:pPr>
        <w:spacing w:after="0" w:line="240" w:lineRule="auto"/>
      </w:pPr>
      <w:r>
        <w:continuationSeparator/>
      </w:r>
    </w:p>
    <w:p w:rsidR="00FB2153" w:rsidRDefault="00FB2153"/>
    <w:p w:rsidR="00FB2153" w:rsidRDefault="00FB2153"/>
    <w:p w:rsidR="00FB2153" w:rsidRDefault="00FB2153"/>
    <w:p w:rsidR="00FB2153" w:rsidRDefault="00FB2153"/>
    <w:p w:rsidR="00FB2153" w:rsidRDefault="00FB21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93583B1-4F4D-4FAE-9B4A-7B45FFD1085E}"/>
    <w:embedBold r:id="rId2" w:fontKey="{1FA1B51C-7238-46EA-B7C0-5BA5AA2046CF}"/>
    <w:embedItalic r:id="rId3" w:fontKey="{FE9BE048-F28D-4312-955E-8F489583A0D3}"/>
  </w:font>
  <w:font w:name="Cambria">
    <w:panose1 w:val="02040503050406030204"/>
    <w:charset w:val="00"/>
    <w:family w:val="roman"/>
    <w:pitch w:val="variable"/>
    <w:sig w:usb0="E00002FF" w:usb1="400004FF" w:usb2="00000000" w:usb3="00000000" w:csb0="0000019F" w:csb1="00000000"/>
    <w:embedRegular r:id="rId4" w:fontKey="{2B8FA74C-8FC8-453B-BB40-07F92F1B2E7B}"/>
    <w:embedBold r:id="rId5" w:fontKey="{BC24B3D5-DDE0-45EA-BE30-B7C8F5C1B62D}"/>
  </w:font>
  <w:font w:name="Tahoma">
    <w:panose1 w:val="020B0604030504040204"/>
    <w:charset w:val="00"/>
    <w:family w:val="swiss"/>
    <w:pitch w:val="variable"/>
    <w:sig w:usb0="E1002EFF" w:usb1="C000605B" w:usb2="00000029" w:usb3="00000000" w:csb0="000101FF" w:csb1="00000000"/>
    <w:embedRegular r:id="rId6" w:fontKey="{06449108-04D5-4629-B5E4-78C967AC9C79}"/>
  </w:font>
  <w:font w:name="Arno Pro">
    <w:altName w:val="Constantia"/>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B46FBC">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46FBC">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800F323" wp14:editId="177C6135">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00F32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B46FBC">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153" w:rsidRDefault="00FB2153" w:rsidP="00E547DB">
      <w:pPr>
        <w:spacing w:after="0" w:line="240" w:lineRule="auto"/>
      </w:pPr>
      <w:r>
        <w:separator/>
      </w:r>
    </w:p>
    <w:p w:rsidR="00FB2153" w:rsidRDefault="00FB2153"/>
    <w:p w:rsidR="00FB2153" w:rsidRDefault="00FB2153"/>
    <w:p w:rsidR="00FB2153" w:rsidRDefault="00FB2153"/>
    <w:p w:rsidR="00FB2153" w:rsidRDefault="00FB2153"/>
    <w:p w:rsidR="00FB2153" w:rsidRDefault="00FB2153"/>
  </w:footnote>
  <w:footnote w:type="continuationSeparator" w:id="0">
    <w:p w:rsidR="00FB2153" w:rsidRDefault="00FB2153" w:rsidP="00E547DB">
      <w:pPr>
        <w:spacing w:after="0" w:line="240" w:lineRule="auto"/>
      </w:pPr>
      <w:r>
        <w:continuationSeparator/>
      </w:r>
    </w:p>
    <w:p w:rsidR="00FB2153" w:rsidRDefault="00FB2153"/>
    <w:p w:rsidR="00FB2153" w:rsidRDefault="00FB2153"/>
    <w:p w:rsidR="00FB2153" w:rsidRDefault="00FB2153"/>
    <w:p w:rsidR="00FB2153" w:rsidRDefault="00FB2153"/>
    <w:p w:rsidR="00FB2153" w:rsidRDefault="00FB215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5FD6033F" wp14:editId="30476074">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D6033F"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3D4C1071" wp14:editId="2A1F91C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4C1071"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82820CA" wp14:editId="567EA047">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82820CA"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2D794CA" wp14:editId="3373F0C9">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D794CA"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3F0EA73" wp14:editId="1C5EF71A">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F0EA73"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2F11AA">
      <w:rPr>
        <w:b/>
        <w:sz w:val="32"/>
        <w:szCs w:val="32"/>
      </w:rPr>
      <w:t>Journal Name</w:t>
    </w:r>
    <w:r w:rsidR="00180ABE">
      <w:rPr>
        <w:b/>
        <w:sz w:val="32"/>
        <w:szCs w:val="32"/>
      </w:rPr>
      <w:tab/>
    </w:r>
    <w:r w:rsidR="00180ABE">
      <w:rPr>
        <w:b/>
        <w:noProof/>
        <w:sz w:val="32"/>
        <w:szCs w:val="32"/>
        <w:lang w:eastAsia="en-GB"/>
      </w:rPr>
      <w:drawing>
        <wp:inline distT="0" distB="0" distL="0" distR="0" wp14:anchorId="765629AF" wp14:editId="628A218C">
          <wp:extent cx="972312" cy="6492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SortMethod w:val="0000"/>
  <w:defaultTabStop w:val="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506"/>
    <w:rsid w:val="00005B8A"/>
    <w:rsid w:val="00022D8A"/>
    <w:rsid w:val="000622D1"/>
    <w:rsid w:val="00071E41"/>
    <w:rsid w:val="00073639"/>
    <w:rsid w:val="00075106"/>
    <w:rsid w:val="00077200"/>
    <w:rsid w:val="00085AAF"/>
    <w:rsid w:val="000A2670"/>
    <w:rsid w:val="000C0A9D"/>
    <w:rsid w:val="000D2FAC"/>
    <w:rsid w:val="000D3D6E"/>
    <w:rsid w:val="000D5891"/>
    <w:rsid w:val="000D6963"/>
    <w:rsid w:val="000E7A32"/>
    <w:rsid w:val="000F0959"/>
    <w:rsid w:val="000F3A41"/>
    <w:rsid w:val="00120227"/>
    <w:rsid w:val="001211D0"/>
    <w:rsid w:val="00126027"/>
    <w:rsid w:val="001361FD"/>
    <w:rsid w:val="00141A00"/>
    <w:rsid w:val="001508E9"/>
    <w:rsid w:val="001633D9"/>
    <w:rsid w:val="00180ABE"/>
    <w:rsid w:val="001923AB"/>
    <w:rsid w:val="001A332C"/>
    <w:rsid w:val="001B576F"/>
    <w:rsid w:val="001C1EB8"/>
    <w:rsid w:val="001E5275"/>
    <w:rsid w:val="00206A82"/>
    <w:rsid w:val="002071A0"/>
    <w:rsid w:val="002253AE"/>
    <w:rsid w:val="00237C8A"/>
    <w:rsid w:val="00241ACD"/>
    <w:rsid w:val="00243D3C"/>
    <w:rsid w:val="00253551"/>
    <w:rsid w:val="00270DD5"/>
    <w:rsid w:val="00271235"/>
    <w:rsid w:val="00272D6F"/>
    <w:rsid w:val="00284311"/>
    <w:rsid w:val="002A5421"/>
    <w:rsid w:val="002B1523"/>
    <w:rsid w:val="002C0803"/>
    <w:rsid w:val="002C0CD8"/>
    <w:rsid w:val="002C3D7C"/>
    <w:rsid w:val="002E5B1D"/>
    <w:rsid w:val="002F11AA"/>
    <w:rsid w:val="002F52C3"/>
    <w:rsid w:val="00345DB9"/>
    <w:rsid w:val="00352AA4"/>
    <w:rsid w:val="00354579"/>
    <w:rsid w:val="00356F00"/>
    <w:rsid w:val="003576A5"/>
    <w:rsid w:val="00377481"/>
    <w:rsid w:val="003A2630"/>
    <w:rsid w:val="003A7E95"/>
    <w:rsid w:val="003B739C"/>
    <w:rsid w:val="003C6313"/>
    <w:rsid w:val="003D4ECA"/>
    <w:rsid w:val="003E55B2"/>
    <w:rsid w:val="0043180D"/>
    <w:rsid w:val="004414A5"/>
    <w:rsid w:val="0044700B"/>
    <w:rsid w:val="00456785"/>
    <w:rsid w:val="00460899"/>
    <w:rsid w:val="00467C80"/>
    <w:rsid w:val="00474052"/>
    <w:rsid w:val="00476017"/>
    <w:rsid w:val="004877C8"/>
    <w:rsid w:val="004901D3"/>
    <w:rsid w:val="004B5EA4"/>
    <w:rsid w:val="004C531E"/>
    <w:rsid w:val="004C6C90"/>
    <w:rsid w:val="004E6D24"/>
    <w:rsid w:val="004F262D"/>
    <w:rsid w:val="00500A03"/>
    <w:rsid w:val="005037CD"/>
    <w:rsid w:val="00504795"/>
    <w:rsid w:val="00514CBA"/>
    <w:rsid w:val="0052630A"/>
    <w:rsid w:val="0053177A"/>
    <w:rsid w:val="00533EA1"/>
    <w:rsid w:val="005771C3"/>
    <w:rsid w:val="00577B54"/>
    <w:rsid w:val="00590F6D"/>
    <w:rsid w:val="005A5ED7"/>
    <w:rsid w:val="005C1A41"/>
    <w:rsid w:val="005C4565"/>
    <w:rsid w:val="005C6E10"/>
    <w:rsid w:val="005D5121"/>
    <w:rsid w:val="005E05CD"/>
    <w:rsid w:val="005E2BCA"/>
    <w:rsid w:val="005E34BE"/>
    <w:rsid w:val="006071E1"/>
    <w:rsid w:val="00613D93"/>
    <w:rsid w:val="00641030"/>
    <w:rsid w:val="00645D52"/>
    <w:rsid w:val="0065133B"/>
    <w:rsid w:val="006602F1"/>
    <w:rsid w:val="00670ED4"/>
    <w:rsid w:val="00672928"/>
    <w:rsid w:val="006A69C8"/>
    <w:rsid w:val="006B426B"/>
    <w:rsid w:val="006D6163"/>
    <w:rsid w:val="006E58B1"/>
    <w:rsid w:val="006F01C4"/>
    <w:rsid w:val="006F487B"/>
    <w:rsid w:val="006F740B"/>
    <w:rsid w:val="00744A41"/>
    <w:rsid w:val="007662A6"/>
    <w:rsid w:val="00780A41"/>
    <w:rsid w:val="00794787"/>
    <w:rsid w:val="007A02ED"/>
    <w:rsid w:val="007A21A7"/>
    <w:rsid w:val="007A37D8"/>
    <w:rsid w:val="007C3D03"/>
    <w:rsid w:val="007D1EFA"/>
    <w:rsid w:val="007D5FE4"/>
    <w:rsid w:val="00831D96"/>
    <w:rsid w:val="008560DE"/>
    <w:rsid w:val="008570A2"/>
    <w:rsid w:val="00875BD8"/>
    <w:rsid w:val="0088525A"/>
    <w:rsid w:val="00885A3F"/>
    <w:rsid w:val="008A0D60"/>
    <w:rsid w:val="008C1387"/>
    <w:rsid w:val="008C682F"/>
    <w:rsid w:val="008E509B"/>
    <w:rsid w:val="008F139B"/>
    <w:rsid w:val="008F4811"/>
    <w:rsid w:val="008F525A"/>
    <w:rsid w:val="009026D4"/>
    <w:rsid w:val="0092763E"/>
    <w:rsid w:val="009316A6"/>
    <w:rsid w:val="00936114"/>
    <w:rsid w:val="009400E9"/>
    <w:rsid w:val="00946830"/>
    <w:rsid w:val="009563B0"/>
    <w:rsid w:val="00962779"/>
    <w:rsid w:val="009654EC"/>
    <w:rsid w:val="009839E1"/>
    <w:rsid w:val="00983B6E"/>
    <w:rsid w:val="00986AEB"/>
    <w:rsid w:val="009918D9"/>
    <w:rsid w:val="009A392D"/>
    <w:rsid w:val="009A721D"/>
    <w:rsid w:val="009C3F0B"/>
    <w:rsid w:val="009D17C3"/>
    <w:rsid w:val="009D47C2"/>
    <w:rsid w:val="009E51F8"/>
    <w:rsid w:val="009F2649"/>
    <w:rsid w:val="00A074D7"/>
    <w:rsid w:val="00A16A99"/>
    <w:rsid w:val="00A17D23"/>
    <w:rsid w:val="00A208E1"/>
    <w:rsid w:val="00A521AB"/>
    <w:rsid w:val="00A55D6B"/>
    <w:rsid w:val="00A56CD0"/>
    <w:rsid w:val="00A61D3E"/>
    <w:rsid w:val="00A7199F"/>
    <w:rsid w:val="00A7643E"/>
    <w:rsid w:val="00A82A69"/>
    <w:rsid w:val="00A9649E"/>
    <w:rsid w:val="00AA1341"/>
    <w:rsid w:val="00AB16D0"/>
    <w:rsid w:val="00AB2C1B"/>
    <w:rsid w:val="00AC3BF2"/>
    <w:rsid w:val="00AD5483"/>
    <w:rsid w:val="00AD61C9"/>
    <w:rsid w:val="00AF0249"/>
    <w:rsid w:val="00AF150F"/>
    <w:rsid w:val="00AF4737"/>
    <w:rsid w:val="00B0470A"/>
    <w:rsid w:val="00B2364D"/>
    <w:rsid w:val="00B34641"/>
    <w:rsid w:val="00B46FBC"/>
    <w:rsid w:val="00B53582"/>
    <w:rsid w:val="00B6239D"/>
    <w:rsid w:val="00B67630"/>
    <w:rsid w:val="00B722DE"/>
    <w:rsid w:val="00B80DDB"/>
    <w:rsid w:val="00B81EE1"/>
    <w:rsid w:val="00B91A83"/>
    <w:rsid w:val="00B97A1E"/>
    <w:rsid w:val="00BA761E"/>
    <w:rsid w:val="00BB17C6"/>
    <w:rsid w:val="00BB3FBE"/>
    <w:rsid w:val="00BC603D"/>
    <w:rsid w:val="00C02DE8"/>
    <w:rsid w:val="00C3016F"/>
    <w:rsid w:val="00C31922"/>
    <w:rsid w:val="00C32EDF"/>
    <w:rsid w:val="00C405FD"/>
    <w:rsid w:val="00C42573"/>
    <w:rsid w:val="00C5024A"/>
    <w:rsid w:val="00C57107"/>
    <w:rsid w:val="00C62C2D"/>
    <w:rsid w:val="00C676C2"/>
    <w:rsid w:val="00C9227C"/>
    <w:rsid w:val="00CA2740"/>
    <w:rsid w:val="00CA4761"/>
    <w:rsid w:val="00CB3377"/>
    <w:rsid w:val="00CC12E6"/>
    <w:rsid w:val="00CC2E25"/>
    <w:rsid w:val="00CC7C64"/>
    <w:rsid w:val="00CD0B47"/>
    <w:rsid w:val="00D010E8"/>
    <w:rsid w:val="00D02C04"/>
    <w:rsid w:val="00D12506"/>
    <w:rsid w:val="00D138E8"/>
    <w:rsid w:val="00D208BA"/>
    <w:rsid w:val="00D21668"/>
    <w:rsid w:val="00D216BC"/>
    <w:rsid w:val="00D273FA"/>
    <w:rsid w:val="00D406BB"/>
    <w:rsid w:val="00D42F8F"/>
    <w:rsid w:val="00D45ADF"/>
    <w:rsid w:val="00D60E96"/>
    <w:rsid w:val="00D64AAE"/>
    <w:rsid w:val="00DA07F1"/>
    <w:rsid w:val="00DD06F4"/>
    <w:rsid w:val="00DD500F"/>
    <w:rsid w:val="00DF53E4"/>
    <w:rsid w:val="00E05FF9"/>
    <w:rsid w:val="00E2136E"/>
    <w:rsid w:val="00E25AF8"/>
    <w:rsid w:val="00E31A6A"/>
    <w:rsid w:val="00E46BDF"/>
    <w:rsid w:val="00E547DB"/>
    <w:rsid w:val="00E555BF"/>
    <w:rsid w:val="00E61949"/>
    <w:rsid w:val="00E70DCE"/>
    <w:rsid w:val="00E73899"/>
    <w:rsid w:val="00E869A9"/>
    <w:rsid w:val="00EA446A"/>
    <w:rsid w:val="00EA7DC1"/>
    <w:rsid w:val="00EB5BA2"/>
    <w:rsid w:val="00EB5C28"/>
    <w:rsid w:val="00ED40BF"/>
    <w:rsid w:val="00EF0D19"/>
    <w:rsid w:val="00EF1577"/>
    <w:rsid w:val="00EF6BD4"/>
    <w:rsid w:val="00EF7462"/>
    <w:rsid w:val="00F02296"/>
    <w:rsid w:val="00F049E9"/>
    <w:rsid w:val="00F15F90"/>
    <w:rsid w:val="00F21465"/>
    <w:rsid w:val="00F6065C"/>
    <w:rsid w:val="00F61EB1"/>
    <w:rsid w:val="00F62C8B"/>
    <w:rsid w:val="00F741BF"/>
    <w:rsid w:val="00F802D4"/>
    <w:rsid w:val="00F83B66"/>
    <w:rsid w:val="00F91982"/>
    <w:rsid w:val="00FA311A"/>
    <w:rsid w:val="00FA3AA2"/>
    <w:rsid w:val="00FB2153"/>
    <w:rsid w:val="00FC1AAD"/>
    <w:rsid w:val="00FD0F6D"/>
    <w:rsid w:val="00FE0512"/>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E1388B-AE04-47EE-A33A-E4A80BBE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paragraph" w:styleId="Heading1">
    <w:name w:val="heading 1"/>
    <w:basedOn w:val="Normal"/>
    <w:next w:val="Normal"/>
    <w:link w:val="Heading1Char"/>
    <w:uiPriority w:val="9"/>
    <w:qFormat/>
    <w:rsid w:val="00085AAF"/>
    <w:pPr>
      <w:keepNext/>
      <w:keepLines/>
      <w:spacing w:before="480" w:after="0"/>
      <w:jc w:val="both"/>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AF4737"/>
    <w:pPr>
      <w:spacing w:line="240" w:lineRule="exact"/>
      <w:jc w:val="both"/>
    </w:pPr>
    <w:rPr>
      <w:b/>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C405FD"/>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2E5B1D"/>
    <w:pPr>
      <w:pBdr>
        <w:top w:val="single" w:sz="12" w:space="5" w:color="999999"/>
      </w:pBdr>
      <w:spacing w:before="120" w:after="40" w:line="240" w:lineRule="auto"/>
      <w:jc w:val="center"/>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241ACD"/>
    <w:pPr>
      <w:tabs>
        <w:tab w:val="left" w:pos="284"/>
      </w:tabs>
      <w:spacing w:after="0" w:line="240" w:lineRule="auto"/>
      <w:suppressOverlap/>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C405FD"/>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241ACD"/>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AF4737"/>
    <w:rPr>
      <w:b/>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2E5B1D"/>
    <w:pPr>
      <w:keepNext/>
      <w:keepLines/>
      <w:pBdr>
        <w:top w:val="single" w:sz="12" w:space="1" w:color="999999"/>
        <w:bottom w:val="single" w:sz="6" w:space="1" w:color="auto"/>
      </w:pBdr>
      <w:spacing w:before="120" w:after="120" w:line="200" w:lineRule="exact"/>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2E5B1D"/>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2E5B1D"/>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2E5B1D"/>
    <w:pPr>
      <w:keepLines/>
      <w:pBdr>
        <w:bottom w:val="single" w:sz="12" w:space="1" w:color="999999"/>
      </w:pBdr>
      <w:spacing w:before="120" w:after="160" w:line="200" w:lineRule="exact"/>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2E5B1D"/>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C531E"/>
    <w:pPr>
      <w:spacing w:line="200" w:lineRule="exact"/>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C531E"/>
    <w:pPr>
      <w:spacing w:line="200" w:lineRule="exact"/>
    </w:pPr>
    <w:rPr>
      <w:bCs/>
      <w:sz w:val="18"/>
      <w:szCs w:val="18"/>
    </w:rPr>
  </w:style>
  <w:style w:type="character" w:customStyle="1" w:styleId="RSCI04CaptiontoFigureSchemeChartChar">
    <w:name w:val="RSC I04 Caption to Figure/Scheme/Chart Char"/>
    <w:basedOn w:val="DefaultParagraphFont"/>
    <w:link w:val="RSCI04CaptiontoFigureSchemeChart"/>
    <w:rsid w:val="004C531E"/>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C531E"/>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7A37D8"/>
    <w:pPr>
      <w:pBdr>
        <w:bottom w:val="single" w:sz="12" w:space="1" w:color="A6A6A6" w:themeColor="background1" w:themeShade="A6"/>
      </w:pBdr>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7A37D8"/>
    <w:rPr>
      <w:bCs/>
      <w:sz w:val="14"/>
      <w:szCs w:val="18"/>
    </w:rPr>
  </w:style>
  <w:style w:type="character" w:customStyle="1" w:styleId="Heading1Char">
    <w:name w:val="Heading 1 Char"/>
    <w:basedOn w:val="DefaultParagraphFont"/>
    <w:link w:val="Heading1"/>
    <w:uiPriority w:val="9"/>
    <w:rsid w:val="00085AAF"/>
    <w:rPr>
      <w:rFonts w:asciiTheme="majorHAnsi" w:eastAsiaTheme="majorEastAsia" w:hAnsiTheme="majorHAnsi" w:cstheme="majorBidi"/>
      <w:b/>
      <w:bCs/>
      <w:color w:val="365F91" w:themeColor="accent1" w:themeShade="BF"/>
      <w:sz w:val="28"/>
      <w:szCs w:val="28"/>
    </w:rPr>
  </w:style>
  <w:style w:type="paragraph" w:customStyle="1" w:styleId="TAMainText">
    <w:name w:val="TA_Main_Text"/>
    <w:basedOn w:val="Normal"/>
    <w:autoRedefine/>
    <w:rsid w:val="00085AAF"/>
    <w:pPr>
      <w:spacing w:after="60" w:line="240" w:lineRule="auto"/>
      <w:jc w:val="both"/>
    </w:pPr>
    <w:rPr>
      <w:rFonts w:ascii="Arno Pro" w:eastAsia="Times New Roman" w:hAnsi="Arno Pro" w:cs="Times New Roman"/>
      <w:kern w:val="21"/>
      <w:sz w:val="19"/>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66201088">
      <w:bodyDiv w:val="1"/>
      <w:marLeft w:val="0"/>
      <w:marRight w:val="0"/>
      <w:marTop w:val="0"/>
      <w:marBottom w:val="0"/>
      <w:divBdr>
        <w:top w:val="none" w:sz="0" w:space="0" w:color="auto"/>
        <w:left w:val="none" w:sz="0" w:space="0" w:color="auto"/>
        <w:bottom w:val="none" w:sz="0" w:space="0" w:color="auto"/>
        <w:right w:val="none" w:sz="0" w:space="0" w:color="auto"/>
      </w:divBdr>
      <w:divsChild>
        <w:div w:id="488400458">
          <w:marLeft w:val="0"/>
          <w:marRight w:val="0"/>
          <w:marTop w:val="0"/>
          <w:marBottom w:val="0"/>
          <w:divBdr>
            <w:top w:val="none" w:sz="0" w:space="0" w:color="auto"/>
            <w:left w:val="none" w:sz="0" w:space="0" w:color="auto"/>
            <w:bottom w:val="none" w:sz="0" w:space="0" w:color="auto"/>
            <w:right w:val="none" w:sz="0" w:space="0" w:color="auto"/>
          </w:divBdr>
          <w:divsChild>
            <w:div w:id="1681350396">
              <w:marLeft w:val="0"/>
              <w:marRight w:val="0"/>
              <w:marTop w:val="0"/>
              <w:marBottom w:val="0"/>
              <w:divBdr>
                <w:top w:val="none" w:sz="0" w:space="0" w:color="auto"/>
                <w:left w:val="none" w:sz="0" w:space="0" w:color="auto"/>
                <w:bottom w:val="none" w:sz="0" w:space="0" w:color="auto"/>
                <w:right w:val="none" w:sz="0" w:space="0" w:color="auto"/>
              </w:divBdr>
              <w:divsChild>
                <w:div w:id="1844275907">
                  <w:marLeft w:val="0"/>
                  <w:marRight w:val="0"/>
                  <w:marTop w:val="0"/>
                  <w:marBottom w:val="0"/>
                  <w:divBdr>
                    <w:top w:val="none" w:sz="0" w:space="0" w:color="auto"/>
                    <w:left w:val="none" w:sz="0" w:space="0" w:color="auto"/>
                    <w:bottom w:val="none" w:sz="0" w:space="0" w:color="auto"/>
                    <w:right w:val="none" w:sz="0" w:space="0" w:color="auto"/>
                  </w:divBdr>
                  <w:divsChild>
                    <w:div w:id="2067946565">
                      <w:marLeft w:val="0"/>
                      <w:marRight w:val="0"/>
                      <w:marTop w:val="0"/>
                      <w:marBottom w:val="0"/>
                      <w:divBdr>
                        <w:top w:val="none" w:sz="0" w:space="0" w:color="auto"/>
                        <w:left w:val="none" w:sz="0" w:space="0" w:color="auto"/>
                        <w:bottom w:val="none" w:sz="0" w:space="0" w:color="auto"/>
                        <w:right w:val="none" w:sz="0" w:space="0" w:color="auto"/>
                      </w:divBdr>
                      <w:divsChild>
                        <w:div w:id="1056079293">
                          <w:marLeft w:val="0"/>
                          <w:marRight w:val="0"/>
                          <w:marTop w:val="0"/>
                          <w:marBottom w:val="0"/>
                          <w:divBdr>
                            <w:top w:val="none" w:sz="0" w:space="0" w:color="auto"/>
                            <w:left w:val="none" w:sz="0" w:space="0" w:color="auto"/>
                            <w:bottom w:val="none" w:sz="0" w:space="0" w:color="auto"/>
                            <w:right w:val="none" w:sz="0" w:space="0" w:color="auto"/>
                          </w:divBdr>
                          <w:divsChild>
                            <w:div w:id="1447575388">
                              <w:marLeft w:val="0"/>
                              <w:marRight w:val="0"/>
                              <w:marTop w:val="0"/>
                              <w:marBottom w:val="0"/>
                              <w:divBdr>
                                <w:top w:val="none" w:sz="0" w:space="0" w:color="auto"/>
                                <w:left w:val="none" w:sz="0" w:space="0" w:color="auto"/>
                                <w:bottom w:val="none" w:sz="0" w:space="0" w:color="auto"/>
                                <w:right w:val="none" w:sz="0" w:space="0" w:color="auto"/>
                              </w:divBdr>
                              <w:divsChild>
                                <w:div w:id="2010673187">
                                  <w:marLeft w:val="0"/>
                                  <w:marRight w:val="0"/>
                                  <w:marTop w:val="0"/>
                                  <w:marBottom w:val="0"/>
                                  <w:divBdr>
                                    <w:top w:val="none" w:sz="0" w:space="0" w:color="auto"/>
                                    <w:left w:val="none" w:sz="0" w:space="0" w:color="auto"/>
                                    <w:bottom w:val="none" w:sz="0" w:space="0" w:color="auto"/>
                                    <w:right w:val="none" w:sz="0" w:space="0" w:color="auto"/>
                                  </w:divBdr>
                                  <w:divsChild>
                                    <w:div w:id="271324617">
                                      <w:marLeft w:val="0"/>
                                      <w:marRight w:val="0"/>
                                      <w:marTop w:val="0"/>
                                      <w:marBottom w:val="0"/>
                                      <w:divBdr>
                                        <w:top w:val="none" w:sz="0" w:space="0" w:color="auto"/>
                                        <w:left w:val="none" w:sz="0" w:space="0" w:color="auto"/>
                                        <w:bottom w:val="none" w:sz="0" w:space="0" w:color="auto"/>
                                        <w:right w:val="none" w:sz="0" w:space="0" w:color="auto"/>
                                      </w:divBdr>
                                      <w:divsChild>
                                        <w:div w:id="18162447">
                                          <w:marLeft w:val="0"/>
                                          <w:marRight w:val="0"/>
                                          <w:marTop w:val="0"/>
                                          <w:marBottom w:val="0"/>
                                          <w:divBdr>
                                            <w:top w:val="none" w:sz="0" w:space="0" w:color="auto"/>
                                            <w:left w:val="none" w:sz="0" w:space="0" w:color="auto"/>
                                            <w:bottom w:val="none" w:sz="0" w:space="0" w:color="auto"/>
                                            <w:right w:val="none" w:sz="0" w:space="0" w:color="auto"/>
                                          </w:divBdr>
                                          <w:divsChild>
                                            <w:div w:id="1270552219">
                                              <w:marLeft w:val="0"/>
                                              <w:marRight w:val="0"/>
                                              <w:marTop w:val="0"/>
                                              <w:marBottom w:val="0"/>
                                              <w:divBdr>
                                                <w:top w:val="none" w:sz="0" w:space="0" w:color="auto"/>
                                                <w:left w:val="none" w:sz="0" w:space="0" w:color="auto"/>
                                                <w:bottom w:val="none" w:sz="0" w:space="0" w:color="auto"/>
                                                <w:right w:val="none" w:sz="0" w:space="0" w:color="auto"/>
                                              </w:divBdr>
                                              <w:divsChild>
                                                <w:div w:id="772898550">
                                                  <w:marLeft w:val="0"/>
                                                  <w:marRight w:val="0"/>
                                                  <w:marTop w:val="0"/>
                                                  <w:marBottom w:val="0"/>
                                                  <w:divBdr>
                                                    <w:top w:val="none" w:sz="0" w:space="0" w:color="auto"/>
                                                    <w:left w:val="none" w:sz="0" w:space="0" w:color="auto"/>
                                                    <w:bottom w:val="none" w:sz="0" w:space="0" w:color="auto"/>
                                                    <w:right w:val="none" w:sz="0" w:space="0" w:color="auto"/>
                                                  </w:divBdr>
                                                  <w:divsChild>
                                                    <w:div w:id="1964457435">
                                                      <w:marLeft w:val="0"/>
                                                      <w:marRight w:val="0"/>
                                                      <w:marTop w:val="0"/>
                                                      <w:marBottom w:val="0"/>
                                                      <w:divBdr>
                                                        <w:top w:val="none" w:sz="0" w:space="0" w:color="auto"/>
                                                        <w:left w:val="none" w:sz="0" w:space="0" w:color="auto"/>
                                                        <w:bottom w:val="none" w:sz="0" w:space="0" w:color="auto"/>
                                                        <w:right w:val="none" w:sz="0" w:space="0" w:color="auto"/>
                                                      </w:divBdr>
                                                      <w:divsChild>
                                                        <w:div w:id="5960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Rar$DI12.432\COM%20Template%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84B6D-06E5-41A0-A290-9F5A250B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Template 1.9</Template>
  <TotalTime>0</TotalTime>
  <Pages>5</Pages>
  <Words>14830</Words>
  <Characters>84537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99169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 Lacerda</dc:creator>
  <cp:lastModifiedBy>Bowman, Cassandra 3</cp:lastModifiedBy>
  <cp:revision>2</cp:revision>
  <cp:lastPrinted>2015-06-03T10:43:00Z</cp:lastPrinted>
  <dcterms:created xsi:type="dcterms:W3CDTF">2019-01-09T12:17:00Z</dcterms:created>
  <dcterms:modified xsi:type="dcterms:W3CDTF">2019-01-09T12:17:00Z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s.c.dunn@qmul.ac.uk@www.mendeley.com</vt:lpwstr>
  </property>
  <property fmtid="{D5CDD505-2E9C-101B-9397-08002B2CF9AE}" pid="4" name="Mendeley Citation Style_1">
    <vt:lpwstr>http://www.zotero.org/styles/american-chemical-society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http://www.zotero.org/styles/nano-energy</vt:lpwstr>
  </property>
  <property fmtid="{D5CDD505-2E9C-101B-9397-08002B2CF9AE}" pid="20" name="Mendeley Recent Style Name 7_1">
    <vt:lpwstr>Nano Energy</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http://www.zotero.org/styles/thin-solid-films</vt:lpwstr>
  </property>
  <property fmtid="{D5CDD505-2E9C-101B-9397-08002B2CF9AE}" pid="24" name="Mendeley Recent Style Name 9_1">
    <vt:lpwstr>Thin Solid Films</vt:lpwstr>
  </property>
</Properties>
</file>