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7361" w14:textId="026B4721" w:rsidR="007145A6" w:rsidRDefault="007145A6" w:rsidP="007145A6">
      <w:pPr>
        <w:spacing w:line="480" w:lineRule="auto"/>
        <w:contextualSpacing/>
        <w:rPr>
          <w:rFonts w:ascii="Times" w:hAnsi="Times"/>
          <w:b/>
          <w:lang w:val="en-US"/>
        </w:rPr>
      </w:pPr>
      <w:r w:rsidRPr="00A05044">
        <w:rPr>
          <w:rFonts w:ascii="Times" w:hAnsi="Times"/>
          <w:b/>
          <w:lang w:val="en-US"/>
        </w:rPr>
        <w:t xml:space="preserve">Table </w:t>
      </w:r>
      <w:r w:rsidR="00A05044" w:rsidRPr="00A05044">
        <w:rPr>
          <w:rFonts w:ascii="Times" w:hAnsi="Times"/>
          <w:b/>
          <w:lang w:val="en-US"/>
        </w:rPr>
        <w:t>1</w:t>
      </w:r>
    </w:p>
    <w:p w14:paraId="139523DD" w14:textId="3FDA9EBC" w:rsidR="007145A6" w:rsidRPr="007145A6" w:rsidRDefault="00814284" w:rsidP="007145A6">
      <w:pPr>
        <w:spacing w:line="480" w:lineRule="auto"/>
        <w:contextualSpacing/>
        <w:rPr>
          <w:rFonts w:ascii="Times" w:hAnsi="Times"/>
          <w:b/>
          <w:lang w:val="en-US"/>
        </w:rPr>
      </w:pPr>
      <w:r>
        <w:rPr>
          <w:rFonts w:ascii="Times" w:hAnsi="Times"/>
          <w:lang w:val="en-US"/>
        </w:rPr>
        <w:t>Cortical thickness values of the superior (SUP) and the inferior (INF) cortices</w:t>
      </w:r>
      <w:r w:rsidR="002D4899">
        <w:rPr>
          <w:rFonts w:ascii="Times" w:hAnsi="Times"/>
          <w:lang w:val="en-US"/>
        </w:rPr>
        <w:t xml:space="preserve"> (mm)</w:t>
      </w:r>
      <w:r w:rsidR="00BB2C24">
        <w:rPr>
          <w:rFonts w:ascii="Times" w:hAnsi="Times"/>
          <w:lang w:val="en-US"/>
        </w:rPr>
        <w:t>, and ratio between these two measurements (SUP/INF) for the fossil sample used in this study.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83"/>
        <w:gridCol w:w="588"/>
        <w:gridCol w:w="525"/>
        <w:gridCol w:w="960"/>
        <w:gridCol w:w="623"/>
        <w:gridCol w:w="525"/>
        <w:gridCol w:w="960"/>
        <w:gridCol w:w="2695"/>
      </w:tblGrid>
      <w:tr w:rsidR="005508B3" w:rsidRPr="005A62D1" w14:paraId="67CA3A43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B9B5" w14:textId="77777777" w:rsidR="007145A6" w:rsidRPr="00E54267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2DE" w14:textId="77777777" w:rsidR="007145A6" w:rsidRPr="00E54267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BEBE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Base of </w:t>
            </w:r>
            <w:proofErr w:type="spellStart"/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neck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A4EAC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Midneck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F98C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145A6" w:rsidRPr="007145A6" w14:paraId="14B32F2C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457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BF0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FA53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0F9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INF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CBC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SUP/INF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DEB0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055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INF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EA63" w14:textId="77777777" w:rsidR="007145A6" w:rsidRPr="00231333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SUP/INF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9507" w14:textId="77777777" w:rsidR="007145A6" w:rsidRPr="00231333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23133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Source</w:t>
            </w:r>
            <w:proofErr w:type="spellEnd"/>
          </w:p>
        </w:tc>
      </w:tr>
      <w:tr w:rsidR="007145A6" w:rsidRPr="007145A6" w14:paraId="14F7924F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67C1" w14:textId="5A725908" w:rsidR="007145A6" w:rsidRPr="005A62D1" w:rsidRDefault="00130AC7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H. laietanus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680" w14:textId="5A519B82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IPS</w:t>
            </w:r>
            <w:r w:rsidR="00130A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18800.29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FF6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D20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18BD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268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F0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4120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25D8" w14:textId="689474E2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91D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This study</w:t>
            </w:r>
            <w:r w:rsidR="001934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  <w:r w:rsidR="00130AC7" w:rsidRPr="005508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Pina et al. </w:t>
            </w:r>
            <w:r w:rsidR="00130A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(2012)</w:t>
            </w:r>
          </w:p>
        </w:tc>
      </w:tr>
      <w:tr w:rsidR="007145A6" w:rsidRPr="005508B3" w14:paraId="1F615634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9512" w14:textId="15C01F03" w:rsidR="007145A6" w:rsidRPr="005A62D1" w:rsidRDefault="00130AC7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D. fontani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278" w14:textId="7A9084ED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IPS</w:t>
            </w:r>
            <w:r w:rsidR="00130A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140C" w14:textId="2254EF4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</w:t>
            </w:r>
            <w:r w:rsidR="0019347C" w:rsidRPr="00231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AA8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EA5" w14:textId="2F6C33DC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</w:t>
            </w:r>
            <w:r w:rsidR="0019347C" w:rsidRPr="000F07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 xml:space="preserve"> a</w:t>
            </w:r>
            <w:r w:rsidR="0019347C" w:rsidDel="001934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F1F3" w14:textId="650E5A2F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</w:t>
            </w:r>
            <w:r w:rsidR="0019347C" w:rsidRPr="000F07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 xml:space="preserve"> a</w:t>
            </w:r>
            <w:r w:rsidR="0019347C" w:rsidRPr="005A62D1" w:rsidDel="001934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13B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8FC" w14:textId="72A6A00D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0.44</w:t>
            </w:r>
            <w:r w:rsidR="0019347C" w:rsidRPr="000F07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 xml:space="preserve"> a</w:t>
            </w:r>
            <w:r w:rsidR="0019347C" w:rsidDel="001934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329C" w14:textId="285E01A6" w:rsidR="007145A6" w:rsidRPr="005508B3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508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This study</w:t>
            </w:r>
            <w:r w:rsidR="005508B3" w:rsidRPr="005508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145A6" w:rsidRPr="007145A6" w14:paraId="5795CF3D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BFF6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A. africanus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D9D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Stw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395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2EA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EEF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BF2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839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953E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2225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1CB1C615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4349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A. africanus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F1F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Stw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332" w14:textId="7D5710E6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A214" w14:textId="10304344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95BB" w14:textId="269136FC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72E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F715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362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6FE0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55BBE5B3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812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A. africanus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F94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Stw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01D" w14:textId="2BF72CA0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D016" w14:textId="4477D01D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708" w14:textId="4377C825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BFC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05D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3401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EA80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666D8368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DC85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A. africanus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A1A6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Stw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426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5D49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E4D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F36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9026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A1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48D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159712F6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12FD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A. africanus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E19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Stw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62AD" w14:textId="65460496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62A" w14:textId="4A2AE3D4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F63" w14:textId="6A732716" w:rsidR="007145A6" w:rsidRPr="005A62D1" w:rsidRDefault="0019347C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F9C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756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1DA1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CF5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358CED00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46F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A. africanus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196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Stw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A78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9BC5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047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E300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B1C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F48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CC65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130831CB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637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robustus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E52E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 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073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458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24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D3C9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43C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696A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FF04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  <w:tr w:rsidR="007145A6" w:rsidRPr="007145A6" w14:paraId="1D2F4A6B" w14:textId="77777777" w:rsidTr="005508B3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FD9B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robustus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FA5F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5114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0FD4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25B5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3996C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AA10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5FBE3" w14:textId="77777777" w:rsidR="007145A6" w:rsidRPr="005A62D1" w:rsidRDefault="007145A6" w:rsidP="005A62D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CDF4D" w14:textId="77777777" w:rsidR="007145A6" w:rsidRPr="005A62D1" w:rsidRDefault="007145A6" w:rsidP="005A62D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Ruff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Higgins</w:t>
            </w:r>
            <w:proofErr w:type="spellEnd"/>
            <w:r w:rsidRPr="005A62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(2013)</w:t>
            </w:r>
          </w:p>
        </w:tc>
      </w:tr>
    </w:tbl>
    <w:p w14:paraId="621A579C" w14:textId="77777777" w:rsidR="007145A6" w:rsidRPr="005A62D1" w:rsidRDefault="007145A6" w:rsidP="00F56434">
      <w:pPr>
        <w:spacing w:line="480" w:lineRule="auto"/>
        <w:ind w:firstLine="708"/>
        <w:contextualSpacing/>
        <w:rPr>
          <w:rFonts w:ascii="Times New Roman" w:hAnsi="Times New Roman" w:cs="Times New Roman"/>
          <w:lang w:val="en-US"/>
        </w:rPr>
      </w:pPr>
    </w:p>
    <w:p w14:paraId="4189EF0D" w14:textId="1190CF84" w:rsidR="00A05044" w:rsidRDefault="0019347C" w:rsidP="00F56434">
      <w:pPr>
        <w:spacing w:line="480" w:lineRule="auto"/>
        <w:ind w:firstLine="708"/>
        <w:contextualSpacing/>
        <w:rPr>
          <w:rFonts w:ascii="Times New Roman" w:hAnsi="Times New Roman" w:cs="Times New Roman"/>
          <w:lang w:val="en-US"/>
        </w:rPr>
      </w:pPr>
      <w:r w:rsidRPr="00231333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n-US"/>
        </w:rPr>
        <w:lastRenderedPageBreak/>
        <w:t>a</w:t>
      </w:r>
      <w:r w:rsidRPr="005A62D1">
        <w:rPr>
          <w:rFonts w:ascii="Times New Roman" w:hAnsi="Times New Roman" w:cs="Times New Roman"/>
          <w:lang w:val="en-US"/>
        </w:rPr>
        <w:t xml:space="preserve"> </w:t>
      </w:r>
      <w:r w:rsidR="005A62D1">
        <w:rPr>
          <w:rFonts w:ascii="Times New Roman" w:hAnsi="Times New Roman" w:cs="Times New Roman"/>
          <w:lang w:val="en-US"/>
        </w:rPr>
        <w:t>Given that the final resolution of the computed tomography images obtained for IPS41724 is not very high due to its strong internal mineralization, these values remain tentative</w:t>
      </w:r>
      <w:r w:rsidR="003D6CB3">
        <w:rPr>
          <w:rFonts w:ascii="Times New Roman" w:hAnsi="Times New Roman" w:cs="Times New Roman"/>
          <w:lang w:val="en-US"/>
        </w:rPr>
        <w:t xml:space="preserve"> (see text for further explanation and </w:t>
      </w:r>
      <w:r>
        <w:rPr>
          <w:rFonts w:ascii="Times New Roman" w:hAnsi="Times New Roman" w:cs="Times New Roman"/>
          <w:lang w:val="en-US"/>
        </w:rPr>
        <w:t>SOM</w:t>
      </w:r>
      <w:r w:rsidR="003D6CB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S1 </w:t>
      </w:r>
      <w:r w:rsidR="003D6CB3">
        <w:rPr>
          <w:rFonts w:ascii="Times New Roman" w:hAnsi="Times New Roman" w:cs="Times New Roman"/>
          <w:lang w:val="en-US"/>
        </w:rPr>
        <w:t>for a detailed description of the performed interobserver te</w:t>
      </w:r>
      <w:r>
        <w:rPr>
          <w:rFonts w:ascii="Times New Roman" w:hAnsi="Times New Roman" w:cs="Times New Roman"/>
          <w:lang w:val="en-US"/>
        </w:rPr>
        <w:t>s</w:t>
      </w:r>
      <w:r w:rsidR="003D6CB3">
        <w:rPr>
          <w:rFonts w:ascii="Times New Roman" w:hAnsi="Times New Roman" w:cs="Times New Roman"/>
          <w:lang w:val="en-US"/>
        </w:rPr>
        <w:t>t)</w:t>
      </w:r>
      <w:r w:rsidR="005A62D1">
        <w:rPr>
          <w:rFonts w:ascii="Times New Roman" w:hAnsi="Times New Roman" w:cs="Times New Roman"/>
          <w:lang w:val="en-US"/>
        </w:rPr>
        <w:t>.</w:t>
      </w:r>
    </w:p>
    <w:p w14:paraId="17CB1481" w14:textId="77777777" w:rsidR="00A05044" w:rsidRDefault="00A0504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4DE4E36" w14:textId="7B75C25B" w:rsidR="00A05044" w:rsidRDefault="00A05044" w:rsidP="00A05044">
      <w:pPr>
        <w:spacing w:line="480" w:lineRule="auto"/>
        <w:contextualSpacing/>
        <w:rPr>
          <w:rFonts w:ascii="Times" w:hAnsi="Times"/>
          <w:b/>
          <w:lang w:val="en-US"/>
        </w:rPr>
      </w:pPr>
      <w:r w:rsidRPr="003F3C44">
        <w:rPr>
          <w:rFonts w:ascii="Times" w:hAnsi="Times"/>
          <w:b/>
          <w:lang w:val="en-US"/>
        </w:rPr>
        <w:lastRenderedPageBreak/>
        <w:t xml:space="preserve">Table </w:t>
      </w:r>
      <w:r w:rsidR="003F3C44" w:rsidRPr="003F3C44">
        <w:rPr>
          <w:rFonts w:ascii="Times" w:hAnsi="Times"/>
          <w:b/>
          <w:lang w:val="en-US"/>
        </w:rPr>
        <w:t>2</w:t>
      </w:r>
    </w:p>
    <w:p w14:paraId="3F6B540B" w14:textId="77777777" w:rsidR="00A05044" w:rsidRPr="00FC6BC3" w:rsidRDefault="00A05044" w:rsidP="00A05044">
      <w:pPr>
        <w:spacing w:line="480" w:lineRule="auto"/>
        <w:contextualSpacing/>
        <w:rPr>
          <w:lang w:val="en-US"/>
        </w:rPr>
      </w:pPr>
      <w:r w:rsidRPr="00FC6BC3">
        <w:rPr>
          <w:rFonts w:ascii="Times" w:hAnsi="Times"/>
          <w:lang w:val="en-US"/>
        </w:rPr>
        <w:t xml:space="preserve">Computed tomography (CT) settings and parameters obtained </w:t>
      </w:r>
      <w:r>
        <w:rPr>
          <w:rFonts w:ascii="Times" w:hAnsi="Times"/>
          <w:lang w:val="en-US"/>
        </w:rPr>
        <w:t>for the IPS41724 scans</w:t>
      </w:r>
      <w:r w:rsidRPr="00FC6BC3">
        <w:rPr>
          <w:rFonts w:ascii="Times" w:hAnsi="Times"/>
          <w:lang w:val="en-US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211"/>
        <w:gridCol w:w="2598"/>
        <w:gridCol w:w="1809"/>
        <w:gridCol w:w="1057"/>
        <w:gridCol w:w="1616"/>
        <w:gridCol w:w="1655"/>
        <w:gridCol w:w="1423"/>
        <w:gridCol w:w="1535"/>
      </w:tblGrid>
      <w:tr w:rsidR="00A05044" w:rsidRPr="00FC6BC3" w14:paraId="470854C3" w14:textId="77777777" w:rsidTr="00571A99">
        <w:trPr>
          <w:trHeight w:val="320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0F74" w14:textId="77777777" w:rsidR="00A05044" w:rsidRPr="00F56434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IPS41724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1865E" w14:textId="77777777" w:rsidR="00A05044" w:rsidRPr="00F56434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CAAF3" w14:textId="77777777" w:rsidR="00A05044" w:rsidRPr="00F56434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CT-scanner model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0E36" w14:textId="77777777" w:rsidR="00A05044" w:rsidRPr="00F56434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CT-scanner type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8F0AE" w14:textId="77777777" w:rsidR="00A05044" w:rsidRPr="00F56434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No. slices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0C7E" w14:textId="77777777" w:rsidR="00A05044" w:rsidRPr="00F56434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Pixel size (mm)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09FA" w14:textId="77777777" w:rsidR="00A05044" w:rsidRPr="00F56434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Interslice (mm)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8B3E" w14:textId="77777777" w:rsidR="00A05044" w:rsidRPr="00F56434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Voltage (kV)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3B80C" w14:textId="77777777" w:rsidR="00A05044" w:rsidRPr="00F56434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F56434">
              <w:rPr>
                <w:rFonts w:ascii="Times Roman" w:eastAsia="Times New Roman" w:hAnsi="Times Roman" w:cs="Times New Roman"/>
                <w:bCs/>
                <w:color w:val="000000"/>
                <w:sz w:val="22"/>
                <w:szCs w:val="22"/>
                <w:lang w:val="en-US"/>
              </w:rPr>
              <w:t>Current (mA)</w:t>
            </w:r>
          </w:p>
        </w:tc>
      </w:tr>
      <w:tr w:rsidR="00A05044" w:rsidRPr="00FC6BC3" w14:paraId="444BF219" w14:textId="77777777" w:rsidTr="00571A99">
        <w:trPr>
          <w:trHeight w:val="320"/>
        </w:trPr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3B8" w14:textId="77777777" w:rsidR="00A05044" w:rsidRPr="000E5A3C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0E5A3C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Scan 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61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UBU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A78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YXLON Compact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A047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Industrial</w:t>
            </w:r>
            <w:r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CT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6F5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5CF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A1C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0.30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C44D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88D3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3.20</w:t>
            </w:r>
          </w:p>
        </w:tc>
      </w:tr>
      <w:tr w:rsidR="00A05044" w:rsidRPr="00FC6BC3" w14:paraId="423F2542" w14:textId="77777777" w:rsidTr="00571A99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950E" w14:textId="77777777" w:rsidR="00A05044" w:rsidRPr="000E5A3C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0E5A3C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Scan 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0A1C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AMNH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DB5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 xml:space="preserve">GE phoenix </w:t>
            </w:r>
            <w:proofErr w:type="spellStart"/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v|tome|x</w:t>
            </w:r>
            <w:proofErr w:type="spellEnd"/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 xml:space="preserve"> s240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B48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µ</w:t>
            </w: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CT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BCAA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8DA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0.07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6AC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0.07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629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CED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1.80</w:t>
            </w:r>
          </w:p>
        </w:tc>
      </w:tr>
      <w:tr w:rsidR="00A05044" w:rsidRPr="00FC6BC3" w14:paraId="081B2B7D" w14:textId="77777777" w:rsidTr="00571A99">
        <w:trPr>
          <w:trHeight w:val="320"/>
        </w:trPr>
        <w:tc>
          <w:tcPr>
            <w:tcW w:w="3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218F" w14:textId="77777777" w:rsidR="00A05044" w:rsidRPr="000E5A3C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0E5A3C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Scan 3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107E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ICTP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6552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Elettra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F9CB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µ</w:t>
            </w: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CT</w:t>
            </w: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616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4800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65ED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0.03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F935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0.03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445D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8305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2.00</w:t>
            </w:r>
          </w:p>
        </w:tc>
      </w:tr>
      <w:tr w:rsidR="00A05044" w:rsidRPr="00FC6BC3" w14:paraId="69E2BA51" w14:textId="77777777" w:rsidTr="00571A99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17A1" w14:textId="77777777" w:rsidR="00A05044" w:rsidRPr="000E5A3C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0E5A3C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Scan 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3E54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ICP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ED0E4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 xml:space="preserve">YXLON </w:t>
            </w:r>
            <w:proofErr w:type="gramStart"/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Y.TU450.D</w:t>
            </w:r>
            <w:proofErr w:type="gramEnd"/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09366" w14:textId="77777777" w:rsidR="00A05044" w:rsidRPr="00FC6BC3" w:rsidRDefault="00A05044" w:rsidP="00571A99">
            <w:pPr>
              <w:spacing w:line="480" w:lineRule="auto"/>
              <w:contextualSpacing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Industrial</w:t>
            </w:r>
            <w:r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CT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57FF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451</w:t>
            </w:r>
            <w:r w:rsidRPr="00F56434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37DFF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5677E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0.20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2E08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2B9E8" w14:textId="77777777" w:rsidR="00A05044" w:rsidRPr="00FC6BC3" w:rsidRDefault="00A05044" w:rsidP="00571A99">
            <w:pPr>
              <w:spacing w:line="480" w:lineRule="auto"/>
              <w:contextualSpacing/>
              <w:jc w:val="center"/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</w:pPr>
            <w:r w:rsidRPr="00FC6BC3">
              <w:rPr>
                <w:rFonts w:ascii="Times Roman" w:eastAsia="Times New Roman" w:hAnsi="Times Roman" w:cs="Times New Roman"/>
                <w:color w:val="000000"/>
                <w:sz w:val="22"/>
                <w:szCs w:val="22"/>
                <w:lang w:val="en-US"/>
              </w:rPr>
              <w:t>2.30</w:t>
            </w:r>
          </w:p>
        </w:tc>
      </w:tr>
    </w:tbl>
    <w:p w14:paraId="3A12A8BE" w14:textId="77777777" w:rsidR="00A05044" w:rsidRPr="006225A5" w:rsidRDefault="00A05044" w:rsidP="00A05044">
      <w:pPr>
        <w:spacing w:line="480" w:lineRule="auto"/>
        <w:contextualSpacing/>
        <w:rPr>
          <w:rFonts w:ascii="Times" w:hAnsi="Times"/>
          <w:lang w:val="en-US"/>
        </w:rPr>
      </w:pPr>
      <w:r w:rsidRPr="006225A5">
        <w:rPr>
          <w:rFonts w:ascii="Times" w:hAnsi="Times"/>
          <w:bCs/>
          <w:lang w:val="en-US"/>
        </w:rPr>
        <w:t xml:space="preserve">Abbreviations: </w:t>
      </w:r>
      <w:r w:rsidRPr="00FC6BC3">
        <w:rPr>
          <w:rFonts w:ascii="Times" w:hAnsi="Times"/>
          <w:lang w:val="en-US"/>
        </w:rPr>
        <w:t>AMNH</w:t>
      </w:r>
      <w:r>
        <w:rPr>
          <w:rFonts w:ascii="Times" w:hAnsi="Times"/>
          <w:lang w:val="en-US"/>
        </w:rPr>
        <w:t xml:space="preserve"> =</w:t>
      </w:r>
      <w:r w:rsidRPr="00FC6BC3">
        <w:rPr>
          <w:rFonts w:ascii="Times" w:hAnsi="Times"/>
          <w:lang w:val="en-US"/>
        </w:rPr>
        <w:t xml:space="preserve"> American Museum of Natural History</w:t>
      </w:r>
      <w:r>
        <w:rPr>
          <w:rFonts w:ascii="Times" w:hAnsi="Times"/>
          <w:lang w:val="en-US"/>
        </w:rPr>
        <w:t>,</w:t>
      </w:r>
      <w:r w:rsidRPr="00FC6BC3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New York, </w:t>
      </w:r>
      <w:r w:rsidRPr="00FC6BC3">
        <w:rPr>
          <w:rFonts w:ascii="Times" w:hAnsi="Times"/>
          <w:lang w:val="en-US"/>
        </w:rPr>
        <w:t xml:space="preserve">USA; </w:t>
      </w:r>
      <w:r w:rsidRPr="0051476E">
        <w:rPr>
          <w:rFonts w:ascii="Times" w:hAnsi="Times"/>
          <w:lang w:val="en-US"/>
        </w:rPr>
        <w:t>ICP = Institut Català de Paleontologia Miquel Crusafont, Sabadell, Spain</w:t>
      </w:r>
      <w:r>
        <w:rPr>
          <w:rFonts w:ascii="Times" w:hAnsi="Times"/>
          <w:lang w:val="en-US"/>
        </w:rPr>
        <w:t xml:space="preserve">; </w:t>
      </w:r>
      <w:r w:rsidRPr="0051476E">
        <w:rPr>
          <w:rFonts w:ascii="Times" w:hAnsi="Times"/>
          <w:lang w:val="en-US"/>
        </w:rPr>
        <w:t>ICTP = ‘</w:t>
      </w:r>
      <w:proofErr w:type="spellStart"/>
      <w:r w:rsidRPr="0051476E">
        <w:rPr>
          <w:rFonts w:ascii="Times" w:hAnsi="Times"/>
          <w:lang w:val="en-US"/>
        </w:rPr>
        <w:t>Abdus</w:t>
      </w:r>
      <w:proofErr w:type="spellEnd"/>
      <w:r w:rsidRPr="0051476E">
        <w:rPr>
          <w:rFonts w:ascii="Times" w:hAnsi="Times"/>
          <w:lang w:val="en-US"/>
        </w:rPr>
        <w:t xml:space="preserve"> Salam’ International Centre for Theoretical Physics, Trieste, Italy;</w:t>
      </w:r>
      <w:r w:rsidRPr="006225A5">
        <w:rPr>
          <w:rFonts w:ascii="Times" w:hAnsi="Times"/>
          <w:lang w:val="en-US"/>
        </w:rPr>
        <w:t xml:space="preserve"> UBU = Universidad de Burgos, Spain. </w:t>
      </w:r>
    </w:p>
    <w:p w14:paraId="78E04967" w14:textId="77777777" w:rsidR="00A05044" w:rsidRDefault="00A05044" w:rsidP="00A05044">
      <w:pPr>
        <w:spacing w:line="480" w:lineRule="auto"/>
        <w:ind w:firstLine="708"/>
        <w:contextualSpacing/>
        <w:rPr>
          <w:rFonts w:ascii="Times" w:hAnsi="Times"/>
          <w:lang w:val="en-US"/>
        </w:rPr>
      </w:pPr>
      <w:proofErr w:type="spellStart"/>
      <w:proofErr w:type="gramStart"/>
      <w:r w:rsidRPr="00F56434">
        <w:rPr>
          <w:rFonts w:ascii="Times" w:hAnsi="Times"/>
          <w:vertAlign w:val="superscript"/>
          <w:lang w:val="en-US"/>
        </w:rPr>
        <w:t>a</w:t>
      </w:r>
      <w:proofErr w:type="spellEnd"/>
      <w:proofErr w:type="gramEnd"/>
      <w:r w:rsidRPr="00FC6BC3">
        <w:rPr>
          <w:rFonts w:ascii="Times" w:hAnsi="Times"/>
          <w:lang w:val="en-US"/>
        </w:rPr>
        <w:t xml:space="preserve"> Only the most proximal part of this specimen was scanned, removing part of the diaphysis and the femoral head (see text for further explanation).</w:t>
      </w:r>
    </w:p>
    <w:p w14:paraId="3ECD11C2" w14:textId="6FAE213B" w:rsidR="00F17EEB" w:rsidRDefault="00F17E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CD47586" w14:textId="77777777" w:rsidR="00A61C66" w:rsidRDefault="00A61C66" w:rsidP="009F08EE">
      <w:pPr>
        <w:spacing w:line="480" w:lineRule="auto"/>
        <w:contextualSpacing/>
        <w:rPr>
          <w:rFonts w:ascii="Times" w:hAnsi="Times" w:cs="Times New Roman"/>
          <w:b/>
          <w:lang w:val="en-US"/>
        </w:rPr>
        <w:sectPr w:rsidR="00A61C66" w:rsidSect="007145A6">
          <w:pgSz w:w="16817" w:h="11901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D6671FA" w14:textId="3AAD1391" w:rsidR="00F17EEB" w:rsidRPr="001154C0" w:rsidRDefault="00F17EEB" w:rsidP="009F08EE">
      <w:pPr>
        <w:spacing w:line="480" w:lineRule="auto"/>
        <w:contextualSpacing/>
        <w:rPr>
          <w:rFonts w:ascii="Times" w:hAnsi="Times" w:cs="Times New Roman"/>
          <w:b/>
          <w:lang w:val="en-US"/>
        </w:rPr>
      </w:pPr>
      <w:r w:rsidRPr="001154C0">
        <w:rPr>
          <w:rFonts w:ascii="Times" w:hAnsi="Times" w:cs="Times New Roman"/>
          <w:b/>
          <w:lang w:val="en-US"/>
        </w:rPr>
        <w:lastRenderedPageBreak/>
        <w:t>Table 3</w:t>
      </w:r>
      <w:bookmarkStart w:id="0" w:name="_GoBack"/>
      <w:bookmarkEnd w:id="0"/>
    </w:p>
    <w:p w14:paraId="40E27707" w14:textId="3CAEFF89" w:rsidR="00F17EEB" w:rsidRPr="0014195F" w:rsidRDefault="00F17EEB" w:rsidP="009F08EE">
      <w:pPr>
        <w:spacing w:line="480" w:lineRule="auto"/>
        <w:contextualSpacing/>
        <w:rPr>
          <w:rFonts w:ascii="Times" w:hAnsi="Times"/>
          <w:lang w:val="en-US"/>
        </w:rPr>
      </w:pPr>
      <w:r w:rsidRPr="0014195F">
        <w:rPr>
          <w:rFonts w:ascii="Times" w:hAnsi="Times"/>
          <w:lang w:val="en-US"/>
        </w:rPr>
        <w:t xml:space="preserve">Descriptive statistics for </w:t>
      </w:r>
      <w:r w:rsidR="00FA4D36">
        <w:rPr>
          <w:rFonts w:ascii="Times" w:hAnsi="Times"/>
          <w:lang w:val="en-US"/>
        </w:rPr>
        <w:t>the SUP/INF index, and the residuals (RES and RESBM).</w:t>
      </w:r>
      <w:r w:rsidR="0014195F">
        <w:rPr>
          <w:rFonts w:ascii="Times" w:hAnsi="Times"/>
          <w:lang w:val="en-US"/>
        </w:rPr>
        <w:t xml:space="preserve"> Data w</w:t>
      </w:r>
      <w:r w:rsidR="00ED08EF">
        <w:rPr>
          <w:rFonts w:ascii="Times" w:hAnsi="Times"/>
          <w:lang w:val="en-US"/>
        </w:rPr>
        <w:t>ere taken</w:t>
      </w:r>
      <w:r w:rsidR="0014195F">
        <w:rPr>
          <w:rFonts w:ascii="Times" w:hAnsi="Times"/>
          <w:lang w:val="en-US"/>
        </w:rPr>
        <w:t xml:space="preserve"> from Pina et al. (2012)</w:t>
      </w:r>
      <w:r w:rsidR="00ED08EF">
        <w:rPr>
          <w:rFonts w:ascii="Times" w:hAnsi="Times"/>
          <w:lang w:val="en-US"/>
        </w:rPr>
        <w:t>,</w:t>
      </w:r>
      <w:r w:rsidR="0014195F">
        <w:rPr>
          <w:rFonts w:ascii="Times" w:hAnsi="Times"/>
          <w:lang w:val="en-US"/>
        </w:rPr>
        <w:t xml:space="preserve"> except for </w:t>
      </w:r>
      <w:r w:rsidR="0014195F" w:rsidRPr="0014195F">
        <w:rPr>
          <w:rFonts w:ascii="Times" w:hAnsi="Times"/>
          <w:i/>
          <w:iCs/>
          <w:lang w:val="en-US"/>
        </w:rPr>
        <w:t>D. fontani</w:t>
      </w:r>
      <w:r w:rsidR="00ED08EF">
        <w:rPr>
          <w:rFonts w:ascii="Times" w:hAnsi="Times"/>
          <w:iCs/>
          <w:lang w:val="en-US"/>
        </w:rPr>
        <w:t xml:space="preserve"> (</w:t>
      </w:r>
      <w:r w:rsidR="0014195F">
        <w:rPr>
          <w:rFonts w:ascii="Times" w:hAnsi="Times"/>
          <w:iCs/>
          <w:lang w:val="en-US"/>
        </w:rPr>
        <w:t>this study</w:t>
      </w:r>
      <w:r w:rsidR="00ED08EF">
        <w:rPr>
          <w:rFonts w:ascii="Times" w:hAnsi="Times"/>
          <w:iCs/>
          <w:lang w:val="en-US"/>
        </w:rPr>
        <w:t>)</w:t>
      </w:r>
      <w:r w:rsidR="0014195F">
        <w:rPr>
          <w:rFonts w:ascii="Times" w:hAnsi="Times"/>
          <w:iCs/>
          <w:lang w:val="en-US"/>
        </w:rPr>
        <w:t>.</w:t>
      </w:r>
      <w:r w:rsidR="00FA4D36">
        <w:rPr>
          <w:rFonts w:ascii="Times" w:hAnsi="Times"/>
          <w:lang w:val="en-US"/>
        </w:rPr>
        <w:t xml:space="preserve"> </w:t>
      </w:r>
      <w:r w:rsidRPr="0014195F">
        <w:rPr>
          <w:rFonts w:ascii="Times" w:hAnsi="Times"/>
          <w:lang w:val="en-US"/>
        </w:rPr>
        <w:t>Due to uncertainties of body size estimat</w:t>
      </w:r>
      <w:r w:rsidR="00ED08EF">
        <w:rPr>
          <w:rFonts w:ascii="Times" w:hAnsi="Times"/>
          <w:lang w:val="en-US"/>
        </w:rPr>
        <w:t>es</w:t>
      </w:r>
      <w:r w:rsidRPr="0014195F">
        <w:rPr>
          <w:rFonts w:ascii="Times" w:hAnsi="Times"/>
          <w:lang w:val="en-US"/>
        </w:rPr>
        <w:t xml:space="preserve"> for </w:t>
      </w:r>
      <w:r w:rsidRPr="0014195F">
        <w:rPr>
          <w:rFonts w:ascii="Times" w:hAnsi="Times"/>
          <w:i/>
          <w:iCs/>
          <w:lang w:val="en-US"/>
        </w:rPr>
        <w:t>D. fontani</w:t>
      </w:r>
      <w:r>
        <w:rPr>
          <w:rFonts w:ascii="Times" w:hAnsi="Times"/>
          <w:i/>
          <w:iCs/>
          <w:lang w:val="en-US"/>
        </w:rPr>
        <w:t xml:space="preserve"> </w:t>
      </w:r>
      <w:r>
        <w:rPr>
          <w:rFonts w:ascii="Times" w:hAnsi="Times"/>
          <w:iCs/>
          <w:lang w:val="en-US"/>
        </w:rPr>
        <w:t>(IPS41724)</w:t>
      </w:r>
      <w:r w:rsidRPr="0014195F">
        <w:rPr>
          <w:rFonts w:ascii="Times" w:hAnsi="Times"/>
          <w:i/>
          <w:iCs/>
          <w:lang w:val="en-US"/>
        </w:rPr>
        <w:t xml:space="preserve"> </w:t>
      </w:r>
      <w:r w:rsidRPr="0014195F">
        <w:rPr>
          <w:rFonts w:ascii="Times" w:hAnsi="Times"/>
          <w:lang w:val="en-US"/>
        </w:rPr>
        <w:t xml:space="preserve">and </w:t>
      </w:r>
      <w:r w:rsidRPr="0014195F">
        <w:rPr>
          <w:rFonts w:ascii="Times" w:hAnsi="Times"/>
          <w:i/>
          <w:iCs/>
          <w:lang w:val="en-US"/>
        </w:rPr>
        <w:t>H. laietanus</w:t>
      </w:r>
      <w:r>
        <w:rPr>
          <w:rFonts w:ascii="Times" w:hAnsi="Times"/>
          <w:i/>
          <w:iCs/>
          <w:lang w:val="en-US"/>
        </w:rPr>
        <w:t xml:space="preserve"> </w:t>
      </w:r>
      <w:r>
        <w:rPr>
          <w:rFonts w:ascii="Times" w:hAnsi="Times"/>
          <w:iCs/>
          <w:lang w:val="en-US"/>
        </w:rPr>
        <w:t>(IPS18800.29)</w:t>
      </w:r>
      <w:r w:rsidRPr="0014195F">
        <w:rPr>
          <w:rFonts w:ascii="Times" w:hAnsi="Times"/>
          <w:lang w:val="en-US"/>
        </w:rPr>
        <w:t>, RESBM for minimum and maximum body mass are given within parentheses.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416"/>
        <w:gridCol w:w="1850"/>
        <w:gridCol w:w="666"/>
        <w:gridCol w:w="733"/>
        <w:gridCol w:w="733"/>
        <w:gridCol w:w="733"/>
        <w:gridCol w:w="666"/>
      </w:tblGrid>
      <w:tr w:rsidR="00CA1C56" w:rsidRPr="00A37281" w14:paraId="278C9E2F" w14:textId="77777777" w:rsidTr="00A37281">
        <w:trPr>
          <w:trHeight w:val="320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91A5A7" w14:textId="7A053D55" w:rsidR="00CA1C56" w:rsidRPr="00F0455C" w:rsidRDefault="00CA1C56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SUP/INF</w:t>
            </w:r>
          </w:p>
        </w:tc>
      </w:tr>
      <w:tr w:rsidR="00F46FC3" w:rsidRPr="00A37281" w14:paraId="41852F35" w14:textId="77777777" w:rsidTr="00A3728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8E8673" w14:textId="77777777" w:rsidR="00934AD9" w:rsidRPr="00F0455C" w:rsidRDefault="00934AD9" w:rsidP="00934AD9">
            <w:pPr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 xml:space="preserve">Locomotor </w:t>
            </w:r>
            <w:proofErr w:type="spellStart"/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C8B874" w14:textId="3CADA4A1" w:rsidR="00934AD9" w:rsidRPr="00F0455C" w:rsidRDefault="00ED08EF" w:rsidP="00934AD9">
            <w:pPr>
              <w:jc w:val="center"/>
              <w:rPr>
                <w:rFonts w:ascii="Times" w:eastAsia="Times New Roman" w:hAnsi="Times" w:cs="Calibri"/>
                <w:bCs/>
                <w:i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590957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C82838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BBCF79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133AC9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proofErr w:type="spellStart"/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Range</w:t>
            </w:r>
            <w:proofErr w:type="spellEnd"/>
          </w:p>
        </w:tc>
      </w:tr>
      <w:tr w:rsidR="006E4BCA" w:rsidRPr="00A37281" w14:paraId="0434A7F9" w14:textId="77777777" w:rsidTr="00A3728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8A9F56B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Bipedalism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B39101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72A424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B3E73E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5F1C01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-0.939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662CAF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70FFC7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B55C35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0.500</w:t>
            </w:r>
          </w:p>
        </w:tc>
      </w:tr>
      <w:tr w:rsidR="006E4BCA" w:rsidRPr="00A37281" w14:paraId="2F4BA96B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731C9F1F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Knuckle-walking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2C1153C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FC812A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0" w:type="auto"/>
            <w:noWrap/>
            <w:hideMark/>
          </w:tcPr>
          <w:p w14:paraId="2981235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noWrap/>
            <w:hideMark/>
          </w:tcPr>
          <w:p w14:paraId="5A362FD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0" w:type="auto"/>
            <w:noWrap/>
            <w:hideMark/>
          </w:tcPr>
          <w:p w14:paraId="6BD6973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0" w:type="auto"/>
            <w:noWrap/>
            <w:hideMark/>
          </w:tcPr>
          <w:p w14:paraId="2273C45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0" w:type="auto"/>
            <w:noWrap/>
            <w:hideMark/>
          </w:tcPr>
          <w:p w14:paraId="4E410438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0.910</w:t>
            </w:r>
          </w:p>
        </w:tc>
      </w:tr>
      <w:tr w:rsidR="006E4BCA" w:rsidRPr="00A37281" w14:paraId="273EC8F2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04AF35E2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Suspension</w:t>
            </w:r>
            <w:proofErr w:type="spellEnd"/>
          </w:p>
        </w:tc>
        <w:tc>
          <w:tcPr>
            <w:tcW w:w="0" w:type="auto"/>
            <w:noWrap/>
            <w:hideMark/>
          </w:tcPr>
          <w:p w14:paraId="50B2C191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4B8C6C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0" w:type="auto"/>
            <w:noWrap/>
            <w:hideMark/>
          </w:tcPr>
          <w:p w14:paraId="6FAF41E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0" w:type="auto"/>
            <w:noWrap/>
            <w:hideMark/>
          </w:tcPr>
          <w:p w14:paraId="317FDA9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0" w:type="auto"/>
            <w:noWrap/>
            <w:hideMark/>
          </w:tcPr>
          <w:p w14:paraId="10F28C9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0" w:type="auto"/>
            <w:noWrap/>
            <w:hideMark/>
          </w:tcPr>
          <w:p w14:paraId="4407F7E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0" w:type="auto"/>
            <w:noWrap/>
            <w:hideMark/>
          </w:tcPr>
          <w:p w14:paraId="00BE7FF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0.990</w:t>
            </w:r>
          </w:p>
        </w:tc>
      </w:tr>
      <w:tr w:rsidR="006E4BCA" w:rsidRPr="00A37281" w14:paraId="7D3222BE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2EAFAC94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Quadrupedalism</w:t>
            </w:r>
          </w:p>
        </w:tc>
        <w:tc>
          <w:tcPr>
            <w:tcW w:w="0" w:type="auto"/>
            <w:noWrap/>
            <w:hideMark/>
          </w:tcPr>
          <w:p w14:paraId="247C85B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8238F4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noWrap/>
            <w:hideMark/>
          </w:tcPr>
          <w:p w14:paraId="673D1A7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0" w:type="auto"/>
            <w:noWrap/>
            <w:hideMark/>
          </w:tcPr>
          <w:p w14:paraId="2E2CD35F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noWrap/>
            <w:hideMark/>
          </w:tcPr>
          <w:p w14:paraId="08B5A753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noWrap/>
            <w:hideMark/>
          </w:tcPr>
          <w:p w14:paraId="3BE0DD6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0" w:type="auto"/>
            <w:noWrap/>
            <w:hideMark/>
          </w:tcPr>
          <w:p w14:paraId="3C9A0EAF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0.670</w:t>
            </w:r>
          </w:p>
        </w:tc>
      </w:tr>
      <w:tr w:rsidR="006E4BCA" w:rsidRPr="00A37281" w14:paraId="6A46B3E9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076BC4B2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Slow-climbing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4C6582E8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D5BD87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noWrap/>
            <w:hideMark/>
          </w:tcPr>
          <w:p w14:paraId="778D4E4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noWrap/>
            <w:hideMark/>
          </w:tcPr>
          <w:p w14:paraId="030131BF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0" w:type="auto"/>
            <w:noWrap/>
            <w:hideMark/>
          </w:tcPr>
          <w:p w14:paraId="5FDE1D2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0" w:type="auto"/>
            <w:noWrap/>
            <w:hideMark/>
          </w:tcPr>
          <w:p w14:paraId="6711B79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0" w:type="auto"/>
            <w:noWrap/>
            <w:hideMark/>
          </w:tcPr>
          <w:p w14:paraId="2DBDED5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0.550</w:t>
            </w:r>
          </w:p>
        </w:tc>
      </w:tr>
      <w:tr w:rsidR="006E4BCA" w:rsidRPr="00A37281" w14:paraId="31F41C25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3570F046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Vertical-</w:t>
            </w: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clingers</w:t>
            </w:r>
            <w:proofErr w:type="spellEnd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-and-</w:t>
            </w: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leapers</w:t>
            </w:r>
            <w:proofErr w:type="spellEnd"/>
          </w:p>
        </w:tc>
        <w:tc>
          <w:tcPr>
            <w:tcW w:w="0" w:type="auto"/>
            <w:noWrap/>
            <w:hideMark/>
          </w:tcPr>
          <w:p w14:paraId="48BE8638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02FF58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0" w:type="auto"/>
            <w:noWrap/>
            <w:hideMark/>
          </w:tcPr>
          <w:p w14:paraId="5AEBE89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noWrap/>
            <w:hideMark/>
          </w:tcPr>
          <w:p w14:paraId="2746651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0" w:type="auto"/>
            <w:noWrap/>
            <w:hideMark/>
          </w:tcPr>
          <w:p w14:paraId="52A1B9D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0" w:type="auto"/>
            <w:noWrap/>
            <w:hideMark/>
          </w:tcPr>
          <w:p w14:paraId="2164333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0" w:type="auto"/>
            <w:noWrap/>
            <w:hideMark/>
          </w:tcPr>
          <w:p w14:paraId="1C0CCBD3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0.680</w:t>
            </w:r>
          </w:p>
        </w:tc>
      </w:tr>
      <w:tr w:rsidR="006E4BCA" w:rsidRPr="00A37281" w14:paraId="38846079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7CE87DA5" w14:textId="6F1D580E" w:rsidR="00934AD9" w:rsidRPr="00D31145" w:rsidRDefault="00934AD9" w:rsidP="00934AD9">
            <w:pPr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  <w:t>Dryopithecus fontani</w:t>
            </w:r>
          </w:p>
        </w:tc>
        <w:tc>
          <w:tcPr>
            <w:tcW w:w="0" w:type="auto"/>
            <w:noWrap/>
            <w:hideMark/>
          </w:tcPr>
          <w:p w14:paraId="7E292AB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58670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0" w:type="auto"/>
            <w:noWrap/>
            <w:hideMark/>
          </w:tcPr>
          <w:p w14:paraId="36763CF5" w14:textId="03ECDC56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710D57AC" w14:textId="618D4C22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27E94511" w14:textId="30CD84F8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3B0B6016" w14:textId="6C3A700F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3E720DB3" w14:textId="5772DAA2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</w:tr>
      <w:tr w:rsidR="006E4BCA" w:rsidRPr="00A37281" w14:paraId="02785FD9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4975D0A2" w14:textId="77777777" w:rsidR="00934AD9" w:rsidRPr="00D31145" w:rsidRDefault="00934AD9" w:rsidP="00934AD9">
            <w:pPr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  <w:t>Hispanopithecus laietanus</w:t>
            </w:r>
          </w:p>
        </w:tc>
        <w:tc>
          <w:tcPr>
            <w:tcW w:w="0" w:type="auto"/>
            <w:noWrap/>
            <w:hideMark/>
          </w:tcPr>
          <w:p w14:paraId="47D1A60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0DC1A56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0" w:type="auto"/>
            <w:noWrap/>
            <w:hideMark/>
          </w:tcPr>
          <w:p w14:paraId="26EB3860" w14:textId="18E9EF48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28DE7A44" w14:textId="04AEB049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7A054FCD" w14:textId="77D15E61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38D36827" w14:textId="4B2B8EFF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214F839A" w14:textId="6119B0AA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</w:tr>
      <w:tr w:rsidR="00A61C66" w:rsidRPr="00A37281" w14:paraId="30F34373" w14:textId="77777777" w:rsidTr="00A37281">
        <w:trPr>
          <w:trHeight w:val="320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8BC176" w14:textId="4BBA8FE9" w:rsidR="00153C84" w:rsidRPr="00F0455C" w:rsidRDefault="00153C84" w:rsidP="00BF7030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RES</w:t>
            </w:r>
          </w:p>
        </w:tc>
      </w:tr>
      <w:tr w:rsidR="00094BA7" w:rsidRPr="00A37281" w14:paraId="710893C5" w14:textId="77777777" w:rsidTr="00A3728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F97E92" w14:textId="77777777" w:rsidR="00934AD9" w:rsidRPr="00F0455C" w:rsidRDefault="00934AD9" w:rsidP="00934AD9">
            <w:pPr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 xml:space="preserve">Locomotor </w:t>
            </w:r>
            <w:proofErr w:type="spellStart"/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794D2E" w14:textId="319B5668" w:rsidR="00934AD9" w:rsidRPr="00F0455C" w:rsidRDefault="00ED08EF" w:rsidP="00934AD9">
            <w:pPr>
              <w:jc w:val="center"/>
              <w:rPr>
                <w:rFonts w:ascii="Times" w:eastAsia="Times New Roman" w:hAnsi="Times" w:cs="Calibri"/>
                <w:bCs/>
                <w:i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92A2A5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7671F9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FF5C16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7C90EF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proofErr w:type="spellStart"/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Range</w:t>
            </w:r>
            <w:proofErr w:type="spellEnd"/>
          </w:p>
        </w:tc>
      </w:tr>
      <w:tr w:rsidR="006E4BCA" w:rsidRPr="00A37281" w14:paraId="053AFE00" w14:textId="77777777" w:rsidTr="00A3728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EEB576D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Bipedalism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585BA5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49F82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-0.219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EC2405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D2A543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-3.791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BECC3C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3.352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5206DCF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-0.501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8216C0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0.062</w:t>
            </w:r>
          </w:p>
        </w:tc>
      </w:tr>
      <w:tr w:rsidR="006E4BCA" w:rsidRPr="00A37281" w14:paraId="2B8DA6DE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432F0038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Knuckle-walking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7D28435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CACB9D3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0" w:type="auto"/>
            <w:noWrap/>
            <w:hideMark/>
          </w:tcPr>
          <w:p w14:paraId="59619D4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0" w:type="auto"/>
            <w:noWrap/>
            <w:hideMark/>
          </w:tcPr>
          <w:p w14:paraId="10DCA86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0" w:type="auto"/>
            <w:noWrap/>
            <w:hideMark/>
          </w:tcPr>
          <w:p w14:paraId="7C34726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0" w:type="auto"/>
            <w:noWrap/>
            <w:hideMark/>
          </w:tcPr>
          <w:p w14:paraId="0316634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0" w:type="auto"/>
            <w:noWrap/>
            <w:hideMark/>
          </w:tcPr>
          <w:p w14:paraId="0CEAECD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0.649</w:t>
            </w:r>
          </w:p>
        </w:tc>
      </w:tr>
      <w:tr w:rsidR="006E4BCA" w:rsidRPr="00A37281" w14:paraId="53587809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74474F2E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Suspension</w:t>
            </w:r>
            <w:proofErr w:type="spellEnd"/>
          </w:p>
        </w:tc>
        <w:tc>
          <w:tcPr>
            <w:tcW w:w="0" w:type="auto"/>
            <w:noWrap/>
            <w:hideMark/>
          </w:tcPr>
          <w:p w14:paraId="6EB57FA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3EFD78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0" w:type="auto"/>
            <w:noWrap/>
            <w:hideMark/>
          </w:tcPr>
          <w:p w14:paraId="632D35F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noWrap/>
            <w:hideMark/>
          </w:tcPr>
          <w:p w14:paraId="587CBE6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noWrap/>
            <w:hideMark/>
          </w:tcPr>
          <w:p w14:paraId="44A0E4D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0" w:type="auto"/>
            <w:noWrap/>
            <w:hideMark/>
          </w:tcPr>
          <w:p w14:paraId="6B78A04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noWrap/>
            <w:hideMark/>
          </w:tcPr>
          <w:p w14:paraId="0DAA24F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0.739</w:t>
            </w:r>
          </w:p>
        </w:tc>
      </w:tr>
      <w:tr w:rsidR="006E4BCA" w:rsidRPr="00A37281" w14:paraId="7F84B9EA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0401D17B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Quadrupedalism</w:t>
            </w:r>
          </w:p>
        </w:tc>
        <w:tc>
          <w:tcPr>
            <w:tcW w:w="0" w:type="auto"/>
            <w:noWrap/>
            <w:hideMark/>
          </w:tcPr>
          <w:p w14:paraId="54CE17D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175DA9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0" w:type="auto"/>
            <w:noWrap/>
            <w:hideMark/>
          </w:tcPr>
          <w:p w14:paraId="214EB46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0" w:type="auto"/>
            <w:noWrap/>
            <w:hideMark/>
          </w:tcPr>
          <w:p w14:paraId="636AE6E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-0.204</w:t>
            </w:r>
          </w:p>
        </w:tc>
        <w:tc>
          <w:tcPr>
            <w:tcW w:w="0" w:type="auto"/>
            <w:noWrap/>
            <w:hideMark/>
          </w:tcPr>
          <w:p w14:paraId="1729D07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0" w:type="auto"/>
            <w:noWrap/>
            <w:hideMark/>
          </w:tcPr>
          <w:p w14:paraId="3A2FA74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-0.529</w:t>
            </w:r>
          </w:p>
        </w:tc>
        <w:tc>
          <w:tcPr>
            <w:tcW w:w="0" w:type="auto"/>
            <w:noWrap/>
            <w:hideMark/>
          </w:tcPr>
          <w:p w14:paraId="5131D351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0.371</w:t>
            </w:r>
          </w:p>
        </w:tc>
      </w:tr>
      <w:tr w:rsidR="006E4BCA" w:rsidRPr="00A37281" w14:paraId="4DCED616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21DD5101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Slow-climbing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427944B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14EFB66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0" w:type="auto"/>
            <w:noWrap/>
            <w:hideMark/>
          </w:tcPr>
          <w:p w14:paraId="0E0F51BF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noWrap/>
            <w:hideMark/>
          </w:tcPr>
          <w:p w14:paraId="7CBFD01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-0.954</w:t>
            </w:r>
          </w:p>
        </w:tc>
        <w:tc>
          <w:tcPr>
            <w:tcW w:w="0" w:type="auto"/>
            <w:noWrap/>
            <w:hideMark/>
          </w:tcPr>
          <w:p w14:paraId="65A016E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0" w:type="auto"/>
            <w:noWrap/>
            <w:hideMark/>
          </w:tcPr>
          <w:p w14:paraId="499B1CB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-0.417</w:t>
            </w:r>
          </w:p>
        </w:tc>
        <w:tc>
          <w:tcPr>
            <w:tcW w:w="0" w:type="auto"/>
            <w:noWrap/>
            <w:hideMark/>
          </w:tcPr>
          <w:p w14:paraId="5EAA7EC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0.179</w:t>
            </w:r>
          </w:p>
        </w:tc>
      </w:tr>
      <w:tr w:rsidR="006E4BCA" w:rsidRPr="00A37281" w14:paraId="34A298D8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12F7E781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Vertical-</w:t>
            </w: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clingers</w:t>
            </w:r>
            <w:proofErr w:type="spellEnd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-and-</w:t>
            </w: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leapers</w:t>
            </w:r>
            <w:proofErr w:type="spellEnd"/>
          </w:p>
        </w:tc>
        <w:tc>
          <w:tcPr>
            <w:tcW w:w="0" w:type="auto"/>
            <w:noWrap/>
            <w:hideMark/>
          </w:tcPr>
          <w:p w14:paraId="4B790DB7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E0FF4C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noWrap/>
            <w:hideMark/>
          </w:tcPr>
          <w:p w14:paraId="452D70B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0" w:type="auto"/>
            <w:noWrap/>
            <w:hideMark/>
          </w:tcPr>
          <w:p w14:paraId="7B493BBF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noWrap/>
            <w:hideMark/>
          </w:tcPr>
          <w:p w14:paraId="4385FB7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0" w:type="auto"/>
            <w:noWrap/>
            <w:hideMark/>
          </w:tcPr>
          <w:p w14:paraId="060D898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0" w:type="auto"/>
            <w:noWrap/>
            <w:hideMark/>
          </w:tcPr>
          <w:p w14:paraId="5061025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0.367</w:t>
            </w:r>
          </w:p>
        </w:tc>
      </w:tr>
      <w:tr w:rsidR="006E4BCA" w:rsidRPr="00A37281" w14:paraId="31719540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5CCE71E1" w14:textId="515E1E90" w:rsidR="00934AD9" w:rsidRPr="00D31145" w:rsidRDefault="00934AD9" w:rsidP="00934AD9">
            <w:pPr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  <w:t>Dryopithecus fontani</w:t>
            </w:r>
          </w:p>
        </w:tc>
        <w:tc>
          <w:tcPr>
            <w:tcW w:w="0" w:type="auto"/>
            <w:noWrap/>
            <w:hideMark/>
          </w:tcPr>
          <w:p w14:paraId="76F3B5A7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E8CBD9A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-0.074</w:t>
            </w:r>
          </w:p>
        </w:tc>
        <w:tc>
          <w:tcPr>
            <w:tcW w:w="0" w:type="auto"/>
            <w:noWrap/>
            <w:hideMark/>
          </w:tcPr>
          <w:p w14:paraId="7852B98C" w14:textId="6C919299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18A532C3" w14:textId="2F9C374D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149922E8" w14:textId="3564620E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51DCDD5F" w14:textId="4188BA6B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21255D1B" w14:textId="6891EEF2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</w:tr>
      <w:tr w:rsidR="006E4BCA" w:rsidRPr="00A37281" w14:paraId="29E04944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6D7773D1" w14:textId="77777777" w:rsidR="00934AD9" w:rsidRPr="00D31145" w:rsidRDefault="00934AD9" w:rsidP="00934AD9">
            <w:pPr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  <w:t>Hispanopithecus laietanus</w:t>
            </w:r>
          </w:p>
        </w:tc>
        <w:tc>
          <w:tcPr>
            <w:tcW w:w="0" w:type="auto"/>
            <w:noWrap/>
            <w:hideMark/>
          </w:tcPr>
          <w:p w14:paraId="1AA30247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A9B204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0" w:type="auto"/>
            <w:noWrap/>
            <w:hideMark/>
          </w:tcPr>
          <w:p w14:paraId="2C313BE0" w14:textId="21E8A07E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77D2C754" w14:textId="50492A4D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6C35E23D" w14:textId="361EA267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6A3540C2" w14:textId="7461D76A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18024365" w14:textId="67127BFD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</w:tr>
      <w:tr w:rsidR="009F08EE" w:rsidRPr="00A37281" w14:paraId="7E3D5954" w14:textId="77777777" w:rsidTr="00A37281">
        <w:trPr>
          <w:trHeight w:val="320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1C86E5" w14:textId="77777777" w:rsidR="004A716B" w:rsidRPr="00F0455C" w:rsidRDefault="004A716B" w:rsidP="00BF7030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RESBM</w:t>
            </w:r>
          </w:p>
        </w:tc>
      </w:tr>
      <w:tr w:rsidR="006E4BCA" w:rsidRPr="00A37281" w14:paraId="1D10566D" w14:textId="77777777" w:rsidTr="00A3728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12317A" w14:textId="77777777" w:rsidR="00934AD9" w:rsidRPr="00F0455C" w:rsidRDefault="00934AD9" w:rsidP="00934AD9">
            <w:pPr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 xml:space="preserve">Locomotor </w:t>
            </w:r>
            <w:proofErr w:type="spellStart"/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00F72C" w14:textId="2F4E95CB" w:rsidR="00934AD9" w:rsidRPr="00F0455C" w:rsidRDefault="00ED08EF" w:rsidP="00934AD9">
            <w:pPr>
              <w:jc w:val="center"/>
              <w:rPr>
                <w:rFonts w:ascii="Times" w:eastAsia="Times New Roman" w:hAnsi="Times" w:cs="Calibri"/>
                <w:bCs/>
                <w:i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175BBA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26DB70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BD550A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745C7D" w14:textId="77777777" w:rsidR="00934AD9" w:rsidRPr="00F0455C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proofErr w:type="spellStart"/>
            <w:r w:rsidRPr="00F0455C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Range</w:t>
            </w:r>
            <w:proofErr w:type="spellEnd"/>
          </w:p>
        </w:tc>
      </w:tr>
      <w:tr w:rsidR="006E4BCA" w:rsidRPr="00A37281" w14:paraId="74B7FA40" w14:textId="77777777" w:rsidTr="00A3728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768953D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Bipedalism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2322406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89CAC0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D7F9A8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58D43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-2.315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1D0FB6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2.472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94A2AB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D565997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0.267</w:t>
            </w:r>
          </w:p>
        </w:tc>
      </w:tr>
      <w:tr w:rsidR="006E4BCA" w:rsidRPr="00A37281" w14:paraId="1D1186B7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510867F4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Knuckle-walking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4A88DB7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F589701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0" w:type="auto"/>
            <w:noWrap/>
            <w:hideMark/>
          </w:tcPr>
          <w:p w14:paraId="04A610B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noWrap/>
            <w:hideMark/>
          </w:tcPr>
          <w:p w14:paraId="71DB8F4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0" w:type="auto"/>
            <w:noWrap/>
            <w:hideMark/>
          </w:tcPr>
          <w:p w14:paraId="0F15428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1.166</w:t>
            </w:r>
          </w:p>
        </w:tc>
        <w:tc>
          <w:tcPr>
            <w:tcW w:w="0" w:type="auto"/>
            <w:noWrap/>
            <w:hideMark/>
          </w:tcPr>
          <w:p w14:paraId="3DA53E48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0" w:type="auto"/>
            <w:noWrap/>
            <w:hideMark/>
          </w:tcPr>
          <w:p w14:paraId="07532DD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1.160</w:t>
            </w:r>
          </w:p>
        </w:tc>
      </w:tr>
      <w:tr w:rsidR="006E4BCA" w:rsidRPr="00A37281" w14:paraId="4485B6A1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4469E183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Suspension</w:t>
            </w:r>
            <w:proofErr w:type="spellEnd"/>
          </w:p>
        </w:tc>
        <w:tc>
          <w:tcPr>
            <w:tcW w:w="0" w:type="auto"/>
            <w:noWrap/>
            <w:hideMark/>
          </w:tcPr>
          <w:p w14:paraId="2CFD3FE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A8A18B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0" w:type="auto"/>
            <w:noWrap/>
            <w:hideMark/>
          </w:tcPr>
          <w:p w14:paraId="6EE26E4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0" w:type="auto"/>
            <w:noWrap/>
            <w:hideMark/>
          </w:tcPr>
          <w:p w14:paraId="7FAE9A06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noWrap/>
            <w:hideMark/>
          </w:tcPr>
          <w:p w14:paraId="6857C366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0" w:type="auto"/>
            <w:noWrap/>
            <w:hideMark/>
          </w:tcPr>
          <w:p w14:paraId="09F01D9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0" w:type="auto"/>
            <w:noWrap/>
            <w:hideMark/>
          </w:tcPr>
          <w:p w14:paraId="5BAADA4E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0.891</w:t>
            </w:r>
          </w:p>
        </w:tc>
      </w:tr>
      <w:tr w:rsidR="006E4BCA" w:rsidRPr="00A37281" w14:paraId="6A4BD377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58BC2597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Quadrupedalism</w:t>
            </w:r>
          </w:p>
        </w:tc>
        <w:tc>
          <w:tcPr>
            <w:tcW w:w="0" w:type="auto"/>
            <w:noWrap/>
            <w:hideMark/>
          </w:tcPr>
          <w:p w14:paraId="44FAE94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8D4E17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-0.157</w:t>
            </w:r>
          </w:p>
        </w:tc>
        <w:tc>
          <w:tcPr>
            <w:tcW w:w="0" w:type="auto"/>
            <w:noWrap/>
            <w:hideMark/>
          </w:tcPr>
          <w:p w14:paraId="49DAC921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0" w:type="auto"/>
            <w:noWrap/>
            <w:hideMark/>
          </w:tcPr>
          <w:p w14:paraId="6962DF96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-0.256</w:t>
            </w:r>
          </w:p>
        </w:tc>
        <w:tc>
          <w:tcPr>
            <w:tcW w:w="0" w:type="auto"/>
            <w:noWrap/>
            <w:hideMark/>
          </w:tcPr>
          <w:p w14:paraId="11286D37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-0.059</w:t>
            </w:r>
          </w:p>
        </w:tc>
        <w:tc>
          <w:tcPr>
            <w:tcW w:w="0" w:type="auto"/>
            <w:noWrap/>
            <w:hideMark/>
          </w:tcPr>
          <w:p w14:paraId="56F283C9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-0.534</w:t>
            </w:r>
          </w:p>
        </w:tc>
        <w:tc>
          <w:tcPr>
            <w:tcW w:w="0" w:type="auto"/>
            <w:noWrap/>
            <w:hideMark/>
          </w:tcPr>
          <w:p w14:paraId="30B6A7B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0.367</w:t>
            </w:r>
          </w:p>
        </w:tc>
      </w:tr>
      <w:tr w:rsidR="006E4BCA" w:rsidRPr="00A37281" w14:paraId="78A43054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79FC75D6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Slow-climbing</w:t>
            </w:r>
            <w:proofErr w:type="spellEnd"/>
          </w:p>
        </w:tc>
        <w:tc>
          <w:tcPr>
            <w:tcW w:w="0" w:type="auto"/>
            <w:noWrap/>
            <w:hideMark/>
          </w:tcPr>
          <w:p w14:paraId="65418B6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E8CCCC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0" w:type="auto"/>
            <w:noWrap/>
            <w:hideMark/>
          </w:tcPr>
          <w:p w14:paraId="1A998FAB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0" w:type="auto"/>
            <w:noWrap/>
            <w:hideMark/>
          </w:tcPr>
          <w:p w14:paraId="102959A2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-0.725</w:t>
            </w:r>
          </w:p>
        </w:tc>
        <w:tc>
          <w:tcPr>
            <w:tcW w:w="0" w:type="auto"/>
            <w:noWrap/>
            <w:hideMark/>
          </w:tcPr>
          <w:p w14:paraId="1D604C68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0" w:type="auto"/>
            <w:noWrap/>
            <w:hideMark/>
          </w:tcPr>
          <w:p w14:paraId="1260003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-0.306</w:t>
            </w:r>
          </w:p>
        </w:tc>
        <w:tc>
          <w:tcPr>
            <w:tcW w:w="0" w:type="auto"/>
            <w:noWrap/>
            <w:hideMark/>
          </w:tcPr>
          <w:p w14:paraId="07F5B818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0.224</w:t>
            </w:r>
          </w:p>
        </w:tc>
      </w:tr>
      <w:tr w:rsidR="006E4BCA" w:rsidRPr="00A37281" w14:paraId="0BEEC951" w14:textId="77777777" w:rsidTr="006E4BC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4DDF0EE2" w14:textId="77777777" w:rsidR="00934AD9" w:rsidRPr="00D31145" w:rsidRDefault="00934AD9" w:rsidP="00934AD9">
            <w:pPr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Vertical-</w:t>
            </w: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clingers</w:t>
            </w:r>
            <w:proofErr w:type="spellEnd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-and-</w:t>
            </w:r>
            <w:proofErr w:type="spellStart"/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leapers</w:t>
            </w:r>
            <w:proofErr w:type="spellEnd"/>
          </w:p>
        </w:tc>
        <w:tc>
          <w:tcPr>
            <w:tcW w:w="0" w:type="auto"/>
            <w:noWrap/>
            <w:hideMark/>
          </w:tcPr>
          <w:p w14:paraId="014AE46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129C16D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0" w:type="auto"/>
            <w:noWrap/>
            <w:hideMark/>
          </w:tcPr>
          <w:p w14:paraId="29EE434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0" w:type="auto"/>
            <w:noWrap/>
            <w:hideMark/>
          </w:tcPr>
          <w:p w14:paraId="349891A4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5C18064C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0" w:type="auto"/>
            <w:noWrap/>
            <w:hideMark/>
          </w:tcPr>
          <w:p w14:paraId="20B67F4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-0.193</w:t>
            </w:r>
          </w:p>
        </w:tc>
        <w:tc>
          <w:tcPr>
            <w:tcW w:w="0" w:type="auto"/>
            <w:noWrap/>
            <w:hideMark/>
          </w:tcPr>
          <w:p w14:paraId="143D3A3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0.508</w:t>
            </w:r>
          </w:p>
        </w:tc>
      </w:tr>
      <w:tr w:rsidR="006E4BCA" w:rsidRPr="00A37281" w14:paraId="0463ABE4" w14:textId="77777777" w:rsidTr="008E1D7A">
        <w:trPr>
          <w:trHeight w:val="320"/>
          <w:jc w:val="center"/>
        </w:trPr>
        <w:tc>
          <w:tcPr>
            <w:tcW w:w="0" w:type="auto"/>
            <w:noWrap/>
            <w:hideMark/>
          </w:tcPr>
          <w:p w14:paraId="62ADD588" w14:textId="0ECA68F9" w:rsidR="00934AD9" w:rsidRPr="00D31145" w:rsidRDefault="00934AD9" w:rsidP="00934AD9">
            <w:pPr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  <w:t>Dryopithecus fontani</w:t>
            </w:r>
          </w:p>
        </w:tc>
        <w:tc>
          <w:tcPr>
            <w:tcW w:w="0" w:type="auto"/>
            <w:noWrap/>
            <w:hideMark/>
          </w:tcPr>
          <w:p w14:paraId="41E5A995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A7978A" w14:textId="74D5678E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0.708 (0.676</w:t>
            </w:r>
            <w:r w:rsidR="00ED08EF"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–</w:t>
            </w: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0.738)</w:t>
            </w:r>
          </w:p>
        </w:tc>
        <w:tc>
          <w:tcPr>
            <w:tcW w:w="0" w:type="auto"/>
            <w:noWrap/>
            <w:hideMark/>
          </w:tcPr>
          <w:p w14:paraId="126D5DE1" w14:textId="39F2B87C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08B744ED" w14:textId="17025F0A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79DBF6CF" w14:textId="5104C2D8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069864AE" w14:textId="3EB3CBDC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1F5B15E5" w14:textId="12A08646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</w:tr>
      <w:tr w:rsidR="006E4BCA" w:rsidRPr="00A37281" w14:paraId="0F000CA2" w14:textId="77777777" w:rsidTr="008E1D7A">
        <w:trPr>
          <w:trHeight w:val="32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EC5F80E" w14:textId="77777777" w:rsidR="00934AD9" w:rsidRPr="00D31145" w:rsidRDefault="00934AD9" w:rsidP="00934AD9">
            <w:pPr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i/>
                <w:iCs/>
                <w:color w:val="000000"/>
                <w:sz w:val="20"/>
                <w:szCs w:val="20"/>
              </w:rPr>
              <w:t>Hispanopithecus laietanus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BCA3410" w14:textId="77777777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73C10C4" w14:textId="334BEC9E" w:rsidR="00934AD9" w:rsidRPr="00D31145" w:rsidRDefault="00934AD9" w:rsidP="00934AD9">
            <w:pPr>
              <w:jc w:val="center"/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0.794 (0.829</w:t>
            </w:r>
            <w:r w:rsidR="00ED08EF"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–</w:t>
            </w:r>
            <w:r w:rsidRPr="00D31145">
              <w:rPr>
                <w:rFonts w:ascii="Times" w:eastAsia="Times New Roman" w:hAnsi="Times" w:cs="Calibri"/>
                <w:bCs/>
                <w:color w:val="000000"/>
                <w:sz w:val="20"/>
                <w:szCs w:val="20"/>
              </w:rPr>
              <w:t>0.762)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65C2FEF" w14:textId="02C1444A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9A7998D" w14:textId="4B658B05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DBA72C4" w14:textId="11932B3E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4D19A0E" w14:textId="55EEADA2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80FBE2F" w14:textId="4087FDF6" w:rsidR="00934AD9" w:rsidRPr="00D31145" w:rsidRDefault="00ED08EF" w:rsidP="00934AD9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3114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—</w:t>
            </w:r>
          </w:p>
        </w:tc>
      </w:tr>
    </w:tbl>
    <w:p w14:paraId="493E1438" w14:textId="3C9BBD64" w:rsidR="00F17EEB" w:rsidRPr="005A62D1" w:rsidRDefault="00F17EEB" w:rsidP="008E1D7A">
      <w:pPr>
        <w:spacing w:line="480" w:lineRule="auto"/>
        <w:contextualSpacing/>
        <w:rPr>
          <w:rFonts w:ascii="Times New Roman" w:hAnsi="Times New Roman" w:cs="Times New Roman"/>
          <w:lang w:val="en-US"/>
        </w:rPr>
      </w:pPr>
      <w:r w:rsidRPr="006225A5">
        <w:rPr>
          <w:rFonts w:ascii="Times" w:hAnsi="Times"/>
          <w:bCs/>
          <w:lang w:val="en-US"/>
        </w:rPr>
        <w:lastRenderedPageBreak/>
        <w:t>Abbreviations:</w:t>
      </w:r>
      <w:r w:rsidR="00195252">
        <w:rPr>
          <w:rFonts w:ascii="Times" w:hAnsi="Times"/>
          <w:bCs/>
          <w:lang w:val="en-US"/>
        </w:rPr>
        <w:t xml:space="preserve"> </w:t>
      </w:r>
      <w:r w:rsidR="00ED08EF">
        <w:rPr>
          <w:rFonts w:ascii="Times" w:hAnsi="Times"/>
          <w:bCs/>
          <w:lang w:val="en-US"/>
        </w:rPr>
        <w:t xml:space="preserve">SUP/INF = </w:t>
      </w:r>
      <w:r w:rsidR="006B40BC">
        <w:rPr>
          <w:rFonts w:ascii="Times" w:hAnsi="Times"/>
          <w:bCs/>
          <w:lang w:val="en-US"/>
        </w:rPr>
        <w:t>ratio between superior (SUP) and inferior (INF) cortical thicknesses</w:t>
      </w:r>
      <w:r w:rsidR="00ED08EF">
        <w:rPr>
          <w:rFonts w:ascii="Times" w:hAnsi="Times"/>
          <w:bCs/>
          <w:lang w:val="en-US"/>
        </w:rPr>
        <w:t xml:space="preserve">; RES = </w:t>
      </w:r>
      <w:r w:rsidR="00CC3831">
        <w:rPr>
          <w:rFonts w:ascii="Times" w:hAnsi="Times"/>
          <w:bCs/>
          <w:lang w:val="en-US"/>
        </w:rPr>
        <w:t>allometric residuals</w:t>
      </w:r>
      <w:r w:rsidR="00B2494F">
        <w:rPr>
          <w:rFonts w:ascii="Times" w:hAnsi="Times"/>
          <w:bCs/>
          <w:lang w:val="en-US"/>
        </w:rPr>
        <w:t xml:space="preserve"> for SUP vs. INF</w:t>
      </w:r>
      <w:r w:rsidR="00ED08EF">
        <w:rPr>
          <w:rFonts w:ascii="Times" w:hAnsi="Times"/>
          <w:bCs/>
          <w:lang w:val="en-US"/>
        </w:rPr>
        <w:t xml:space="preserve">; RESBM = </w:t>
      </w:r>
      <w:r w:rsidR="00B2494F">
        <w:rPr>
          <w:rFonts w:ascii="Times" w:hAnsi="Times"/>
          <w:bCs/>
          <w:lang w:val="en-US"/>
        </w:rPr>
        <w:t>allometric residuals for SUP vs. body mass (BM)</w:t>
      </w:r>
      <w:r w:rsidR="00195252">
        <w:rPr>
          <w:rFonts w:ascii="Times" w:hAnsi="Times"/>
          <w:bCs/>
          <w:lang w:val="en-US"/>
        </w:rPr>
        <w:t>.</w:t>
      </w:r>
    </w:p>
    <w:sectPr w:rsidR="00F17EEB" w:rsidRPr="005A62D1" w:rsidSect="00A61C66">
      <w:pgSz w:w="11901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C3"/>
    <w:rsid w:val="0008510F"/>
    <w:rsid w:val="00094BA7"/>
    <w:rsid w:val="000C7CDD"/>
    <w:rsid w:val="000E030A"/>
    <w:rsid w:val="000E5A3C"/>
    <w:rsid w:val="000E668B"/>
    <w:rsid w:val="001154C0"/>
    <w:rsid w:val="00130AC7"/>
    <w:rsid w:val="001362D7"/>
    <w:rsid w:val="0014195F"/>
    <w:rsid w:val="00153C84"/>
    <w:rsid w:val="0016152A"/>
    <w:rsid w:val="0019347C"/>
    <w:rsid w:val="00195252"/>
    <w:rsid w:val="001A1AFD"/>
    <w:rsid w:val="00231333"/>
    <w:rsid w:val="00257130"/>
    <w:rsid w:val="002D4899"/>
    <w:rsid w:val="003D6CB3"/>
    <w:rsid w:val="003F3C44"/>
    <w:rsid w:val="00415B78"/>
    <w:rsid w:val="00431444"/>
    <w:rsid w:val="004A716B"/>
    <w:rsid w:val="004D7D76"/>
    <w:rsid w:val="005508B3"/>
    <w:rsid w:val="005A2AE0"/>
    <w:rsid w:val="005A62D1"/>
    <w:rsid w:val="005F10C0"/>
    <w:rsid w:val="0062068B"/>
    <w:rsid w:val="006225A5"/>
    <w:rsid w:val="00654478"/>
    <w:rsid w:val="00662662"/>
    <w:rsid w:val="00682C10"/>
    <w:rsid w:val="006B40BC"/>
    <w:rsid w:val="006E4BCA"/>
    <w:rsid w:val="007145A6"/>
    <w:rsid w:val="007535CE"/>
    <w:rsid w:val="00791D1D"/>
    <w:rsid w:val="007E1836"/>
    <w:rsid w:val="00814284"/>
    <w:rsid w:val="00845A6D"/>
    <w:rsid w:val="00863C2D"/>
    <w:rsid w:val="008E1D7A"/>
    <w:rsid w:val="00927231"/>
    <w:rsid w:val="0093055D"/>
    <w:rsid w:val="00934AD9"/>
    <w:rsid w:val="00940186"/>
    <w:rsid w:val="009C6DC1"/>
    <w:rsid w:val="009F08EE"/>
    <w:rsid w:val="00A05044"/>
    <w:rsid w:val="00A37281"/>
    <w:rsid w:val="00A61C66"/>
    <w:rsid w:val="00A71BCE"/>
    <w:rsid w:val="00A74B8D"/>
    <w:rsid w:val="00AB7C7F"/>
    <w:rsid w:val="00AD31E3"/>
    <w:rsid w:val="00AE24FD"/>
    <w:rsid w:val="00AF7014"/>
    <w:rsid w:val="00B2494F"/>
    <w:rsid w:val="00BB2C24"/>
    <w:rsid w:val="00C81DE4"/>
    <w:rsid w:val="00C95C35"/>
    <w:rsid w:val="00CA1C56"/>
    <w:rsid w:val="00CC3831"/>
    <w:rsid w:val="00D24BF0"/>
    <w:rsid w:val="00D26E39"/>
    <w:rsid w:val="00D31145"/>
    <w:rsid w:val="00D51F6E"/>
    <w:rsid w:val="00D9047C"/>
    <w:rsid w:val="00E3683B"/>
    <w:rsid w:val="00E443DE"/>
    <w:rsid w:val="00E54267"/>
    <w:rsid w:val="00ED08EF"/>
    <w:rsid w:val="00F0455C"/>
    <w:rsid w:val="00F17EEB"/>
    <w:rsid w:val="00F46FC3"/>
    <w:rsid w:val="00F56434"/>
    <w:rsid w:val="00FA4D36"/>
    <w:rsid w:val="00FC6BC3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D0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B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C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C35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E5A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5A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5A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A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A3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9347C"/>
  </w:style>
  <w:style w:type="table" w:styleId="Tablaconcuadrcula">
    <w:name w:val="Table Grid"/>
    <w:basedOn w:val="Tablanormal"/>
    <w:uiPriority w:val="39"/>
    <w:rsid w:val="00AD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dcterms:created xsi:type="dcterms:W3CDTF">2018-12-05T09:24:00Z</dcterms:created>
  <dcterms:modified xsi:type="dcterms:W3CDTF">2019-08-05T09:46:00Z</dcterms:modified>
</cp:coreProperties>
</file>