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AC" w:rsidRPr="009D00AC" w:rsidRDefault="009D00AC" w:rsidP="009D00AC">
      <w:pPr>
        <w:pStyle w:val="AUTHORSNAMES"/>
        <w:rPr>
          <w:rFonts w:eastAsiaTheme="majorEastAsia"/>
          <w:bCs/>
          <w:sz w:val="36"/>
          <w:szCs w:val="56"/>
          <w:lang w:val="en-GB"/>
        </w:rPr>
      </w:pPr>
      <w:r w:rsidRPr="009D00AC">
        <w:rPr>
          <w:rFonts w:eastAsiaTheme="majorEastAsia"/>
          <w:bCs/>
          <w:sz w:val="36"/>
          <w:szCs w:val="56"/>
          <w:lang w:val="en-GB"/>
        </w:rPr>
        <w:t xml:space="preserve">Innovative methods of ground improvement for </w:t>
      </w:r>
      <w:r w:rsidR="00CD7EAC">
        <w:rPr>
          <w:rFonts w:eastAsiaTheme="majorEastAsia"/>
          <w:bCs/>
          <w:sz w:val="36"/>
          <w:szCs w:val="56"/>
          <w:lang w:val="en-GB"/>
        </w:rPr>
        <w:t xml:space="preserve">two </w:t>
      </w:r>
      <w:r w:rsidRPr="009D00AC">
        <w:rPr>
          <w:rFonts w:eastAsiaTheme="majorEastAsia"/>
          <w:bCs/>
          <w:sz w:val="36"/>
          <w:szCs w:val="56"/>
          <w:lang w:val="en-GB"/>
        </w:rPr>
        <w:t xml:space="preserve">problematic </w:t>
      </w:r>
      <w:r w:rsidR="00CD7EAC">
        <w:rPr>
          <w:rFonts w:eastAsiaTheme="majorEastAsia"/>
          <w:bCs/>
          <w:sz w:val="36"/>
          <w:szCs w:val="56"/>
          <w:lang w:val="en-GB"/>
        </w:rPr>
        <w:t xml:space="preserve">UK </w:t>
      </w:r>
      <w:r>
        <w:rPr>
          <w:rFonts w:eastAsiaTheme="majorEastAsia"/>
          <w:bCs/>
          <w:sz w:val="36"/>
          <w:szCs w:val="56"/>
          <w:lang w:val="en-GB"/>
        </w:rPr>
        <w:t xml:space="preserve">railway </w:t>
      </w:r>
      <w:r w:rsidRPr="009D00AC">
        <w:rPr>
          <w:rFonts w:eastAsiaTheme="majorEastAsia"/>
          <w:bCs/>
          <w:sz w:val="36"/>
          <w:szCs w:val="56"/>
          <w:lang w:val="en-GB"/>
        </w:rPr>
        <w:t>earthwork materials</w:t>
      </w:r>
    </w:p>
    <w:p w:rsidR="00631A78" w:rsidRPr="00D5689D" w:rsidRDefault="00700406" w:rsidP="00581EC1">
      <w:pPr>
        <w:pStyle w:val="AUTHORSNAMES"/>
        <w:rPr>
          <w:bCs/>
          <w:color w:val="FF0000"/>
        </w:rPr>
      </w:pPr>
      <w:r>
        <w:t>MAVROULIDOU</w:t>
      </w:r>
      <w:r w:rsidR="00E427A3" w:rsidRPr="00992AD1">
        <w:t xml:space="preserve"> </w:t>
      </w:r>
      <w:r>
        <w:t>M</w:t>
      </w:r>
      <w:r w:rsidR="00E427A3" w:rsidRPr="00992AD1">
        <w:t>.</w:t>
      </w:r>
      <w:r>
        <w:rPr>
          <w:vertAlign w:val="superscript"/>
        </w:rPr>
        <w:t>1</w:t>
      </w:r>
      <w:r w:rsidR="00E427A3">
        <w:rPr>
          <w:vertAlign w:val="superscript"/>
        </w:rPr>
        <w:t>*</w:t>
      </w:r>
      <w:r w:rsidR="009D00AC">
        <w:t>, SAFDAR M</w:t>
      </w:r>
      <w:r w:rsidR="00032443">
        <w:t>U</w:t>
      </w:r>
      <w:r w:rsidR="009D00AC" w:rsidRPr="009D00AC">
        <w:rPr>
          <w:vertAlign w:val="superscript"/>
        </w:rPr>
        <w:t>1</w:t>
      </w:r>
      <w:r w:rsidR="00D5689D">
        <w:t xml:space="preserve">, </w:t>
      </w:r>
      <w:r w:rsidR="009D00AC">
        <w:t xml:space="preserve">GUNN </w:t>
      </w:r>
      <w:r w:rsidR="009D00AC" w:rsidRPr="00032443">
        <w:t>MJ</w:t>
      </w:r>
      <w:r w:rsidR="009D00AC" w:rsidRPr="00032443">
        <w:rPr>
          <w:vertAlign w:val="superscript"/>
        </w:rPr>
        <w:t>1</w:t>
      </w:r>
      <w:r w:rsidR="00D5689D" w:rsidRPr="00032443">
        <w:t xml:space="preserve">, </w:t>
      </w:r>
      <w:r w:rsidR="00F918EE">
        <w:t>G</w:t>
      </w:r>
      <w:r w:rsidR="00F918EE" w:rsidRPr="00032443">
        <w:t>RAY C.</w:t>
      </w:r>
      <w:r w:rsidR="00F918EE" w:rsidRPr="00032443">
        <w:rPr>
          <w:vertAlign w:val="superscript"/>
        </w:rPr>
        <w:t>1</w:t>
      </w:r>
      <w:r w:rsidR="00F918EE">
        <w:t xml:space="preserve">, </w:t>
      </w:r>
      <w:r w:rsidR="00404045" w:rsidRPr="00032443">
        <w:rPr>
          <w:lang w:val="en-US"/>
        </w:rPr>
        <w:t xml:space="preserve">PAYNE </w:t>
      </w:r>
      <w:r w:rsidR="00404045">
        <w:rPr>
          <w:lang w:val="en-US"/>
        </w:rPr>
        <w:t>I.</w:t>
      </w:r>
      <w:r w:rsidR="00404045">
        <w:rPr>
          <w:vertAlign w:val="superscript"/>
          <w:lang w:val="en-US"/>
        </w:rPr>
        <w:t>2</w:t>
      </w:r>
      <w:r w:rsidR="00404045">
        <w:rPr>
          <w:lang w:val="en-US"/>
        </w:rPr>
        <w:t xml:space="preserve">, </w:t>
      </w:r>
      <w:r w:rsidR="00404045">
        <w:t>GARELICK J</w:t>
      </w:r>
      <w:r w:rsidR="00404045" w:rsidRPr="00992AD1">
        <w:t>.</w:t>
      </w:r>
      <w:r w:rsidR="00404045">
        <w:rPr>
          <w:vertAlign w:val="superscript"/>
        </w:rPr>
        <w:t xml:space="preserve">2 </w:t>
      </w:r>
      <w:r w:rsidR="00404045">
        <w:t xml:space="preserve">, </w:t>
      </w:r>
      <w:r w:rsidR="00404045" w:rsidRPr="00992AD1">
        <w:rPr>
          <w:lang w:val="en-US"/>
        </w:rPr>
        <w:t>and</w:t>
      </w:r>
      <w:r w:rsidR="00D5689D" w:rsidRPr="00032443">
        <w:t xml:space="preserve"> </w:t>
      </w:r>
      <w:r w:rsidR="00404045" w:rsidRPr="00032443">
        <w:t>PURCHASE D.</w:t>
      </w:r>
      <w:r w:rsidR="00404045">
        <w:rPr>
          <w:vertAlign w:val="superscript"/>
        </w:rPr>
        <w:t>3</w:t>
      </w:r>
    </w:p>
    <w:p w:rsidR="009D00AC" w:rsidRDefault="00700406" w:rsidP="009D00AC">
      <w:pPr>
        <w:spacing w:line="240" w:lineRule="atLeast"/>
        <w:rPr>
          <w:sz w:val="18"/>
          <w:szCs w:val="20"/>
          <w:lang w:val="en-US"/>
        </w:rPr>
      </w:pPr>
      <w:r>
        <w:rPr>
          <w:sz w:val="18"/>
          <w:szCs w:val="20"/>
          <w:vertAlign w:val="superscript"/>
          <w:lang w:val="en-US"/>
        </w:rPr>
        <w:t>1</w:t>
      </w:r>
      <w:r>
        <w:rPr>
          <w:sz w:val="18"/>
          <w:szCs w:val="20"/>
          <w:lang w:val="en-US"/>
        </w:rPr>
        <w:t>London South Bank University, 103 Borough Road, SE1 OAA, London, UK</w:t>
      </w:r>
    </w:p>
    <w:p w:rsidR="00404045" w:rsidRDefault="00404045" w:rsidP="00404045">
      <w:pPr>
        <w:spacing w:line="240" w:lineRule="atLeast"/>
        <w:rPr>
          <w:sz w:val="18"/>
          <w:szCs w:val="20"/>
          <w:lang w:val="en-GB"/>
        </w:rPr>
      </w:pPr>
      <w:r>
        <w:rPr>
          <w:sz w:val="18"/>
          <w:szCs w:val="20"/>
          <w:vertAlign w:val="superscript"/>
          <w:lang w:val="en-GB"/>
        </w:rPr>
        <w:t>2</w:t>
      </w:r>
      <w:r w:rsidR="009D00AC" w:rsidRPr="009D00AC">
        <w:rPr>
          <w:sz w:val="18"/>
          <w:szCs w:val="20"/>
          <w:lang w:val="en-GB"/>
        </w:rPr>
        <w:t xml:space="preserve">Network Rail, UK </w:t>
      </w:r>
    </w:p>
    <w:p w:rsidR="00404045" w:rsidRPr="009D00AC" w:rsidRDefault="00404045" w:rsidP="00404045">
      <w:pPr>
        <w:spacing w:line="240" w:lineRule="atLeast"/>
        <w:rPr>
          <w:sz w:val="18"/>
          <w:szCs w:val="20"/>
          <w:lang w:val="en-GB"/>
        </w:rPr>
      </w:pPr>
      <w:r>
        <w:rPr>
          <w:sz w:val="18"/>
          <w:szCs w:val="20"/>
          <w:vertAlign w:val="superscript"/>
          <w:lang w:val="en-GB"/>
        </w:rPr>
        <w:t>3</w:t>
      </w:r>
      <w:r w:rsidRPr="009D00AC">
        <w:rPr>
          <w:sz w:val="18"/>
          <w:szCs w:val="20"/>
          <w:lang w:val="en-GB"/>
        </w:rPr>
        <w:t>School of Natural Sciences, Faculty of Science and Technology, Middlesex University, UK</w:t>
      </w:r>
    </w:p>
    <w:p w:rsidR="009D00AC" w:rsidRPr="009D00AC" w:rsidRDefault="009D00AC" w:rsidP="009D00AC">
      <w:pPr>
        <w:spacing w:line="240" w:lineRule="atLeast"/>
        <w:rPr>
          <w:sz w:val="18"/>
          <w:szCs w:val="20"/>
          <w:lang w:val="en-GB"/>
        </w:rPr>
      </w:pPr>
    </w:p>
    <w:p w:rsidR="00C7601B" w:rsidRPr="006C3F3F" w:rsidRDefault="00C7601B" w:rsidP="00E427A3">
      <w:pPr>
        <w:spacing w:before="120" w:line="240" w:lineRule="atLeast"/>
        <w:rPr>
          <w:sz w:val="18"/>
          <w:szCs w:val="20"/>
        </w:rPr>
      </w:pPr>
      <w:r w:rsidRPr="006C3F3F">
        <w:rPr>
          <w:sz w:val="18"/>
          <w:szCs w:val="20"/>
        </w:rPr>
        <w:t>*</w:t>
      </w:r>
      <w:r w:rsidR="004D1062">
        <w:rPr>
          <w:sz w:val="18"/>
          <w:szCs w:val="20"/>
        </w:rPr>
        <w:t>corres</w:t>
      </w:r>
      <w:r w:rsidR="00E427A3">
        <w:rPr>
          <w:sz w:val="18"/>
          <w:szCs w:val="20"/>
        </w:rPr>
        <w:t>ponding author</w:t>
      </w:r>
      <w:r w:rsidRPr="006C3F3F">
        <w:rPr>
          <w:sz w:val="18"/>
          <w:szCs w:val="20"/>
        </w:rPr>
        <w:t>:</w:t>
      </w:r>
    </w:p>
    <w:p w:rsidR="00C7601B" w:rsidRPr="000D6291" w:rsidRDefault="00C7601B" w:rsidP="00BC5C28">
      <w:pPr>
        <w:pBdr>
          <w:bottom w:val="single" w:sz="4" w:space="1" w:color="auto"/>
        </w:pBdr>
        <w:spacing w:line="240" w:lineRule="atLeast"/>
        <w:rPr>
          <w:b/>
          <w:sz w:val="18"/>
          <w:szCs w:val="20"/>
          <w:lang w:val="en-GB"/>
        </w:rPr>
      </w:pPr>
      <w:r w:rsidRPr="006C3F3F">
        <w:rPr>
          <w:sz w:val="18"/>
          <w:szCs w:val="20"/>
        </w:rPr>
        <w:t>e-mail:</w:t>
      </w:r>
      <w:r w:rsidRPr="006C3F3F">
        <w:rPr>
          <w:sz w:val="18"/>
          <w:szCs w:val="20"/>
          <w:shd w:val="clear" w:color="auto" w:fill="FFFFFF"/>
        </w:rPr>
        <w:t xml:space="preserve"> </w:t>
      </w:r>
      <w:r w:rsidR="009B5BD4">
        <w:rPr>
          <w:sz w:val="18"/>
          <w:szCs w:val="20"/>
        </w:rPr>
        <w:t>mavroum@lsbu.ac.uk</w:t>
      </w:r>
    </w:p>
    <w:p w:rsidR="00D66B5B" w:rsidRPr="000D6291" w:rsidRDefault="00D66B5B" w:rsidP="00C7601B">
      <w:pPr>
        <w:spacing w:after="80" w:line="240" w:lineRule="atLeast"/>
        <w:jc w:val="both"/>
        <w:rPr>
          <w:b/>
          <w:sz w:val="22"/>
          <w:szCs w:val="22"/>
          <w:lang w:val="en-GB"/>
        </w:rPr>
      </w:pPr>
    </w:p>
    <w:p w:rsidR="00D66B5B" w:rsidRPr="000D6291" w:rsidRDefault="00D66B5B" w:rsidP="00C7601B">
      <w:pPr>
        <w:spacing w:after="80" w:line="240" w:lineRule="atLeast"/>
        <w:jc w:val="both"/>
        <w:rPr>
          <w:b/>
          <w:sz w:val="22"/>
          <w:szCs w:val="22"/>
          <w:lang w:val="en-GB"/>
        </w:rPr>
        <w:sectPr w:rsidR="00D66B5B" w:rsidRPr="000D6291" w:rsidSect="001A505F">
          <w:headerReference w:type="first" r:id="rId9"/>
          <w:type w:val="continuous"/>
          <w:pgSz w:w="11906" w:h="16838" w:code="9"/>
          <w:pgMar w:top="1021" w:right="1021" w:bottom="1021" w:left="1134" w:header="720" w:footer="720" w:gutter="0"/>
          <w:pgNumType w:start="1"/>
          <w:cols w:space="708"/>
          <w:titlePg/>
          <w:docGrid w:linePitch="360"/>
        </w:sectPr>
      </w:pPr>
    </w:p>
    <w:p w:rsidR="00445AB0" w:rsidRPr="00445AB0" w:rsidRDefault="00BC5C28" w:rsidP="00445AB0">
      <w:pPr>
        <w:pStyle w:val="TEXT"/>
        <w:rPr>
          <w:lang w:val="en-GB"/>
        </w:rPr>
      </w:pPr>
      <w:r w:rsidRPr="00992AD1">
        <w:rPr>
          <w:b/>
        </w:rPr>
        <w:lastRenderedPageBreak/>
        <w:t>Abstract</w:t>
      </w:r>
      <w:r w:rsidR="000C5670">
        <w:rPr>
          <w:b/>
        </w:rPr>
        <w:t xml:space="preserve"> </w:t>
      </w:r>
      <w:r w:rsidR="00DD2C19">
        <w:rPr>
          <w:lang w:val="en-GB"/>
        </w:rPr>
        <w:t>The paper</w:t>
      </w:r>
      <w:r w:rsidR="009D00AC" w:rsidRPr="009D00AC">
        <w:rPr>
          <w:lang w:val="en-GB"/>
        </w:rPr>
        <w:t xml:space="preserve"> focuses on emerging (bio-)</w:t>
      </w:r>
      <w:r w:rsidR="00334FB5">
        <w:rPr>
          <w:lang w:val="en-GB"/>
        </w:rPr>
        <w:t xml:space="preserve"> </w:t>
      </w:r>
      <w:r w:rsidR="009D00AC" w:rsidRPr="009D00AC">
        <w:rPr>
          <w:lang w:val="en-GB"/>
        </w:rPr>
        <w:t xml:space="preserve">chemical techniques used to improve engineering properties of two problematic earthwork materials of the UK rail network </w:t>
      </w:r>
      <w:r w:rsidR="00DD2C19">
        <w:rPr>
          <w:lang w:val="en-GB"/>
        </w:rPr>
        <w:t>to address transport earthwork</w:t>
      </w:r>
      <w:r w:rsidR="009D00AC" w:rsidRPr="009D00AC">
        <w:rPr>
          <w:lang w:val="en-GB"/>
        </w:rPr>
        <w:t xml:space="preserve"> infrastructure resilience in view of climate change</w:t>
      </w:r>
      <w:r w:rsidR="00DD2C19">
        <w:rPr>
          <w:lang w:val="en-GB"/>
        </w:rPr>
        <w:t>. S</w:t>
      </w:r>
      <w:r w:rsidR="009D00AC" w:rsidRPr="009D00AC">
        <w:rPr>
          <w:lang w:val="en-GB"/>
        </w:rPr>
        <w:t>tudied techniques include novel cement</w:t>
      </w:r>
      <w:r w:rsidR="004928BE">
        <w:rPr>
          <w:lang w:val="en-GB"/>
        </w:rPr>
        <w:t>ing</w:t>
      </w:r>
      <w:r w:rsidR="009D00AC" w:rsidRPr="009D00AC">
        <w:rPr>
          <w:lang w:val="en-GB"/>
        </w:rPr>
        <w:t xml:space="preserve"> </w:t>
      </w:r>
      <w:r w:rsidR="004928BE">
        <w:rPr>
          <w:lang w:val="en-GB"/>
        </w:rPr>
        <w:t>agents</w:t>
      </w:r>
      <w:r w:rsidR="009D00AC" w:rsidRPr="009D00AC">
        <w:rPr>
          <w:lang w:val="en-GB"/>
        </w:rPr>
        <w:t xml:space="preserve"> (</w:t>
      </w:r>
      <w:r w:rsidR="00DD2C19">
        <w:rPr>
          <w:lang w:val="en-GB"/>
        </w:rPr>
        <w:t xml:space="preserve">e.g. </w:t>
      </w:r>
      <w:r w:rsidR="009D00AC" w:rsidRPr="009D00AC">
        <w:rPr>
          <w:lang w:val="en-GB"/>
        </w:rPr>
        <w:t>alkali-activated cements), and</w:t>
      </w:r>
      <w:r w:rsidR="00B45F7E">
        <w:rPr>
          <w:lang w:val="en-GB"/>
        </w:rPr>
        <w:t>/or</w:t>
      </w:r>
      <w:r w:rsidR="009D00AC" w:rsidRPr="009D00AC">
        <w:rPr>
          <w:lang w:val="en-GB"/>
        </w:rPr>
        <w:t xml:space="preserve"> soil cementation through calcite precipitation </w:t>
      </w:r>
      <w:r w:rsidR="00DD2C19">
        <w:rPr>
          <w:lang w:val="en-GB"/>
        </w:rPr>
        <w:t>mediated</w:t>
      </w:r>
      <w:r w:rsidR="009D00AC" w:rsidRPr="009D00AC">
        <w:rPr>
          <w:lang w:val="en-GB"/>
        </w:rPr>
        <w:t xml:space="preserve"> by screened and isolated non-pathogenic indigenous </w:t>
      </w:r>
      <w:r w:rsidR="00DD2C19">
        <w:rPr>
          <w:lang w:val="en-GB"/>
        </w:rPr>
        <w:t>bacteria</w:t>
      </w:r>
      <w:r w:rsidR="009D00AC" w:rsidRPr="009D00AC">
        <w:rPr>
          <w:lang w:val="en-GB"/>
        </w:rPr>
        <w:t xml:space="preserve">, </w:t>
      </w:r>
      <w:r w:rsidR="00DD2C19">
        <w:rPr>
          <w:lang w:val="en-GB"/>
        </w:rPr>
        <w:t>enhanced</w:t>
      </w:r>
      <w:r w:rsidR="009D00AC" w:rsidRPr="009D00AC">
        <w:rPr>
          <w:lang w:val="en-GB"/>
        </w:rPr>
        <w:t xml:space="preserve"> </w:t>
      </w:r>
      <w:r w:rsidR="0039477B">
        <w:rPr>
          <w:lang w:val="en-GB"/>
        </w:rPr>
        <w:t xml:space="preserve">by </w:t>
      </w:r>
      <w:r w:rsidR="00B45F7E">
        <w:rPr>
          <w:lang w:val="en-GB"/>
        </w:rPr>
        <w:t xml:space="preserve">bioaugmentation </w:t>
      </w:r>
      <w:r w:rsidR="0039477B">
        <w:rPr>
          <w:lang w:val="en-GB"/>
        </w:rPr>
        <w:t>and electr</w:t>
      </w:r>
      <w:r w:rsidR="00CD7EAC">
        <w:rPr>
          <w:lang w:val="en-GB"/>
        </w:rPr>
        <w:t>o</w:t>
      </w:r>
      <w:r w:rsidR="0039477B">
        <w:rPr>
          <w:lang w:val="en-GB"/>
        </w:rPr>
        <w:t>kinetic treatment</w:t>
      </w:r>
      <w:r w:rsidR="009D00AC" w:rsidRPr="009D00AC">
        <w:rPr>
          <w:lang w:val="en-GB"/>
        </w:rPr>
        <w:t>.</w:t>
      </w:r>
      <w:r w:rsidR="00445AB0" w:rsidRPr="00445AB0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r w:rsidR="00445AB0" w:rsidRPr="00445AB0">
        <w:rPr>
          <w:lang w:val="en-GB"/>
        </w:rPr>
        <w:t xml:space="preserve">The </w:t>
      </w:r>
      <w:r w:rsidR="00DD2C19">
        <w:rPr>
          <w:lang w:val="en-GB"/>
        </w:rPr>
        <w:t>proposed treatments</w:t>
      </w:r>
      <w:r w:rsidR="00445AB0" w:rsidRPr="00445AB0">
        <w:rPr>
          <w:lang w:val="en-GB"/>
        </w:rPr>
        <w:t xml:space="preserve"> </w:t>
      </w:r>
      <w:r w:rsidR="00DD2C19">
        <w:rPr>
          <w:lang w:val="en-GB"/>
        </w:rPr>
        <w:t>were</w:t>
      </w:r>
      <w:r w:rsidR="00445AB0" w:rsidRPr="00445AB0">
        <w:rPr>
          <w:lang w:val="en-GB"/>
        </w:rPr>
        <w:t xml:space="preserve"> evaluated based on unconfined compressive strength (UCS).</w:t>
      </w:r>
      <w:r w:rsidR="0039477B" w:rsidRPr="0039477B">
        <w:t xml:space="preserve"> </w:t>
      </w:r>
      <w:r w:rsidR="0039477B">
        <w:t xml:space="preserve">For the ash, </w:t>
      </w:r>
      <w:r w:rsidR="004928BE">
        <w:t xml:space="preserve">regular </w:t>
      </w:r>
      <w:r w:rsidR="0039477B" w:rsidRPr="0039477B">
        <w:t xml:space="preserve">cement gave the best results </w:t>
      </w:r>
      <w:r w:rsidR="0039477B">
        <w:t>however the</w:t>
      </w:r>
      <w:r w:rsidR="0039477B" w:rsidRPr="0039477B">
        <w:t xml:space="preserve"> feasibility of using alternative stabilisers </w:t>
      </w:r>
      <w:r w:rsidR="0039477B">
        <w:t xml:space="preserve">merits further study. </w:t>
      </w:r>
      <w:r w:rsidR="00E72A3D">
        <w:t xml:space="preserve">UCS </w:t>
      </w:r>
      <w:r w:rsidR="00E72A3D">
        <w:rPr>
          <w:lang w:val="en-GB"/>
        </w:rPr>
        <w:t>and</w:t>
      </w:r>
      <w:r w:rsidR="00E72A3D" w:rsidRPr="0039477B">
        <w:rPr>
          <w:lang w:val="en-GB"/>
        </w:rPr>
        <w:t xml:space="preserve"> CaCO</w:t>
      </w:r>
      <w:r w:rsidR="00E72A3D" w:rsidRPr="0039477B">
        <w:rPr>
          <w:vertAlign w:val="subscript"/>
          <w:lang w:val="en-GB"/>
        </w:rPr>
        <w:t>3</w:t>
      </w:r>
      <w:r w:rsidR="00E72A3D" w:rsidRPr="0039477B">
        <w:rPr>
          <w:lang w:val="en-GB"/>
        </w:rPr>
        <w:t xml:space="preserve"> measurements</w:t>
      </w:r>
      <w:r w:rsidR="00E72A3D">
        <w:rPr>
          <w:lang w:val="en-GB"/>
        </w:rPr>
        <w:t xml:space="preserve"> </w:t>
      </w:r>
      <w:r w:rsidR="00B47B17">
        <w:rPr>
          <w:lang w:val="en-GB"/>
        </w:rPr>
        <w:t>proved b</w:t>
      </w:r>
      <w:r w:rsidR="003865CE" w:rsidRPr="0039477B">
        <w:rPr>
          <w:lang w:val="en-GB"/>
        </w:rPr>
        <w:t>iocementation</w:t>
      </w:r>
      <w:r w:rsidR="003865CE">
        <w:rPr>
          <w:lang w:val="en-GB"/>
        </w:rPr>
        <w:t xml:space="preserve"> </w:t>
      </w:r>
      <w:r w:rsidR="00E72A3D">
        <w:rPr>
          <w:lang w:val="en-GB"/>
        </w:rPr>
        <w:t xml:space="preserve">of </w:t>
      </w:r>
      <w:r w:rsidR="0039477B">
        <w:t>peat</w:t>
      </w:r>
      <w:r w:rsidR="003865CE">
        <w:t xml:space="preserve"> </w:t>
      </w:r>
      <w:r w:rsidR="003865CE">
        <w:rPr>
          <w:lang w:val="en-GB"/>
        </w:rPr>
        <w:t xml:space="preserve">for </w:t>
      </w:r>
      <w:r w:rsidR="003865CE" w:rsidRPr="0039477B">
        <w:rPr>
          <w:lang w:val="en-GB"/>
        </w:rPr>
        <w:t>a number of treatment combinations</w:t>
      </w:r>
      <w:r w:rsidR="0039477B" w:rsidRPr="0039477B">
        <w:rPr>
          <w:lang w:val="en-GB"/>
        </w:rPr>
        <w:t xml:space="preserve">. </w:t>
      </w:r>
      <w:r w:rsidR="00E72A3D">
        <w:rPr>
          <w:lang w:val="en-GB"/>
        </w:rPr>
        <w:t xml:space="preserve">Electrokinetic treatment enhanced the strength of the peat. </w:t>
      </w:r>
      <w:r w:rsidR="0039477B" w:rsidRPr="0039477B">
        <w:rPr>
          <w:lang w:val="en-GB"/>
        </w:rPr>
        <w:t xml:space="preserve">Ongoing work </w:t>
      </w:r>
      <w:r w:rsidR="003865CE" w:rsidRPr="0039477B">
        <w:rPr>
          <w:lang w:val="en-GB"/>
        </w:rPr>
        <w:t xml:space="preserve">is carried out </w:t>
      </w:r>
      <w:r w:rsidR="003865CE">
        <w:rPr>
          <w:lang w:val="en-GB"/>
        </w:rPr>
        <w:t>to</w:t>
      </w:r>
      <w:r w:rsidR="0039477B" w:rsidRPr="0039477B">
        <w:rPr>
          <w:lang w:val="en-GB"/>
        </w:rPr>
        <w:t xml:space="preserve"> </w:t>
      </w:r>
      <w:r w:rsidR="003865CE">
        <w:rPr>
          <w:lang w:val="en-GB"/>
        </w:rPr>
        <w:t xml:space="preserve">optimise </w:t>
      </w:r>
      <w:r w:rsidR="0039477B" w:rsidRPr="0039477B">
        <w:rPr>
          <w:lang w:val="en-GB"/>
        </w:rPr>
        <w:t>treatments and implementation methods towards the upscaling of the techniques</w:t>
      </w:r>
      <w:r w:rsidR="003865CE">
        <w:rPr>
          <w:lang w:val="en-GB"/>
        </w:rPr>
        <w:t>.</w:t>
      </w:r>
    </w:p>
    <w:p w:rsidR="009D00AC" w:rsidRPr="009D00AC" w:rsidRDefault="009D00AC" w:rsidP="009D00AC">
      <w:pPr>
        <w:pStyle w:val="TEXT"/>
        <w:rPr>
          <w:lang w:val="en-GB"/>
        </w:rPr>
      </w:pPr>
    </w:p>
    <w:p w:rsidR="003740C3" w:rsidRPr="00937E91" w:rsidRDefault="00631A78" w:rsidP="006D67AA">
      <w:pPr>
        <w:pStyle w:val="TEXT"/>
      </w:pPr>
      <w:r w:rsidRPr="006C3F3F">
        <w:rPr>
          <w:b/>
        </w:rPr>
        <w:t xml:space="preserve">Keywords: </w:t>
      </w:r>
      <w:r w:rsidR="009D00AC" w:rsidRPr="009D00AC">
        <w:rPr>
          <w:bCs/>
          <w:lang w:val="en-GB"/>
        </w:rPr>
        <w:t>Disaster risk ma</w:t>
      </w:r>
      <w:r w:rsidR="00B45F7E">
        <w:rPr>
          <w:bCs/>
          <w:lang w:val="en-GB"/>
        </w:rPr>
        <w:t>n</w:t>
      </w:r>
      <w:r w:rsidR="009D00AC" w:rsidRPr="009D00AC">
        <w:rPr>
          <w:bCs/>
          <w:lang w:val="en-GB"/>
        </w:rPr>
        <w:t>agement;</w:t>
      </w:r>
      <w:r w:rsidR="009D00AC" w:rsidRPr="009D00AC">
        <w:rPr>
          <w:b/>
          <w:bCs/>
          <w:lang w:val="en-GB"/>
        </w:rPr>
        <w:t xml:space="preserve"> </w:t>
      </w:r>
      <w:r w:rsidR="009D00AC" w:rsidRPr="009D00AC">
        <w:rPr>
          <w:bCs/>
          <w:lang w:val="en-GB"/>
        </w:rPr>
        <w:t xml:space="preserve">Solid waste management; sustainability; </w:t>
      </w:r>
      <w:r w:rsidR="009D00AC">
        <w:rPr>
          <w:bCs/>
          <w:lang w:val="en-GB"/>
        </w:rPr>
        <w:t>innovative</w:t>
      </w:r>
      <w:r w:rsidR="009D00AC" w:rsidRPr="009D00AC">
        <w:rPr>
          <w:bCs/>
          <w:lang w:val="en-GB"/>
        </w:rPr>
        <w:t xml:space="preserve"> cements; calcite precipitation</w:t>
      </w:r>
      <w:r w:rsidR="009D00AC" w:rsidRPr="009D00AC">
        <w:rPr>
          <w:lang w:val="en-GB"/>
        </w:rPr>
        <w:t xml:space="preserve">; </w:t>
      </w:r>
      <w:r w:rsidR="0039477B">
        <w:rPr>
          <w:lang w:val="en-GB"/>
        </w:rPr>
        <w:t xml:space="preserve">electrokinetics; </w:t>
      </w:r>
      <w:r w:rsidR="009D00AC" w:rsidRPr="009D00AC">
        <w:rPr>
          <w:lang w:val="en-GB"/>
        </w:rPr>
        <w:t>ground improvement.</w:t>
      </w:r>
      <w:r w:rsidR="009D00AC" w:rsidRPr="009D00AC">
        <w:rPr>
          <w:b/>
          <w:bCs/>
          <w:lang w:val="en-GB"/>
        </w:rPr>
        <w:t> </w:t>
      </w:r>
    </w:p>
    <w:p w:rsidR="0058292C" w:rsidRPr="006C3F3F" w:rsidRDefault="00C7601B" w:rsidP="00581EC1">
      <w:pPr>
        <w:pStyle w:val="Maintitle"/>
      </w:pPr>
      <w:r w:rsidRPr="006C3F3F">
        <w:t>I</w:t>
      </w:r>
      <w:r w:rsidR="0058292C" w:rsidRPr="006C3F3F">
        <w:t>ntroduction</w:t>
      </w:r>
    </w:p>
    <w:p w:rsidR="007704A4" w:rsidRDefault="00445AB0" w:rsidP="008B6598">
      <w:pPr>
        <w:pStyle w:val="CommentText"/>
        <w:spacing w:after="80"/>
        <w:jc w:val="both"/>
      </w:pPr>
      <w:r w:rsidRPr="009D00AC">
        <w:rPr>
          <w:lang w:val="en-GB"/>
        </w:rPr>
        <w:t>In a number of European countries, old and poorly constructed railway transport infrastructure earthworks are suffering from serviceability problems or failures</w:t>
      </w:r>
      <w:r w:rsidR="000D167F">
        <w:rPr>
          <w:lang w:val="en-GB"/>
        </w:rPr>
        <w:t>.</w:t>
      </w:r>
      <w:r w:rsidRPr="009D00AC">
        <w:rPr>
          <w:lang w:val="en-GB"/>
        </w:rPr>
        <w:t xml:space="preserve"> </w:t>
      </w:r>
      <w:r w:rsidR="000D167F">
        <w:rPr>
          <w:lang w:val="en-GB"/>
        </w:rPr>
        <w:t>They</w:t>
      </w:r>
      <w:r w:rsidRPr="009D00AC">
        <w:rPr>
          <w:lang w:val="en-GB"/>
        </w:rPr>
        <w:t xml:space="preserve"> </w:t>
      </w:r>
      <w:r w:rsidR="000D167F">
        <w:rPr>
          <w:lang w:val="en-GB"/>
        </w:rPr>
        <w:t>require</w:t>
      </w:r>
      <w:r w:rsidRPr="009D00AC">
        <w:rPr>
          <w:lang w:val="en-GB"/>
        </w:rPr>
        <w:t xml:space="preserve"> continuing and costly maintenance/</w:t>
      </w:r>
      <w:r w:rsidR="006D0678">
        <w:rPr>
          <w:lang w:val="en-GB"/>
        </w:rPr>
        <w:t xml:space="preserve"> </w:t>
      </w:r>
      <w:r w:rsidRPr="009D00AC">
        <w:rPr>
          <w:lang w:val="en-GB"/>
        </w:rPr>
        <w:t xml:space="preserve">remediation works that </w:t>
      </w:r>
      <w:r w:rsidR="003865CE">
        <w:rPr>
          <w:lang w:val="en-GB"/>
        </w:rPr>
        <w:t>produces</w:t>
      </w:r>
      <w:r w:rsidRPr="009D00AC">
        <w:rPr>
          <w:lang w:val="en-GB"/>
        </w:rPr>
        <w:t xml:space="preserve"> considerable waste and environmental pollution. </w:t>
      </w:r>
      <w:r w:rsidR="00D5689D" w:rsidRPr="00D5689D">
        <w:rPr>
          <w:lang w:val="en-GB"/>
        </w:rPr>
        <w:t xml:space="preserve">This is becoming a major constraint for railway owners and operators, especially in </w:t>
      </w:r>
      <w:r w:rsidR="000D167F">
        <w:rPr>
          <w:lang w:val="en-GB"/>
        </w:rPr>
        <w:t>view</w:t>
      </w:r>
      <w:r w:rsidR="00D5689D" w:rsidRPr="00D5689D">
        <w:rPr>
          <w:lang w:val="en-GB"/>
        </w:rPr>
        <w:t xml:space="preserve"> of the increased risk of hazards posed by climate change.</w:t>
      </w:r>
      <w:r w:rsidR="00FE59CF" w:rsidRPr="00FE59CF">
        <w:rPr>
          <w:lang w:val="en-GB"/>
        </w:rPr>
        <w:t xml:space="preserve"> </w:t>
      </w:r>
      <w:r w:rsidR="003865CE">
        <w:rPr>
          <w:lang w:val="en-GB"/>
        </w:rPr>
        <w:t>In this paper we study in situ chemical stabilisation for</w:t>
      </w:r>
      <w:r w:rsidR="000D167F">
        <w:rPr>
          <w:lang w:val="en-GB"/>
        </w:rPr>
        <w:t xml:space="preserve"> improved sustainability of </w:t>
      </w:r>
      <w:r w:rsidR="00E72A3D">
        <w:rPr>
          <w:lang w:val="en-GB"/>
        </w:rPr>
        <w:t>maintenance practices</w:t>
      </w:r>
      <w:r w:rsidR="003865CE">
        <w:rPr>
          <w:lang w:val="en-GB"/>
        </w:rPr>
        <w:t>. We focus on</w:t>
      </w:r>
      <w:r w:rsidR="00A67ECC">
        <w:rPr>
          <w:lang w:val="en-GB"/>
        </w:rPr>
        <w:t xml:space="preserve"> two problematic materials of the UK railway network</w:t>
      </w:r>
      <w:r w:rsidR="00FE59CF">
        <w:rPr>
          <w:lang w:val="en-GB"/>
        </w:rPr>
        <w:t xml:space="preserve">, </w:t>
      </w:r>
      <w:r w:rsidR="00A67ECC">
        <w:rPr>
          <w:lang w:val="en-GB"/>
        </w:rPr>
        <w:t>namely</w:t>
      </w:r>
      <w:r w:rsidR="00FE59CF">
        <w:rPr>
          <w:lang w:val="en-GB"/>
        </w:rPr>
        <w:t xml:space="preserve"> </w:t>
      </w:r>
      <w:r w:rsidR="00FE59CF" w:rsidRPr="009D00AC">
        <w:rPr>
          <w:lang w:val="en-GB"/>
        </w:rPr>
        <w:t xml:space="preserve">peat (a soft foundation </w:t>
      </w:r>
      <w:r w:rsidR="003865CE">
        <w:rPr>
          <w:lang w:val="en-GB"/>
        </w:rPr>
        <w:t>soil</w:t>
      </w:r>
      <w:r w:rsidR="00B70318">
        <w:rPr>
          <w:lang w:val="en-GB"/>
        </w:rPr>
        <w:t xml:space="preserve"> also subject to oxidation wastage</w:t>
      </w:r>
      <w:r w:rsidR="00FE59CF" w:rsidRPr="009D00AC">
        <w:rPr>
          <w:lang w:val="en-GB"/>
        </w:rPr>
        <w:t>) and locomotive coal ash, used as a regulatory layer in the late 19</w:t>
      </w:r>
      <w:r w:rsidR="00FE59CF" w:rsidRPr="009D00AC">
        <w:rPr>
          <w:vertAlign w:val="superscript"/>
          <w:lang w:val="en-GB"/>
        </w:rPr>
        <w:t>th</w:t>
      </w:r>
      <w:r w:rsidR="00FE59CF" w:rsidRPr="009D00AC">
        <w:rPr>
          <w:lang w:val="en-GB"/>
        </w:rPr>
        <w:t xml:space="preserve"> and early 20</w:t>
      </w:r>
      <w:r w:rsidR="00FE59CF" w:rsidRPr="009D00AC">
        <w:rPr>
          <w:vertAlign w:val="superscript"/>
          <w:lang w:val="en-GB"/>
        </w:rPr>
        <w:t>th</w:t>
      </w:r>
      <w:r w:rsidR="00FE59CF" w:rsidRPr="009D00AC">
        <w:rPr>
          <w:lang w:val="en-GB"/>
        </w:rPr>
        <w:t xml:space="preserve"> centuries to maintain poorly constructed embankment height</w:t>
      </w:r>
      <w:r w:rsidR="003865CE">
        <w:rPr>
          <w:lang w:val="en-GB"/>
        </w:rPr>
        <w:t>. Ash</w:t>
      </w:r>
      <w:r w:rsidR="00FE59CF" w:rsidRPr="009D00AC">
        <w:rPr>
          <w:lang w:val="en-GB"/>
        </w:rPr>
        <w:t xml:space="preserve"> </w:t>
      </w:r>
      <w:r w:rsidR="000D6291">
        <w:rPr>
          <w:lang w:val="en-GB"/>
        </w:rPr>
        <w:t xml:space="preserve">degradation </w:t>
      </w:r>
      <w:r w:rsidR="00FE59CF" w:rsidRPr="009D00AC">
        <w:rPr>
          <w:lang w:val="en-GB"/>
        </w:rPr>
        <w:t>has since been causing continued problems for railway owners and operators</w:t>
      </w:r>
      <w:r w:rsidR="000D6291">
        <w:rPr>
          <w:lang w:val="en-GB"/>
        </w:rPr>
        <w:t>. This</w:t>
      </w:r>
      <w:r w:rsidR="00FE59CF" w:rsidRPr="009D00AC">
        <w:rPr>
          <w:lang w:val="en-GB"/>
        </w:rPr>
        <w:t xml:space="preserve"> has led to a replacement scheme in parts </w:t>
      </w:r>
      <w:r w:rsidR="00FE59CF" w:rsidRPr="009D00AC">
        <w:rPr>
          <w:lang w:val="en-GB"/>
        </w:rPr>
        <w:lastRenderedPageBreak/>
        <w:t>of the London Underground</w:t>
      </w:r>
      <w:r w:rsidR="003865CE">
        <w:rPr>
          <w:lang w:val="en-GB"/>
        </w:rPr>
        <w:t xml:space="preserve"> network</w:t>
      </w:r>
      <w:r w:rsidR="00FE59CF" w:rsidRPr="009D00AC">
        <w:rPr>
          <w:lang w:val="en-GB"/>
        </w:rPr>
        <w:t>, generating vast quantities of waste and demand of non-renewable natural granite aggregate. It has therefore become imperative to find ways of stabilising rather than replacing th</w:t>
      </w:r>
      <w:r w:rsidR="003865CE">
        <w:rPr>
          <w:lang w:val="en-GB"/>
        </w:rPr>
        <w:t>is</w:t>
      </w:r>
      <w:r w:rsidR="00FE59CF" w:rsidRPr="009D00AC">
        <w:rPr>
          <w:lang w:val="en-GB"/>
        </w:rPr>
        <w:t xml:space="preserve"> </w:t>
      </w:r>
      <w:r w:rsidR="003865CE">
        <w:rPr>
          <w:lang w:val="en-GB"/>
        </w:rPr>
        <w:t>ash</w:t>
      </w:r>
      <w:r w:rsidR="00FE59CF" w:rsidRPr="009D00AC">
        <w:rPr>
          <w:lang w:val="en-GB"/>
        </w:rPr>
        <w:t>.</w:t>
      </w:r>
      <w:r w:rsidR="00CF0ED9">
        <w:rPr>
          <w:lang w:val="en-GB"/>
        </w:rPr>
        <w:t xml:space="preserve"> </w:t>
      </w:r>
      <w:r w:rsidR="00DD2C19" w:rsidRPr="00445AB0">
        <w:rPr>
          <w:lang w:val="en-GB"/>
        </w:rPr>
        <w:t xml:space="preserve">Treatments considered were </w:t>
      </w:r>
      <w:r w:rsidR="003865CE">
        <w:rPr>
          <w:lang w:val="en-GB"/>
        </w:rPr>
        <w:t>common</w:t>
      </w:r>
      <w:r w:rsidR="00DD2C19" w:rsidRPr="00445AB0">
        <w:rPr>
          <w:lang w:val="en-GB"/>
        </w:rPr>
        <w:t xml:space="preserve"> chemical soil stabiliser</w:t>
      </w:r>
      <w:r w:rsidR="00F85C39">
        <w:rPr>
          <w:lang w:val="en-GB"/>
        </w:rPr>
        <w:t>s such as cement</w:t>
      </w:r>
      <w:r w:rsidR="00DD2C19" w:rsidRPr="00445AB0">
        <w:rPr>
          <w:lang w:val="en-GB"/>
        </w:rPr>
        <w:t xml:space="preserve"> </w:t>
      </w:r>
      <w:r w:rsidR="00F85C39">
        <w:rPr>
          <w:lang w:val="en-GB"/>
        </w:rPr>
        <w:t>(</w:t>
      </w:r>
      <w:r w:rsidR="00DD2C19" w:rsidRPr="00445AB0">
        <w:rPr>
          <w:lang w:val="en-GB"/>
        </w:rPr>
        <w:t xml:space="preserve">suitable for most </w:t>
      </w:r>
      <w:r w:rsidR="00F85C39">
        <w:rPr>
          <w:lang w:val="en-GB"/>
        </w:rPr>
        <w:t xml:space="preserve">inorganic </w:t>
      </w:r>
      <w:r w:rsidR="00DD2C19" w:rsidRPr="00445AB0">
        <w:rPr>
          <w:lang w:val="en-GB"/>
        </w:rPr>
        <w:t>soil types</w:t>
      </w:r>
      <w:r w:rsidR="00F85C39">
        <w:rPr>
          <w:lang w:val="en-GB"/>
        </w:rPr>
        <w:t>) or lime</w:t>
      </w:r>
      <w:r w:rsidR="004F00AF">
        <w:rPr>
          <w:lang w:val="en-GB"/>
        </w:rPr>
        <w:t>,</w:t>
      </w:r>
      <w:r w:rsidR="00F85C39">
        <w:rPr>
          <w:lang w:val="en-GB"/>
        </w:rPr>
        <w:t xml:space="preserve"> most suitable for clays/clayey soils</w:t>
      </w:r>
      <w:r w:rsidR="00DD2C19" w:rsidRPr="00445AB0">
        <w:rPr>
          <w:lang w:val="en-GB"/>
        </w:rPr>
        <w:t xml:space="preserve"> </w:t>
      </w:r>
      <w:r w:rsidR="003865CE">
        <w:t xml:space="preserve">as well as sodium silicate (waterglass, WG), used for grouting </w:t>
      </w:r>
      <w:r w:rsidR="00DD2C19" w:rsidRPr="00445AB0">
        <w:rPr>
          <w:lang w:val="en-GB"/>
        </w:rPr>
        <w:t>versus more novel cementing agents</w:t>
      </w:r>
      <w:r w:rsidR="00CF0ED9">
        <w:rPr>
          <w:lang w:val="en-GB"/>
        </w:rPr>
        <w:t>, namely:</w:t>
      </w:r>
      <w:r w:rsidR="00DD2C19" w:rsidRPr="00445AB0">
        <w:rPr>
          <w:lang w:val="en-GB"/>
        </w:rPr>
        <w:t xml:space="preserve"> </w:t>
      </w:r>
      <w:r w:rsidR="003865CE">
        <w:rPr>
          <w:lang w:val="en-GB"/>
        </w:rPr>
        <w:t xml:space="preserve">(a) </w:t>
      </w:r>
      <w:r w:rsidR="00DD2C19" w:rsidRPr="00445AB0">
        <w:rPr>
          <w:lang w:val="en-GB"/>
        </w:rPr>
        <w:t>alkali-activated (AA) cement</w:t>
      </w:r>
      <w:r w:rsidR="003865CE">
        <w:rPr>
          <w:lang w:val="en-GB"/>
        </w:rPr>
        <w:t>s</w:t>
      </w:r>
      <w:r w:rsidR="00DD2C19" w:rsidRPr="00445AB0">
        <w:rPr>
          <w:lang w:val="en-GB"/>
        </w:rPr>
        <w:t xml:space="preserve"> </w:t>
      </w:r>
      <w:r w:rsidR="00CF0ED9" w:rsidRPr="00CF0ED9">
        <w:rPr>
          <w:lang w:val="en-GB"/>
        </w:rPr>
        <w:t>(</w:t>
      </w:r>
      <w:proofErr w:type="spellStart"/>
      <w:r w:rsidR="00CF0ED9" w:rsidRPr="00CF0ED9">
        <w:rPr>
          <w:lang w:val="en-GB"/>
        </w:rPr>
        <w:t>Provis</w:t>
      </w:r>
      <w:proofErr w:type="spellEnd"/>
      <w:r w:rsidR="00CF0ED9" w:rsidRPr="00CF0ED9">
        <w:rPr>
          <w:lang w:val="en-GB"/>
        </w:rPr>
        <w:t xml:space="preserve"> et al, 2015) </w:t>
      </w:r>
      <w:r w:rsidR="00F85C39">
        <w:t xml:space="preserve">containing an </w:t>
      </w:r>
      <w:r w:rsidR="00F85C39" w:rsidRPr="006D67AA">
        <w:t>industrial by-product, ground granu</w:t>
      </w:r>
      <w:r w:rsidR="00F85C39">
        <w:t>lated blast furnace slag (GGBS) and</w:t>
      </w:r>
      <w:r w:rsidR="00F85C39" w:rsidRPr="006D67AA">
        <w:t xml:space="preserve"> a waste material, paper sludge ash</w:t>
      </w:r>
      <w:r w:rsidR="00CF0ED9">
        <w:t xml:space="preserve"> (PSA)</w:t>
      </w:r>
      <w:r w:rsidR="00CF0ED9">
        <w:rPr>
          <w:lang w:val="en-GB"/>
        </w:rPr>
        <w:t>;</w:t>
      </w:r>
      <w:r w:rsidR="003865CE">
        <w:rPr>
          <w:lang w:val="en-GB"/>
        </w:rPr>
        <w:t xml:space="preserve"> (b)</w:t>
      </w:r>
      <w:r w:rsidR="00DD2C19" w:rsidRPr="00445AB0">
        <w:rPr>
          <w:lang w:val="en-GB"/>
        </w:rPr>
        <w:t xml:space="preserve"> </w:t>
      </w:r>
      <w:r w:rsidR="00EE0068">
        <w:rPr>
          <w:lang w:val="en-GB"/>
        </w:rPr>
        <w:t>enzyma</w:t>
      </w:r>
      <w:r w:rsidR="00DD2C19" w:rsidRPr="00445AB0">
        <w:rPr>
          <w:lang w:val="en-GB"/>
        </w:rPr>
        <w:t>tically induced calcite precipitation</w:t>
      </w:r>
      <w:r w:rsidR="00100F41">
        <w:rPr>
          <w:lang w:val="en-GB"/>
        </w:rPr>
        <w:t>,</w:t>
      </w:r>
      <w:r w:rsidR="00DD2C19" w:rsidRPr="00445AB0">
        <w:rPr>
          <w:lang w:val="en-GB"/>
        </w:rPr>
        <w:t xml:space="preserve"> using </w:t>
      </w:r>
      <w:r w:rsidR="00B70318">
        <w:rPr>
          <w:lang w:val="en-GB"/>
        </w:rPr>
        <w:t xml:space="preserve">a </w:t>
      </w:r>
      <w:r w:rsidR="00CF0ED9">
        <w:rPr>
          <w:lang w:val="en-GB"/>
        </w:rPr>
        <w:t>com</w:t>
      </w:r>
      <w:r w:rsidR="00EE0068">
        <w:rPr>
          <w:lang w:val="en-GB"/>
        </w:rPr>
        <w:t>mer</w:t>
      </w:r>
      <w:r w:rsidR="00DD2C19" w:rsidRPr="00445AB0">
        <w:rPr>
          <w:lang w:val="en-GB"/>
        </w:rPr>
        <w:t xml:space="preserve">cially supplied enzyme </w:t>
      </w:r>
      <w:r w:rsidR="00F85C39">
        <w:rPr>
          <w:lang w:val="en-GB"/>
        </w:rPr>
        <w:t>or</w:t>
      </w:r>
      <w:r w:rsidR="00DD2C19" w:rsidRPr="00445AB0">
        <w:rPr>
          <w:lang w:val="en-GB"/>
        </w:rPr>
        <w:t xml:space="preserve"> </w:t>
      </w:r>
      <w:r w:rsidR="00B70318">
        <w:rPr>
          <w:lang w:val="en-GB"/>
        </w:rPr>
        <w:t xml:space="preserve">an </w:t>
      </w:r>
      <w:r w:rsidR="00DD2C19" w:rsidRPr="00445AB0">
        <w:rPr>
          <w:lang w:val="en-GB"/>
        </w:rPr>
        <w:t>enzyme obtained from microorganism</w:t>
      </w:r>
      <w:r w:rsidR="00F85C39">
        <w:rPr>
          <w:lang w:val="en-GB"/>
        </w:rPr>
        <w:t xml:space="preserve"> action</w:t>
      </w:r>
      <w:r w:rsidR="00F27886" w:rsidRPr="00F27886">
        <w:rPr>
          <w:sz w:val="24"/>
          <w:szCs w:val="24"/>
          <w:lang w:val="en-GB"/>
        </w:rPr>
        <w:t xml:space="preserve"> </w:t>
      </w:r>
      <w:r w:rsidR="00F27886" w:rsidRPr="00F27886">
        <w:rPr>
          <w:lang w:val="en-GB"/>
        </w:rPr>
        <w:t xml:space="preserve">here </w:t>
      </w:r>
      <w:r w:rsidR="00F27886">
        <w:rPr>
          <w:lang w:val="en-GB"/>
        </w:rPr>
        <w:t>used</w:t>
      </w:r>
      <w:r w:rsidR="00F27886" w:rsidRPr="00F27886">
        <w:rPr>
          <w:lang w:val="en-GB"/>
        </w:rPr>
        <w:t xml:space="preserve"> f</w:t>
      </w:r>
      <w:r w:rsidR="00F27886" w:rsidRPr="00F27886">
        <w:rPr>
          <w:lang w:val="en-US"/>
        </w:rPr>
        <w:t>or the peat soil.</w:t>
      </w:r>
      <w:r w:rsidR="00E7424D">
        <w:rPr>
          <w:lang w:val="en-US"/>
        </w:rPr>
        <w:t xml:space="preserve">. For the peat, </w:t>
      </w:r>
      <w:r w:rsidR="00100F41" w:rsidRPr="00100F41">
        <w:rPr>
          <w:lang w:val="en-US"/>
        </w:rPr>
        <w:t xml:space="preserve">which is under existing embankments, </w:t>
      </w:r>
      <w:r w:rsidR="00E7424D">
        <w:rPr>
          <w:lang w:val="en-US"/>
        </w:rPr>
        <w:t>we also used electrokinetics</w:t>
      </w:r>
      <w:r w:rsidR="00DA60F6">
        <w:rPr>
          <w:lang w:val="en-US"/>
        </w:rPr>
        <w:t xml:space="preserve"> (EK)</w:t>
      </w:r>
      <w:r w:rsidR="00E7424D">
        <w:rPr>
          <w:lang w:val="en-US"/>
        </w:rPr>
        <w:t xml:space="preserve"> as a promising technique to implement treatments. </w:t>
      </w:r>
    </w:p>
    <w:p w:rsidR="008B6598" w:rsidRPr="006C3F3F" w:rsidRDefault="005D2049" w:rsidP="00856225">
      <w:pPr>
        <w:pStyle w:val="ListParagraph"/>
        <w:numPr>
          <w:ilvl w:val="0"/>
          <w:numId w:val="2"/>
        </w:numPr>
        <w:spacing w:before="240" w:after="240" w:line="240" w:lineRule="atLeast"/>
        <w:ind w:left="425" w:hanging="425"/>
        <w:contextualSpacing w:val="0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Laboratory testing</w:t>
      </w:r>
    </w:p>
    <w:p w:rsidR="00CF0ED9" w:rsidRPr="006C3F3F" w:rsidRDefault="00B45F7E" w:rsidP="00CF0ED9">
      <w:pPr>
        <w:pStyle w:val="CommentText"/>
        <w:spacing w:after="80"/>
        <w:jc w:val="both"/>
        <w:rPr>
          <w:lang w:val="en-US"/>
        </w:rPr>
      </w:pPr>
      <w:r w:rsidRPr="00B45F7E">
        <w:t xml:space="preserve">The ash sample as collected </w:t>
      </w:r>
      <w:r w:rsidR="003865CE">
        <w:t>from</w:t>
      </w:r>
      <w:r w:rsidRPr="00B45F7E">
        <w:t xml:space="preserve"> the field was a mixture of ash, ballast, organic matter (plant remains) and other impurities/debris. Its particle size distribution </w:t>
      </w:r>
      <w:r w:rsidR="00BD28C5">
        <w:t>based on</w:t>
      </w:r>
      <w:r w:rsidRPr="00B45F7E">
        <w:t xml:space="preserve"> dry sieving is shown in Fig 1. It is a multi-graded soil (C</w:t>
      </w:r>
      <w:r w:rsidRPr="00387DDA">
        <w:rPr>
          <w:vertAlign w:val="subscript"/>
        </w:rPr>
        <w:t>u</w:t>
      </w:r>
      <w:r w:rsidRPr="00B45F7E">
        <w:t xml:space="preserve">=22) with fines content of 1.3%. The material used for testing was </w:t>
      </w:r>
      <w:r w:rsidR="003865CE">
        <w:t xml:space="preserve">the portion passing the </w:t>
      </w:r>
      <w:r w:rsidR="003865CE" w:rsidRPr="00B45F7E">
        <w:t xml:space="preserve">4.75mm mesh </w:t>
      </w:r>
      <w:r w:rsidR="003865CE">
        <w:t>sieve</w:t>
      </w:r>
      <w:r w:rsidR="00B70318">
        <w:t xml:space="preserve"> as</w:t>
      </w:r>
      <w:r w:rsidRPr="00B45F7E">
        <w:t xml:space="preserve"> discard</w:t>
      </w:r>
      <w:r w:rsidR="003865CE">
        <w:t>ing</w:t>
      </w:r>
      <w:r w:rsidRPr="00B45F7E">
        <w:t xml:space="preserve"> large particles and debris /impurities enabl</w:t>
      </w:r>
      <w:r w:rsidR="00477D76">
        <w:t>ed</w:t>
      </w:r>
      <w:r w:rsidRPr="00B45F7E">
        <w:t xml:space="preserve"> testing using co</w:t>
      </w:r>
      <w:r w:rsidR="00387DDA">
        <w:t xml:space="preserve">nventional laboratory apparatus. </w:t>
      </w:r>
      <w:r w:rsidRPr="00B45F7E">
        <w:t xml:space="preserve">The </w:t>
      </w:r>
      <w:r w:rsidR="00477D76" w:rsidRPr="00B45F7E">
        <w:t xml:space="preserve">pH of the sieved sample </w:t>
      </w:r>
      <w:r w:rsidR="00477D76">
        <w:t xml:space="preserve">was </w:t>
      </w:r>
      <w:r w:rsidR="00477D76" w:rsidRPr="00B45F7E">
        <w:t xml:space="preserve">7.7 </w:t>
      </w:r>
      <w:r w:rsidR="00477D76">
        <w:t xml:space="preserve">and its </w:t>
      </w:r>
      <w:r w:rsidR="00477D76" w:rsidRPr="00B45F7E">
        <w:t xml:space="preserve">natural </w:t>
      </w:r>
      <w:r w:rsidRPr="00B45F7E">
        <w:t>moisture content was 30.1%</w:t>
      </w:r>
      <w:r w:rsidR="00387DDA">
        <w:t xml:space="preserve">. </w:t>
      </w:r>
      <w:r w:rsidRPr="00B45F7E">
        <w:t>At this water content the corresponding standard Proctor compaction bulk density was 1.33 g/cm</w:t>
      </w:r>
      <w:r w:rsidRPr="00387DDA">
        <w:rPr>
          <w:vertAlign w:val="superscript"/>
        </w:rPr>
        <w:t>3</w:t>
      </w:r>
      <w:r w:rsidR="003A5E0E">
        <w:t xml:space="preserve">; this was the compaction density </w:t>
      </w:r>
      <w:r w:rsidR="00BD28C5">
        <w:t>used for</w:t>
      </w:r>
      <w:r w:rsidR="003A5E0E">
        <w:t xml:space="preserve"> all </w:t>
      </w:r>
      <w:r w:rsidR="00BD28C5" w:rsidRPr="005D2049">
        <w:t>unconfined compressive strength (UCS)</w:t>
      </w:r>
      <w:r w:rsidR="00BD28C5">
        <w:t xml:space="preserve"> testing </w:t>
      </w:r>
      <w:r w:rsidR="003A5E0E">
        <w:t>samples.</w:t>
      </w:r>
      <w:r w:rsidR="00856225">
        <w:t xml:space="preserve"> </w:t>
      </w:r>
      <w:r w:rsidR="00360B7A" w:rsidRPr="00360B7A">
        <w:rPr>
          <w:lang w:val="en-GB"/>
        </w:rPr>
        <w:t xml:space="preserve">The </w:t>
      </w:r>
      <w:r w:rsidR="00387DDA">
        <w:rPr>
          <w:lang w:val="en-GB"/>
        </w:rPr>
        <w:t xml:space="preserve">peat </w:t>
      </w:r>
      <w:r w:rsidR="00360B7A" w:rsidRPr="00360B7A">
        <w:rPr>
          <w:lang w:val="en-GB"/>
        </w:rPr>
        <w:t xml:space="preserve">soil was taken from two boreholes at </w:t>
      </w:r>
      <w:r w:rsidR="00B70318">
        <w:rPr>
          <w:lang w:val="en-GB"/>
        </w:rPr>
        <w:t xml:space="preserve"> an</w:t>
      </w:r>
      <w:r w:rsidR="00360B7A" w:rsidRPr="00360B7A">
        <w:rPr>
          <w:lang w:val="en-GB"/>
        </w:rPr>
        <w:t xml:space="preserve"> East Anglia</w:t>
      </w:r>
      <w:r w:rsidR="00B70318">
        <w:rPr>
          <w:lang w:val="en-GB"/>
        </w:rPr>
        <w:t>n</w:t>
      </w:r>
      <w:r w:rsidR="00360B7A" w:rsidRPr="00360B7A">
        <w:rPr>
          <w:lang w:val="en-GB"/>
        </w:rPr>
        <w:t xml:space="preserve"> railway </w:t>
      </w:r>
      <w:r w:rsidR="00B70318">
        <w:rPr>
          <w:lang w:val="en-GB"/>
        </w:rPr>
        <w:t>site</w:t>
      </w:r>
      <w:r w:rsidR="000930E4">
        <w:t>.</w:t>
      </w:r>
      <w:r w:rsidR="000930E4" w:rsidRPr="000930E4">
        <w:t xml:space="preserve"> </w:t>
      </w:r>
      <w:r w:rsidR="00E7424D">
        <w:rPr>
          <w:lang w:val="en-GB"/>
        </w:rPr>
        <w:t>T</w:t>
      </w:r>
      <w:r w:rsidR="00360B7A" w:rsidRPr="00360B7A">
        <w:rPr>
          <w:lang w:val="en-GB"/>
        </w:rPr>
        <w:t xml:space="preserve">he </w:t>
      </w:r>
      <w:r w:rsidR="00E7424D">
        <w:rPr>
          <w:lang w:val="en-GB"/>
        </w:rPr>
        <w:t>presented results</w:t>
      </w:r>
      <w:r w:rsidR="00360B7A" w:rsidRPr="00360B7A">
        <w:rPr>
          <w:lang w:val="en-GB"/>
        </w:rPr>
        <w:t xml:space="preserve"> are based on eighteen soil samples (nine from each borehole) </w:t>
      </w:r>
      <w:r w:rsidR="00387DDA" w:rsidRPr="00360B7A">
        <w:rPr>
          <w:lang w:val="en-GB"/>
        </w:rPr>
        <w:t xml:space="preserve">from depths of 0-2m </w:t>
      </w:r>
      <w:r w:rsidR="00360B7A" w:rsidRPr="00360B7A">
        <w:rPr>
          <w:lang w:val="en-GB"/>
        </w:rPr>
        <w:t>with similar pH</w:t>
      </w:r>
      <w:r w:rsidR="00360B7A" w:rsidRPr="00387DDA">
        <w:rPr>
          <w:lang w:val="en-GB"/>
        </w:rPr>
        <w:t>,</w:t>
      </w:r>
      <w:r w:rsidR="00360B7A" w:rsidRPr="00360B7A">
        <w:rPr>
          <w:lang w:val="en-GB"/>
        </w:rPr>
        <w:t xml:space="preserve"> </w:t>
      </w:r>
      <w:r w:rsidR="00E7424D">
        <w:rPr>
          <w:lang w:val="en-GB"/>
        </w:rPr>
        <w:t xml:space="preserve">water </w:t>
      </w:r>
      <w:r w:rsidR="00360B7A" w:rsidRPr="00360B7A">
        <w:rPr>
          <w:lang w:val="en-GB"/>
        </w:rPr>
        <w:t>and organic contents</w:t>
      </w:r>
      <w:r w:rsidR="00387DDA">
        <w:rPr>
          <w:lang w:val="en-GB"/>
        </w:rPr>
        <w:t xml:space="preserve"> (average values of </w:t>
      </w:r>
      <w:r w:rsidR="00387DDA" w:rsidRPr="00387DDA">
        <w:t>7.15</w:t>
      </w:r>
      <w:r w:rsidR="00387DDA">
        <w:t xml:space="preserve">, </w:t>
      </w:r>
      <w:r w:rsidR="00387DDA">
        <w:rPr>
          <w:lang w:val="en-GB"/>
        </w:rPr>
        <w:t>55.5% and 51% respectively)</w:t>
      </w:r>
      <w:r w:rsidR="004F00AF">
        <w:rPr>
          <w:lang w:val="en-GB"/>
        </w:rPr>
        <w:t>. The samples were</w:t>
      </w:r>
      <w:r w:rsidR="00360B7A" w:rsidRPr="00360B7A">
        <w:rPr>
          <w:lang w:val="en-GB"/>
        </w:rPr>
        <w:t xml:space="preserve"> described as dark brown,</w:t>
      </w:r>
      <w:r w:rsidR="00387DDA">
        <w:rPr>
          <w:lang w:val="en-GB"/>
        </w:rPr>
        <w:t xml:space="preserve"> mostly amorphous, with </w:t>
      </w:r>
      <w:r w:rsidR="00360B7A" w:rsidRPr="00360B7A">
        <w:rPr>
          <w:lang w:val="en-GB"/>
        </w:rPr>
        <w:t>a mixture of mineral and organic soil fractions</w:t>
      </w:r>
      <w:r w:rsidR="00B47B17">
        <w:rPr>
          <w:lang w:val="en-GB"/>
        </w:rPr>
        <w:t xml:space="preserve">. </w:t>
      </w:r>
      <w:r w:rsidR="00BD28C5" w:rsidRPr="00387DDA">
        <w:rPr>
          <w:lang w:val="en-GB"/>
        </w:rPr>
        <w:t>Fig 1</w:t>
      </w:r>
      <w:r w:rsidR="00BD28C5">
        <w:rPr>
          <w:lang w:val="en-GB"/>
        </w:rPr>
        <w:t xml:space="preserve"> shows th</w:t>
      </w:r>
      <w:r w:rsidR="00387DDA" w:rsidRPr="00387DDA">
        <w:rPr>
          <w:lang w:val="en-GB"/>
        </w:rPr>
        <w:t>e particle size distribution of</w:t>
      </w:r>
      <w:r w:rsidR="00387DDA">
        <w:rPr>
          <w:lang w:val="en-GB"/>
        </w:rPr>
        <w:t xml:space="preserve"> the </w:t>
      </w:r>
      <w:r w:rsidR="004F00AF" w:rsidRPr="004F00AF">
        <w:rPr>
          <w:lang w:val="en-GB"/>
        </w:rPr>
        <w:t xml:space="preserve">portion </w:t>
      </w:r>
      <w:r w:rsidR="004F00AF">
        <w:rPr>
          <w:lang w:val="en-GB"/>
        </w:rPr>
        <w:t>of the soil</w:t>
      </w:r>
      <w:r w:rsidR="004F00AF" w:rsidRPr="004F00AF">
        <w:rPr>
          <w:lang w:val="en-GB"/>
        </w:rPr>
        <w:t xml:space="preserve"> </w:t>
      </w:r>
      <w:r w:rsidR="004F00AF">
        <w:rPr>
          <w:lang w:val="en-GB"/>
        </w:rPr>
        <w:t xml:space="preserve">sample </w:t>
      </w:r>
      <w:r w:rsidR="00E93ECF" w:rsidRPr="004F00AF">
        <w:rPr>
          <w:lang w:val="en-GB"/>
        </w:rPr>
        <w:t xml:space="preserve">retained </w:t>
      </w:r>
      <w:r w:rsidR="00E93ECF">
        <w:rPr>
          <w:lang w:val="en-GB"/>
        </w:rPr>
        <w:t xml:space="preserve">for testing </w:t>
      </w:r>
      <w:r w:rsidR="004F00AF" w:rsidRPr="004F00AF">
        <w:rPr>
          <w:lang w:val="en-GB"/>
        </w:rPr>
        <w:t>(passing 1.18 mm sieve)</w:t>
      </w:r>
      <w:r w:rsidR="004F00AF">
        <w:rPr>
          <w:lang w:val="en-GB"/>
        </w:rPr>
        <w:t xml:space="preserve"> </w:t>
      </w:r>
      <w:r w:rsidR="004F00AF">
        <w:rPr>
          <w:lang w:val="en-GB"/>
        </w:rPr>
        <w:lastRenderedPageBreak/>
        <w:t xml:space="preserve">based on </w:t>
      </w:r>
      <w:r w:rsidR="00387DDA" w:rsidRPr="00387DDA">
        <w:rPr>
          <w:lang w:val="en-GB"/>
        </w:rPr>
        <w:t>sieving</w:t>
      </w:r>
      <w:r w:rsidR="004F00AF">
        <w:rPr>
          <w:lang w:val="en-GB"/>
        </w:rPr>
        <w:t>,</w:t>
      </w:r>
      <w:r w:rsidR="00387DDA" w:rsidRPr="00387DDA">
        <w:rPr>
          <w:lang w:val="en-GB"/>
        </w:rPr>
        <w:t xml:space="preserve"> </w:t>
      </w:r>
      <w:r w:rsidR="004F00AF">
        <w:rPr>
          <w:lang w:val="en-GB"/>
        </w:rPr>
        <w:t>followed by</w:t>
      </w:r>
      <w:r w:rsidR="00387DDA" w:rsidRPr="00387DDA">
        <w:rPr>
          <w:lang w:val="en-GB"/>
        </w:rPr>
        <w:t xml:space="preserve"> hydrometer testing</w:t>
      </w:r>
      <w:r w:rsidR="00CF0ED9">
        <w:rPr>
          <w:lang w:val="en-GB"/>
        </w:rPr>
        <w:t xml:space="preserve"> (BS, 1990)</w:t>
      </w:r>
      <w:r w:rsidR="00387DDA">
        <w:rPr>
          <w:lang w:val="en-GB"/>
        </w:rPr>
        <w:t>.</w:t>
      </w:r>
      <w:r w:rsidR="00856225" w:rsidRPr="00856225">
        <w:rPr>
          <w:noProof/>
          <w:lang w:val="en-GB" w:eastAsia="en-GB"/>
        </w:rPr>
        <w:t xml:space="preserve"> </w:t>
      </w:r>
      <w:r w:rsidR="00CF0ED9" w:rsidRPr="0039477B">
        <w:rPr>
          <w:lang w:val="en-US"/>
        </w:rPr>
        <w:t xml:space="preserve">Enrichment for </w:t>
      </w:r>
      <w:proofErr w:type="spellStart"/>
      <w:r w:rsidR="00CF0ED9" w:rsidRPr="0039477B">
        <w:rPr>
          <w:lang w:val="en-US"/>
        </w:rPr>
        <w:t>ureolytic</w:t>
      </w:r>
      <w:proofErr w:type="spellEnd"/>
      <w:r w:rsidR="00CF0ED9" w:rsidRPr="0039477B">
        <w:rPr>
          <w:lang w:val="en-US"/>
        </w:rPr>
        <w:t xml:space="preserve"> bacteria and selection </w:t>
      </w:r>
      <w:r w:rsidR="00CF0ED9">
        <w:rPr>
          <w:lang w:val="en-US"/>
        </w:rPr>
        <w:t xml:space="preserve">of </w:t>
      </w:r>
      <w:r w:rsidR="00CF0ED9" w:rsidRPr="0039477B">
        <w:rPr>
          <w:lang w:val="en-US"/>
        </w:rPr>
        <w:t>isolate</w:t>
      </w:r>
      <w:r w:rsidR="00CF0ED9">
        <w:rPr>
          <w:lang w:val="en-US"/>
        </w:rPr>
        <w:t>s was followed by m</w:t>
      </w:r>
      <w:r w:rsidR="00CF0ED9" w:rsidRPr="0039477B">
        <w:rPr>
          <w:lang w:val="en-US"/>
        </w:rPr>
        <w:t>icrobial identification and diagnosis using matrix-assisted laser desorption/</w:t>
      </w:r>
      <w:r w:rsidR="00CF0ED9">
        <w:rPr>
          <w:lang w:val="en-US"/>
        </w:rPr>
        <w:t xml:space="preserve"> </w:t>
      </w:r>
      <w:r w:rsidR="00CF0ED9" w:rsidRPr="0039477B">
        <w:rPr>
          <w:lang w:val="en-US"/>
        </w:rPr>
        <w:t>ionization time-of-flight/time-of-flight tandem mass spectrometry (MALDI-TOF/TOF MS) prot</w:t>
      </w:r>
      <w:r w:rsidR="00CF0ED9">
        <w:rPr>
          <w:lang w:val="en-US"/>
        </w:rPr>
        <w:t xml:space="preserve">eomic-based </w:t>
      </w:r>
      <w:proofErr w:type="spellStart"/>
      <w:r w:rsidR="00CF0ED9">
        <w:rPr>
          <w:lang w:val="en-US"/>
        </w:rPr>
        <w:t>biotyping</w:t>
      </w:r>
      <w:proofErr w:type="spellEnd"/>
      <w:r w:rsidR="00CF0ED9">
        <w:rPr>
          <w:lang w:val="en-US"/>
        </w:rPr>
        <w:t xml:space="preserve"> approach. </w:t>
      </w:r>
      <w:r w:rsidR="00CF0ED9">
        <w:rPr>
          <w:lang w:val="en-GB"/>
        </w:rPr>
        <w:t xml:space="preserve">Candidate strains for </w:t>
      </w:r>
      <w:proofErr w:type="spellStart"/>
      <w:r w:rsidR="00CF0ED9">
        <w:rPr>
          <w:lang w:val="en-GB"/>
        </w:rPr>
        <w:t>biocemen-tation</w:t>
      </w:r>
      <w:proofErr w:type="spellEnd"/>
      <w:r w:rsidR="00CF0ED9">
        <w:rPr>
          <w:lang w:val="en-GB"/>
        </w:rPr>
        <w:t xml:space="preserve"> were then selected based on</w:t>
      </w:r>
      <w:r w:rsidR="00CF0ED9" w:rsidRPr="00693024">
        <w:rPr>
          <w:lang w:val="en-GB"/>
        </w:rPr>
        <w:t xml:space="preserve"> urease activity</w:t>
      </w:r>
      <w:r w:rsidR="00CF0ED9">
        <w:rPr>
          <w:lang w:val="en-GB"/>
        </w:rPr>
        <w:t xml:space="preserve"> measured</w:t>
      </w:r>
      <w:r w:rsidR="00CF0ED9" w:rsidRPr="00957A32">
        <w:rPr>
          <w:rFonts w:ascii="Arial" w:hAnsi="Arial" w:cs="Arial"/>
          <w:lang w:val="en-GB" w:eastAsia="en-GB"/>
        </w:rPr>
        <w:t xml:space="preserve"> </w:t>
      </w:r>
      <w:r w:rsidR="00CF0ED9">
        <w:rPr>
          <w:lang w:val="en-GB"/>
        </w:rPr>
        <w:t>with a</w:t>
      </w:r>
      <w:r w:rsidR="00CF0ED9" w:rsidRPr="00957A32">
        <w:rPr>
          <w:lang w:val="en-GB"/>
        </w:rPr>
        <w:t xml:space="preserve"> Urease Activity Assay kit (Colorimetric; Abcam, US)</w:t>
      </w:r>
      <w:r w:rsidR="00CF0ED9">
        <w:rPr>
          <w:lang w:val="en-GB"/>
        </w:rPr>
        <w:t xml:space="preserve">. </w:t>
      </w:r>
      <w:r w:rsidR="00CF0ED9">
        <w:rPr>
          <w:lang w:val="en-US"/>
        </w:rPr>
        <w:t>The success of the treatments was assessed based on the unconfined compressive strength (UCS) of statically compacted peat samples</w:t>
      </w:r>
      <w:r w:rsidR="00CF0ED9" w:rsidRPr="003A5E0E">
        <w:rPr>
          <w:lang w:val="en-GB"/>
        </w:rPr>
        <w:t xml:space="preserve"> at </w:t>
      </w:r>
      <w:r w:rsidR="00CF0ED9">
        <w:rPr>
          <w:lang w:val="en-GB"/>
        </w:rPr>
        <w:t>the</w:t>
      </w:r>
      <w:r w:rsidR="00CF0ED9" w:rsidRPr="003A5E0E">
        <w:rPr>
          <w:lang w:val="en-GB"/>
        </w:rPr>
        <w:t xml:space="preserve"> original dry density of </w:t>
      </w:r>
      <w:r w:rsidR="00CF0ED9">
        <w:rPr>
          <w:lang w:val="en-GB"/>
        </w:rPr>
        <w:t>the peat (</w:t>
      </w:r>
      <w:r w:rsidR="00CF0ED9" w:rsidRPr="003A5E0E">
        <w:rPr>
          <w:lang w:val="en-GB"/>
        </w:rPr>
        <w:t>0.919 g</w:t>
      </w:r>
      <w:r w:rsidR="00CF0ED9" w:rsidRPr="00E719DC">
        <w:rPr>
          <w:lang w:val="en-GB"/>
        </w:rPr>
        <w:t>/cm</w:t>
      </w:r>
      <w:r w:rsidR="00CF0ED9" w:rsidRPr="00E719DC">
        <w:rPr>
          <w:vertAlign w:val="superscript"/>
          <w:lang w:val="en-GB"/>
        </w:rPr>
        <w:t>3</w:t>
      </w:r>
      <w:r w:rsidR="00CF0ED9" w:rsidRPr="00E719DC">
        <w:rPr>
          <w:lang w:val="en-US"/>
        </w:rPr>
        <w:t>)</w:t>
      </w:r>
      <w:r w:rsidR="00CF0ED9">
        <w:rPr>
          <w:lang w:val="en-US"/>
        </w:rPr>
        <w:t xml:space="preserve">, their </w:t>
      </w:r>
      <w:r w:rsidR="00CF0ED9" w:rsidRPr="00E719DC">
        <w:rPr>
          <w:lang w:val="en-GB"/>
        </w:rPr>
        <w:t>CaCO</w:t>
      </w:r>
      <w:r w:rsidR="00CF0ED9" w:rsidRPr="00E719DC">
        <w:rPr>
          <w:vertAlign w:val="subscript"/>
          <w:lang w:val="en-GB"/>
        </w:rPr>
        <w:t>3</w:t>
      </w:r>
      <w:r w:rsidR="00CF0ED9" w:rsidRPr="00E719DC">
        <w:rPr>
          <w:lang w:val="en-GB"/>
        </w:rPr>
        <w:t xml:space="preserve"> content </w:t>
      </w:r>
      <w:r w:rsidR="00CF0ED9">
        <w:rPr>
          <w:lang w:val="en-GB"/>
        </w:rPr>
        <w:t>measured</w:t>
      </w:r>
      <w:r w:rsidR="00CF0ED9" w:rsidRPr="00E719DC">
        <w:rPr>
          <w:lang w:val="en-GB"/>
        </w:rPr>
        <w:t xml:space="preserve"> by acid digestion </w:t>
      </w:r>
      <w:r w:rsidR="00CF0ED9">
        <w:rPr>
          <w:lang w:val="en-GB"/>
        </w:rPr>
        <w:t>and SEM-EDS tests (not shown here)</w:t>
      </w:r>
      <w:r w:rsidR="00CF0ED9">
        <w:rPr>
          <w:lang w:val="en-US"/>
        </w:rPr>
        <w:t xml:space="preserve">. </w:t>
      </w:r>
    </w:p>
    <w:p w:rsidR="00360B7A" w:rsidRDefault="00856225" w:rsidP="00CF0ED9">
      <w:pPr>
        <w:pStyle w:val="Subtitleparagraph"/>
        <w:spacing w:before="60" w:after="0" w:line="240" w:lineRule="auto"/>
        <w:rPr>
          <w:i w:val="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DC55EA4" wp14:editId="47CCA16E">
            <wp:extent cx="291465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9F4" w:rsidRPr="00A639F4" w:rsidRDefault="00A639F4" w:rsidP="00CF0ED9">
      <w:pPr>
        <w:spacing w:after="60"/>
        <w:jc w:val="center"/>
        <w:rPr>
          <w:b/>
          <w:color w:val="FF0000"/>
          <w:sz w:val="20"/>
          <w:szCs w:val="20"/>
          <w:highlight w:val="yellow"/>
          <w:lang w:val="en-US"/>
        </w:rPr>
      </w:pPr>
      <w:r w:rsidRPr="006C3F3F">
        <w:rPr>
          <w:b/>
          <w:sz w:val="20"/>
          <w:szCs w:val="20"/>
          <w:lang w:val="en-US"/>
        </w:rPr>
        <w:t>Figure 1.</w:t>
      </w:r>
      <w:r w:rsidRPr="006C3F3F">
        <w:rPr>
          <w:sz w:val="20"/>
          <w:szCs w:val="20"/>
          <w:lang w:val="en-US"/>
        </w:rPr>
        <w:t xml:space="preserve"> </w:t>
      </w:r>
      <w:r w:rsidRPr="00E83D19">
        <w:rPr>
          <w:sz w:val="20"/>
          <w:szCs w:val="20"/>
          <w:lang w:val="en-US"/>
        </w:rPr>
        <w:t xml:space="preserve">Particle size distribution of </w:t>
      </w:r>
      <w:r>
        <w:rPr>
          <w:sz w:val="20"/>
          <w:szCs w:val="20"/>
          <w:lang w:val="en-US"/>
        </w:rPr>
        <w:t>tested samples</w:t>
      </w:r>
    </w:p>
    <w:p w:rsidR="00CE264E" w:rsidRDefault="008B6598" w:rsidP="00987DA0">
      <w:pPr>
        <w:pStyle w:val="ListParagraph"/>
        <w:numPr>
          <w:ilvl w:val="0"/>
          <w:numId w:val="2"/>
        </w:numPr>
        <w:spacing w:before="240"/>
        <w:ind w:left="425" w:hanging="425"/>
        <w:contextualSpacing w:val="0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Result</w:t>
      </w:r>
      <w:bookmarkStart w:id="0" w:name="_GoBack"/>
      <w:bookmarkEnd w:id="0"/>
      <w:r>
        <w:rPr>
          <w:b/>
          <w:sz w:val="20"/>
          <w:szCs w:val="20"/>
          <w:lang w:val="en-US"/>
        </w:rPr>
        <w:t>s</w:t>
      </w:r>
    </w:p>
    <w:p w:rsidR="00FB28B2" w:rsidRPr="00FB28B2" w:rsidRDefault="00B03941" w:rsidP="00CF0ED9">
      <w:pPr>
        <w:spacing w:before="60"/>
        <w:jc w:val="both"/>
        <w:rPr>
          <w:b/>
          <w:sz w:val="20"/>
          <w:szCs w:val="20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6EBFAE2" wp14:editId="5923BD97">
            <wp:extent cx="2914650" cy="131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1761" cy="131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B2" w:rsidRPr="00FB28B2" w:rsidRDefault="00FB28B2" w:rsidP="00012A47">
      <w:pPr>
        <w:spacing w:after="120"/>
        <w:jc w:val="both"/>
        <w:rPr>
          <w:sz w:val="20"/>
          <w:szCs w:val="20"/>
          <w:lang w:val="en-US"/>
        </w:rPr>
      </w:pPr>
      <w:r w:rsidRPr="00FB28B2">
        <w:rPr>
          <w:b/>
          <w:sz w:val="20"/>
          <w:szCs w:val="20"/>
          <w:lang w:val="en-US"/>
        </w:rPr>
        <w:t>Figure 2.</w:t>
      </w:r>
      <w:r w:rsidRPr="00FB28B2">
        <w:rPr>
          <w:sz w:val="20"/>
          <w:szCs w:val="20"/>
          <w:lang w:val="en-US"/>
        </w:rPr>
        <w:t xml:space="preserve"> Indicative results of ash treatment</w:t>
      </w:r>
    </w:p>
    <w:p w:rsidR="00B45F7E" w:rsidRDefault="00CE264E" w:rsidP="00EE0068">
      <w:pPr>
        <w:spacing w:before="120" w:after="120" w:line="240" w:lineRule="atLeas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Fig 2 shows some indicative results of chemical treatment of ash</w:t>
      </w:r>
      <w:r w:rsidR="003168CE">
        <w:rPr>
          <w:sz w:val="20"/>
          <w:szCs w:val="20"/>
          <w:lang w:val="en-US"/>
        </w:rPr>
        <w:t xml:space="preserve"> (implemented in slurry/solution form)</w:t>
      </w:r>
      <w:r>
        <w:rPr>
          <w:sz w:val="20"/>
          <w:szCs w:val="20"/>
          <w:lang w:val="en-US"/>
        </w:rPr>
        <w:t xml:space="preserve">. </w:t>
      </w:r>
      <w:r w:rsidRPr="00B45F7E">
        <w:rPr>
          <w:sz w:val="20"/>
          <w:szCs w:val="20"/>
          <w:lang w:val="en-US"/>
        </w:rPr>
        <w:t xml:space="preserve">All </w:t>
      </w:r>
      <w:r>
        <w:rPr>
          <w:sz w:val="20"/>
          <w:szCs w:val="20"/>
          <w:lang w:val="en-US"/>
        </w:rPr>
        <w:t xml:space="preserve">treated ash </w:t>
      </w:r>
      <w:r w:rsidRPr="00B45F7E">
        <w:rPr>
          <w:sz w:val="20"/>
          <w:szCs w:val="20"/>
          <w:lang w:val="en-US"/>
        </w:rPr>
        <w:t xml:space="preserve">samples showed enough cohesion to be tested using UCS procedures, despite the higher moisture </w:t>
      </w:r>
      <w:r w:rsidR="003168CE">
        <w:rPr>
          <w:sz w:val="20"/>
          <w:szCs w:val="20"/>
          <w:lang w:val="en-US"/>
        </w:rPr>
        <w:t>contents than the untreated ash (</w:t>
      </w:r>
      <w:r w:rsidRPr="00B45F7E">
        <w:rPr>
          <w:sz w:val="20"/>
          <w:szCs w:val="20"/>
          <w:lang w:val="en-US"/>
        </w:rPr>
        <w:t>thus reducing suction effects</w:t>
      </w:r>
      <w:r w:rsidR="003168CE">
        <w:rPr>
          <w:sz w:val="20"/>
          <w:szCs w:val="20"/>
          <w:lang w:val="en-US"/>
        </w:rPr>
        <w:t>)</w:t>
      </w:r>
      <w:r w:rsidRPr="00B45F7E">
        <w:rPr>
          <w:sz w:val="20"/>
          <w:szCs w:val="20"/>
          <w:lang w:val="en-US"/>
        </w:rPr>
        <w:t xml:space="preserve">. Whilst cement applied at dosages of </w:t>
      </w:r>
      <w:r>
        <w:rPr>
          <w:sz w:val="20"/>
          <w:szCs w:val="20"/>
          <w:lang w:val="en-US"/>
        </w:rPr>
        <w:t>10</w:t>
      </w:r>
      <w:r w:rsidRPr="00B45F7E">
        <w:rPr>
          <w:sz w:val="20"/>
          <w:szCs w:val="20"/>
          <w:lang w:val="en-US"/>
        </w:rPr>
        <w:t xml:space="preserve">% gave the best results, </w:t>
      </w:r>
      <w:r w:rsidR="0046755B">
        <w:rPr>
          <w:sz w:val="20"/>
          <w:szCs w:val="20"/>
          <w:lang w:val="en-US"/>
        </w:rPr>
        <w:t>satisfactory</w:t>
      </w:r>
      <w:r w:rsidRPr="00B45F7E">
        <w:rPr>
          <w:sz w:val="20"/>
          <w:szCs w:val="20"/>
          <w:lang w:val="en-US"/>
        </w:rPr>
        <w:t xml:space="preserve"> unconfined compressive strengths were obtained in a number of </w:t>
      </w:r>
      <w:r>
        <w:rPr>
          <w:sz w:val="20"/>
          <w:szCs w:val="20"/>
          <w:lang w:val="en-US"/>
        </w:rPr>
        <w:t xml:space="preserve">other </w:t>
      </w:r>
      <w:r w:rsidRPr="00B45F7E">
        <w:rPr>
          <w:sz w:val="20"/>
          <w:szCs w:val="20"/>
          <w:lang w:val="en-US"/>
        </w:rPr>
        <w:t>cases (e.g. mixes with sodium silicate)</w:t>
      </w:r>
      <w:r w:rsidR="009615A9">
        <w:rPr>
          <w:sz w:val="20"/>
          <w:szCs w:val="20"/>
          <w:lang w:val="en-US"/>
        </w:rPr>
        <w:t>.</w:t>
      </w:r>
      <w:r w:rsidRPr="00B45F7E">
        <w:rPr>
          <w:sz w:val="20"/>
          <w:szCs w:val="20"/>
          <w:lang w:val="en-US"/>
        </w:rPr>
        <w:t xml:space="preserve"> </w:t>
      </w:r>
      <w:r w:rsidR="00E9049E">
        <w:rPr>
          <w:sz w:val="20"/>
          <w:szCs w:val="20"/>
          <w:lang w:val="en-US"/>
        </w:rPr>
        <w:t>E</w:t>
      </w:r>
      <w:r w:rsidR="009615A9" w:rsidRPr="00B45F7E">
        <w:rPr>
          <w:sz w:val="20"/>
          <w:szCs w:val="20"/>
          <w:lang w:val="en-US"/>
        </w:rPr>
        <w:t xml:space="preserve">nzymatically induced calcite precipitation </w:t>
      </w:r>
      <w:r w:rsidR="00E9049E">
        <w:rPr>
          <w:sz w:val="20"/>
          <w:szCs w:val="20"/>
          <w:lang w:val="en-US"/>
        </w:rPr>
        <w:t>did not occur for the ash</w:t>
      </w:r>
      <w:r w:rsidR="00F8739A">
        <w:rPr>
          <w:sz w:val="20"/>
          <w:szCs w:val="20"/>
          <w:lang w:val="en-US"/>
        </w:rPr>
        <w:t xml:space="preserve"> </w:t>
      </w:r>
      <w:r w:rsidR="00E9049E">
        <w:rPr>
          <w:sz w:val="20"/>
          <w:szCs w:val="20"/>
          <w:lang w:val="en-US"/>
        </w:rPr>
        <w:t>and</w:t>
      </w:r>
      <w:r w:rsidR="009615A9">
        <w:rPr>
          <w:sz w:val="20"/>
          <w:szCs w:val="20"/>
          <w:lang w:val="en-US"/>
        </w:rPr>
        <w:t xml:space="preserve"> </w:t>
      </w:r>
      <w:r w:rsidR="00E9049E" w:rsidRPr="00B45F7E">
        <w:rPr>
          <w:sz w:val="20"/>
          <w:szCs w:val="20"/>
          <w:lang w:val="en-US"/>
        </w:rPr>
        <w:t>needs to be further investigated</w:t>
      </w:r>
      <w:r w:rsidR="00E9049E">
        <w:rPr>
          <w:sz w:val="20"/>
          <w:szCs w:val="20"/>
          <w:lang w:val="en-US"/>
        </w:rPr>
        <w:t>. F</w:t>
      </w:r>
      <w:r w:rsidR="009615A9">
        <w:rPr>
          <w:sz w:val="20"/>
          <w:szCs w:val="20"/>
          <w:lang w:val="en-US"/>
        </w:rPr>
        <w:t xml:space="preserve">or this reason biocementation was </w:t>
      </w:r>
      <w:r w:rsidR="00E9049E">
        <w:rPr>
          <w:sz w:val="20"/>
          <w:szCs w:val="20"/>
          <w:lang w:val="en-US"/>
        </w:rPr>
        <w:t xml:space="preserve">not </w:t>
      </w:r>
      <w:r w:rsidR="009615A9">
        <w:rPr>
          <w:sz w:val="20"/>
          <w:szCs w:val="20"/>
          <w:lang w:val="en-US"/>
        </w:rPr>
        <w:t xml:space="preserve">attempted </w:t>
      </w:r>
      <w:r w:rsidR="00E9049E">
        <w:rPr>
          <w:sz w:val="20"/>
          <w:szCs w:val="20"/>
          <w:lang w:val="en-US"/>
        </w:rPr>
        <w:t>for the ash</w:t>
      </w:r>
      <w:r w:rsidR="0046755B">
        <w:rPr>
          <w:sz w:val="20"/>
          <w:szCs w:val="20"/>
          <w:lang w:val="en-US"/>
        </w:rPr>
        <w:t>,</w:t>
      </w:r>
      <w:r w:rsidR="00E9049E">
        <w:rPr>
          <w:sz w:val="20"/>
          <w:szCs w:val="20"/>
          <w:lang w:val="en-US"/>
        </w:rPr>
        <w:t xml:space="preserve"> </w:t>
      </w:r>
      <w:r w:rsidR="0046755B">
        <w:rPr>
          <w:sz w:val="20"/>
          <w:szCs w:val="20"/>
          <w:lang w:val="en-US"/>
        </w:rPr>
        <w:t>until</w:t>
      </w:r>
      <w:r w:rsidR="009615A9">
        <w:rPr>
          <w:sz w:val="20"/>
          <w:szCs w:val="20"/>
          <w:lang w:val="en-US"/>
        </w:rPr>
        <w:t xml:space="preserve"> calcite precipitation </w:t>
      </w:r>
      <w:r w:rsidR="00E9049E">
        <w:rPr>
          <w:sz w:val="20"/>
          <w:szCs w:val="20"/>
          <w:lang w:val="en-US"/>
        </w:rPr>
        <w:t>using</w:t>
      </w:r>
      <w:r w:rsidR="009615A9">
        <w:rPr>
          <w:sz w:val="20"/>
          <w:szCs w:val="20"/>
          <w:lang w:val="en-US"/>
        </w:rPr>
        <w:t xml:space="preserve"> commercial enzymes </w:t>
      </w:r>
      <w:r w:rsidR="0046755B">
        <w:rPr>
          <w:sz w:val="20"/>
          <w:szCs w:val="20"/>
          <w:lang w:val="en-US"/>
        </w:rPr>
        <w:t>h</w:t>
      </w:r>
      <w:r w:rsidR="009615A9">
        <w:rPr>
          <w:sz w:val="20"/>
          <w:szCs w:val="20"/>
          <w:lang w:val="en-US"/>
        </w:rPr>
        <w:t xml:space="preserve">as </w:t>
      </w:r>
      <w:r w:rsidR="0046755B">
        <w:rPr>
          <w:sz w:val="20"/>
          <w:szCs w:val="20"/>
          <w:lang w:val="en-US"/>
        </w:rPr>
        <w:t xml:space="preserve">been </w:t>
      </w:r>
      <w:r w:rsidR="009615A9">
        <w:rPr>
          <w:sz w:val="20"/>
          <w:szCs w:val="20"/>
          <w:lang w:val="en-US"/>
        </w:rPr>
        <w:t>proven</w:t>
      </w:r>
      <w:r w:rsidR="009615A9" w:rsidRPr="00B45F7E">
        <w:rPr>
          <w:sz w:val="20"/>
          <w:szCs w:val="20"/>
          <w:lang w:val="en-US"/>
        </w:rPr>
        <w:t>.</w:t>
      </w:r>
      <w:r w:rsidR="009615A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For the peat </w:t>
      </w:r>
      <w:r w:rsidR="00E9049E">
        <w:rPr>
          <w:sz w:val="20"/>
          <w:szCs w:val="20"/>
          <w:lang w:val="en-US"/>
        </w:rPr>
        <w:t>microbially induced calcite precipitation was proven, as</w:t>
      </w:r>
      <w:r>
        <w:rPr>
          <w:sz w:val="20"/>
          <w:szCs w:val="20"/>
          <w:lang w:val="en-US"/>
        </w:rPr>
        <w:t xml:space="preserve"> </w:t>
      </w:r>
      <w:r w:rsidR="00DA60F6">
        <w:rPr>
          <w:sz w:val="20"/>
          <w:szCs w:val="20"/>
          <w:lang w:val="en-US"/>
        </w:rPr>
        <w:t xml:space="preserve">shown in Table 1 </w:t>
      </w:r>
      <w:r w:rsidR="0046755B">
        <w:rPr>
          <w:sz w:val="20"/>
          <w:szCs w:val="20"/>
          <w:lang w:val="en-US"/>
        </w:rPr>
        <w:t>with</w:t>
      </w:r>
      <w:r w:rsidR="00DA60F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indicative results </w:t>
      </w:r>
      <w:r w:rsidR="00FB28B2">
        <w:rPr>
          <w:sz w:val="20"/>
          <w:szCs w:val="20"/>
          <w:lang w:val="en-GB"/>
        </w:rPr>
        <w:t>of</w:t>
      </w:r>
      <w:r w:rsidR="00DA60F6" w:rsidRPr="00DA60F6">
        <w:rPr>
          <w:sz w:val="20"/>
          <w:szCs w:val="20"/>
          <w:lang w:val="en-GB"/>
        </w:rPr>
        <w:t xml:space="preserve"> </w:t>
      </w:r>
      <w:r w:rsidR="00DA60F6" w:rsidRPr="00DA60F6">
        <w:rPr>
          <w:i/>
          <w:sz w:val="20"/>
          <w:szCs w:val="20"/>
          <w:lang w:val="en-GB"/>
        </w:rPr>
        <w:t>Bacillus  licheniformis</w:t>
      </w:r>
      <w:r w:rsidR="00DA60F6" w:rsidRPr="00DA60F6">
        <w:rPr>
          <w:sz w:val="20"/>
          <w:szCs w:val="20"/>
          <w:lang w:val="en-GB"/>
        </w:rPr>
        <w:t xml:space="preserve"> (BL) and </w:t>
      </w:r>
      <w:r w:rsidR="00DA60F6" w:rsidRPr="00DA60F6">
        <w:rPr>
          <w:i/>
          <w:sz w:val="20"/>
          <w:szCs w:val="20"/>
          <w:lang w:val="en-GB"/>
        </w:rPr>
        <w:t>Lysinibacillus  fusiformis</w:t>
      </w:r>
      <w:r w:rsidR="00DA60F6" w:rsidRPr="00DA60F6">
        <w:rPr>
          <w:sz w:val="20"/>
          <w:szCs w:val="20"/>
          <w:lang w:val="en-GB"/>
        </w:rPr>
        <w:t xml:space="preserve"> (LF)</w:t>
      </w:r>
      <w:r w:rsidR="00FB28B2">
        <w:rPr>
          <w:sz w:val="20"/>
          <w:szCs w:val="20"/>
          <w:lang w:val="en-GB"/>
        </w:rPr>
        <w:t xml:space="preserve"> tests</w:t>
      </w:r>
      <w:r w:rsidR="00DA60F6">
        <w:rPr>
          <w:sz w:val="20"/>
          <w:szCs w:val="20"/>
          <w:lang w:val="en-GB"/>
        </w:rPr>
        <w:t>.</w:t>
      </w:r>
      <w:r w:rsidR="00DA60F6" w:rsidRPr="00DA60F6">
        <w:rPr>
          <w:sz w:val="20"/>
          <w:szCs w:val="20"/>
          <w:lang w:val="en-GB"/>
        </w:rPr>
        <w:t xml:space="preserve"> </w:t>
      </w:r>
      <w:r w:rsidR="00012A47">
        <w:rPr>
          <w:sz w:val="20"/>
          <w:szCs w:val="20"/>
          <w:lang w:val="en-GB"/>
        </w:rPr>
        <w:t xml:space="preserve">Namely </w:t>
      </w:r>
      <w:r w:rsidR="0046755B">
        <w:rPr>
          <w:sz w:val="20"/>
          <w:szCs w:val="20"/>
          <w:lang w:val="en-GB"/>
        </w:rPr>
        <w:t>UCS (q</w:t>
      </w:r>
      <w:r w:rsidR="0046755B" w:rsidRPr="0046755B">
        <w:rPr>
          <w:sz w:val="20"/>
          <w:szCs w:val="20"/>
          <w:vertAlign w:val="subscript"/>
          <w:lang w:val="en-GB"/>
        </w:rPr>
        <w:t>u</w:t>
      </w:r>
      <w:r w:rsidR="0046755B">
        <w:rPr>
          <w:sz w:val="20"/>
          <w:szCs w:val="20"/>
          <w:lang w:val="en-GB"/>
        </w:rPr>
        <w:t xml:space="preserve">) </w:t>
      </w:r>
      <w:r w:rsidR="00012A47">
        <w:rPr>
          <w:sz w:val="20"/>
          <w:szCs w:val="20"/>
          <w:lang w:val="en-GB"/>
        </w:rPr>
        <w:t xml:space="preserve">strengths increased and </w:t>
      </w:r>
      <w:r w:rsidR="0046755B">
        <w:rPr>
          <w:sz w:val="20"/>
          <w:szCs w:val="20"/>
          <w:lang w:val="en-GB"/>
        </w:rPr>
        <w:t xml:space="preserve">increased </w:t>
      </w:r>
      <w:r w:rsidR="00012A47">
        <w:rPr>
          <w:sz w:val="20"/>
          <w:szCs w:val="20"/>
          <w:lang w:val="en-GB"/>
        </w:rPr>
        <w:t>CaCO</w:t>
      </w:r>
      <w:r w:rsidR="00012A47" w:rsidRPr="00012A47">
        <w:rPr>
          <w:sz w:val="20"/>
          <w:szCs w:val="20"/>
          <w:vertAlign w:val="subscript"/>
          <w:lang w:val="en-GB"/>
        </w:rPr>
        <w:t>3</w:t>
      </w:r>
      <w:r w:rsidR="00012A47">
        <w:rPr>
          <w:sz w:val="20"/>
          <w:szCs w:val="20"/>
          <w:lang w:val="en-GB"/>
        </w:rPr>
        <w:t xml:space="preserve"> content was detected</w:t>
      </w:r>
      <w:r w:rsidR="0046755B">
        <w:rPr>
          <w:sz w:val="20"/>
          <w:szCs w:val="20"/>
          <w:lang w:val="en-GB"/>
        </w:rPr>
        <w:t>.</w:t>
      </w:r>
      <w:r w:rsidR="00012A47">
        <w:rPr>
          <w:sz w:val="20"/>
          <w:szCs w:val="20"/>
          <w:lang w:val="en-GB"/>
        </w:rPr>
        <w:t xml:space="preserve"> </w:t>
      </w:r>
      <w:r w:rsidR="00DA60F6">
        <w:rPr>
          <w:sz w:val="20"/>
          <w:szCs w:val="20"/>
          <w:lang w:val="en-GB"/>
        </w:rPr>
        <w:t xml:space="preserve">Most </w:t>
      </w:r>
      <w:r w:rsidR="008D50C1">
        <w:rPr>
          <w:sz w:val="20"/>
          <w:szCs w:val="20"/>
          <w:lang w:val="en-GB"/>
        </w:rPr>
        <w:t xml:space="preserve">presented </w:t>
      </w:r>
      <w:r w:rsidR="00DA60F6">
        <w:rPr>
          <w:sz w:val="20"/>
          <w:szCs w:val="20"/>
          <w:lang w:val="en-GB"/>
        </w:rPr>
        <w:t xml:space="preserve">results </w:t>
      </w:r>
      <w:r w:rsidR="00FB28B2">
        <w:rPr>
          <w:sz w:val="20"/>
          <w:szCs w:val="20"/>
          <w:lang w:val="en-GB"/>
        </w:rPr>
        <w:t>used</w:t>
      </w:r>
      <w:r w:rsidR="00DA60F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US"/>
        </w:rPr>
        <w:t xml:space="preserve">pressure </w:t>
      </w:r>
      <w:r w:rsidR="00BD26EE">
        <w:rPr>
          <w:sz w:val="20"/>
          <w:szCs w:val="20"/>
          <w:lang w:val="en-US"/>
        </w:rPr>
        <w:t xml:space="preserve">flow </w:t>
      </w:r>
      <w:r w:rsidR="0046755B">
        <w:rPr>
          <w:sz w:val="20"/>
          <w:szCs w:val="20"/>
          <w:lang w:val="en-US"/>
        </w:rPr>
        <w:t xml:space="preserve">for treatment implementation </w:t>
      </w:r>
      <w:r w:rsidR="008D50C1">
        <w:rPr>
          <w:sz w:val="20"/>
          <w:szCs w:val="20"/>
          <w:lang w:val="en-US"/>
        </w:rPr>
        <w:t xml:space="preserve">unless </w:t>
      </w:r>
      <w:r w:rsidR="00DA60F6">
        <w:rPr>
          <w:sz w:val="20"/>
          <w:szCs w:val="20"/>
          <w:lang w:val="en-US"/>
        </w:rPr>
        <w:t>marked EK</w:t>
      </w:r>
      <w:r w:rsidR="008D50C1">
        <w:rPr>
          <w:sz w:val="20"/>
          <w:szCs w:val="20"/>
          <w:lang w:val="en-US"/>
        </w:rPr>
        <w:t xml:space="preserve"> (electrokinetics)</w:t>
      </w:r>
      <w:r w:rsidR="00012A47">
        <w:rPr>
          <w:sz w:val="20"/>
          <w:szCs w:val="20"/>
          <w:lang w:val="en-US"/>
        </w:rPr>
        <w:t>; for EK (r),(l),(m), refer respectively to right and left electrodes and middle of sample</w:t>
      </w:r>
      <w:r w:rsidR="008D50C1">
        <w:rPr>
          <w:sz w:val="20"/>
          <w:szCs w:val="20"/>
          <w:lang w:val="en-US"/>
        </w:rPr>
        <w:t xml:space="preserve">. EK </w:t>
      </w:r>
      <w:r w:rsidR="00FB28B2">
        <w:rPr>
          <w:sz w:val="20"/>
          <w:szCs w:val="20"/>
          <w:lang w:val="en-US"/>
        </w:rPr>
        <w:t xml:space="preserve">(with polarity reversal) </w:t>
      </w:r>
      <w:r w:rsidR="00DA60F6">
        <w:rPr>
          <w:sz w:val="20"/>
          <w:szCs w:val="20"/>
          <w:lang w:val="en-US"/>
        </w:rPr>
        <w:t>enhance</w:t>
      </w:r>
      <w:r w:rsidR="00FB28B2">
        <w:rPr>
          <w:sz w:val="20"/>
          <w:szCs w:val="20"/>
          <w:lang w:val="en-US"/>
        </w:rPr>
        <w:t>d</w:t>
      </w:r>
      <w:r w:rsidR="00DA60F6">
        <w:rPr>
          <w:sz w:val="20"/>
          <w:szCs w:val="20"/>
          <w:lang w:val="en-US"/>
        </w:rPr>
        <w:t xml:space="preserve"> the </w:t>
      </w:r>
      <w:r w:rsidR="00FB28B2">
        <w:rPr>
          <w:sz w:val="20"/>
          <w:szCs w:val="20"/>
          <w:lang w:val="en-US"/>
        </w:rPr>
        <w:t xml:space="preserve">processes </w:t>
      </w:r>
      <w:r w:rsidR="00DA60F6">
        <w:rPr>
          <w:sz w:val="20"/>
          <w:szCs w:val="20"/>
          <w:lang w:val="en-US"/>
        </w:rPr>
        <w:t xml:space="preserve">(even without the use of bacteria </w:t>
      </w:r>
      <w:r w:rsidR="008D50C1">
        <w:rPr>
          <w:sz w:val="20"/>
          <w:szCs w:val="20"/>
          <w:lang w:val="en-US"/>
        </w:rPr>
        <w:t xml:space="preserve">EK </w:t>
      </w:r>
      <w:r w:rsidR="00DA60F6">
        <w:rPr>
          <w:sz w:val="20"/>
          <w:szCs w:val="20"/>
          <w:lang w:val="en-US"/>
        </w:rPr>
        <w:t xml:space="preserve">was </w:t>
      </w:r>
      <w:r w:rsidR="00DA60F6">
        <w:rPr>
          <w:sz w:val="20"/>
          <w:szCs w:val="20"/>
          <w:lang w:val="en-US"/>
        </w:rPr>
        <w:lastRenderedPageBreak/>
        <w:t>successful in increasing the peat strength)</w:t>
      </w:r>
      <w:r w:rsidR="0046755B">
        <w:rPr>
          <w:sz w:val="20"/>
          <w:szCs w:val="20"/>
          <w:lang w:val="en-US"/>
        </w:rPr>
        <w:t xml:space="preserve"> (Table 1)</w:t>
      </w:r>
      <w:r>
        <w:rPr>
          <w:sz w:val="20"/>
          <w:szCs w:val="20"/>
          <w:lang w:val="en-US"/>
        </w:rPr>
        <w:t xml:space="preserve">. Some </w:t>
      </w:r>
      <w:r w:rsidR="00C34925">
        <w:rPr>
          <w:sz w:val="20"/>
          <w:szCs w:val="20"/>
          <w:lang w:val="en-US"/>
        </w:rPr>
        <w:t xml:space="preserve">limited study of other chemical </w:t>
      </w:r>
      <w:r w:rsidR="00BD26EE">
        <w:rPr>
          <w:sz w:val="20"/>
          <w:szCs w:val="20"/>
          <w:lang w:val="en-US"/>
        </w:rPr>
        <w:t xml:space="preserve">peat </w:t>
      </w:r>
      <w:r w:rsidR="00C34925">
        <w:rPr>
          <w:sz w:val="20"/>
          <w:szCs w:val="20"/>
          <w:lang w:val="en-US"/>
        </w:rPr>
        <w:t>treatments</w:t>
      </w:r>
      <w:r w:rsidR="00BD26EE">
        <w:rPr>
          <w:sz w:val="20"/>
          <w:szCs w:val="20"/>
          <w:lang w:val="en-US"/>
        </w:rPr>
        <w:t xml:space="preserve"> </w:t>
      </w:r>
      <w:r w:rsidR="00C34925">
        <w:rPr>
          <w:sz w:val="20"/>
          <w:szCs w:val="20"/>
          <w:lang w:val="en-US"/>
        </w:rPr>
        <w:t xml:space="preserve">(7-day curing) </w:t>
      </w:r>
      <w:r w:rsidR="001006F3">
        <w:rPr>
          <w:sz w:val="20"/>
          <w:szCs w:val="20"/>
          <w:lang w:val="en-US"/>
        </w:rPr>
        <w:t xml:space="preserve">was also performed: </w:t>
      </w:r>
      <w:r>
        <w:rPr>
          <w:sz w:val="20"/>
          <w:szCs w:val="20"/>
          <w:lang w:val="en-US"/>
        </w:rPr>
        <w:t>GGBS activated by lime</w:t>
      </w:r>
      <w:r w:rsidR="00C34925">
        <w:rPr>
          <w:sz w:val="20"/>
          <w:szCs w:val="20"/>
          <w:lang w:val="en-US"/>
        </w:rPr>
        <w:t xml:space="preserve"> slurry</w:t>
      </w:r>
      <w:r w:rsidR="001006F3">
        <w:rPr>
          <w:sz w:val="20"/>
          <w:szCs w:val="20"/>
          <w:lang w:val="en-US"/>
        </w:rPr>
        <w:t xml:space="preserve"> showed promise but feasible implementation under existing embankments needs to be investigated</w:t>
      </w:r>
      <w:r w:rsidR="00C34925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</w:p>
    <w:p w:rsidR="00947930" w:rsidRPr="00947930" w:rsidRDefault="00947930" w:rsidP="00947930">
      <w:pPr>
        <w:spacing w:after="120" w:line="240" w:lineRule="atLeast"/>
        <w:jc w:val="both"/>
        <w:rPr>
          <w:sz w:val="20"/>
          <w:szCs w:val="20"/>
        </w:rPr>
      </w:pPr>
      <w:r w:rsidRPr="00947930">
        <w:rPr>
          <w:b/>
          <w:sz w:val="20"/>
          <w:szCs w:val="20"/>
          <w:lang w:val="en-US"/>
        </w:rPr>
        <w:t>Table 2.</w:t>
      </w:r>
      <w:r w:rsidRPr="0094793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Indicative </w:t>
      </w:r>
      <w:r w:rsidRPr="00947930">
        <w:rPr>
          <w:sz w:val="20"/>
          <w:szCs w:val="20"/>
        </w:rPr>
        <w:t>results</w:t>
      </w:r>
      <w:r>
        <w:rPr>
          <w:sz w:val="20"/>
          <w:szCs w:val="20"/>
        </w:rPr>
        <w:t xml:space="preserve"> of peat biocementation</w:t>
      </w:r>
      <w:r w:rsidRPr="00947930">
        <w:rPr>
          <w:sz w:val="20"/>
          <w:szCs w:val="20"/>
        </w:rPr>
        <w:t xml:space="preserve"> </w:t>
      </w:r>
      <w:r w:rsidR="00DA4005">
        <w:rPr>
          <w:sz w:val="20"/>
          <w:szCs w:val="20"/>
        </w:rPr>
        <w:t>study</w:t>
      </w:r>
    </w:p>
    <w:tbl>
      <w:tblPr>
        <w:tblStyle w:val="TableGrid"/>
        <w:tblW w:w="0" w:type="auto"/>
        <w:tblInd w:w="7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567"/>
        <w:gridCol w:w="567"/>
        <w:gridCol w:w="709"/>
        <w:gridCol w:w="567"/>
      </w:tblGrid>
      <w:tr w:rsidR="00CE264E" w:rsidRPr="00CE264E" w:rsidTr="00856225">
        <w:trPr>
          <w:cantSplit/>
          <w:trHeight w:val="1313"/>
        </w:trPr>
        <w:tc>
          <w:tcPr>
            <w:tcW w:w="709" w:type="dxa"/>
            <w:noWrap/>
          </w:tcPr>
          <w:p w:rsidR="00CE264E" w:rsidRPr="004432F5" w:rsidRDefault="00CE264E" w:rsidP="00CF0ED9">
            <w:pPr>
              <w:rPr>
                <w:spacing w:val="-14"/>
                <w:sz w:val="20"/>
                <w:szCs w:val="20"/>
                <w:lang w:eastAsia="en-GB"/>
              </w:rPr>
            </w:pPr>
            <w:r w:rsidRPr="004432F5">
              <w:rPr>
                <w:spacing w:val="-14"/>
                <w:sz w:val="20"/>
                <w:szCs w:val="20"/>
                <w:lang w:eastAsia="en-GB"/>
              </w:rPr>
              <w:t>Test ID</w:t>
            </w:r>
          </w:p>
        </w:tc>
        <w:tc>
          <w:tcPr>
            <w:tcW w:w="567" w:type="dxa"/>
            <w:noWrap/>
            <w:textDirection w:val="btLr"/>
          </w:tcPr>
          <w:p w:rsidR="00CE264E" w:rsidRPr="004432F5" w:rsidRDefault="00CE264E" w:rsidP="00CF0ED9">
            <w:pPr>
              <w:ind w:left="113" w:right="113"/>
              <w:rPr>
                <w:spacing w:val="-14"/>
                <w:sz w:val="20"/>
                <w:szCs w:val="20"/>
                <w:lang w:eastAsia="en-GB"/>
              </w:rPr>
            </w:pPr>
            <w:r w:rsidRPr="00CE264E">
              <w:rPr>
                <w:spacing w:val="-14"/>
                <w:sz w:val="20"/>
                <w:szCs w:val="20"/>
                <w:lang w:eastAsia="en-GB"/>
              </w:rPr>
              <w:t>C</w:t>
            </w:r>
            <w:r w:rsidRPr="004432F5">
              <w:rPr>
                <w:spacing w:val="-14"/>
                <w:sz w:val="20"/>
                <w:szCs w:val="20"/>
                <w:lang w:eastAsia="en-GB"/>
              </w:rPr>
              <w:t>ulture (cfu/m</w:t>
            </w:r>
            <w:r w:rsidRPr="00CE264E">
              <w:rPr>
                <w:spacing w:val="-14"/>
                <w:sz w:val="20"/>
                <w:szCs w:val="20"/>
                <w:lang w:eastAsia="en-GB"/>
              </w:rPr>
              <w:t>l</w:t>
            </w:r>
            <w:r w:rsidRPr="004432F5">
              <w:rPr>
                <w:spacing w:val="-1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1" w:type="dxa"/>
            <w:textDirection w:val="btLr"/>
          </w:tcPr>
          <w:p w:rsidR="00CE264E" w:rsidRPr="004432F5" w:rsidRDefault="00CE264E" w:rsidP="00CF0ED9">
            <w:pPr>
              <w:ind w:left="113" w:right="113"/>
              <w:rPr>
                <w:spacing w:val="-14"/>
                <w:sz w:val="20"/>
                <w:szCs w:val="20"/>
                <w:lang w:eastAsia="en-GB"/>
              </w:rPr>
            </w:pPr>
            <w:r w:rsidRPr="004432F5">
              <w:rPr>
                <w:spacing w:val="-14"/>
                <w:sz w:val="20"/>
                <w:szCs w:val="20"/>
                <w:lang w:eastAsia="en-GB"/>
              </w:rPr>
              <w:t>CH</w:t>
            </w:r>
            <w:r w:rsidRPr="004432F5">
              <w:rPr>
                <w:spacing w:val="-14"/>
                <w:sz w:val="20"/>
                <w:szCs w:val="20"/>
                <w:vertAlign w:val="subscript"/>
                <w:lang w:eastAsia="en-GB"/>
              </w:rPr>
              <w:t>4</w:t>
            </w:r>
            <w:r w:rsidRPr="004432F5">
              <w:rPr>
                <w:spacing w:val="-14"/>
                <w:sz w:val="20"/>
                <w:szCs w:val="20"/>
                <w:lang w:eastAsia="en-GB"/>
              </w:rPr>
              <w:t>N</w:t>
            </w:r>
            <w:r w:rsidRPr="004432F5">
              <w:rPr>
                <w:spacing w:val="-14"/>
                <w:sz w:val="20"/>
                <w:szCs w:val="20"/>
                <w:vertAlign w:val="subscript"/>
                <w:lang w:eastAsia="en-GB"/>
              </w:rPr>
              <w:t>2</w:t>
            </w:r>
            <w:r w:rsidRPr="004432F5">
              <w:rPr>
                <w:spacing w:val="-14"/>
                <w:sz w:val="20"/>
                <w:szCs w:val="20"/>
                <w:lang w:eastAsia="en-GB"/>
              </w:rPr>
              <w:t xml:space="preserve">O </w:t>
            </w:r>
            <w:r w:rsidR="0070539F">
              <w:rPr>
                <w:spacing w:val="-14"/>
                <w:sz w:val="20"/>
                <w:szCs w:val="20"/>
                <w:lang w:eastAsia="en-GB"/>
              </w:rPr>
              <w:t>(</w:t>
            </w:r>
            <w:r w:rsidRPr="004432F5">
              <w:rPr>
                <w:spacing w:val="-14"/>
                <w:sz w:val="20"/>
                <w:szCs w:val="20"/>
                <w:lang w:eastAsia="en-GB"/>
              </w:rPr>
              <w:t>M) : CaCl</w:t>
            </w:r>
            <w:r w:rsidRPr="004432F5">
              <w:rPr>
                <w:spacing w:val="-14"/>
                <w:sz w:val="20"/>
                <w:szCs w:val="20"/>
                <w:vertAlign w:val="subscript"/>
                <w:lang w:eastAsia="en-GB"/>
              </w:rPr>
              <w:t>2</w:t>
            </w:r>
            <w:r w:rsidRPr="004432F5">
              <w:rPr>
                <w:spacing w:val="-14"/>
                <w:sz w:val="20"/>
                <w:szCs w:val="20"/>
                <w:lang w:eastAsia="en-GB"/>
              </w:rPr>
              <w:t xml:space="preserve"> (M) </w:t>
            </w:r>
          </w:p>
        </w:tc>
        <w:tc>
          <w:tcPr>
            <w:tcW w:w="567" w:type="dxa"/>
            <w:textDirection w:val="btLr"/>
          </w:tcPr>
          <w:p w:rsidR="00CE264E" w:rsidRPr="004432F5" w:rsidRDefault="00CE264E" w:rsidP="00CF0ED9">
            <w:pPr>
              <w:ind w:left="113" w:right="113"/>
              <w:rPr>
                <w:spacing w:val="-14"/>
                <w:sz w:val="20"/>
                <w:szCs w:val="20"/>
                <w:lang w:eastAsia="en-GB"/>
              </w:rPr>
            </w:pPr>
            <w:r w:rsidRPr="00CE264E">
              <w:rPr>
                <w:spacing w:val="-14"/>
                <w:sz w:val="20"/>
                <w:szCs w:val="20"/>
                <w:lang w:eastAsia="en-GB"/>
              </w:rPr>
              <w:t>Flushing</w:t>
            </w:r>
            <w:r w:rsidRPr="004432F5">
              <w:rPr>
                <w:spacing w:val="-14"/>
                <w:sz w:val="20"/>
                <w:szCs w:val="20"/>
                <w:lang w:eastAsia="en-GB"/>
              </w:rPr>
              <w:t>(days)</w:t>
            </w:r>
          </w:p>
        </w:tc>
        <w:tc>
          <w:tcPr>
            <w:tcW w:w="567" w:type="dxa"/>
            <w:textDirection w:val="btLr"/>
          </w:tcPr>
          <w:p w:rsidR="00CE264E" w:rsidRPr="004432F5" w:rsidRDefault="00CE264E" w:rsidP="00CF0ED9">
            <w:pPr>
              <w:ind w:left="113" w:right="113"/>
              <w:rPr>
                <w:spacing w:val="-14"/>
                <w:sz w:val="20"/>
                <w:szCs w:val="20"/>
                <w:lang w:eastAsia="en-GB"/>
              </w:rPr>
            </w:pPr>
            <w:r w:rsidRPr="004432F5">
              <w:rPr>
                <w:spacing w:val="-14"/>
                <w:sz w:val="20"/>
                <w:szCs w:val="20"/>
                <w:lang w:eastAsia="en-GB"/>
              </w:rPr>
              <w:t>Cur</w:t>
            </w:r>
            <w:r w:rsidRPr="00CE264E">
              <w:rPr>
                <w:spacing w:val="-14"/>
                <w:sz w:val="20"/>
                <w:szCs w:val="20"/>
                <w:lang w:eastAsia="en-GB"/>
              </w:rPr>
              <w:t>ing</w:t>
            </w:r>
            <w:r w:rsidR="004928BE">
              <w:rPr>
                <w:spacing w:val="-14"/>
                <w:sz w:val="20"/>
                <w:szCs w:val="20"/>
                <w:lang w:eastAsia="en-GB"/>
              </w:rPr>
              <w:t xml:space="preserve"> </w:t>
            </w:r>
            <w:r w:rsidRPr="004432F5">
              <w:rPr>
                <w:spacing w:val="-14"/>
                <w:sz w:val="20"/>
                <w:szCs w:val="20"/>
                <w:lang w:eastAsia="en-GB"/>
              </w:rPr>
              <w:t>(day</w:t>
            </w:r>
            <w:r w:rsidRPr="00CE264E">
              <w:rPr>
                <w:spacing w:val="-14"/>
                <w:sz w:val="20"/>
                <w:szCs w:val="20"/>
                <w:lang w:eastAsia="en-GB"/>
              </w:rPr>
              <w:t>s</w:t>
            </w:r>
            <w:r w:rsidRPr="004432F5">
              <w:rPr>
                <w:spacing w:val="-1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9" w:type="dxa"/>
            <w:textDirection w:val="btLr"/>
          </w:tcPr>
          <w:p w:rsidR="00CE264E" w:rsidRPr="00CE264E" w:rsidRDefault="00CE264E" w:rsidP="00CF0ED9">
            <w:pPr>
              <w:ind w:left="113" w:right="113"/>
              <w:rPr>
                <w:spacing w:val="-14"/>
                <w:sz w:val="20"/>
                <w:szCs w:val="20"/>
                <w:lang w:eastAsia="en-GB"/>
              </w:rPr>
            </w:pPr>
            <w:r w:rsidRPr="00CE264E">
              <w:rPr>
                <w:spacing w:val="-14"/>
                <w:sz w:val="20"/>
                <w:szCs w:val="20"/>
                <w:lang w:eastAsia="en-GB"/>
              </w:rPr>
              <w:t>q</w:t>
            </w:r>
            <w:r w:rsidRPr="00CE264E">
              <w:rPr>
                <w:spacing w:val="-14"/>
                <w:sz w:val="20"/>
                <w:szCs w:val="20"/>
                <w:vertAlign w:val="subscript"/>
                <w:lang w:eastAsia="en-GB"/>
              </w:rPr>
              <w:t xml:space="preserve">u </w:t>
            </w:r>
            <w:r w:rsidRPr="00CE264E">
              <w:rPr>
                <w:spacing w:val="-14"/>
                <w:sz w:val="20"/>
                <w:szCs w:val="20"/>
                <w:lang w:eastAsia="en-GB"/>
              </w:rPr>
              <w:t>(kPa)</w:t>
            </w:r>
          </w:p>
        </w:tc>
        <w:tc>
          <w:tcPr>
            <w:tcW w:w="567" w:type="dxa"/>
            <w:textDirection w:val="btLr"/>
          </w:tcPr>
          <w:p w:rsidR="00CE264E" w:rsidRPr="00CE264E" w:rsidRDefault="00CE264E" w:rsidP="00CF0ED9">
            <w:pPr>
              <w:ind w:left="113" w:right="113"/>
              <w:rPr>
                <w:spacing w:val="-14"/>
                <w:sz w:val="20"/>
                <w:szCs w:val="20"/>
                <w:lang w:eastAsia="en-GB"/>
              </w:rPr>
            </w:pPr>
            <w:r w:rsidRPr="00CE264E">
              <w:rPr>
                <w:spacing w:val="-14"/>
                <w:sz w:val="20"/>
                <w:szCs w:val="20"/>
                <w:lang w:eastAsia="en-GB"/>
              </w:rPr>
              <w:t>CaCO</w:t>
            </w:r>
            <w:r w:rsidRPr="00CE264E">
              <w:rPr>
                <w:spacing w:val="-14"/>
                <w:sz w:val="20"/>
                <w:szCs w:val="20"/>
                <w:vertAlign w:val="subscript"/>
                <w:lang w:eastAsia="en-GB"/>
              </w:rPr>
              <w:t>3</w:t>
            </w:r>
            <w:r w:rsidRPr="00CE264E">
              <w:rPr>
                <w:spacing w:val="-14"/>
                <w:sz w:val="20"/>
                <w:szCs w:val="20"/>
                <w:lang w:eastAsia="en-GB"/>
              </w:rPr>
              <w:t xml:space="preserve"> </w:t>
            </w:r>
            <w:r w:rsidR="0070539F">
              <w:rPr>
                <w:spacing w:val="-14"/>
                <w:sz w:val="20"/>
                <w:szCs w:val="20"/>
                <w:lang w:eastAsia="en-GB"/>
              </w:rPr>
              <w:t>(</w:t>
            </w:r>
            <w:r w:rsidRPr="00CE264E">
              <w:rPr>
                <w:spacing w:val="-14"/>
                <w:sz w:val="20"/>
                <w:szCs w:val="20"/>
                <w:lang w:eastAsia="en-GB"/>
              </w:rPr>
              <w:t>%)</w:t>
            </w:r>
          </w:p>
        </w:tc>
      </w:tr>
      <w:tr w:rsidR="00CE264E" w:rsidRPr="00CE264E" w:rsidTr="004928BE">
        <w:trPr>
          <w:trHeight w:val="93"/>
        </w:trPr>
        <w:tc>
          <w:tcPr>
            <w:tcW w:w="709" w:type="dxa"/>
            <w:noWrap/>
            <w:hideMark/>
          </w:tcPr>
          <w:p w:rsidR="00CE264E" w:rsidRPr="00D440C2" w:rsidRDefault="00CF0ED9" w:rsidP="00CF0ED9">
            <w:pPr>
              <w:rPr>
                <w:spacing w:val="-20"/>
                <w:sz w:val="20"/>
                <w:szCs w:val="20"/>
                <w:lang w:eastAsia="en-GB"/>
              </w:rPr>
            </w:pPr>
            <w:r>
              <w:rPr>
                <w:spacing w:val="-20"/>
                <w:sz w:val="20"/>
                <w:szCs w:val="20"/>
                <w:lang w:eastAsia="en-GB"/>
              </w:rPr>
              <w:t>Peat</w:t>
            </w:r>
          </w:p>
        </w:tc>
        <w:tc>
          <w:tcPr>
            <w:tcW w:w="567" w:type="dxa"/>
            <w:noWrap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851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30"/>
                <w:sz w:val="20"/>
                <w:szCs w:val="20"/>
                <w:lang w:eastAsia="en-GB"/>
              </w:rPr>
            </w:pPr>
            <w:r w:rsidRPr="004432F5">
              <w:rPr>
                <w:spacing w:val="-3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30"/>
                <w:sz w:val="20"/>
                <w:szCs w:val="20"/>
                <w:lang w:eastAsia="en-GB"/>
              </w:rPr>
            </w:pPr>
            <w:r w:rsidRPr="004432F5">
              <w:rPr>
                <w:spacing w:val="-3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709" w:type="dxa"/>
          </w:tcPr>
          <w:p w:rsidR="00CE264E" w:rsidRPr="00CE264E" w:rsidRDefault="004928B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567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0.06</w:t>
            </w:r>
          </w:p>
        </w:tc>
      </w:tr>
      <w:tr w:rsidR="00CE264E" w:rsidRPr="00CE264E" w:rsidTr="004928BE">
        <w:trPr>
          <w:trHeight w:val="139"/>
        </w:trPr>
        <w:tc>
          <w:tcPr>
            <w:tcW w:w="709" w:type="dxa"/>
            <w:noWrap/>
            <w:hideMark/>
          </w:tcPr>
          <w:p w:rsidR="00CE264E" w:rsidRPr="004432F5" w:rsidRDefault="00CE264E" w:rsidP="003865CE">
            <w:pPr>
              <w:rPr>
                <w:spacing w:val="-30"/>
                <w:sz w:val="20"/>
                <w:szCs w:val="20"/>
                <w:lang w:eastAsia="en-GB"/>
              </w:rPr>
            </w:pPr>
            <w:r w:rsidRPr="00012A47">
              <w:rPr>
                <w:spacing w:val="-30"/>
                <w:sz w:val="20"/>
                <w:szCs w:val="20"/>
                <w:lang w:eastAsia="en-GB"/>
              </w:rPr>
              <w:t>Nutrients</w:t>
            </w:r>
          </w:p>
        </w:tc>
        <w:tc>
          <w:tcPr>
            <w:tcW w:w="567" w:type="dxa"/>
            <w:noWrap/>
            <w:hideMark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851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CE264E">
              <w:rPr>
                <w:spacing w:val="-2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CE264E">
              <w:rPr>
                <w:spacing w:val="-2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9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567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0.13</w:t>
            </w:r>
          </w:p>
        </w:tc>
      </w:tr>
      <w:tr w:rsidR="00CE264E" w:rsidRPr="00CE264E" w:rsidTr="004928BE">
        <w:trPr>
          <w:trHeight w:val="173"/>
        </w:trPr>
        <w:tc>
          <w:tcPr>
            <w:tcW w:w="709" w:type="dxa"/>
            <w:noWrap/>
          </w:tcPr>
          <w:p w:rsidR="00CE264E" w:rsidRPr="004432F5" w:rsidRDefault="00CE264E" w:rsidP="003865CE">
            <w:pPr>
              <w:rPr>
                <w:spacing w:val="-30"/>
                <w:sz w:val="20"/>
                <w:szCs w:val="20"/>
                <w:lang w:eastAsia="en-GB"/>
              </w:rPr>
            </w:pPr>
            <w:r w:rsidRPr="00012A47">
              <w:rPr>
                <w:spacing w:val="-30"/>
                <w:sz w:val="20"/>
                <w:szCs w:val="20"/>
                <w:lang w:eastAsia="en-GB"/>
              </w:rPr>
              <w:t>BL1</w:t>
            </w:r>
          </w:p>
        </w:tc>
        <w:tc>
          <w:tcPr>
            <w:tcW w:w="567" w:type="dxa"/>
            <w:noWrap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CE264E">
              <w:rPr>
                <w:spacing w:val="-26"/>
                <w:sz w:val="20"/>
                <w:szCs w:val="20"/>
                <w:lang w:eastAsia="en-GB"/>
              </w:rPr>
              <w:t>1x10</w:t>
            </w:r>
            <w:r w:rsidRPr="004432F5">
              <w:rPr>
                <w:spacing w:val="-26"/>
                <w:sz w:val="20"/>
                <w:szCs w:val="20"/>
                <w:vertAlign w:val="superscript"/>
                <w:lang w:eastAsia="en-GB"/>
              </w:rPr>
              <w:t xml:space="preserve">8 </w:t>
            </w:r>
            <w:r w:rsidRPr="004432F5">
              <w:rPr>
                <w:spacing w:val="-26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851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0.25:0.25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</w:tcPr>
          <w:p w:rsidR="00CE264E" w:rsidRPr="004928BE" w:rsidRDefault="00CE264E" w:rsidP="004928B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34</w:t>
            </w:r>
            <w:r w:rsidR="004928BE" w:rsidRPr="004928BE">
              <w:rPr>
                <w:spacing w:val="-2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0.99</w:t>
            </w:r>
          </w:p>
        </w:tc>
      </w:tr>
      <w:tr w:rsidR="00CE264E" w:rsidRPr="00CE264E" w:rsidTr="004928BE">
        <w:trPr>
          <w:trHeight w:val="149"/>
        </w:trPr>
        <w:tc>
          <w:tcPr>
            <w:tcW w:w="709" w:type="dxa"/>
            <w:noWrap/>
            <w:hideMark/>
          </w:tcPr>
          <w:p w:rsidR="00CE264E" w:rsidRPr="004432F5" w:rsidRDefault="00CE264E" w:rsidP="003865CE">
            <w:pPr>
              <w:rPr>
                <w:spacing w:val="-30"/>
                <w:sz w:val="20"/>
                <w:szCs w:val="20"/>
                <w:lang w:eastAsia="en-GB"/>
              </w:rPr>
            </w:pPr>
            <w:r w:rsidRPr="00012A47">
              <w:rPr>
                <w:spacing w:val="-30"/>
                <w:sz w:val="20"/>
                <w:szCs w:val="20"/>
                <w:lang w:eastAsia="en-GB"/>
              </w:rPr>
              <w:t>BL2</w:t>
            </w:r>
          </w:p>
        </w:tc>
        <w:tc>
          <w:tcPr>
            <w:tcW w:w="567" w:type="dxa"/>
            <w:noWrap/>
            <w:hideMark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CE264E">
              <w:rPr>
                <w:spacing w:val="-26"/>
                <w:sz w:val="20"/>
                <w:szCs w:val="20"/>
                <w:lang w:eastAsia="en-GB"/>
              </w:rPr>
              <w:t>1x10</w:t>
            </w:r>
            <w:r w:rsidRPr="004432F5">
              <w:rPr>
                <w:spacing w:val="-26"/>
                <w:sz w:val="20"/>
                <w:szCs w:val="20"/>
                <w:vertAlign w:val="superscript"/>
                <w:lang w:eastAsia="en-GB"/>
              </w:rPr>
              <w:t xml:space="preserve">8 </w:t>
            </w:r>
            <w:r w:rsidRPr="004432F5">
              <w:rPr>
                <w:spacing w:val="-26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851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0.75:0.75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567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1.28</w:t>
            </w:r>
          </w:p>
        </w:tc>
      </w:tr>
      <w:tr w:rsidR="00CE264E" w:rsidRPr="00CE264E" w:rsidTr="004928BE">
        <w:trPr>
          <w:trHeight w:val="125"/>
        </w:trPr>
        <w:tc>
          <w:tcPr>
            <w:tcW w:w="709" w:type="dxa"/>
            <w:noWrap/>
            <w:hideMark/>
          </w:tcPr>
          <w:p w:rsidR="00CE264E" w:rsidRPr="004432F5" w:rsidRDefault="00CE264E" w:rsidP="003865CE">
            <w:pPr>
              <w:rPr>
                <w:spacing w:val="-30"/>
                <w:sz w:val="20"/>
                <w:szCs w:val="20"/>
                <w:lang w:eastAsia="en-GB"/>
              </w:rPr>
            </w:pPr>
            <w:r w:rsidRPr="00012A47">
              <w:rPr>
                <w:spacing w:val="-30"/>
                <w:sz w:val="20"/>
                <w:szCs w:val="20"/>
                <w:lang w:eastAsia="en-GB"/>
              </w:rPr>
              <w:t>BL3</w:t>
            </w:r>
          </w:p>
        </w:tc>
        <w:tc>
          <w:tcPr>
            <w:tcW w:w="567" w:type="dxa"/>
            <w:noWrap/>
            <w:hideMark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>1x10</w:t>
            </w:r>
            <w:r w:rsidRPr="00CE264E">
              <w:rPr>
                <w:spacing w:val="-26"/>
                <w:sz w:val="20"/>
                <w:szCs w:val="20"/>
                <w:vertAlign w:val="superscript"/>
              </w:rPr>
              <w:t xml:space="preserve">8 </w:t>
            </w:r>
            <w:r w:rsidRPr="00CE264E">
              <w:rPr>
                <w:spacing w:val="-26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>1:1</w:t>
            </w:r>
          </w:p>
        </w:tc>
        <w:tc>
          <w:tcPr>
            <w:tcW w:w="567" w:type="dxa"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380</w:t>
            </w:r>
          </w:p>
        </w:tc>
        <w:tc>
          <w:tcPr>
            <w:tcW w:w="567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0.91</w:t>
            </w:r>
          </w:p>
        </w:tc>
      </w:tr>
      <w:tr w:rsidR="00CE264E" w:rsidRPr="00CE264E" w:rsidTr="004928BE">
        <w:trPr>
          <w:trHeight w:val="101"/>
        </w:trPr>
        <w:tc>
          <w:tcPr>
            <w:tcW w:w="709" w:type="dxa"/>
            <w:noWrap/>
            <w:hideMark/>
          </w:tcPr>
          <w:p w:rsidR="00CE264E" w:rsidRPr="004432F5" w:rsidRDefault="00CE264E" w:rsidP="003865CE">
            <w:pPr>
              <w:rPr>
                <w:spacing w:val="-30"/>
                <w:sz w:val="20"/>
                <w:szCs w:val="20"/>
                <w:lang w:eastAsia="en-GB"/>
              </w:rPr>
            </w:pPr>
            <w:r w:rsidRPr="00012A47">
              <w:rPr>
                <w:spacing w:val="-30"/>
                <w:sz w:val="20"/>
                <w:szCs w:val="20"/>
                <w:lang w:eastAsia="en-GB"/>
              </w:rPr>
              <w:t>BL4</w:t>
            </w:r>
          </w:p>
        </w:tc>
        <w:tc>
          <w:tcPr>
            <w:tcW w:w="567" w:type="dxa"/>
            <w:noWrap/>
            <w:hideMark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CE264E">
              <w:rPr>
                <w:spacing w:val="-26"/>
                <w:sz w:val="20"/>
                <w:szCs w:val="20"/>
                <w:lang w:eastAsia="en-GB"/>
              </w:rPr>
              <w:t>1x10</w:t>
            </w:r>
            <w:r w:rsidRPr="004432F5">
              <w:rPr>
                <w:spacing w:val="-26"/>
                <w:sz w:val="20"/>
                <w:szCs w:val="20"/>
                <w:vertAlign w:val="superscript"/>
                <w:lang w:eastAsia="en-GB"/>
              </w:rPr>
              <w:t xml:space="preserve">8 </w:t>
            </w:r>
            <w:r w:rsidRPr="004432F5">
              <w:rPr>
                <w:spacing w:val="-26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851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1:1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9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35</w:t>
            </w:r>
            <w:r w:rsidR="004928BE" w:rsidRPr="004928BE">
              <w:rPr>
                <w:spacing w:val="-2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0.85</w:t>
            </w:r>
          </w:p>
        </w:tc>
      </w:tr>
      <w:tr w:rsidR="00CE264E" w:rsidRPr="00CE264E" w:rsidTr="004928BE">
        <w:trPr>
          <w:trHeight w:val="71"/>
        </w:trPr>
        <w:tc>
          <w:tcPr>
            <w:tcW w:w="709" w:type="dxa"/>
            <w:noWrap/>
            <w:hideMark/>
          </w:tcPr>
          <w:p w:rsidR="00CE264E" w:rsidRPr="004432F5" w:rsidRDefault="00CE264E" w:rsidP="003865CE">
            <w:pPr>
              <w:rPr>
                <w:spacing w:val="-30"/>
                <w:sz w:val="20"/>
                <w:szCs w:val="20"/>
                <w:lang w:eastAsia="en-GB"/>
              </w:rPr>
            </w:pPr>
            <w:r w:rsidRPr="00012A47">
              <w:rPr>
                <w:spacing w:val="-30"/>
                <w:sz w:val="20"/>
                <w:szCs w:val="20"/>
                <w:lang w:eastAsia="en-GB"/>
              </w:rPr>
              <w:t>BL5</w:t>
            </w:r>
          </w:p>
        </w:tc>
        <w:tc>
          <w:tcPr>
            <w:tcW w:w="567" w:type="dxa"/>
            <w:noWrap/>
            <w:hideMark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>1x10</w:t>
            </w:r>
            <w:r w:rsidRPr="00CE264E">
              <w:rPr>
                <w:spacing w:val="-26"/>
                <w:sz w:val="20"/>
                <w:szCs w:val="20"/>
                <w:vertAlign w:val="superscript"/>
              </w:rPr>
              <w:t xml:space="preserve">8 </w:t>
            </w:r>
            <w:r w:rsidRPr="00CE264E">
              <w:rPr>
                <w:spacing w:val="-26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>1:1</w:t>
            </w:r>
          </w:p>
        </w:tc>
        <w:tc>
          <w:tcPr>
            <w:tcW w:w="567" w:type="dxa"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348</w:t>
            </w:r>
          </w:p>
        </w:tc>
        <w:tc>
          <w:tcPr>
            <w:tcW w:w="567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0.74</w:t>
            </w:r>
          </w:p>
        </w:tc>
      </w:tr>
      <w:tr w:rsidR="00CE264E" w:rsidRPr="00CE264E" w:rsidTr="004928BE">
        <w:trPr>
          <w:trHeight w:val="117"/>
        </w:trPr>
        <w:tc>
          <w:tcPr>
            <w:tcW w:w="709" w:type="dxa"/>
            <w:noWrap/>
            <w:hideMark/>
          </w:tcPr>
          <w:p w:rsidR="00CE264E" w:rsidRPr="004432F5" w:rsidRDefault="00CE264E" w:rsidP="003865CE">
            <w:pPr>
              <w:rPr>
                <w:spacing w:val="-30"/>
                <w:sz w:val="20"/>
                <w:szCs w:val="20"/>
                <w:lang w:eastAsia="en-GB"/>
              </w:rPr>
            </w:pPr>
            <w:r w:rsidRPr="00012A47">
              <w:rPr>
                <w:spacing w:val="-30"/>
                <w:sz w:val="20"/>
                <w:szCs w:val="20"/>
                <w:lang w:eastAsia="en-GB"/>
              </w:rPr>
              <w:t>BL6</w:t>
            </w:r>
          </w:p>
        </w:tc>
        <w:tc>
          <w:tcPr>
            <w:tcW w:w="567" w:type="dxa"/>
            <w:noWrap/>
            <w:hideMark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CE264E">
              <w:rPr>
                <w:spacing w:val="-26"/>
                <w:sz w:val="20"/>
                <w:szCs w:val="20"/>
                <w:lang w:eastAsia="en-GB"/>
              </w:rPr>
              <w:t>1x10</w:t>
            </w:r>
            <w:r w:rsidRPr="00CE264E">
              <w:rPr>
                <w:spacing w:val="-26"/>
                <w:sz w:val="20"/>
                <w:szCs w:val="20"/>
                <w:vertAlign w:val="superscript"/>
                <w:lang w:eastAsia="en-GB"/>
              </w:rPr>
              <w:t>7</w:t>
            </w:r>
            <w:r w:rsidRPr="004432F5">
              <w:rPr>
                <w:spacing w:val="-26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432F5">
              <w:rPr>
                <w:spacing w:val="-26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851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0.25:0.25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567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0.93</w:t>
            </w:r>
          </w:p>
        </w:tc>
      </w:tr>
      <w:tr w:rsidR="00CE264E" w:rsidRPr="00CE264E" w:rsidTr="004928BE">
        <w:trPr>
          <w:trHeight w:val="203"/>
        </w:trPr>
        <w:tc>
          <w:tcPr>
            <w:tcW w:w="709" w:type="dxa"/>
            <w:noWrap/>
            <w:hideMark/>
          </w:tcPr>
          <w:p w:rsidR="00CE264E" w:rsidRPr="004432F5" w:rsidRDefault="00CE264E" w:rsidP="003865CE">
            <w:pPr>
              <w:rPr>
                <w:spacing w:val="-30"/>
                <w:sz w:val="20"/>
                <w:szCs w:val="20"/>
                <w:lang w:eastAsia="en-GB"/>
              </w:rPr>
            </w:pPr>
            <w:r w:rsidRPr="00012A47">
              <w:rPr>
                <w:spacing w:val="-30"/>
                <w:sz w:val="20"/>
                <w:szCs w:val="20"/>
                <w:lang w:eastAsia="en-GB"/>
              </w:rPr>
              <w:t>BL7</w:t>
            </w:r>
          </w:p>
        </w:tc>
        <w:tc>
          <w:tcPr>
            <w:tcW w:w="567" w:type="dxa"/>
            <w:noWrap/>
            <w:hideMark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CE264E">
              <w:rPr>
                <w:spacing w:val="-26"/>
                <w:sz w:val="20"/>
                <w:szCs w:val="20"/>
                <w:lang w:eastAsia="en-GB"/>
              </w:rPr>
              <w:t>1x10</w:t>
            </w:r>
            <w:r w:rsidRPr="00CE264E">
              <w:rPr>
                <w:spacing w:val="-26"/>
                <w:sz w:val="20"/>
                <w:szCs w:val="20"/>
                <w:vertAlign w:val="superscript"/>
                <w:lang w:eastAsia="en-GB"/>
              </w:rPr>
              <w:t>7</w:t>
            </w:r>
            <w:r w:rsidRPr="004432F5">
              <w:rPr>
                <w:spacing w:val="-26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432F5">
              <w:rPr>
                <w:spacing w:val="-26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851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0.75:0.75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567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1.19</w:t>
            </w:r>
          </w:p>
        </w:tc>
      </w:tr>
      <w:tr w:rsidR="00CE264E" w:rsidRPr="00CE264E" w:rsidTr="004928BE">
        <w:trPr>
          <w:trHeight w:val="107"/>
        </w:trPr>
        <w:tc>
          <w:tcPr>
            <w:tcW w:w="709" w:type="dxa"/>
            <w:noWrap/>
          </w:tcPr>
          <w:p w:rsidR="00CE264E" w:rsidRPr="00012A47" w:rsidRDefault="00CE264E" w:rsidP="003865CE">
            <w:pPr>
              <w:rPr>
                <w:spacing w:val="-30"/>
                <w:sz w:val="20"/>
                <w:szCs w:val="20"/>
              </w:rPr>
            </w:pPr>
            <w:r w:rsidRPr="00012A47">
              <w:rPr>
                <w:spacing w:val="-30"/>
                <w:sz w:val="20"/>
                <w:szCs w:val="20"/>
              </w:rPr>
              <w:t>LF1</w:t>
            </w:r>
          </w:p>
        </w:tc>
        <w:tc>
          <w:tcPr>
            <w:tcW w:w="567" w:type="dxa"/>
            <w:noWrap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>1x10</w:t>
            </w:r>
            <w:r w:rsidRPr="00CE264E">
              <w:rPr>
                <w:spacing w:val="-26"/>
                <w:sz w:val="20"/>
                <w:szCs w:val="20"/>
                <w:vertAlign w:val="superscript"/>
              </w:rPr>
              <w:t xml:space="preserve">7 </w:t>
            </w:r>
            <w:r w:rsidRPr="00CE264E">
              <w:rPr>
                <w:spacing w:val="-26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>1:1</w:t>
            </w:r>
          </w:p>
        </w:tc>
        <w:tc>
          <w:tcPr>
            <w:tcW w:w="567" w:type="dxa"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341</w:t>
            </w:r>
          </w:p>
        </w:tc>
        <w:tc>
          <w:tcPr>
            <w:tcW w:w="567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0.82</w:t>
            </w:r>
          </w:p>
        </w:tc>
      </w:tr>
      <w:tr w:rsidR="00CE264E" w:rsidRPr="00CE264E" w:rsidTr="004928BE">
        <w:trPr>
          <w:trHeight w:val="153"/>
        </w:trPr>
        <w:tc>
          <w:tcPr>
            <w:tcW w:w="709" w:type="dxa"/>
            <w:noWrap/>
          </w:tcPr>
          <w:p w:rsidR="00CE264E" w:rsidRPr="00012A47" w:rsidRDefault="00CE264E" w:rsidP="003865CE">
            <w:pPr>
              <w:rPr>
                <w:spacing w:val="-30"/>
                <w:sz w:val="20"/>
                <w:szCs w:val="20"/>
              </w:rPr>
            </w:pPr>
            <w:r w:rsidRPr="00012A47">
              <w:rPr>
                <w:spacing w:val="-30"/>
                <w:sz w:val="20"/>
                <w:szCs w:val="20"/>
              </w:rPr>
              <w:t>LF2</w:t>
            </w:r>
          </w:p>
        </w:tc>
        <w:tc>
          <w:tcPr>
            <w:tcW w:w="567" w:type="dxa"/>
            <w:noWrap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>1x10</w:t>
            </w:r>
            <w:r w:rsidRPr="00CE264E">
              <w:rPr>
                <w:spacing w:val="-26"/>
                <w:sz w:val="20"/>
                <w:szCs w:val="20"/>
                <w:vertAlign w:val="superscript"/>
              </w:rPr>
              <w:t xml:space="preserve">8 </w:t>
            </w:r>
            <w:r w:rsidRPr="00CE264E">
              <w:rPr>
                <w:spacing w:val="-26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>1:1</w:t>
            </w:r>
          </w:p>
        </w:tc>
        <w:tc>
          <w:tcPr>
            <w:tcW w:w="567" w:type="dxa"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</w:tcPr>
          <w:p w:rsidR="00CE264E" w:rsidRPr="00CE264E" w:rsidRDefault="00CE264E" w:rsidP="003865CE">
            <w:pPr>
              <w:rPr>
                <w:spacing w:val="-26"/>
                <w:sz w:val="20"/>
                <w:szCs w:val="20"/>
              </w:rPr>
            </w:pPr>
            <w:r w:rsidRPr="00CE264E">
              <w:rPr>
                <w:spacing w:val="-2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264E" w:rsidRPr="004928BE" w:rsidRDefault="004928BE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400</w:t>
            </w:r>
          </w:p>
        </w:tc>
        <w:tc>
          <w:tcPr>
            <w:tcW w:w="567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1.03</w:t>
            </w:r>
          </w:p>
        </w:tc>
      </w:tr>
      <w:tr w:rsidR="00CE264E" w:rsidRPr="00CE264E" w:rsidTr="004928BE">
        <w:trPr>
          <w:trHeight w:val="132"/>
        </w:trPr>
        <w:tc>
          <w:tcPr>
            <w:tcW w:w="709" w:type="dxa"/>
            <w:noWrap/>
          </w:tcPr>
          <w:p w:rsidR="00CE264E" w:rsidRPr="004432F5" w:rsidRDefault="00CE264E" w:rsidP="003865CE">
            <w:pPr>
              <w:rPr>
                <w:spacing w:val="-30"/>
                <w:sz w:val="20"/>
                <w:szCs w:val="20"/>
                <w:lang w:eastAsia="en-GB"/>
              </w:rPr>
            </w:pPr>
            <w:r w:rsidRPr="00012A47">
              <w:rPr>
                <w:spacing w:val="-30"/>
                <w:sz w:val="20"/>
                <w:szCs w:val="20"/>
                <w:lang w:eastAsia="en-GB"/>
              </w:rPr>
              <w:t>LF3</w:t>
            </w:r>
          </w:p>
        </w:tc>
        <w:tc>
          <w:tcPr>
            <w:tcW w:w="567" w:type="dxa"/>
            <w:noWrap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CE264E">
              <w:rPr>
                <w:spacing w:val="-26"/>
                <w:sz w:val="20"/>
                <w:szCs w:val="20"/>
                <w:lang w:eastAsia="en-GB"/>
              </w:rPr>
              <w:t>1x10</w:t>
            </w:r>
            <w:r w:rsidRPr="004432F5">
              <w:rPr>
                <w:spacing w:val="-26"/>
                <w:sz w:val="20"/>
                <w:szCs w:val="20"/>
                <w:vertAlign w:val="superscript"/>
                <w:lang w:eastAsia="en-GB"/>
              </w:rPr>
              <w:t xml:space="preserve">8 </w:t>
            </w:r>
            <w:r w:rsidRPr="004432F5">
              <w:rPr>
                <w:spacing w:val="-26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851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1:1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9" w:type="dxa"/>
          </w:tcPr>
          <w:p w:rsidR="00CE264E" w:rsidRPr="004928BE" w:rsidRDefault="00CE264E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32</w:t>
            </w:r>
            <w:r w:rsidR="004928BE" w:rsidRPr="004928BE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E264E" w:rsidRPr="004432F5" w:rsidRDefault="00CE264E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0.22</w:t>
            </w:r>
          </w:p>
        </w:tc>
      </w:tr>
      <w:tr w:rsidR="00012A47" w:rsidRPr="00CE264E" w:rsidTr="004928BE">
        <w:trPr>
          <w:trHeight w:val="132"/>
        </w:trPr>
        <w:tc>
          <w:tcPr>
            <w:tcW w:w="709" w:type="dxa"/>
            <w:noWrap/>
          </w:tcPr>
          <w:p w:rsidR="00012A47" w:rsidRPr="004928BE" w:rsidRDefault="00012A47" w:rsidP="004928B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EK-BL</w:t>
            </w:r>
          </w:p>
        </w:tc>
        <w:tc>
          <w:tcPr>
            <w:tcW w:w="567" w:type="dxa"/>
            <w:noWrap/>
          </w:tcPr>
          <w:p w:rsidR="00012A47" w:rsidRPr="004432F5" w:rsidRDefault="00012A47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CE264E">
              <w:rPr>
                <w:spacing w:val="-26"/>
                <w:sz w:val="20"/>
                <w:szCs w:val="20"/>
                <w:lang w:eastAsia="en-GB"/>
              </w:rPr>
              <w:t>1x10</w:t>
            </w:r>
            <w:r w:rsidRPr="004432F5">
              <w:rPr>
                <w:spacing w:val="-26"/>
                <w:sz w:val="20"/>
                <w:szCs w:val="20"/>
                <w:vertAlign w:val="superscript"/>
                <w:lang w:eastAsia="en-GB"/>
              </w:rPr>
              <w:t xml:space="preserve">8 </w:t>
            </w:r>
            <w:r w:rsidRPr="004432F5">
              <w:rPr>
                <w:spacing w:val="-26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851" w:type="dxa"/>
          </w:tcPr>
          <w:p w:rsidR="00012A47" w:rsidRPr="004432F5" w:rsidRDefault="00012A47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 w:rsidRPr="004432F5">
              <w:rPr>
                <w:spacing w:val="-26"/>
                <w:sz w:val="20"/>
                <w:szCs w:val="20"/>
                <w:lang w:eastAsia="en-GB"/>
              </w:rPr>
              <w:t>1:1</w:t>
            </w:r>
          </w:p>
        </w:tc>
        <w:tc>
          <w:tcPr>
            <w:tcW w:w="567" w:type="dxa"/>
          </w:tcPr>
          <w:p w:rsidR="00012A47" w:rsidRPr="004432F5" w:rsidRDefault="00012A47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67" w:type="dxa"/>
          </w:tcPr>
          <w:p w:rsidR="00012A47" w:rsidRPr="004432F5" w:rsidRDefault="00012A47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</w:tcPr>
          <w:p w:rsidR="00012A47" w:rsidRPr="004928BE" w:rsidRDefault="006B71EB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45</w:t>
            </w:r>
            <w:r w:rsidR="00012A47" w:rsidRPr="004928BE">
              <w:rPr>
                <w:spacing w:val="-20"/>
                <w:sz w:val="20"/>
                <w:szCs w:val="20"/>
              </w:rPr>
              <w:t>8</w:t>
            </w:r>
            <w:r w:rsidR="000251D4">
              <w:rPr>
                <w:spacing w:val="-20"/>
                <w:sz w:val="20"/>
                <w:szCs w:val="20"/>
              </w:rPr>
              <w:t xml:space="preserve"> </w:t>
            </w:r>
            <w:r w:rsidR="00012A47" w:rsidRPr="004928BE">
              <w:rPr>
                <w:spacing w:val="-20"/>
                <w:sz w:val="20"/>
                <w:szCs w:val="20"/>
              </w:rPr>
              <w:t>(r)</w:t>
            </w:r>
          </w:p>
          <w:p w:rsidR="00012A47" w:rsidRPr="004928BE" w:rsidRDefault="006B71EB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412(m)</w:t>
            </w:r>
          </w:p>
          <w:p w:rsidR="00012A47" w:rsidRPr="004928BE" w:rsidRDefault="006B71EB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448</w:t>
            </w:r>
            <w:r w:rsidR="000251D4">
              <w:rPr>
                <w:spacing w:val="-20"/>
                <w:sz w:val="20"/>
                <w:szCs w:val="20"/>
              </w:rPr>
              <w:t xml:space="preserve"> </w:t>
            </w:r>
            <w:r w:rsidRPr="004928BE">
              <w:rPr>
                <w:spacing w:val="-20"/>
                <w:sz w:val="20"/>
                <w:szCs w:val="20"/>
              </w:rPr>
              <w:t>(l)</w:t>
            </w:r>
          </w:p>
        </w:tc>
        <w:tc>
          <w:tcPr>
            <w:tcW w:w="567" w:type="dxa"/>
          </w:tcPr>
          <w:p w:rsidR="00012A47" w:rsidRDefault="000241F2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1.71</w:t>
            </w:r>
          </w:p>
          <w:p w:rsidR="000241F2" w:rsidRDefault="000241F2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1.16</w:t>
            </w:r>
          </w:p>
          <w:p w:rsidR="000241F2" w:rsidRPr="00CE264E" w:rsidRDefault="000241F2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1.24</w:t>
            </w:r>
          </w:p>
        </w:tc>
      </w:tr>
      <w:tr w:rsidR="00012A47" w:rsidRPr="00CE264E" w:rsidTr="004928BE">
        <w:trPr>
          <w:trHeight w:val="132"/>
        </w:trPr>
        <w:tc>
          <w:tcPr>
            <w:tcW w:w="709" w:type="dxa"/>
            <w:noWrap/>
          </w:tcPr>
          <w:p w:rsidR="00012A47" w:rsidRPr="004928BE" w:rsidRDefault="00012A47" w:rsidP="00012A47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EK-nutrient</w:t>
            </w:r>
          </w:p>
        </w:tc>
        <w:tc>
          <w:tcPr>
            <w:tcW w:w="567" w:type="dxa"/>
            <w:noWrap/>
          </w:tcPr>
          <w:p w:rsidR="00012A47" w:rsidRPr="00CE264E" w:rsidRDefault="00012A47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851" w:type="dxa"/>
          </w:tcPr>
          <w:p w:rsidR="00012A47" w:rsidRPr="004432F5" w:rsidRDefault="00012A47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67" w:type="dxa"/>
          </w:tcPr>
          <w:p w:rsidR="00012A47" w:rsidRPr="004432F5" w:rsidRDefault="00012A47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67" w:type="dxa"/>
          </w:tcPr>
          <w:p w:rsidR="00012A47" w:rsidRPr="004432F5" w:rsidRDefault="00012A47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</w:tcPr>
          <w:p w:rsidR="00012A47" w:rsidRPr="004928BE" w:rsidRDefault="00012A47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378</w:t>
            </w:r>
            <w:r w:rsidR="000251D4">
              <w:rPr>
                <w:spacing w:val="-20"/>
                <w:sz w:val="20"/>
                <w:szCs w:val="20"/>
              </w:rPr>
              <w:t xml:space="preserve"> </w:t>
            </w:r>
            <w:r w:rsidR="006B71EB" w:rsidRPr="004928BE">
              <w:rPr>
                <w:spacing w:val="-20"/>
                <w:sz w:val="20"/>
                <w:szCs w:val="20"/>
              </w:rPr>
              <w:t>(r)</w:t>
            </w:r>
          </w:p>
          <w:p w:rsidR="00012A47" w:rsidRPr="004928BE" w:rsidRDefault="006B71EB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320(m)</w:t>
            </w:r>
          </w:p>
          <w:p w:rsidR="00012A47" w:rsidRPr="004928BE" w:rsidRDefault="00012A47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3</w:t>
            </w:r>
            <w:r w:rsidR="006B71EB" w:rsidRPr="004928BE">
              <w:rPr>
                <w:spacing w:val="-20"/>
                <w:sz w:val="20"/>
                <w:szCs w:val="20"/>
              </w:rPr>
              <w:t>56</w:t>
            </w:r>
            <w:r w:rsidR="000251D4">
              <w:rPr>
                <w:spacing w:val="-20"/>
                <w:sz w:val="20"/>
                <w:szCs w:val="20"/>
              </w:rPr>
              <w:t xml:space="preserve"> </w:t>
            </w:r>
            <w:r w:rsidR="006B71EB" w:rsidRPr="004928BE">
              <w:rPr>
                <w:spacing w:val="-20"/>
                <w:sz w:val="20"/>
                <w:szCs w:val="20"/>
              </w:rPr>
              <w:t>(l)</w:t>
            </w:r>
          </w:p>
        </w:tc>
        <w:tc>
          <w:tcPr>
            <w:tcW w:w="567" w:type="dxa"/>
          </w:tcPr>
          <w:p w:rsidR="00012A47" w:rsidRDefault="000241F2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0.13</w:t>
            </w:r>
          </w:p>
          <w:p w:rsidR="000241F2" w:rsidRDefault="000241F2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0.13</w:t>
            </w:r>
          </w:p>
          <w:p w:rsidR="000241F2" w:rsidRPr="00CE264E" w:rsidRDefault="000241F2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0.19</w:t>
            </w:r>
          </w:p>
        </w:tc>
      </w:tr>
      <w:tr w:rsidR="00012A47" w:rsidRPr="00CE264E" w:rsidTr="004928BE">
        <w:trPr>
          <w:trHeight w:val="372"/>
        </w:trPr>
        <w:tc>
          <w:tcPr>
            <w:tcW w:w="709" w:type="dxa"/>
            <w:noWrap/>
          </w:tcPr>
          <w:p w:rsidR="00012A47" w:rsidRPr="004928BE" w:rsidRDefault="00012A47" w:rsidP="00FB28B2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EK-water</w:t>
            </w:r>
          </w:p>
        </w:tc>
        <w:tc>
          <w:tcPr>
            <w:tcW w:w="567" w:type="dxa"/>
            <w:noWrap/>
          </w:tcPr>
          <w:p w:rsidR="00012A47" w:rsidRPr="00CE264E" w:rsidRDefault="00012A47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851" w:type="dxa"/>
          </w:tcPr>
          <w:p w:rsidR="00012A47" w:rsidRPr="004432F5" w:rsidRDefault="00012A47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67" w:type="dxa"/>
          </w:tcPr>
          <w:p w:rsidR="00012A47" w:rsidRPr="004432F5" w:rsidRDefault="00012A47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67" w:type="dxa"/>
          </w:tcPr>
          <w:p w:rsidR="00012A47" w:rsidRPr="004432F5" w:rsidRDefault="00012A47" w:rsidP="003865CE">
            <w:pPr>
              <w:rPr>
                <w:spacing w:val="-26"/>
                <w:sz w:val="20"/>
                <w:szCs w:val="20"/>
                <w:lang w:eastAsia="en-GB"/>
              </w:rPr>
            </w:pPr>
            <w:r>
              <w:rPr>
                <w:spacing w:val="-2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</w:tcPr>
          <w:p w:rsidR="00012A47" w:rsidRPr="004928BE" w:rsidRDefault="006B71EB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359</w:t>
            </w:r>
            <w:r w:rsidR="000251D4">
              <w:rPr>
                <w:spacing w:val="-20"/>
                <w:sz w:val="20"/>
                <w:szCs w:val="20"/>
              </w:rPr>
              <w:t xml:space="preserve"> </w:t>
            </w:r>
            <w:r w:rsidRPr="004928BE">
              <w:rPr>
                <w:spacing w:val="-20"/>
                <w:sz w:val="20"/>
                <w:szCs w:val="20"/>
              </w:rPr>
              <w:t>(r)</w:t>
            </w:r>
          </w:p>
          <w:p w:rsidR="006B71EB" w:rsidRPr="004928BE" w:rsidRDefault="006B71EB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305(m)</w:t>
            </w:r>
          </w:p>
          <w:p w:rsidR="006B71EB" w:rsidRPr="004928BE" w:rsidRDefault="006B71EB" w:rsidP="003865CE">
            <w:pPr>
              <w:rPr>
                <w:spacing w:val="-20"/>
                <w:sz w:val="20"/>
                <w:szCs w:val="20"/>
              </w:rPr>
            </w:pPr>
            <w:r w:rsidRPr="004928BE">
              <w:rPr>
                <w:spacing w:val="-20"/>
                <w:sz w:val="20"/>
                <w:szCs w:val="20"/>
              </w:rPr>
              <w:t>347</w:t>
            </w:r>
            <w:r w:rsidR="000251D4">
              <w:rPr>
                <w:spacing w:val="-20"/>
                <w:sz w:val="20"/>
                <w:szCs w:val="20"/>
              </w:rPr>
              <w:t xml:space="preserve"> </w:t>
            </w:r>
            <w:r w:rsidRPr="004928BE">
              <w:rPr>
                <w:spacing w:val="-20"/>
                <w:sz w:val="20"/>
                <w:szCs w:val="20"/>
              </w:rPr>
              <w:t>(l)</w:t>
            </w:r>
          </w:p>
        </w:tc>
        <w:tc>
          <w:tcPr>
            <w:tcW w:w="567" w:type="dxa"/>
          </w:tcPr>
          <w:p w:rsidR="00012A47" w:rsidRPr="004928BE" w:rsidRDefault="006B71EB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0..20</w:t>
            </w:r>
          </w:p>
          <w:p w:rsidR="006B71EB" w:rsidRPr="004928BE" w:rsidRDefault="006B71EB" w:rsidP="003865CE">
            <w:pPr>
              <w:rPr>
                <w:spacing w:val="-2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0.14</w:t>
            </w:r>
          </w:p>
          <w:p w:rsidR="006B71EB" w:rsidRPr="006B71EB" w:rsidRDefault="006B71EB" w:rsidP="00C56970">
            <w:pPr>
              <w:rPr>
                <w:spacing w:val="-40"/>
                <w:sz w:val="20"/>
                <w:szCs w:val="20"/>
                <w:lang w:eastAsia="en-GB"/>
              </w:rPr>
            </w:pPr>
            <w:r w:rsidRPr="004928BE">
              <w:rPr>
                <w:spacing w:val="-20"/>
                <w:sz w:val="20"/>
                <w:szCs w:val="20"/>
                <w:lang w:eastAsia="en-GB"/>
              </w:rPr>
              <w:t>0.19</w:t>
            </w:r>
          </w:p>
        </w:tc>
      </w:tr>
    </w:tbl>
    <w:p w:rsidR="00CE264E" w:rsidRPr="006C3F3F" w:rsidRDefault="00CE264E" w:rsidP="00EE0068">
      <w:pPr>
        <w:pStyle w:val="ListParagraph"/>
        <w:numPr>
          <w:ilvl w:val="0"/>
          <w:numId w:val="2"/>
        </w:numPr>
        <w:spacing w:before="240" w:after="240" w:line="240" w:lineRule="atLeast"/>
        <w:ind w:left="425" w:hanging="425"/>
        <w:contextualSpacing w:val="0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Conclusions</w:t>
      </w:r>
    </w:p>
    <w:p w:rsidR="00CF0ED9" w:rsidRDefault="00CE264E" w:rsidP="00CF0ED9">
      <w:pPr>
        <w:spacing w:after="120" w:line="240" w:lineRule="atLeast"/>
        <w:jc w:val="both"/>
        <w:rPr>
          <w:sz w:val="20"/>
          <w:szCs w:val="20"/>
          <w:lang w:val="en-GB"/>
        </w:rPr>
      </w:pPr>
      <w:r w:rsidRPr="00B45F7E">
        <w:rPr>
          <w:sz w:val="20"/>
          <w:szCs w:val="20"/>
          <w:lang w:val="en-US"/>
        </w:rPr>
        <w:t xml:space="preserve">The results show potential </w:t>
      </w:r>
      <w:r w:rsidR="005B3DB5">
        <w:rPr>
          <w:sz w:val="20"/>
          <w:szCs w:val="20"/>
          <w:lang w:val="en-US"/>
        </w:rPr>
        <w:t xml:space="preserve">soil improvements </w:t>
      </w:r>
      <w:r w:rsidR="00E9049E">
        <w:rPr>
          <w:sz w:val="20"/>
          <w:szCs w:val="20"/>
          <w:lang w:val="en-US"/>
        </w:rPr>
        <w:t>for the techniques used</w:t>
      </w:r>
      <w:r w:rsidRPr="00B45F7E">
        <w:rPr>
          <w:sz w:val="20"/>
          <w:szCs w:val="20"/>
          <w:lang w:val="en-US"/>
        </w:rPr>
        <w:t xml:space="preserve">. </w:t>
      </w:r>
      <w:r w:rsidR="00E9049E">
        <w:rPr>
          <w:sz w:val="20"/>
          <w:szCs w:val="20"/>
          <w:lang w:val="en-US"/>
        </w:rPr>
        <w:t>Further</w:t>
      </w:r>
      <w:r w:rsidRPr="00B45F7E">
        <w:rPr>
          <w:sz w:val="20"/>
          <w:szCs w:val="20"/>
          <w:lang w:val="en-US"/>
        </w:rPr>
        <w:t xml:space="preserve"> </w:t>
      </w:r>
      <w:r w:rsidR="00E9049E">
        <w:rPr>
          <w:sz w:val="20"/>
          <w:szCs w:val="20"/>
          <w:lang w:val="en-US"/>
        </w:rPr>
        <w:t>optimization of</w:t>
      </w:r>
      <w:r w:rsidRPr="00B45F7E">
        <w:rPr>
          <w:sz w:val="20"/>
          <w:szCs w:val="20"/>
          <w:lang w:val="en-US"/>
        </w:rPr>
        <w:t xml:space="preserve"> mixes </w:t>
      </w:r>
      <w:r w:rsidR="00E9049E">
        <w:rPr>
          <w:sz w:val="20"/>
          <w:szCs w:val="20"/>
          <w:lang w:val="en-US"/>
        </w:rPr>
        <w:t>and processes is underway</w:t>
      </w:r>
      <w:r w:rsidRPr="00B45F7E">
        <w:rPr>
          <w:sz w:val="20"/>
          <w:szCs w:val="20"/>
          <w:lang w:val="en-US"/>
        </w:rPr>
        <w:t xml:space="preserve">. </w:t>
      </w:r>
      <w:r w:rsidR="00E9049E">
        <w:rPr>
          <w:sz w:val="20"/>
          <w:szCs w:val="20"/>
          <w:lang w:val="en-US"/>
        </w:rPr>
        <w:t>For ash</w:t>
      </w:r>
      <w:r w:rsidR="0085351A">
        <w:rPr>
          <w:sz w:val="20"/>
          <w:szCs w:val="20"/>
          <w:lang w:val="en-US"/>
        </w:rPr>
        <w:t>,</w:t>
      </w:r>
      <w:r w:rsidR="00E9049E">
        <w:rPr>
          <w:sz w:val="20"/>
          <w:szCs w:val="20"/>
          <w:lang w:val="en-US"/>
        </w:rPr>
        <w:t xml:space="preserve"> t</w:t>
      </w:r>
      <w:r w:rsidRPr="00B45F7E">
        <w:rPr>
          <w:sz w:val="20"/>
          <w:szCs w:val="20"/>
          <w:lang w:val="en-US"/>
        </w:rPr>
        <w:t xml:space="preserve">he </w:t>
      </w:r>
      <w:r w:rsidR="00B47B17">
        <w:rPr>
          <w:sz w:val="20"/>
          <w:szCs w:val="20"/>
          <w:lang w:val="en-US"/>
        </w:rPr>
        <w:t xml:space="preserve">feasibility of </w:t>
      </w:r>
      <w:r w:rsidRPr="00B45F7E">
        <w:rPr>
          <w:sz w:val="20"/>
          <w:szCs w:val="20"/>
          <w:lang w:val="en-US"/>
        </w:rPr>
        <w:t>enzymatically induced calcite precipitation needs to be further investigated.</w:t>
      </w:r>
      <w:r w:rsidR="00E9049E">
        <w:rPr>
          <w:sz w:val="20"/>
          <w:szCs w:val="20"/>
          <w:lang w:val="en-US"/>
        </w:rPr>
        <w:t xml:space="preserve"> </w:t>
      </w:r>
      <w:r w:rsidR="007C37B8">
        <w:rPr>
          <w:sz w:val="20"/>
          <w:szCs w:val="20"/>
          <w:lang w:val="en-US"/>
        </w:rPr>
        <w:t xml:space="preserve">For the peat </w:t>
      </w:r>
      <w:r w:rsidR="00E72A3D">
        <w:rPr>
          <w:sz w:val="20"/>
          <w:szCs w:val="20"/>
          <w:lang w:val="en-US"/>
        </w:rPr>
        <w:t>biocementation</w:t>
      </w:r>
      <w:r w:rsidR="007C37B8">
        <w:rPr>
          <w:sz w:val="20"/>
          <w:szCs w:val="20"/>
          <w:lang w:val="en-US"/>
        </w:rPr>
        <w:t xml:space="preserve"> using</w:t>
      </w:r>
      <w:r w:rsidR="007C37B8" w:rsidRPr="007C37B8">
        <w:rPr>
          <w:sz w:val="20"/>
          <w:szCs w:val="20"/>
          <w:lang w:val="en-GB"/>
        </w:rPr>
        <w:t xml:space="preserve"> indigenous non-pathogenic bacteria </w:t>
      </w:r>
      <w:r w:rsidR="007C37B8">
        <w:rPr>
          <w:sz w:val="20"/>
          <w:szCs w:val="20"/>
          <w:lang w:val="en-GB"/>
        </w:rPr>
        <w:t>was</w:t>
      </w:r>
      <w:r w:rsidR="007C37B8" w:rsidRPr="007C37B8">
        <w:rPr>
          <w:sz w:val="20"/>
          <w:szCs w:val="20"/>
          <w:lang w:val="en-GB"/>
        </w:rPr>
        <w:t xml:space="preserve"> prove</w:t>
      </w:r>
      <w:r w:rsidR="007C37B8">
        <w:rPr>
          <w:sz w:val="20"/>
          <w:szCs w:val="20"/>
          <w:lang w:val="en-GB"/>
        </w:rPr>
        <w:t>n</w:t>
      </w:r>
      <w:r w:rsidR="007C37B8" w:rsidRPr="007C37B8">
        <w:rPr>
          <w:sz w:val="20"/>
          <w:szCs w:val="20"/>
          <w:lang w:val="en-GB"/>
        </w:rPr>
        <w:t xml:space="preserve">; this is environmentally beneficial, as the interference on the local microbial ecology is reduced compared to solutions using exogenous to the location bacteria. </w:t>
      </w:r>
      <w:r w:rsidR="007C37B8">
        <w:rPr>
          <w:sz w:val="20"/>
          <w:szCs w:val="20"/>
          <w:lang w:val="en-GB"/>
        </w:rPr>
        <w:t>T</w:t>
      </w:r>
      <w:r w:rsidR="007C37B8" w:rsidRPr="007C37B8">
        <w:rPr>
          <w:sz w:val="20"/>
          <w:szCs w:val="20"/>
          <w:lang w:val="en-GB"/>
        </w:rPr>
        <w:t xml:space="preserve">he implementation methods </w:t>
      </w:r>
      <w:r w:rsidR="0085351A">
        <w:rPr>
          <w:sz w:val="20"/>
          <w:szCs w:val="20"/>
          <w:lang w:val="en-GB"/>
        </w:rPr>
        <w:t xml:space="preserve">are </w:t>
      </w:r>
      <w:r w:rsidR="0085351A" w:rsidRPr="007C37B8">
        <w:rPr>
          <w:sz w:val="20"/>
          <w:szCs w:val="20"/>
          <w:lang w:val="en-GB"/>
        </w:rPr>
        <w:t xml:space="preserve">actively investigated </w:t>
      </w:r>
      <w:r w:rsidR="0085351A">
        <w:rPr>
          <w:sz w:val="20"/>
          <w:szCs w:val="20"/>
          <w:lang w:val="en-GB"/>
        </w:rPr>
        <w:t>towards upscaling:</w:t>
      </w:r>
      <w:r w:rsidR="007C37B8">
        <w:rPr>
          <w:sz w:val="20"/>
          <w:szCs w:val="20"/>
          <w:lang w:val="en-GB"/>
        </w:rPr>
        <w:t xml:space="preserve"> in</w:t>
      </w:r>
      <w:r w:rsidR="007C37B8" w:rsidRPr="007C37B8">
        <w:rPr>
          <w:sz w:val="20"/>
          <w:szCs w:val="20"/>
          <w:lang w:val="en-GB"/>
        </w:rPr>
        <w:t xml:space="preserve"> particular EK </w:t>
      </w:r>
      <w:r w:rsidR="0085351A">
        <w:rPr>
          <w:sz w:val="20"/>
          <w:szCs w:val="20"/>
          <w:lang w:val="en-GB"/>
        </w:rPr>
        <w:t xml:space="preserve">is studied </w:t>
      </w:r>
      <w:r w:rsidR="007C37B8" w:rsidRPr="007C37B8">
        <w:rPr>
          <w:sz w:val="20"/>
          <w:szCs w:val="20"/>
          <w:lang w:val="en-GB"/>
        </w:rPr>
        <w:t xml:space="preserve">as a method of conveying the treatments under the existing embankments without pore pressure development </w:t>
      </w:r>
      <w:r w:rsidR="00B47B17">
        <w:rPr>
          <w:sz w:val="20"/>
          <w:szCs w:val="20"/>
          <w:lang w:val="en-GB"/>
        </w:rPr>
        <w:t>or</w:t>
      </w:r>
      <w:r w:rsidR="007C37B8" w:rsidRPr="007C37B8">
        <w:rPr>
          <w:sz w:val="20"/>
          <w:szCs w:val="20"/>
          <w:lang w:val="en-GB"/>
        </w:rPr>
        <w:t xml:space="preserve"> </w:t>
      </w:r>
      <w:r w:rsidR="00B47B17">
        <w:rPr>
          <w:sz w:val="20"/>
          <w:szCs w:val="20"/>
          <w:lang w:val="en-GB"/>
        </w:rPr>
        <w:t xml:space="preserve">change of </w:t>
      </w:r>
      <w:r w:rsidR="007C37B8" w:rsidRPr="007C37B8">
        <w:rPr>
          <w:sz w:val="20"/>
          <w:szCs w:val="20"/>
          <w:lang w:val="en-GB"/>
        </w:rPr>
        <w:t>groundwater table</w:t>
      </w:r>
      <w:r w:rsidR="00B47B17">
        <w:rPr>
          <w:sz w:val="20"/>
          <w:szCs w:val="20"/>
          <w:lang w:val="en-GB"/>
        </w:rPr>
        <w:t xml:space="preserve"> level </w:t>
      </w:r>
      <w:r w:rsidR="0085351A">
        <w:rPr>
          <w:sz w:val="20"/>
          <w:szCs w:val="20"/>
          <w:lang w:val="en-GB"/>
        </w:rPr>
        <w:t>(th</w:t>
      </w:r>
      <w:r w:rsidR="00B47B17">
        <w:rPr>
          <w:sz w:val="20"/>
          <w:szCs w:val="20"/>
          <w:lang w:val="en-GB"/>
        </w:rPr>
        <w:t>i</w:t>
      </w:r>
      <w:r w:rsidR="0085351A">
        <w:rPr>
          <w:sz w:val="20"/>
          <w:szCs w:val="20"/>
          <w:lang w:val="en-GB"/>
        </w:rPr>
        <w:t>s reduc</w:t>
      </w:r>
      <w:r w:rsidR="00B47B17">
        <w:rPr>
          <w:sz w:val="20"/>
          <w:szCs w:val="20"/>
          <w:lang w:val="en-GB"/>
        </w:rPr>
        <w:t>es</w:t>
      </w:r>
      <w:r w:rsidR="0085351A">
        <w:rPr>
          <w:sz w:val="20"/>
          <w:szCs w:val="20"/>
          <w:lang w:val="en-GB"/>
        </w:rPr>
        <w:t xml:space="preserve"> </w:t>
      </w:r>
      <w:r w:rsidR="007C37B8">
        <w:rPr>
          <w:sz w:val="20"/>
          <w:szCs w:val="20"/>
          <w:lang w:val="en-GB"/>
        </w:rPr>
        <w:t>peat oxidation and wastage</w:t>
      </w:r>
      <w:r w:rsidR="0085351A">
        <w:rPr>
          <w:sz w:val="20"/>
          <w:szCs w:val="20"/>
          <w:lang w:val="en-GB"/>
        </w:rPr>
        <w:t xml:space="preserve"> hazards</w:t>
      </w:r>
      <w:r w:rsidR="007C37B8">
        <w:rPr>
          <w:sz w:val="20"/>
          <w:szCs w:val="20"/>
          <w:lang w:val="en-GB"/>
        </w:rPr>
        <w:t>)</w:t>
      </w:r>
      <w:r w:rsidR="007C37B8" w:rsidRPr="007C37B8">
        <w:rPr>
          <w:sz w:val="20"/>
          <w:szCs w:val="20"/>
          <w:lang w:val="en-GB"/>
        </w:rPr>
        <w:t>. The results are of particular importance for linear infrastructure owners, who h</w:t>
      </w:r>
      <w:r w:rsidR="0085351A">
        <w:rPr>
          <w:sz w:val="20"/>
          <w:szCs w:val="20"/>
          <w:lang w:val="en-GB"/>
        </w:rPr>
        <w:t xml:space="preserve">ave interest in finding </w:t>
      </w:r>
      <w:r w:rsidR="007C37B8" w:rsidRPr="007C37B8">
        <w:rPr>
          <w:sz w:val="20"/>
          <w:szCs w:val="20"/>
          <w:lang w:val="en-GB"/>
        </w:rPr>
        <w:t xml:space="preserve">more sustainable </w:t>
      </w:r>
      <w:r w:rsidR="007C37B8">
        <w:rPr>
          <w:sz w:val="20"/>
          <w:szCs w:val="20"/>
          <w:lang w:val="en-GB"/>
        </w:rPr>
        <w:t>earthwork maintenance methods, minimising waste and costs</w:t>
      </w:r>
      <w:r w:rsidR="007C37B8" w:rsidRPr="007C37B8">
        <w:rPr>
          <w:sz w:val="20"/>
          <w:szCs w:val="20"/>
          <w:lang w:val="en-GB"/>
        </w:rPr>
        <w:t xml:space="preserve">. </w:t>
      </w:r>
    </w:p>
    <w:p w:rsidR="00CF0ED9" w:rsidRDefault="00CF0ED9" w:rsidP="00EE0068">
      <w:pPr>
        <w:spacing w:before="220" w:after="120" w:line="240" w:lineRule="atLeast"/>
        <w:jc w:val="both"/>
        <w:rPr>
          <w:b/>
          <w:sz w:val="18"/>
          <w:szCs w:val="20"/>
          <w:lang w:val="en-US"/>
        </w:rPr>
      </w:pPr>
      <w:r w:rsidRPr="004D1062">
        <w:rPr>
          <w:b/>
          <w:sz w:val="18"/>
          <w:szCs w:val="20"/>
          <w:lang w:val="en-US"/>
        </w:rPr>
        <w:t>References</w:t>
      </w:r>
    </w:p>
    <w:p w:rsidR="00CF0ED9" w:rsidRPr="00CF0ED9" w:rsidRDefault="00CF0ED9" w:rsidP="00CF0ED9">
      <w:pPr>
        <w:spacing w:after="120"/>
        <w:jc w:val="both"/>
        <w:rPr>
          <w:sz w:val="18"/>
          <w:szCs w:val="20"/>
          <w:lang w:val="en-GB"/>
        </w:rPr>
      </w:pPr>
      <w:r w:rsidRPr="00CF0ED9">
        <w:rPr>
          <w:sz w:val="18"/>
          <w:szCs w:val="20"/>
          <w:lang w:val="en-GB"/>
        </w:rPr>
        <w:t xml:space="preserve">BS 1377:1990 (1990). Methods of test for soils for civil engineering purposes. Classification tests. BSI, London, UK. </w:t>
      </w:r>
    </w:p>
    <w:p w:rsidR="007C37B8" w:rsidRPr="007C37B8" w:rsidRDefault="00CF0ED9" w:rsidP="00CF0ED9">
      <w:pPr>
        <w:spacing w:after="120"/>
        <w:jc w:val="both"/>
        <w:rPr>
          <w:sz w:val="20"/>
          <w:szCs w:val="20"/>
          <w:lang w:val="en-GB"/>
        </w:rPr>
      </w:pPr>
      <w:proofErr w:type="spellStart"/>
      <w:r w:rsidRPr="00CF0ED9">
        <w:rPr>
          <w:sz w:val="18"/>
          <w:szCs w:val="20"/>
          <w:lang w:val="en-GB"/>
        </w:rPr>
        <w:t>Provis</w:t>
      </w:r>
      <w:proofErr w:type="spellEnd"/>
      <w:r w:rsidRPr="00CF0ED9">
        <w:rPr>
          <w:sz w:val="18"/>
          <w:szCs w:val="20"/>
          <w:lang w:val="en-GB"/>
        </w:rPr>
        <w:t xml:space="preserve">, J., </w:t>
      </w:r>
      <w:proofErr w:type="spellStart"/>
      <w:r w:rsidRPr="00CF0ED9">
        <w:rPr>
          <w:sz w:val="18"/>
          <w:szCs w:val="20"/>
          <w:lang w:val="en-GB"/>
        </w:rPr>
        <w:t>Palomo</w:t>
      </w:r>
      <w:proofErr w:type="spellEnd"/>
      <w:r w:rsidRPr="00CF0ED9">
        <w:rPr>
          <w:sz w:val="18"/>
          <w:szCs w:val="20"/>
          <w:lang w:val="en-GB"/>
        </w:rPr>
        <w:t>, A. and Shi, C. (2015). Advances in understanding alkali</w:t>
      </w:r>
      <w:r>
        <w:rPr>
          <w:rFonts w:ascii="MS Mincho" w:eastAsia="MS Mincho" w:hAnsi="MS Mincho" w:cs="MS Mincho"/>
          <w:sz w:val="18"/>
          <w:szCs w:val="20"/>
          <w:lang w:val="en-GB"/>
        </w:rPr>
        <w:t>-</w:t>
      </w:r>
      <w:r w:rsidRPr="00CF0ED9">
        <w:rPr>
          <w:sz w:val="18"/>
          <w:szCs w:val="20"/>
          <w:lang w:val="en-GB"/>
        </w:rPr>
        <w:t>activated materials. </w:t>
      </w:r>
      <w:r w:rsidRPr="00CF0ED9">
        <w:rPr>
          <w:i/>
          <w:iCs/>
          <w:sz w:val="18"/>
          <w:szCs w:val="20"/>
          <w:lang w:val="en-GB"/>
        </w:rPr>
        <w:t>Cement and Concrete Research</w:t>
      </w:r>
      <w:r w:rsidRPr="00CF0ED9">
        <w:rPr>
          <w:sz w:val="18"/>
          <w:szCs w:val="20"/>
          <w:lang w:val="en-GB"/>
        </w:rPr>
        <w:t xml:space="preserve">, </w:t>
      </w:r>
      <w:r w:rsidRPr="00CF0ED9">
        <w:rPr>
          <w:b/>
          <w:sz w:val="18"/>
          <w:szCs w:val="20"/>
          <w:lang w:val="en-GB"/>
        </w:rPr>
        <w:t>78</w:t>
      </w:r>
      <w:r w:rsidRPr="00CF0ED9">
        <w:rPr>
          <w:sz w:val="18"/>
          <w:szCs w:val="20"/>
          <w:lang w:val="en-GB"/>
        </w:rPr>
        <w:t>A, 110-125.</w:t>
      </w:r>
      <w:r w:rsidR="007C37B8" w:rsidRPr="007C37B8">
        <w:rPr>
          <w:sz w:val="20"/>
          <w:szCs w:val="20"/>
          <w:lang w:val="en-GB"/>
        </w:rPr>
        <w:t xml:space="preserve"> </w:t>
      </w:r>
    </w:p>
    <w:sectPr w:rsidR="007C37B8" w:rsidRPr="007C37B8" w:rsidSect="001A505F">
      <w:headerReference w:type="first" r:id="rId12"/>
      <w:type w:val="continuous"/>
      <w:pgSz w:w="11906" w:h="16838" w:code="9"/>
      <w:pgMar w:top="1021" w:right="1021" w:bottom="1021" w:left="1134" w:header="720" w:footer="72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0B" w:rsidRDefault="004B240B">
      <w:r>
        <w:separator/>
      </w:r>
    </w:p>
  </w:endnote>
  <w:endnote w:type="continuationSeparator" w:id="0">
    <w:p w:rsidR="004B240B" w:rsidRDefault="004B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?????????????????????¡ì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0B" w:rsidRDefault="004B240B">
      <w:r>
        <w:separator/>
      </w:r>
    </w:p>
  </w:footnote>
  <w:footnote w:type="continuationSeparator" w:id="0">
    <w:p w:rsidR="004B240B" w:rsidRDefault="004B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2350"/>
      <w:gridCol w:w="7617"/>
    </w:tblGrid>
    <w:tr w:rsidR="003865CE" w:rsidRPr="00C4604B" w:rsidTr="006C3F3F">
      <w:trPr>
        <w:trHeight w:val="345"/>
        <w:jc w:val="center"/>
      </w:trPr>
      <w:tc>
        <w:tcPr>
          <w:tcW w:w="1179" w:type="pct"/>
          <w:vMerge w:val="restart"/>
          <w:vAlign w:val="center"/>
        </w:tcPr>
        <w:p w:rsidR="003865CE" w:rsidRPr="00860F40" w:rsidRDefault="003865CE" w:rsidP="00992AD1">
          <w:pPr>
            <w:ind w:left="-96"/>
            <w:jc w:val="right"/>
            <w:rPr>
              <w:rFonts w:ascii="Arial" w:hAnsi="Arial"/>
              <w:i/>
              <w:sz w:val="18"/>
              <w:szCs w:val="18"/>
              <w:highlight w:val="yellow"/>
            </w:rPr>
          </w:pPr>
          <w:r>
            <w:rPr>
              <w:rFonts w:ascii="Arial" w:hAnsi="Arial"/>
              <w:i/>
              <w:noProof/>
              <w:sz w:val="18"/>
              <w:szCs w:val="18"/>
              <w:lang w:val="en-GB" w:eastAsia="en-GB"/>
            </w:rPr>
            <w:drawing>
              <wp:inline distT="0" distB="0" distL="0" distR="0" wp14:anchorId="2594E351" wp14:editId="5BE15A7D">
                <wp:extent cx="1324800" cy="423047"/>
                <wp:effectExtent l="0" t="0" r="889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st logo 201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800" cy="423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pct"/>
          <w:vAlign w:val="center"/>
        </w:tcPr>
        <w:p w:rsidR="003865CE" w:rsidRPr="00992AD1" w:rsidRDefault="003865CE" w:rsidP="00992AD1">
          <w:pPr>
            <w:jc w:val="right"/>
            <w:rPr>
              <w:i/>
              <w:sz w:val="18"/>
              <w:szCs w:val="18"/>
              <w:lang w:val="en-GB"/>
            </w:rPr>
          </w:pPr>
          <w:r w:rsidRPr="00992AD1">
            <w:rPr>
              <w:i/>
              <w:sz w:val="18"/>
              <w:szCs w:val="18"/>
              <w:lang w:val="en-GB"/>
            </w:rPr>
            <w:t>1</w:t>
          </w:r>
          <w:r>
            <w:rPr>
              <w:i/>
              <w:sz w:val="18"/>
              <w:szCs w:val="18"/>
              <w:lang w:val="en-GB"/>
            </w:rPr>
            <w:t>6</w:t>
          </w:r>
          <w:r w:rsidRPr="00992AD1">
            <w:rPr>
              <w:i/>
              <w:sz w:val="18"/>
              <w:szCs w:val="18"/>
              <w:vertAlign w:val="superscript"/>
              <w:lang w:val="en-GB"/>
            </w:rPr>
            <w:t>th</w:t>
          </w:r>
          <w:r w:rsidRPr="00992AD1">
            <w:rPr>
              <w:i/>
              <w:sz w:val="18"/>
              <w:szCs w:val="18"/>
              <w:lang w:val="en-GB"/>
            </w:rPr>
            <w:t xml:space="preserve"> International Conference on Environmental Science and Technology</w:t>
          </w:r>
        </w:p>
      </w:tc>
    </w:tr>
    <w:tr w:rsidR="003865CE" w:rsidRPr="00DC4FA9" w:rsidTr="006C3F3F">
      <w:trPr>
        <w:trHeight w:val="345"/>
        <w:jc w:val="center"/>
      </w:trPr>
      <w:tc>
        <w:tcPr>
          <w:tcW w:w="1179" w:type="pct"/>
          <w:vMerge/>
          <w:vAlign w:val="center"/>
        </w:tcPr>
        <w:p w:rsidR="003865CE" w:rsidRPr="00C4604B" w:rsidRDefault="003865CE" w:rsidP="00992AD1">
          <w:pPr>
            <w:ind w:firstLine="360"/>
            <w:jc w:val="right"/>
            <w:rPr>
              <w:rFonts w:ascii="Arial" w:hAnsi="Arial"/>
              <w:i/>
              <w:sz w:val="18"/>
              <w:szCs w:val="18"/>
              <w:lang w:val="en-GB"/>
            </w:rPr>
          </w:pPr>
        </w:p>
      </w:tc>
      <w:tc>
        <w:tcPr>
          <w:tcW w:w="3821" w:type="pct"/>
          <w:vAlign w:val="center"/>
        </w:tcPr>
        <w:p w:rsidR="003865CE" w:rsidRPr="00992AD1" w:rsidRDefault="003865CE" w:rsidP="00992AD1">
          <w:pPr>
            <w:ind w:firstLine="360"/>
            <w:jc w:val="right"/>
            <w:rPr>
              <w:i/>
              <w:sz w:val="18"/>
              <w:szCs w:val="18"/>
            </w:rPr>
          </w:pPr>
          <w:r w:rsidRPr="00992AD1">
            <w:rPr>
              <w:i/>
              <w:sz w:val="18"/>
              <w:szCs w:val="18"/>
            </w:rPr>
            <w:t xml:space="preserve">Rhodes, Greece, </w:t>
          </w:r>
          <w:r>
            <w:rPr>
              <w:i/>
              <w:sz w:val="18"/>
              <w:szCs w:val="18"/>
            </w:rPr>
            <w:t xml:space="preserve">4 </w:t>
          </w:r>
          <w:r w:rsidRPr="00992AD1">
            <w:rPr>
              <w:i/>
              <w:sz w:val="18"/>
              <w:szCs w:val="18"/>
            </w:rPr>
            <w:t xml:space="preserve"> to </w:t>
          </w:r>
          <w:r>
            <w:rPr>
              <w:i/>
              <w:sz w:val="18"/>
              <w:szCs w:val="18"/>
            </w:rPr>
            <w:t>7</w:t>
          </w:r>
          <w:r w:rsidRPr="00992AD1">
            <w:rPr>
              <w:i/>
              <w:sz w:val="18"/>
              <w:szCs w:val="18"/>
            </w:rPr>
            <w:t xml:space="preserve"> September 201</w:t>
          </w:r>
          <w:r>
            <w:rPr>
              <w:i/>
              <w:sz w:val="18"/>
              <w:szCs w:val="18"/>
            </w:rPr>
            <w:t>9</w:t>
          </w:r>
        </w:p>
      </w:tc>
    </w:tr>
  </w:tbl>
  <w:p w:rsidR="003865CE" w:rsidRDefault="004B240B">
    <w:pPr>
      <w:pStyle w:val="Header"/>
    </w:pPr>
    <w:r>
      <w:rPr>
        <w:noProof/>
      </w:rPr>
      <w:pict w14:anchorId="3E4B6D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355000" o:spid="_x0000_s2049" type="#_x0000_t136" style="position:absolute;margin-left:0;margin-top:0;width:651pt;height:8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PER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CE" w:rsidRDefault="004B240B">
    <w:pPr>
      <w:pStyle w:val="Header"/>
    </w:pPr>
    <w:r>
      <w:rPr>
        <w:noProof/>
      </w:rPr>
      <w:pict w14:anchorId="6EBE5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1pt;height:86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PER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D8F"/>
    <w:multiLevelType w:val="hybridMultilevel"/>
    <w:tmpl w:val="CDF82A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71392"/>
    <w:multiLevelType w:val="hybridMultilevel"/>
    <w:tmpl w:val="296EAF32"/>
    <w:lvl w:ilvl="0" w:tplc="851CFC2C">
      <w:start w:val="1"/>
      <w:numFmt w:val="decimal"/>
      <w:pStyle w:val="Maintitl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2C"/>
    <w:rsid w:val="000064B4"/>
    <w:rsid w:val="00012A47"/>
    <w:rsid w:val="000241F2"/>
    <w:rsid w:val="000251D4"/>
    <w:rsid w:val="00032443"/>
    <w:rsid w:val="00035F63"/>
    <w:rsid w:val="0004544A"/>
    <w:rsid w:val="000469B1"/>
    <w:rsid w:val="0007506E"/>
    <w:rsid w:val="00076BDD"/>
    <w:rsid w:val="00080E03"/>
    <w:rsid w:val="0008182E"/>
    <w:rsid w:val="00087637"/>
    <w:rsid w:val="000930E4"/>
    <w:rsid w:val="000A7DEE"/>
    <w:rsid w:val="000B2713"/>
    <w:rsid w:val="000B40EA"/>
    <w:rsid w:val="000C5670"/>
    <w:rsid w:val="000C5BFA"/>
    <w:rsid w:val="000D167F"/>
    <w:rsid w:val="000D409B"/>
    <w:rsid w:val="000D6291"/>
    <w:rsid w:val="000F499A"/>
    <w:rsid w:val="000F7F61"/>
    <w:rsid w:val="001006F3"/>
    <w:rsid w:val="00100F41"/>
    <w:rsid w:val="001207C5"/>
    <w:rsid w:val="00134E74"/>
    <w:rsid w:val="001477D2"/>
    <w:rsid w:val="0015752E"/>
    <w:rsid w:val="001741FB"/>
    <w:rsid w:val="00184961"/>
    <w:rsid w:val="00191B01"/>
    <w:rsid w:val="001A3227"/>
    <w:rsid w:val="001A363D"/>
    <w:rsid w:val="001A4D73"/>
    <w:rsid w:val="001A505F"/>
    <w:rsid w:val="001C04A1"/>
    <w:rsid w:val="001C0A29"/>
    <w:rsid w:val="001C15AA"/>
    <w:rsid w:val="001C45BB"/>
    <w:rsid w:val="001D5FB8"/>
    <w:rsid w:val="001F2235"/>
    <w:rsid w:val="0020695F"/>
    <w:rsid w:val="002160E4"/>
    <w:rsid w:val="00217EFD"/>
    <w:rsid w:val="0022110C"/>
    <w:rsid w:val="00221D5B"/>
    <w:rsid w:val="00221F7E"/>
    <w:rsid w:val="0022532F"/>
    <w:rsid w:val="00227DB6"/>
    <w:rsid w:val="0024206A"/>
    <w:rsid w:val="00255B6B"/>
    <w:rsid w:val="00280DC4"/>
    <w:rsid w:val="00281622"/>
    <w:rsid w:val="00286271"/>
    <w:rsid w:val="002A57FE"/>
    <w:rsid w:val="002A6999"/>
    <w:rsid w:val="002B7A85"/>
    <w:rsid w:val="002C5707"/>
    <w:rsid w:val="002C5C1D"/>
    <w:rsid w:val="002D0FA1"/>
    <w:rsid w:val="002D14E9"/>
    <w:rsid w:val="002D2B96"/>
    <w:rsid w:val="002F4BD5"/>
    <w:rsid w:val="003035B6"/>
    <w:rsid w:val="0031233F"/>
    <w:rsid w:val="003168CE"/>
    <w:rsid w:val="003315A2"/>
    <w:rsid w:val="00334FB5"/>
    <w:rsid w:val="00343018"/>
    <w:rsid w:val="003462C5"/>
    <w:rsid w:val="00352177"/>
    <w:rsid w:val="00360B7A"/>
    <w:rsid w:val="003657E4"/>
    <w:rsid w:val="00370CAD"/>
    <w:rsid w:val="00372F9C"/>
    <w:rsid w:val="003740C3"/>
    <w:rsid w:val="003865CE"/>
    <w:rsid w:val="00387C73"/>
    <w:rsid w:val="00387DDA"/>
    <w:rsid w:val="003941CD"/>
    <w:rsid w:val="0039477B"/>
    <w:rsid w:val="003A39EF"/>
    <w:rsid w:val="003A5E0E"/>
    <w:rsid w:val="003B5563"/>
    <w:rsid w:val="003C1716"/>
    <w:rsid w:val="00404045"/>
    <w:rsid w:val="0040446C"/>
    <w:rsid w:val="004121EB"/>
    <w:rsid w:val="00440937"/>
    <w:rsid w:val="00442546"/>
    <w:rsid w:val="00444EDD"/>
    <w:rsid w:val="00445AB0"/>
    <w:rsid w:val="0045109A"/>
    <w:rsid w:val="00454E34"/>
    <w:rsid w:val="0046755B"/>
    <w:rsid w:val="004742C9"/>
    <w:rsid w:val="00477D76"/>
    <w:rsid w:val="004858D2"/>
    <w:rsid w:val="004928BE"/>
    <w:rsid w:val="004A18AF"/>
    <w:rsid w:val="004A3756"/>
    <w:rsid w:val="004A53B9"/>
    <w:rsid w:val="004A6949"/>
    <w:rsid w:val="004B240B"/>
    <w:rsid w:val="004B49DE"/>
    <w:rsid w:val="004B52E0"/>
    <w:rsid w:val="004D1062"/>
    <w:rsid w:val="004D70C4"/>
    <w:rsid w:val="004E55CB"/>
    <w:rsid w:val="004E5F12"/>
    <w:rsid w:val="004F00AF"/>
    <w:rsid w:val="00500981"/>
    <w:rsid w:val="00501C16"/>
    <w:rsid w:val="00525632"/>
    <w:rsid w:val="0052657C"/>
    <w:rsid w:val="00535FBC"/>
    <w:rsid w:val="00536D70"/>
    <w:rsid w:val="00541E35"/>
    <w:rsid w:val="005621DC"/>
    <w:rsid w:val="00563147"/>
    <w:rsid w:val="00567E13"/>
    <w:rsid w:val="00574FD1"/>
    <w:rsid w:val="00581EC1"/>
    <w:rsid w:val="0058292C"/>
    <w:rsid w:val="00586E01"/>
    <w:rsid w:val="0059689F"/>
    <w:rsid w:val="005A1818"/>
    <w:rsid w:val="005A7464"/>
    <w:rsid w:val="005A7FB7"/>
    <w:rsid w:val="005B128A"/>
    <w:rsid w:val="005B3DB5"/>
    <w:rsid w:val="005B6BC2"/>
    <w:rsid w:val="005D0B0E"/>
    <w:rsid w:val="005D2049"/>
    <w:rsid w:val="005D7789"/>
    <w:rsid w:val="005E1504"/>
    <w:rsid w:val="005E7D10"/>
    <w:rsid w:val="005F4DAC"/>
    <w:rsid w:val="006213B4"/>
    <w:rsid w:val="00631A78"/>
    <w:rsid w:val="00642C74"/>
    <w:rsid w:val="006442BB"/>
    <w:rsid w:val="00646592"/>
    <w:rsid w:val="00646D94"/>
    <w:rsid w:val="00655911"/>
    <w:rsid w:val="00661659"/>
    <w:rsid w:val="00662B3B"/>
    <w:rsid w:val="00664F40"/>
    <w:rsid w:val="006703F2"/>
    <w:rsid w:val="00673DB8"/>
    <w:rsid w:val="00693024"/>
    <w:rsid w:val="006B464A"/>
    <w:rsid w:val="006B71EB"/>
    <w:rsid w:val="006B76E5"/>
    <w:rsid w:val="006C3F3F"/>
    <w:rsid w:val="006C3FA5"/>
    <w:rsid w:val="006C59F3"/>
    <w:rsid w:val="006D0678"/>
    <w:rsid w:val="006D50E1"/>
    <w:rsid w:val="006D67AA"/>
    <w:rsid w:val="006D7224"/>
    <w:rsid w:val="006E24D1"/>
    <w:rsid w:val="006E2C1A"/>
    <w:rsid w:val="006E599E"/>
    <w:rsid w:val="006F2252"/>
    <w:rsid w:val="006F3AA7"/>
    <w:rsid w:val="00700406"/>
    <w:rsid w:val="00703075"/>
    <w:rsid w:val="00703645"/>
    <w:rsid w:val="0070539F"/>
    <w:rsid w:val="00706CFD"/>
    <w:rsid w:val="007179B8"/>
    <w:rsid w:val="00732746"/>
    <w:rsid w:val="00736B5E"/>
    <w:rsid w:val="00746D03"/>
    <w:rsid w:val="0076035C"/>
    <w:rsid w:val="00762786"/>
    <w:rsid w:val="007704A4"/>
    <w:rsid w:val="00770E90"/>
    <w:rsid w:val="0079100A"/>
    <w:rsid w:val="007963D0"/>
    <w:rsid w:val="007968AA"/>
    <w:rsid w:val="007A0894"/>
    <w:rsid w:val="007B0CA8"/>
    <w:rsid w:val="007C37B8"/>
    <w:rsid w:val="007E01D0"/>
    <w:rsid w:val="007E0FE3"/>
    <w:rsid w:val="007E7A35"/>
    <w:rsid w:val="007F03BD"/>
    <w:rsid w:val="007F2560"/>
    <w:rsid w:val="007F3095"/>
    <w:rsid w:val="007F7A38"/>
    <w:rsid w:val="00820450"/>
    <w:rsid w:val="00827B86"/>
    <w:rsid w:val="00841A6A"/>
    <w:rsid w:val="00843B9E"/>
    <w:rsid w:val="00843F09"/>
    <w:rsid w:val="0085351A"/>
    <w:rsid w:val="00856225"/>
    <w:rsid w:val="008639E6"/>
    <w:rsid w:val="00867DDA"/>
    <w:rsid w:val="0088058B"/>
    <w:rsid w:val="00886AE0"/>
    <w:rsid w:val="008B0BA6"/>
    <w:rsid w:val="008B6598"/>
    <w:rsid w:val="008D50C1"/>
    <w:rsid w:val="008D52D2"/>
    <w:rsid w:val="008E3D2C"/>
    <w:rsid w:val="00912641"/>
    <w:rsid w:val="009150E9"/>
    <w:rsid w:val="00927B24"/>
    <w:rsid w:val="00933D01"/>
    <w:rsid w:val="00935BBC"/>
    <w:rsid w:val="0093776C"/>
    <w:rsid w:val="00937E91"/>
    <w:rsid w:val="00945D56"/>
    <w:rsid w:val="00947930"/>
    <w:rsid w:val="00957A32"/>
    <w:rsid w:val="009615A9"/>
    <w:rsid w:val="00974473"/>
    <w:rsid w:val="0097539F"/>
    <w:rsid w:val="009858BD"/>
    <w:rsid w:val="00987DA0"/>
    <w:rsid w:val="009925A5"/>
    <w:rsid w:val="00992AD1"/>
    <w:rsid w:val="009A4DC8"/>
    <w:rsid w:val="009B43E0"/>
    <w:rsid w:val="009B5BD4"/>
    <w:rsid w:val="009C1A96"/>
    <w:rsid w:val="009C1D32"/>
    <w:rsid w:val="009D00AC"/>
    <w:rsid w:val="009D479A"/>
    <w:rsid w:val="009D7E3F"/>
    <w:rsid w:val="009E4188"/>
    <w:rsid w:val="009E58BA"/>
    <w:rsid w:val="009E5ED7"/>
    <w:rsid w:val="009F6AA4"/>
    <w:rsid w:val="009F6C25"/>
    <w:rsid w:val="00A00873"/>
    <w:rsid w:val="00A105B1"/>
    <w:rsid w:val="00A105C0"/>
    <w:rsid w:val="00A11F39"/>
    <w:rsid w:val="00A2097C"/>
    <w:rsid w:val="00A221FB"/>
    <w:rsid w:val="00A23E96"/>
    <w:rsid w:val="00A25B0F"/>
    <w:rsid w:val="00A41B19"/>
    <w:rsid w:val="00A47A05"/>
    <w:rsid w:val="00A47C2C"/>
    <w:rsid w:val="00A5581F"/>
    <w:rsid w:val="00A639F4"/>
    <w:rsid w:val="00A67ECC"/>
    <w:rsid w:val="00A93BFA"/>
    <w:rsid w:val="00AA0F27"/>
    <w:rsid w:val="00AB66E9"/>
    <w:rsid w:val="00AC7B57"/>
    <w:rsid w:val="00AD5FC1"/>
    <w:rsid w:val="00AE34A4"/>
    <w:rsid w:val="00B03941"/>
    <w:rsid w:val="00B10CCE"/>
    <w:rsid w:val="00B20D15"/>
    <w:rsid w:val="00B26AB1"/>
    <w:rsid w:val="00B302ED"/>
    <w:rsid w:val="00B32608"/>
    <w:rsid w:val="00B35003"/>
    <w:rsid w:val="00B40FEE"/>
    <w:rsid w:val="00B45F7E"/>
    <w:rsid w:val="00B47B17"/>
    <w:rsid w:val="00B47B94"/>
    <w:rsid w:val="00B51CC8"/>
    <w:rsid w:val="00B667D9"/>
    <w:rsid w:val="00B70318"/>
    <w:rsid w:val="00B7041C"/>
    <w:rsid w:val="00B7076D"/>
    <w:rsid w:val="00B70CCA"/>
    <w:rsid w:val="00B71424"/>
    <w:rsid w:val="00B71FDC"/>
    <w:rsid w:val="00B771FB"/>
    <w:rsid w:val="00B86F2A"/>
    <w:rsid w:val="00B9173B"/>
    <w:rsid w:val="00BA082D"/>
    <w:rsid w:val="00BA54F4"/>
    <w:rsid w:val="00BB231E"/>
    <w:rsid w:val="00BC09FB"/>
    <w:rsid w:val="00BC5931"/>
    <w:rsid w:val="00BC5C28"/>
    <w:rsid w:val="00BD26EE"/>
    <w:rsid w:val="00BD28C5"/>
    <w:rsid w:val="00BF467D"/>
    <w:rsid w:val="00C0230F"/>
    <w:rsid w:val="00C22314"/>
    <w:rsid w:val="00C34925"/>
    <w:rsid w:val="00C36DC6"/>
    <w:rsid w:val="00C47059"/>
    <w:rsid w:val="00C536E5"/>
    <w:rsid w:val="00C56970"/>
    <w:rsid w:val="00C60C21"/>
    <w:rsid w:val="00C72902"/>
    <w:rsid w:val="00C7601B"/>
    <w:rsid w:val="00C834CA"/>
    <w:rsid w:val="00C83D61"/>
    <w:rsid w:val="00C860B2"/>
    <w:rsid w:val="00C976CA"/>
    <w:rsid w:val="00CC451C"/>
    <w:rsid w:val="00CC504A"/>
    <w:rsid w:val="00CC5890"/>
    <w:rsid w:val="00CC67DA"/>
    <w:rsid w:val="00CC68D7"/>
    <w:rsid w:val="00CD7EAC"/>
    <w:rsid w:val="00CE1744"/>
    <w:rsid w:val="00CE264E"/>
    <w:rsid w:val="00CE6DFA"/>
    <w:rsid w:val="00CF0ED9"/>
    <w:rsid w:val="00CF5203"/>
    <w:rsid w:val="00D00FFC"/>
    <w:rsid w:val="00D02261"/>
    <w:rsid w:val="00D122FB"/>
    <w:rsid w:val="00D139B4"/>
    <w:rsid w:val="00D20582"/>
    <w:rsid w:val="00D21666"/>
    <w:rsid w:val="00D23ACA"/>
    <w:rsid w:val="00D4177F"/>
    <w:rsid w:val="00D4363A"/>
    <w:rsid w:val="00D440C2"/>
    <w:rsid w:val="00D46495"/>
    <w:rsid w:val="00D52574"/>
    <w:rsid w:val="00D5349B"/>
    <w:rsid w:val="00D5689D"/>
    <w:rsid w:val="00D637FE"/>
    <w:rsid w:val="00D66B5B"/>
    <w:rsid w:val="00D66EBE"/>
    <w:rsid w:val="00D71D6C"/>
    <w:rsid w:val="00D76FE1"/>
    <w:rsid w:val="00DA4005"/>
    <w:rsid w:val="00DA60F6"/>
    <w:rsid w:val="00DA7CAE"/>
    <w:rsid w:val="00DC0903"/>
    <w:rsid w:val="00DD27AF"/>
    <w:rsid w:val="00DD2C19"/>
    <w:rsid w:val="00DD3EF8"/>
    <w:rsid w:val="00DD6031"/>
    <w:rsid w:val="00DD6C4A"/>
    <w:rsid w:val="00DE3F3F"/>
    <w:rsid w:val="00DF58D8"/>
    <w:rsid w:val="00E000EE"/>
    <w:rsid w:val="00E15B65"/>
    <w:rsid w:val="00E30DA5"/>
    <w:rsid w:val="00E427A3"/>
    <w:rsid w:val="00E433A6"/>
    <w:rsid w:val="00E43C0B"/>
    <w:rsid w:val="00E477D0"/>
    <w:rsid w:val="00E719DC"/>
    <w:rsid w:val="00E72A3D"/>
    <w:rsid w:val="00E73779"/>
    <w:rsid w:val="00E7424D"/>
    <w:rsid w:val="00E83D19"/>
    <w:rsid w:val="00E849BB"/>
    <w:rsid w:val="00E9049E"/>
    <w:rsid w:val="00E93ECF"/>
    <w:rsid w:val="00E94329"/>
    <w:rsid w:val="00E958BD"/>
    <w:rsid w:val="00EB4A59"/>
    <w:rsid w:val="00EE0068"/>
    <w:rsid w:val="00EE1BB1"/>
    <w:rsid w:val="00EE327E"/>
    <w:rsid w:val="00F02A55"/>
    <w:rsid w:val="00F06D8A"/>
    <w:rsid w:val="00F06FDC"/>
    <w:rsid w:val="00F10EB1"/>
    <w:rsid w:val="00F11EED"/>
    <w:rsid w:val="00F12EC9"/>
    <w:rsid w:val="00F15AA7"/>
    <w:rsid w:val="00F27886"/>
    <w:rsid w:val="00F31232"/>
    <w:rsid w:val="00F40ABD"/>
    <w:rsid w:val="00F41C17"/>
    <w:rsid w:val="00F62EC1"/>
    <w:rsid w:val="00F73EF5"/>
    <w:rsid w:val="00F75133"/>
    <w:rsid w:val="00F81B4D"/>
    <w:rsid w:val="00F824F0"/>
    <w:rsid w:val="00F85C39"/>
    <w:rsid w:val="00F862DB"/>
    <w:rsid w:val="00F8739A"/>
    <w:rsid w:val="00F918EE"/>
    <w:rsid w:val="00FB017E"/>
    <w:rsid w:val="00FB28B2"/>
    <w:rsid w:val="00FC0591"/>
    <w:rsid w:val="00FC26B7"/>
    <w:rsid w:val="00FD4099"/>
    <w:rsid w:val="00FD779D"/>
    <w:rsid w:val="00FE59CF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4E"/>
    <w:rPr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292C"/>
    <w:pPr>
      <w:spacing w:before="100" w:beforeAutospacing="1" w:after="100" w:afterAutospacing="1" w:line="360" w:lineRule="auto"/>
    </w:pPr>
    <w:rPr>
      <w:color w:val="000000"/>
    </w:rPr>
  </w:style>
  <w:style w:type="paragraph" w:styleId="Footer">
    <w:name w:val="footer"/>
    <w:basedOn w:val="Normal"/>
    <w:rsid w:val="0058292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8292C"/>
  </w:style>
  <w:style w:type="table" w:styleId="TableGrid">
    <w:name w:val="Table Grid"/>
    <w:basedOn w:val="TableNormal"/>
    <w:rsid w:val="00C3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A96"/>
    <w:rPr>
      <w:rFonts w:ascii="Tahoma" w:hAnsi="Tahoma" w:cs="Tahoma"/>
      <w:sz w:val="16"/>
      <w:szCs w:val="16"/>
      <w:lang w:val="tr-TR" w:eastAsia="tr-TR"/>
    </w:rPr>
  </w:style>
  <w:style w:type="character" w:styleId="CommentReference">
    <w:name w:val="annotation reference"/>
    <w:basedOn w:val="DefaultParagraphFont"/>
    <w:rsid w:val="00C470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7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7059"/>
    <w:rPr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C4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7059"/>
    <w:rPr>
      <w:b/>
      <w:bCs/>
      <w:lang w:val="tr-TR" w:eastAsia="tr-TR"/>
    </w:rPr>
  </w:style>
  <w:style w:type="paragraph" w:styleId="Header">
    <w:name w:val="header"/>
    <w:basedOn w:val="Normal"/>
    <w:link w:val="HeaderChar"/>
    <w:uiPriority w:val="99"/>
    <w:rsid w:val="00631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78"/>
    <w:rPr>
      <w:sz w:val="24"/>
      <w:szCs w:val="24"/>
      <w:lang w:val="tr-TR" w:eastAsia="tr-T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31A7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1A78"/>
    <w:rPr>
      <w:rFonts w:ascii="Calibri" w:eastAsia="Calibri" w:hAnsi="Calibri"/>
      <w:sz w:val="22"/>
      <w:szCs w:val="22"/>
      <w:lang w:val="el-GR" w:eastAsia="en-US"/>
    </w:rPr>
  </w:style>
  <w:style w:type="paragraph" w:customStyle="1" w:styleId="Style2">
    <w:name w:val="Style2"/>
    <w:basedOn w:val="Normal"/>
    <w:autoRedefine/>
    <w:rsid w:val="00631A78"/>
    <w:pPr>
      <w:spacing w:line="240" w:lineRule="atLeast"/>
      <w:jc w:val="right"/>
    </w:pPr>
    <w:rPr>
      <w:rFonts w:ascii="Arial" w:eastAsia="SimSun" w:hAnsi="Arial" w:cs="Arial"/>
      <w:iCs/>
      <w:sz w:val="20"/>
      <w:szCs w:val="20"/>
      <w:lang w:val="de-DE" w:eastAsia="en-US"/>
    </w:rPr>
  </w:style>
  <w:style w:type="paragraph" w:customStyle="1" w:styleId="Style3">
    <w:name w:val="Style3"/>
    <w:basedOn w:val="Normal"/>
    <w:autoRedefine/>
    <w:rsid w:val="00631A78"/>
    <w:pPr>
      <w:spacing w:line="240" w:lineRule="atLeast"/>
      <w:ind w:left="-108"/>
    </w:pPr>
    <w:rPr>
      <w:rFonts w:asciiTheme="minorHAnsi" w:eastAsia="SimSun" w:hAnsiTheme="minorHAnsi" w:cs="Arial"/>
      <w:iCs/>
      <w:sz w:val="20"/>
      <w:szCs w:val="20"/>
      <w:lang w:val="de-DE" w:eastAsia="en-US"/>
    </w:rPr>
  </w:style>
  <w:style w:type="paragraph" w:styleId="ListParagraph">
    <w:name w:val="List Paragraph"/>
    <w:basedOn w:val="Normal"/>
    <w:uiPriority w:val="34"/>
    <w:qFormat/>
    <w:rsid w:val="00631A78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C7601B"/>
    <w:pPr>
      <w:spacing w:before="720" w:after="360"/>
    </w:pPr>
    <w:rPr>
      <w:rFonts w:asciiTheme="minorHAnsi" w:eastAsiaTheme="majorEastAsia" w:hAnsiTheme="minorHAnsi" w:cstheme="majorBidi"/>
      <w:b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C7601B"/>
    <w:rPr>
      <w:rFonts w:asciiTheme="minorHAnsi" w:eastAsiaTheme="majorEastAsia" w:hAnsiTheme="minorHAnsi" w:cstheme="majorBidi"/>
      <w:b/>
      <w:sz w:val="32"/>
      <w:szCs w:val="56"/>
      <w:lang w:val="tr-TR" w:eastAsia="tr-TR"/>
    </w:rPr>
  </w:style>
  <w:style w:type="paragraph" w:customStyle="1" w:styleId="Titleofthepaper">
    <w:name w:val="Title of the paper"/>
    <w:basedOn w:val="Title"/>
    <w:qFormat/>
    <w:rsid w:val="00581EC1"/>
    <w:pPr>
      <w:jc w:val="both"/>
    </w:pPr>
    <w:rPr>
      <w:rFonts w:ascii="Times New Roman" w:hAnsi="Times New Roman" w:cs="Times New Roman"/>
      <w:sz w:val="36"/>
      <w:lang w:val="en-US"/>
    </w:rPr>
  </w:style>
  <w:style w:type="paragraph" w:customStyle="1" w:styleId="AUTHORSNAMES">
    <w:name w:val="AUTHORS NAMES"/>
    <w:basedOn w:val="Normal"/>
    <w:qFormat/>
    <w:rsid w:val="00581EC1"/>
    <w:pPr>
      <w:spacing w:before="120" w:after="120" w:line="240" w:lineRule="atLeast"/>
    </w:pPr>
    <w:rPr>
      <w:b/>
      <w:sz w:val="22"/>
      <w:szCs w:val="20"/>
    </w:rPr>
  </w:style>
  <w:style w:type="paragraph" w:customStyle="1" w:styleId="AFFILIATIONS">
    <w:name w:val="AFFILIATIONS"/>
    <w:basedOn w:val="Normal"/>
    <w:qFormat/>
    <w:rsid w:val="00581EC1"/>
    <w:pPr>
      <w:spacing w:line="240" w:lineRule="atLeast"/>
    </w:pPr>
    <w:rPr>
      <w:sz w:val="18"/>
      <w:szCs w:val="20"/>
      <w:vertAlign w:val="superscript"/>
      <w:lang w:val="en-US"/>
    </w:rPr>
  </w:style>
  <w:style w:type="paragraph" w:customStyle="1" w:styleId="TEXT">
    <w:name w:val="TEXT"/>
    <w:basedOn w:val="CommentText"/>
    <w:qFormat/>
    <w:rsid w:val="00581EC1"/>
    <w:pPr>
      <w:jc w:val="both"/>
    </w:pPr>
    <w:rPr>
      <w:lang w:val="en-US"/>
    </w:rPr>
  </w:style>
  <w:style w:type="paragraph" w:customStyle="1" w:styleId="Maintitle">
    <w:name w:val="Main title"/>
    <w:basedOn w:val="ListParagraph"/>
    <w:qFormat/>
    <w:rsid w:val="00581EC1"/>
    <w:pPr>
      <w:numPr>
        <w:numId w:val="2"/>
      </w:numPr>
      <w:spacing w:before="240" w:after="240" w:line="240" w:lineRule="atLeast"/>
      <w:ind w:left="425" w:hanging="425"/>
      <w:contextualSpacing w:val="0"/>
      <w:jc w:val="both"/>
    </w:pPr>
    <w:rPr>
      <w:b/>
      <w:sz w:val="20"/>
      <w:szCs w:val="20"/>
      <w:lang w:val="en-US"/>
    </w:rPr>
  </w:style>
  <w:style w:type="paragraph" w:customStyle="1" w:styleId="Subtitleparagraph">
    <w:name w:val="Subtitle paragraph"/>
    <w:basedOn w:val="Normal"/>
    <w:qFormat/>
    <w:rsid w:val="00581EC1"/>
    <w:pPr>
      <w:spacing w:before="240" w:after="240" w:line="240" w:lineRule="atLeast"/>
      <w:jc w:val="both"/>
    </w:pPr>
    <w:rPr>
      <w:i/>
      <w:sz w:val="20"/>
      <w:szCs w:val="20"/>
      <w:lang w:val="en-US"/>
    </w:rPr>
  </w:style>
  <w:style w:type="paragraph" w:customStyle="1" w:styleId="References">
    <w:name w:val="References"/>
    <w:basedOn w:val="Normal"/>
    <w:qFormat/>
    <w:rsid w:val="00581EC1"/>
    <w:pPr>
      <w:spacing w:after="80" w:line="240" w:lineRule="atLeast"/>
      <w:ind w:left="426" w:hanging="426"/>
      <w:jc w:val="both"/>
    </w:pPr>
    <w:rPr>
      <w:sz w:val="18"/>
      <w:szCs w:val="20"/>
      <w:lang w:val="en-US"/>
    </w:rPr>
  </w:style>
  <w:style w:type="character" w:styleId="Hyperlink">
    <w:name w:val="Hyperlink"/>
    <w:basedOn w:val="DefaultParagraphFont"/>
    <w:rsid w:val="009150E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E3F3F"/>
    <w:pPr>
      <w:jc w:val="both"/>
    </w:pPr>
    <w:rPr>
      <w:sz w:val="22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E3F3F"/>
    <w:rPr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E59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4E"/>
    <w:rPr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292C"/>
    <w:pPr>
      <w:spacing w:before="100" w:beforeAutospacing="1" w:after="100" w:afterAutospacing="1" w:line="360" w:lineRule="auto"/>
    </w:pPr>
    <w:rPr>
      <w:color w:val="000000"/>
    </w:rPr>
  </w:style>
  <w:style w:type="paragraph" w:styleId="Footer">
    <w:name w:val="footer"/>
    <w:basedOn w:val="Normal"/>
    <w:rsid w:val="0058292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8292C"/>
  </w:style>
  <w:style w:type="table" w:styleId="TableGrid">
    <w:name w:val="Table Grid"/>
    <w:basedOn w:val="TableNormal"/>
    <w:rsid w:val="00C3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A96"/>
    <w:rPr>
      <w:rFonts w:ascii="Tahoma" w:hAnsi="Tahoma" w:cs="Tahoma"/>
      <w:sz w:val="16"/>
      <w:szCs w:val="16"/>
      <w:lang w:val="tr-TR" w:eastAsia="tr-TR"/>
    </w:rPr>
  </w:style>
  <w:style w:type="character" w:styleId="CommentReference">
    <w:name w:val="annotation reference"/>
    <w:basedOn w:val="DefaultParagraphFont"/>
    <w:rsid w:val="00C470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7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7059"/>
    <w:rPr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C4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7059"/>
    <w:rPr>
      <w:b/>
      <w:bCs/>
      <w:lang w:val="tr-TR" w:eastAsia="tr-TR"/>
    </w:rPr>
  </w:style>
  <w:style w:type="paragraph" w:styleId="Header">
    <w:name w:val="header"/>
    <w:basedOn w:val="Normal"/>
    <w:link w:val="HeaderChar"/>
    <w:uiPriority w:val="99"/>
    <w:rsid w:val="00631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78"/>
    <w:rPr>
      <w:sz w:val="24"/>
      <w:szCs w:val="24"/>
      <w:lang w:val="tr-TR" w:eastAsia="tr-T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31A7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1A78"/>
    <w:rPr>
      <w:rFonts w:ascii="Calibri" w:eastAsia="Calibri" w:hAnsi="Calibri"/>
      <w:sz w:val="22"/>
      <w:szCs w:val="22"/>
      <w:lang w:val="el-GR" w:eastAsia="en-US"/>
    </w:rPr>
  </w:style>
  <w:style w:type="paragraph" w:customStyle="1" w:styleId="Style2">
    <w:name w:val="Style2"/>
    <w:basedOn w:val="Normal"/>
    <w:autoRedefine/>
    <w:rsid w:val="00631A78"/>
    <w:pPr>
      <w:spacing w:line="240" w:lineRule="atLeast"/>
      <w:jc w:val="right"/>
    </w:pPr>
    <w:rPr>
      <w:rFonts w:ascii="Arial" w:eastAsia="SimSun" w:hAnsi="Arial" w:cs="Arial"/>
      <w:iCs/>
      <w:sz w:val="20"/>
      <w:szCs w:val="20"/>
      <w:lang w:val="de-DE" w:eastAsia="en-US"/>
    </w:rPr>
  </w:style>
  <w:style w:type="paragraph" w:customStyle="1" w:styleId="Style3">
    <w:name w:val="Style3"/>
    <w:basedOn w:val="Normal"/>
    <w:autoRedefine/>
    <w:rsid w:val="00631A78"/>
    <w:pPr>
      <w:spacing w:line="240" w:lineRule="atLeast"/>
      <w:ind w:left="-108"/>
    </w:pPr>
    <w:rPr>
      <w:rFonts w:asciiTheme="minorHAnsi" w:eastAsia="SimSun" w:hAnsiTheme="minorHAnsi" w:cs="Arial"/>
      <w:iCs/>
      <w:sz w:val="20"/>
      <w:szCs w:val="20"/>
      <w:lang w:val="de-DE" w:eastAsia="en-US"/>
    </w:rPr>
  </w:style>
  <w:style w:type="paragraph" w:styleId="ListParagraph">
    <w:name w:val="List Paragraph"/>
    <w:basedOn w:val="Normal"/>
    <w:uiPriority w:val="34"/>
    <w:qFormat/>
    <w:rsid w:val="00631A78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C7601B"/>
    <w:pPr>
      <w:spacing w:before="720" w:after="360"/>
    </w:pPr>
    <w:rPr>
      <w:rFonts w:asciiTheme="minorHAnsi" w:eastAsiaTheme="majorEastAsia" w:hAnsiTheme="minorHAnsi" w:cstheme="majorBidi"/>
      <w:b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C7601B"/>
    <w:rPr>
      <w:rFonts w:asciiTheme="minorHAnsi" w:eastAsiaTheme="majorEastAsia" w:hAnsiTheme="minorHAnsi" w:cstheme="majorBidi"/>
      <w:b/>
      <w:sz w:val="32"/>
      <w:szCs w:val="56"/>
      <w:lang w:val="tr-TR" w:eastAsia="tr-TR"/>
    </w:rPr>
  </w:style>
  <w:style w:type="paragraph" w:customStyle="1" w:styleId="Titleofthepaper">
    <w:name w:val="Title of the paper"/>
    <w:basedOn w:val="Title"/>
    <w:qFormat/>
    <w:rsid w:val="00581EC1"/>
    <w:pPr>
      <w:jc w:val="both"/>
    </w:pPr>
    <w:rPr>
      <w:rFonts w:ascii="Times New Roman" w:hAnsi="Times New Roman" w:cs="Times New Roman"/>
      <w:sz w:val="36"/>
      <w:lang w:val="en-US"/>
    </w:rPr>
  </w:style>
  <w:style w:type="paragraph" w:customStyle="1" w:styleId="AUTHORSNAMES">
    <w:name w:val="AUTHORS NAMES"/>
    <w:basedOn w:val="Normal"/>
    <w:qFormat/>
    <w:rsid w:val="00581EC1"/>
    <w:pPr>
      <w:spacing w:before="120" w:after="120" w:line="240" w:lineRule="atLeast"/>
    </w:pPr>
    <w:rPr>
      <w:b/>
      <w:sz w:val="22"/>
      <w:szCs w:val="20"/>
    </w:rPr>
  </w:style>
  <w:style w:type="paragraph" w:customStyle="1" w:styleId="AFFILIATIONS">
    <w:name w:val="AFFILIATIONS"/>
    <w:basedOn w:val="Normal"/>
    <w:qFormat/>
    <w:rsid w:val="00581EC1"/>
    <w:pPr>
      <w:spacing w:line="240" w:lineRule="atLeast"/>
    </w:pPr>
    <w:rPr>
      <w:sz w:val="18"/>
      <w:szCs w:val="20"/>
      <w:vertAlign w:val="superscript"/>
      <w:lang w:val="en-US"/>
    </w:rPr>
  </w:style>
  <w:style w:type="paragraph" w:customStyle="1" w:styleId="TEXT">
    <w:name w:val="TEXT"/>
    <w:basedOn w:val="CommentText"/>
    <w:qFormat/>
    <w:rsid w:val="00581EC1"/>
    <w:pPr>
      <w:jc w:val="both"/>
    </w:pPr>
    <w:rPr>
      <w:lang w:val="en-US"/>
    </w:rPr>
  </w:style>
  <w:style w:type="paragraph" w:customStyle="1" w:styleId="Maintitle">
    <w:name w:val="Main title"/>
    <w:basedOn w:val="ListParagraph"/>
    <w:qFormat/>
    <w:rsid w:val="00581EC1"/>
    <w:pPr>
      <w:numPr>
        <w:numId w:val="2"/>
      </w:numPr>
      <w:spacing w:before="240" w:after="240" w:line="240" w:lineRule="atLeast"/>
      <w:ind w:left="425" w:hanging="425"/>
      <w:contextualSpacing w:val="0"/>
      <w:jc w:val="both"/>
    </w:pPr>
    <w:rPr>
      <w:b/>
      <w:sz w:val="20"/>
      <w:szCs w:val="20"/>
      <w:lang w:val="en-US"/>
    </w:rPr>
  </w:style>
  <w:style w:type="paragraph" w:customStyle="1" w:styleId="Subtitleparagraph">
    <w:name w:val="Subtitle paragraph"/>
    <w:basedOn w:val="Normal"/>
    <w:qFormat/>
    <w:rsid w:val="00581EC1"/>
    <w:pPr>
      <w:spacing w:before="240" w:after="240" w:line="240" w:lineRule="atLeast"/>
      <w:jc w:val="both"/>
    </w:pPr>
    <w:rPr>
      <w:i/>
      <w:sz w:val="20"/>
      <w:szCs w:val="20"/>
      <w:lang w:val="en-US"/>
    </w:rPr>
  </w:style>
  <w:style w:type="paragraph" w:customStyle="1" w:styleId="References">
    <w:name w:val="References"/>
    <w:basedOn w:val="Normal"/>
    <w:qFormat/>
    <w:rsid w:val="00581EC1"/>
    <w:pPr>
      <w:spacing w:after="80" w:line="240" w:lineRule="atLeast"/>
      <w:ind w:left="426" w:hanging="426"/>
      <w:jc w:val="both"/>
    </w:pPr>
    <w:rPr>
      <w:sz w:val="18"/>
      <w:szCs w:val="20"/>
      <w:lang w:val="en-US"/>
    </w:rPr>
  </w:style>
  <w:style w:type="character" w:styleId="Hyperlink">
    <w:name w:val="Hyperlink"/>
    <w:basedOn w:val="DefaultParagraphFont"/>
    <w:rsid w:val="009150E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E3F3F"/>
    <w:pPr>
      <w:jc w:val="both"/>
    </w:pPr>
    <w:rPr>
      <w:sz w:val="22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E3F3F"/>
    <w:rPr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E59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2\AppData\Local\Temp\CEST2019_Paper%20templat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C813-0CFF-45B8-ADC0-EC92EC28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CEST2019_Paper template-2.dotx</Template>
  <TotalTime>5</TotalTime>
  <Pages>2</Pages>
  <Words>1369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Adsorption of lead (II) ions onto diatomite  from aqueous solution: Mechanism, isotherm and kinetic studies</vt:lpstr>
      <vt:lpstr>Adsorption of lead (II) ions onto diatomite  from aqueous solution: Mechanism, isotherm and kinetic studies</vt:lpstr>
    </vt:vector>
  </TitlesOfParts>
  <Company>F_s_M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Adsorption of lead (II) ions onto diatomite  from aqueous solution: Mechanism, isotherm and kinetic studies</dc:title>
  <dc:creator>Maria2</dc:creator>
  <cp:lastModifiedBy>Maria2</cp:lastModifiedBy>
  <cp:revision>4</cp:revision>
  <cp:lastPrinted>2016-08-29T09:20:00Z</cp:lastPrinted>
  <dcterms:created xsi:type="dcterms:W3CDTF">2019-06-03T14:50:00Z</dcterms:created>
  <dcterms:modified xsi:type="dcterms:W3CDTF">2019-06-03T14:56:00Z</dcterms:modified>
</cp:coreProperties>
</file>