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0D13" w14:textId="2F566A5C" w:rsidR="00C06256" w:rsidRPr="00C06256" w:rsidRDefault="00C06256" w:rsidP="00C06256">
      <w:pPr>
        <w:spacing w:after="200" w:line="252" w:lineRule="auto"/>
        <w:rPr>
          <w:rFonts w:eastAsiaTheme="majorEastAsia" w:cstheme="minorHAnsi"/>
          <w:b/>
          <w:bCs/>
        </w:rPr>
      </w:pPr>
      <w:r w:rsidRPr="00C06256">
        <w:rPr>
          <w:rFonts w:eastAsiaTheme="majorEastAsia" w:cstheme="minorHAnsi"/>
          <w:b/>
          <w:bCs/>
        </w:rPr>
        <w:t xml:space="preserve">Editorial </w:t>
      </w:r>
      <w:r w:rsidR="00056BBC">
        <w:rPr>
          <w:rFonts w:eastAsiaTheme="majorEastAsia" w:cstheme="minorHAnsi"/>
          <w:b/>
          <w:bCs/>
        </w:rPr>
        <w:t>Medicine Science and Law</w:t>
      </w:r>
    </w:p>
    <w:p w14:paraId="7FB9D448" w14:textId="77777777" w:rsidR="00704EC4" w:rsidRDefault="00704EC4" w:rsidP="00C06256">
      <w:pPr>
        <w:spacing w:after="200" w:line="252" w:lineRule="auto"/>
        <w:rPr>
          <w:rFonts w:eastAsiaTheme="majorEastAsia" w:cstheme="minorHAnsi"/>
          <w:b/>
          <w:bCs/>
        </w:rPr>
      </w:pPr>
      <w:r>
        <w:rPr>
          <w:rFonts w:eastAsiaTheme="majorEastAsia" w:cstheme="minorHAnsi"/>
          <w:b/>
          <w:bCs/>
        </w:rPr>
        <w:t xml:space="preserve">Title: </w:t>
      </w:r>
    </w:p>
    <w:p w14:paraId="6F80288C" w14:textId="1961A00F" w:rsidR="00C06256" w:rsidRDefault="00F93E7B" w:rsidP="00C06256">
      <w:pPr>
        <w:spacing w:after="200" w:line="252" w:lineRule="auto"/>
        <w:rPr>
          <w:rFonts w:eastAsiaTheme="majorEastAsia" w:cstheme="minorHAnsi"/>
          <w:b/>
          <w:bCs/>
        </w:rPr>
      </w:pPr>
      <w:r>
        <w:rPr>
          <w:rFonts w:eastAsiaTheme="majorEastAsia" w:cstheme="minorHAnsi"/>
          <w:b/>
          <w:bCs/>
        </w:rPr>
        <w:t>C</w:t>
      </w:r>
      <w:r w:rsidR="00704EC4">
        <w:rPr>
          <w:rFonts w:eastAsiaTheme="majorEastAsia" w:cstheme="minorHAnsi"/>
          <w:b/>
          <w:bCs/>
        </w:rPr>
        <w:t>ourt liaison and diversion services for people with neurodevelopmental conditions</w:t>
      </w:r>
      <w:r>
        <w:rPr>
          <w:rFonts w:eastAsiaTheme="majorEastAsia" w:cstheme="minorHAnsi"/>
          <w:b/>
          <w:bCs/>
        </w:rPr>
        <w:t xml:space="preserve">: a House of Lords consensus meeting </w:t>
      </w:r>
    </w:p>
    <w:p w14:paraId="4D81DB45" w14:textId="77777777" w:rsidR="00FB0710" w:rsidRDefault="00FB0710" w:rsidP="00C06256">
      <w:pPr>
        <w:spacing w:after="200" w:line="252" w:lineRule="auto"/>
        <w:rPr>
          <w:rFonts w:eastAsiaTheme="majorEastAsia" w:cstheme="minorHAnsi"/>
          <w:b/>
          <w:bCs/>
        </w:rPr>
      </w:pPr>
    </w:p>
    <w:p w14:paraId="0BF689B5" w14:textId="584F9148" w:rsidR="00704EC4" w:rsidRDefault="00704EC4" w:rsidP="00C06256">
      <w:pPr>
        <w:spacing w:after="200" w:line="252" w:lineRule="auto"/>
        <w:rPr>
          <w:rFonts w:eastAsiaTheme="majorEastAsia" w:cstheme="minorHAnsi"/>
          <w:b/>
          <w:bCs/>
        </w:rPr>
      </w:pPr>
      <w:r>
        <w:rPr>
          <w:rFonts w:eastAsiaTheme="majorEastAsia" w:cstheme="minorHAnsi"/>
          <w:b/>
          <w:bCs/>
        </w:rPr>
        <w:t xml:space="preserve">Authors: </w:t>
      </w:r>
    </w:p>
    <w:p w14:paraId="591CDEC0" w14:textId="33174096" w:rsidR="00704EC4" w:rsidRPr="00FB0710" w:rsidRDefault="00704EC4" w:rsidP="00C06256">
      <w:pPr>
        <w:spacing w:after="200" w:line="252" w:lineRule="auto"/>
        <w:rPr>
          <w:rFonts w:eastAsiaTheme="majorEastAsia" w:cstheme="minorHAnsi"/>
        </w:rPr>
      </w:pPr>
      <w:commentRangeStart w:id="0"/>
      <w:r w:rsidRPr="00FB0710">
        <w:rPr>
          <w:rFonts w:eastAsiaTheme="majorEastAsia" w:cstheme="minorHAnsi"/>
        </w:rPr>
        <w:t>Professor Eddie Chaplin</w:t>
      </w:r>
      <w:r w:rsidR="00C0093B">
        <w:rPr>
          <w:rFonts w:eastAsiaTheme="majorEastAsia" w:cstheme="minorHAnsi"/>
        </w:rPr>
        <w:t>, London South Bank University</w:t>
      </w:r>
    </w:p>
    <w:p w14:paraId="75896A16" w14:textId="5DD4498D" w:rsidR="00F93E7B" w:rsidRPr="00FB0710" w:rsidRDefault="00DC1C3F" w:rsidP="00C06256">
      <w:pPr>
        <w:spacing w:after="200" w:line="252" w:lineRule="auto"/>
        <w:rPr>
          <w:rFonts w:eastAsiaTheme="majorEastAsia" w:cstheme="minorHAnsi"/>
        </w:rPr>
      </w:pPr>
      <w:proofErr w:type="spellStart"/>
      <w:r w:rsidRPr="00FB0710">
        <w:rPr>
          <w:rFonts w:eastAsiaTheme="majorEastAsia" w:cstheme="minorHAnsi"/>
        </w:rPr>
        <w:t>Thr</w:t>
      </w:r>
      <w:proofErr w:type="spellEnd"/>
      <w:r w:rsidRPr="00FB0710">
        <w:rPr>
          <w:rFonts w:eastAsiaTheme="majorEastAsia" w:cstheme="minorHAnsi"/>
        </w:rPr>
        <w:t xml:space="preserve"> RT Hon </w:t>
      </w:r>
      <w:r w:rsidR="00C0093B" w:rsidRPr="00FB0710">
        <w:rPr>
          <w:rFonts w:eastAsiaTheme="majorEastAsia" w:cstheme="minorHAnsi"/>
        </w:rPr>
        <w:t>Lord Bradley</w:t>
      </w:r>
      <w:r w:rsidR="00C0093B">
        <w:rPr>
          <w:rFonts w:eastAsiaTheme="majorEastAsia" w:cstheme="minorHAnsi"/>
        </w:rPr>
        <w:t>, The University. Of Salford</w:t>
      </w:r>
      <w:r w:rsidR="00FA0001">
        <w:rPr>
          <w:rFonts w:eastAsiaTheme="majorEastAsia" w:cstheme="minorHAnsi"/>
        </w:rPr>
        <w:t>, Manchester</w:t>
      </w:r>
    </w:p>
    <w:p w14:paraId="551B753F" w14:textId="6E2841B7" w:rsidR="00704EC4" w:rsidRPr="00FB0710" w:rsidRDefault="00704EC4" w:rsidP="00C06256">
      <w:pPr>
        <w:spacing w:after="200" w:line="252" w:lineRule="auto"/>
        <w:rPr>
          <w:rFonts w:eastAsiaTheme="majorEastAsia" w:cstheme="minorHAnsi"/>
        </w:rPr>
      </w:pPr>
      <w:r w:rsidRPr="00FB0710">
        <w:rPr>
          <w:rFonts w:eastAsiaTheme="majorEastAsia" w:cstheme="minorHAnsi"/>
        </w:rPr>
        <w:t>Dr Jane McCarthy</w:t>
      </w:r>
      <w:r w:rsidR="00FA0001">
        <w:rPr>
          <w:rFonts w:eastAsiaTheme="majorEastAsia" w:cstheme="minorHAnsi"/>
        </w:rPr>
        <w:t>, University of Auckland</w:t>
      </w:r>
    </w:p>
    <w:p w14:paraId="5123237F" w14:textId="1CFF16E1" w:rsidR="00CA23C3" w:rsidRDefault="00704EC4">
      <w:pPr>
        <w:shd w:val="clear" w:color="auto" w:fill="FFFFFF"/>
        <w:rPr>
          <w:rFonts w:eastAsia="Times New Roman" w:cstheme="minorHAnsi"/>
          <w:color w:val="000000"/>
          <w:spacing w:val="8"/>
          <w:shd w:val="clear" w:color="auto" w:fill="FFFFFF"/>
          <w:lang w:eastAsia="en-GB"/>
        </w:rPr>
      </w:pPr>
      <w:r w:rsidRPr="00FB0710">
        <w:rPr>
          <w:rFonts w:eastAsiaTheme="majorEastAsia" w:cstheme="minorHAnsi"/>
        </w:rPr>
        <w:t>Professor Andrew Forrester</w:t>
      </w:r>
      <w:commentRangeEnd w:id="0"/>
      <w:r w:rsidRPr="00FB0710">
        <w:rPr>
          <w:rStyle w:val="CommentReference"/>
          <w:rFonts w:eastAsiaTheme="majorEastAsia" w:cstheme="minorHAnsi"/>
          <w:sz w:val="22"/>
          <w:szCs w:val="22"/>
        </w:rPr>
        <w:commentReference w:id="0"/>
      </w:r>
      <w:r w:rsidR="00CA23C3" w:rsidRPr="00FB0710">
        <w:rPr>
          <w:rFonts w:eastAsiaTheme="majorEastAsia" w:cstheme="minorHAnsi"/>
        </w:rPr>
        <w:t>, Cardiff University</w:t>
      </w:r>
    </w:p>
    <w:p w14:paraId="15BBFB28" w14:textId="77777777" w:rsidR="00FB0710" w:rsidRDefault="00FB0710" w:rsidP="00FB0710">
      <w:pPr>
        <w:shd w:val="clear" w:color="auto" w:fill="FFFFFF"/>
        <w:rPr>
          <w:rFonts w:eastAsia="Times New Roman" w:cstheme="minorHAnsi"/>
          <w:color w:val="000000"/>
          <w:spacing w:val="8"/>
          <w:shd w:val="clear" w:color="auto" w:fill="FFFFFF"/>
          <w:lang w:eastAsia="en-GB"/>
        </w:rPr>
      </w:pPr>
    </w:p>
    <w:p w14:paraId="2FBEF1D5" w14:textId="3E992F65" w:rsidR="00AE5569" w:rsidRPr="00FB0710" w:rsidRDefault="00FB0710" w:rsidP="00FB0710">
      <w:pPr>
        <w:shd w:val="clear" w:color="auto" w:fill="FFFFFF"/>
        <w:rPr>
          <w:rFonts w:eastAsia="Times New Roman" w:cstheme="minorHAnsi"/>
          <w:color w:val="000000"/>
          <w:lang w:eastAsia="en-GB"/>
        </w:rPr>
      </w:pPr>
      <w:r>
        <w:rPr>
          <w:rFonts w:eastAsia="Times New Roman" w:cstheme="minorHAnsi"/>
          <w:color w:val="000000"/>
          <w:spacing w:val="8"/>
          <w:shd w:val="clear" w:color="auto" w:fill="FFFFFF"/>
          <w:lang w:eastAsia="en-GB"/>
        </w:rPr>
        <w:t>Acknowledgements</w:t>
      </w:r>
      <w:r w:rsidR="00AE5569">
        <w:rPr>
          <w:rFonts w:eastAsia="Times New Roman" w:cstheme="minorHAnsi"/>
          <w:color w:val="000000"/>
          <w:spacing w:val="8"/>
          <w:shd w:val="clear" w:color="auto" w:fill="FFFFFF"/>
          <w:lang w:eastAsia="en-GB"/>
        </w:rPr>
        <w:t>: Guy’s and St Thomas Charity, which provided grant funding for the original research study</w:t>
      </w:r>
    </w:p>
    <w:p w14:paraId="7E0227A9" w14:textId="4C15AE8E" w:rsidR="00CA23C3" w:rsidRPr="00C06256" w:rsidRDefault="00CA23C3" w:rsidP="00C06256">
      <w:pPr>
        <w:spacing w:after="200" w:line="252" w:lineRule="auto"/>
        <w:rPr>
          <w:rFonts w:eastAsiaTheme="majorEastAsia" w:cstheme="minorHAnsi"/>
          <w:b/>
          <w:bCs/>
        </w:rPr>
      </w:pPr>
    </w:p>
    <w:p w14:paraId="2A939EF4" w14:textId="23B07341" w:rsidR="00704EC4" w:rsidRDefault="00704EC4" w:rsidP="00704EC4">
      <w:pPr>
        <w:spacing w:after="200" w:line="252" w:lineRule="auto"/>
        <w:rPr>
          <w:rFonts w:eastAsiaTheme="majorEastAsia" w:cstheme="minorHAnsi"/>
        </w:rPr>
      </w:pPr>
      <w:r>
        <w:rPr>
          <w:rFonts w:eastAsiaTheme="majorEastAsia" w:cstheme="minorHAnsi"/>
        </w:rPr>
        <w:t>On 6</w:t>
      </w:r>
      <w:r w:rsidRPr="00FB0710">
        <w:rPr>
          <w:rFonts w:eastAsiaTheme="majorEastAsia" w:cstheme="minorHAnsi"/>
          <w:vertAlign w:val="superscript"/>
        </w:rPr>
        <w:t>th</w:t>
      </w:r>
      <w:r>
        <w:rPr>
          <w:rFonts w:eastAsiaTheme="majorEastAsia" w:cstheme="minorHAnsi"/>
        </w:rPr>
        <w:t xml:space="preserve"> May 2021, we held a </w:t>
      </w:r>
      <w:r w:rsidRPr="00FB0710">
        <w:rPr>
          <w:rFonts w:eastAsiaTheme="majorEastAsia" w:cstheme="minorHAnsi"/>
          <w:i/>
          <w:iCs/>
        </w:rPr>
        <w:t>virtual House of Lords event</w:t>
      </w:r>
      <w:r w:rsidR="00E4701F">
        <w:rPr>
          <w:rFonts w:eastAsiaTheme="majorEastAsia" w:cstheme="minorHAnsi"/>
        </w:rPr>
        <w:t xml:space="preserve"> </w:t>
      </w:r>
      <w:r>
        <w:rPr>
          <w:rFonts w:eastAsiaTheme="majorEastAsia" w:cstheme="minorHAnsi"/>
        </w:rPr>
        <w:t xml:space="preserve">to examine the role of court liaison and diversion services (L&amp;D) and pathways in the criminal justice system for people with neurodevelopmental conditions. </w:t>
      </w:r>
      <w:r>
        <w:rPr>
          <w:rFonts w:eastAsiaTheme="majorEastAsia" w:cstheme="minorHAnsi"/>
        </w:rPr>
        <w:t xml:space="preserve">The event was </w:t>
      </w:r>
      <w:r w:rsidRPr="00C06256">
        <w:rPr>
          <w:rFonts w:eastAsiaTheme="majorEastAsia" w:cstheme="minorHAnsi"/>
        </w:rPr>
        <w:t>led by London South Bank University</w:t>
      </w:r>
      <w:r>
        <w:rPr>
          <w:rFonts w:eastAsiaTheme="majorEastAsia" w:cstheme="minorHAnsi"/>
        </w:rPr>
        <w:t xml:space="preserve">, with support </w:t>
      </w:r>
      <w:r w:rsidR="00CA23C3">
        <w:rPr>
          <w:rFonts w:eastAsiaTheme="majorEastAsia" w:cstheme="minorHAnsi"/>
        </w:rPr>
        <w:t xml:space="preserve">provided by the Rt Hon. the </w:t>
      </w:r>
      <w:r>
        <w:rPr>
          <w:rFonts w:eastAsiaTheme="majorEastAsia" w:cstheme="minorHAnsi"/>
        </w:rPr>
        <w:t xml:space="preserve">Lord Bradley. It was </w:t>
      </w:r>
      <w:r w:rsidRPr="00C06256">
        <w:rPr>
          <w:rFonts w:eastAsiaTheme="majorEastAsia" w:cstheme="minorHAnsi"/>
        </w:rPr>
        <w:t xml:space="preserve">held virtually via Zoom webinar and included a presentation of findings from an evaluation of a neurodevelopmental court pathway </w:t>
      </w:r>
      <w:r>
        <w:rPr>
          <w:rFonts w:eastAsiaTheme="majorEastAsia" w:cstheme="minorHAnsi"/>
        </w:rPr>
        <w:t xml:space="preserve">that had been </w:t>
      </w:r>
      <w:r w:rsidRPr="00C06256">
        <w:rPr>
          <w:rFonts w:eastAsiaTheme="majorEastAsia" w:cstheme="minorHAnsi"/>
        </w:rPr>
        <w:t>funded by Guys &amp; St. Thomas’ Charity in a local Magistrates</w:t>
      </w:r>
      <w:r>
        <w:rPr>
          <w:rFonts w:eastAsiaTheme="majorEastAsia" w:cstheme="minorHAnsi"/>
        </w:rPr>
        <w:t xml:space="preserve">’ </w:t>
      </w:r>
      <w:proofErr w:type="gramStart"/>
      <w:r w:rsidRPr="00C06256">
        <w:rPr>
          <w:rFonts w:eastAsiaTheme="majorEastAsia" w:cstheme="minorHAnsi"/>
        </w:rPr>
        <w:t>Court  in</w:t>
      </w:r>
      <w:proofErr w:type="gramEnd"/>
      <w:r w:rsidRPr="00C06256">
        <w:rPr>
          <w:rFonts w:eastAsiaTheme="majorEastAsia" w:cstheme="minorHAnsi"/>
        </w:rPr>
        <w:t xml:space="preserve"> London</w:t>
      </w:r>
      <w:r>
        <w:rPr>
          <w:rFonts w:eastAsiaTheme="majorEastAsia" w:cstheme="minorHAnsi"/>
        </w:rPr>
        <w:t>. The study reported</w:t>
      </w:r>
      <w:r w:rsidRPr="00C06256">
        <w:rPr>
          <w:rFonts w:ascii="Charis SIL" w:hAnsi="Charis SIL" w:cs="Charis SIL"/>
          <w:color w:val="000000"/>
          <w:sz w:val="14"/>
          <w:szCs w:val="14"/>
        </w:rPr>
        <w:t xml:space="preserve"> </w:t>
      </w:r>
      <w:r>
        <w:rPr>
          <w:rFonts w:eastAsiaTheme="majorEastAsia" w:cstheme="minorHAnsi"/>
        </w:rPr>
        <w:t>t</w:t>
      </w:r>
      <w:r w:rsidRPr="00C06256">
        <w:rPr>
          <w:rFonts w:eastAsiaTheme="majorEastAsia" w:cstheme="minorHAnsi"/>
        </w:rPr>
        <w:t>he successful integrat</w:t>
      </w:r>
      <w:r>
        <w:rPr>
          <w:rFonts w:eastAsiaTheme="majorEastAsia" w:cstheme="minorHAnsi"/>
        </w:rPr>
        <w:t xml:space="preserve">ion of a specialist neurodevelopmental L&amp;D </w:t>
      </w:r>
      <w:r w:rsidR="009576EE">
        <w:rPr>
          <w:rFonts w:eastAsiaTheme="majorEastAsia" w:cstheme="minorHAnsi"/>
        </w:rPr>
        <w:t>s</w:t>
      </w:r>
      <w:r>
        <w:rPr>
          <w:rFonts w:eastAsiaTheme="majorEastAsia" w:cstheme="minorHAnsi"/>
        </w:rPr>
        <w:t xml:space="preserve">ervice with an </w:t>
      </w:r>
      <w:proofErr w:type="gramStart"/>
      <w:r>
        <w:rPr>
          <w:rFonts w:eastAsiaTheme="majorEastAsia" w:cstheme="minorHAnsi"/>
        </w:rPr>
        <w:t>existing standard</w:t>
      </w:r>
      <w:r w:rsidR="009576EE">
        <w:rPr>
          <w:rFonts w:eastAsiaTheme="majorEastAsia" w:cstheme="minorHAnsi"/>
        </w:rPr>
        <w:t xml:space="preserve"> </w:t>
      </w:r>
      <w:r>
        <w:rPr>
          <w:rFonts w:eastAsiaTheme="majorEastAsia" w:cstheme="minorHAnsi"/>
        </w:rPr>
        <w:t>L&amp;D</w:t>
      </w:r>
      <w:r w:rsidRPr="00C06256">
        <w:rPr>
          <w:rFonts w:eastAsiaTheme="majorEastAsia" w:cstheme="minorHAnsi"/>
        </w:rPr>
        <w:t xml:space="preserve"> services</w:t>
      </w:r>
      <w:proofErr w:type="gramEnd"/>
      <w:r>
        <w:rPr>
          <w:rFonts w:eastAsiaTheme="majorEastAsia" w:cstheme="minorHAnsi"/>
        </w:rPr>
        <w:t xml:space="preserve">, with subsequent </w:t>
      </w:r>
      <w:r w:rsidRPr="00C06256">
        <w:rPr>
          <w:rFonts w:eastAsiaTheme="majorEastAsia" w:cstheme="minorHAnsi"/>
        </w:rPr>
        <w:t xml:space="preserve">evidence of </w:t>
      </w:r>
      <w:r w:rsidR="00AE5569">
        <w:rPr>
          <w:rFonts w:eastAsiaTheme="majorEastAsia" w:cstheme="minorHAnsi"/>
        </w:rPr>
        <w:t xml:space="preserve">modest </w:t>
      </w:r>
      <w:r w:rsidRPr="00C06256">
        <w:rPr>
          <w:rFonts w:eastAsiaTheme="majorEastAsia" w:cstheme="minorHAnsi"/>
        </w:rPr>
        <w:t>service effectiveness</w:t>
      </w:r>
      <w:r>
        <w:rPr>
          <w:rFonts w:eastAsiaTheme="majorEastAsia" w:cstheme="minorHAnsi"/>
        </w:rPr>
        <w:t xml:space="preserve">. </w:t>
      </w:r>
      <w:r w:rsidR="00884681">
        <w:rPr>
          <w:rFonts w:eastAsiaTheme="majorEastAsia" w:cstheme="minorHAnsi"/>
        </w:rPr>
        <w:t xml:space="preserve">We </w:t>
      </w:r>
      <w:r w:rsidR="009576EE">
        <w:rPr>
          <w:rFonts w:eastAsiaTheme="majorEastAsia" w:cstheme="minorHAnsi"/>
        </w:rPr>
        <w:t xml:space="preserve">found </w:t>
      </w:r>
      <w:r w:rsidRPr="00C06256">
        <w:rPr>
          <w:rFonts w:eastAsiaTheme="majorEastAsia" w:cstheme="minorHAnsi"/>
        </w:rPr>
        <w:t xml:space="preserve">an increase in the detection of comorbid mental illness and a reduction in custodial remands for defendants with </w:t>
      </w:r>
      <w:r>
        <w:rPr>
          <w:rFonts w:eastAsiaTheme="majorEastAsia" w:cstheme="minorHAnsi"/>
        </w:rPr>
        <w:t xml:space="preserve">neurodevelopmental conditions </w:t>
      </w:r>
      <w:r w:rsidRPr="00C06256">
        <w:rPr>
          <w:rFonts w:eastAsiaTheme="majorEastAsia" w:cstheme="minorHAnsi"/>
        </w:rPr>
        <w:t xml:space="preserve"> </w:t>
      </w:r>
      <w:r>
        <w:rPr>
          <w:rFonts w:eastAsiaTheme="majorEastAsia" w:cstheme="minorHAnsi"/>
        </w:rPr>
        <w:fldChar w:fldCharType="begin"/>
      </w:r>
      <w:r>
        <w:rPr>
          <w:rFonts w:eastAsiaTheme="majorEastAsia" w:cstheme="minorHAnsi"/>
        </w:rPr>
        <w:instrText xml:space="preserve"> ADDIN EN.CITE &lt;EndNote&gt;&lt;Cite&gt;&lt;Author&gt;Chaplin&lt;/Author&gt;&lt;Year&gt;2021&lt;/Year&gt;&lt;RecNum&gt;1372&lt;/RecNum&gt;&lt;DisplayText&gt;(3)&lt;/DisplayText&gt;&lt;record&gt;&lt;rec-number&gt;1372&lt;/rec-number&gt;&lt;foreign-keys&gt;&lt;key app="EN" db-id="0wtfxzrvwtvfszed0s9vdzam00frxexae5vz" timestamp="1633702469"&gt;1372&lt;/key&gt;&lt;/foreign-keys&gt;&lt;ref-type name="Journal Article"&gt;17&lt;/ref-type&gt;&lt;contributors&gt;&lt;authors&gt;&lt;author&gt;Chaplin, E.&lt;/author&gt;&lt;author&gt;McCarthy, J.&lt;/author&gt;&lt;author&gt;Marshall-Tate, K. &lt;/author&gt;&lt;author&gt;Ali ,S.&lt;/author&gt;&lt;author&gt;Xenitidis, K.&lt;/author&gt;&lt;author&gt;Childs, J. &lt;/author&gt;&lt;author&gt;Harvey, D.&lt;/author&gt;&lt;author&gt;McKinnon, I.&lt;/author&gt;&lt;author&gt;Robinson, L. &lt;/author&gt;&lt;author&gt;Hardy, S.&lt;/author&gt;&lt;author&gt;Srivastrava, S.&lt;/author&gt;&lt;author&gt;Allely, C.S,. &lt;/author&gt;&lt;author&gt;Tolchard, B.&lt;/author&gt;&lt;author&gt;Forrester, A.&lt;/author&gt;&lt;/authors&gt;&lt;/contributors&gt;&lt;titles&gt;&lt;title&gt;Evaluation of a liaison and diversion Court Mental Health Service for defendants with neurodevelopmental disorders&lt;/title&gt;&lt;secondary-title&gt;Research In Developmental Disabilities&lt;/secondary-title&gt;&lt;/titles&gt;&lt;periodical&gt;&lt;full-title&gt;Research In Developmental Disabilities&lt;/full-title&gt;&lt;/periodical&gt;&lt;volume&gt;online early&lt;/volume&gt;&lt;dates&gt;&lt;year&gt;2021&lt;/year&gt;&lt;/dates&gt;&lt;urls&gt;&lt;/urls&gt;&lt;electronic-resource-num&gt;10.1016/j.ridd.2021.104103&lt;/electronic-resource-num&gt;&lt;/record&gt;&lt;/Cite&gt;&lt;/EndNote&gt;</w:instrText>
      </w:r>
      <w:r>
        <w:rPr>
          <w:rFonts w:eastAsiaTheme="majorEastAsia" w:cstheme="minorHAnsi"/>
        </w:rPr>
        <w:fldChar w:fldCharType="separate"/>
      </w:r>
      <w:r>
        <w:rPr>
          <w:rFonts w:eastAsiaTheme="majorEastAsia" w:cstheme="minorHAnsi"/>
          <w:noProof/>
        </w:rPr>
        <w:t>(1)</w:t>
      </w:r>
      <w:r>
        <w:rPr>
          <w:rFonts w:eastAsiaTheme="majorEastAsia" w:cstheme="minorHAnsi"/>
        </w:rPr>
        <w:fldChar w:fldCharType="end"/>
      </w:r>
      <w:r>
        <w:rPr>
          <w:rFonts w:eastAsiaTheme="majorEastAsia" w:cstheme="minorHAnsi"/>
        </w:rPr>
        <w:t>.</w:t>
      </w:r>
      <w:r w:rsidR="00F93E7B">
        <w:rPr>
          <w:rFonts w:eastAsiaTheme="majorEastAsia" w:cstheme="minorHAnsi"/>
        </w:rPr>
        <w:t xml:space="preserve">The meeting </w:t>
      </w:r>
      <w:r w:rsidR="009576EE">
        <w:rPr>
          <w:rFonts w:eastAsiaTheme="majorEastAsia" w:cstheme="minorHAnsi"/>
        </w:rPr>
        <w:t xml:space="preserve">considered these results, </w:t>
      </w:r>
      <w:r>
        <w:rPr>
          <w:rFonts w:eastAsiaTheme="majorEastAsia" w:cstheme="minorHAnsi"/>
        </w:rPr>
        <w:t xml:space="preserve">reviewed current policy arrangements for L&amp;D services, </w:t>
      </w:r>
      <w:r w:rsidR="00642E7F">
        <w:rPr>
          <w:rFonts w:eastAsiaTheme="majorEastAsia" w:cstheme="minorHAnsi"/>
        </w:rPr>
        <w:t xml:space="preserve">and </w:t>
      </w:r>
      <w:r>
        <w:rPr>
          <w:rFonts w:eastAsiaTheme="majorEastAsia" w:cstheme="minorHAnsi"/>
        </w:rPr>
        <w:t xml:space="preserve">discussed potential future services designs (2, 3). </w:t>
      </w:r>
    </w:p>
    <w:p w14:paraId="3864B16E" w14:textId="79C0AD57" w:rsidR="00D9440C" w:rsidRDefault="00F93E7B" w:rsidP="00C06256">
      <w:pPr>
        <w:spacing w:after="200" w:line="252" w:lineRule="auto"/>
        <w:rPr>
          <w:rFonts w:eastAsiaTheme="majorEastAsia" w:cstheme="minorHAnsi"/>
        </w:rPr>
      </w:pPr>
      <w:r>
        <w:rPr>
          <w:rFonts w:eastAsiaTheme="majorEastAsia" w:cstheme="minorHAnsi"/>
        </w:rPr>
        <w:t>At present</w:t>
      </w:r>
      <w:r w:rsidR="00704EC4">
        <w:rPr>
          <w:rFonts w:eastAsiaTheme="majorEastAsia" w:cstheme="minorHAnsi"/>
        </w:rPr>
        <w:t>,</w:t>
      </w:r>
      <w:r w:rsidR="00C06256" w:rsidRPr="00C06256">
        <w:rPr>
          <w:rFonts w:eastAsiaTheme="majorEastAsia" w:cstheme="minorHAnsi"/>
        </w:rPr>
        <w:t xml:space="preserve"> </w:t>
      </w:r>
      <w:r w:rsidR="00CA23C3">
        <w:rPr>
          <w:rFonts w:eastAsiaTheme="majorEastAsia" w:cstheme="minorHAnsi"/>
        </w:rPr>
        <w:t>most</w:t>
      </w:r>
      <w:r w:rsidR="00C06256" w:rsidRPr="00C06256">
        <w:rPr>
          <w:rFonts w:eastAsiaTheme="majorEastAsia" w:cstheme="minorHAnsi"/>
        </w:rPr>
        <w:t xml:space="preserve"> court liaison and diversion services (L&amp;D) services are provided using a general mental health model</w:t>
      </w:r>
      <w:r w:rsidR="00CA23C3">
        <w:rPr>
          <w:rFonts w:eastAsiaTheme="majorEastAsia" w:cstheme="minorHAnsi"/>
        </w:rPr>
        <w:t xml:space="preserve">, </w:t>
      </w:r>
      <w:r w:rsidR="00C06256" w:rsidRPr="00C06256">
        <w:rPr>
          <w:rFonts w:eastAsiaTheme="majorEastAsia" w:cstheme="minorHAnsi"/>
        </w:rPr>
        <w:t xml:space="preserve">with expertise in mental illness and forensic mental health, </w:t>
      </w:r>
      <w:r w:rsidR="00CA23C3">
        <w:rPr>
          <w:rFonts w:eastAsiaTheme="majorEastAsia" w:cstheme="minorHAnsi"/>
        </w:rPr>
        <w:t>but</w:t>
      </w:r>
      <w:r w:rsidR="00C06256" w:rsidRPr="00C06256">
        <w:rPr>
          <w:rFonts w:eastAsiaTheme="majorEastAsia" w:cstheme="minorHAnsi"/>
        </w:rPr>
        <w:t xml:space="preserve"> limited </w:t>
      </w:r>
      <w:r w:rsidR="00CA23C3">
        <w:rPr>
          <w:rFonts w:eastAsiaTheme="majorEastAsia" w:cstheme="minorHAnsi"/>
        </w:rPr>
        <w:t xml:space="preserve">specialist expertise in the care and management of </w:t>
      </w:r>
      <w:r w:rsidR="00C06256" w:rsidRPr="00C06256">
        <w:rPr>
          <w:rFonts w:eastAsiaTheme="majorEastAsia" w:cstheme="minorHAnsi"/>
        </w:rPr>
        <w:t xml:space="preserve">people with neurodevelopmental conditions and other vulnerable groups </w:t>
      </w:r>
      <w:r w:rsidR="00C06256">
        <w:rPr>
          <w:rFonts w:eastAsiaTheme="majorEastAsia" w:cstheme="minorHAnsi"/>
        </w:rPr>
        <w:fldChar w:fldCharType="begin"/>
      </w:r>
      <w:r w:rsidR="00C06256">
        <w:rPr>
          <w:rFonts w:eastAsiaTheme="majorEastAsia" w:cstheme="minorHAnsi"/>
        </w:rPr>
        <w:instrText xml:space="preserve"> ADDIN EN.CITE &lt;EndNote&gt;&lt;Cite&gt;&lt;Author&gt;Forrester&lt;/Author&gt;&lt;Year&gt;2017&lt;/Year&gt;&lt;RecNum&gt;988&lt;/RecNum&gt;&lt;DisplayText&gt;(1)&lt;/DisplayText&gt;&lt;record&gt;&lt;rec-number&gt;988&lt;/rec-number&gt;&lt;foreign-keys&gt;&lt;key app="EN" db-id="0wtfxzrvwtvfszed0s9vdzam00frxexae5vz" timestamp="1588162546"&gt;988&lt;/key&gt;&lt;/foreign-keys&gt;&lt;ref-type name="Journal Article"&gt;17&lt;/ref-type&gt;&lt;contributors&gt;&lt;authors&gt;&lt;author&gt;Forrester, Andrew&lt;/author&gt;&lt;author&gt;Samele, Chiara&lt;/author&gt;&lt;author&gt;Slade, Karen&lt;/author&gt;&lt;author&gt;Craig, Tom&lt;/author&gt;&lt;author&gt;Valmaggia, Lucia&lt;/author&gt;&lt;/authors&gt;&lt;/contributors&gt;&lt;titles&gt;&lt;title&gt;Demographic and clinical characteristics of 1092 consecutive police custody mental health referrals&lt;/title&gt;&lt;secondary-title&gt;The Journal of Forensic Psychiatry &amp;amp; Psychology&lt;/secondary-title&gt;&lt;/titles&gt;&lt;periodical&gt;&lt;full-title&gt;The Journal of Forensic Psychiatry &amp;amp; Psychology&lt;/full-title&gt;&lt;/periodical&gt;&lt;pages&gt;295-312&lt;/pages&gt;&lt;volume&gt;28&lt;/volume&gt;&lt;number&gt;3&lt;/number&gt;&lt;dates&gt;&lt;year&gt;2017&lt;/year&gt;&lt;/dates&gt;&lt;isbn&gt;1478-9949&lt;/isbn&gt;&lt;urls&gt;&lt;/urls&gt;&lt;/record&gt;&lt;/Cite&gt;&lt;/EndNote&gt;</w:instrText>
      </w:r>
      <w:r w:rsidR="00C06256">
        <w:rPr>
          <w:rFonts w:eastAsiaTheme="majorEastAsia" w:cstheme="minorHAnsi"/>
        </w:rPr>
        <w:fldChar w:fldCharType="separate"/>
      </w:r>
      <w:r w:rsidR="00C06256">
        <w:rPr>
          <w:rFonts w:eastAsiaTheme="majorEastAsia" w:cstheme="minorHAnsi"/>
          <w:noProof/>
        </w:rPr>
        <w:t>(1</w:t>
      </w:r>
      <w:r w:rsidR="00FA2A8D">
        <w:rPr>
          <w:rFonts w:eastAsiaTheme="majorEastAsia" w:cstheme="minorHAnsi"/>
          <w:noProof/>
        </w:rPr>
        <w:t>, 3</w:t>
      </w:r>
      <w:r w:rsidR="00C06256">
        <w:rPr>
          <w:rFonts w:eastAsiaTheme="majorEastAsia" w:cstheme="minorHAnsi"/>
          <w:noProof/>
        </w:rPr>
        <w:t>)</w:t>
      </w:r>
      <w:r w:rsidR="00C06256">
        <w:rPr>
          <w:rFonts w:eastAsiaTheme="majorEastAsia" w:cstheme="minorHAnsi"/>
        </w:rPr>
        <w:fldChar w:fldCharType="end"/>
      </w:r>
      <w:r w:rsidR="00C06256" w:rsidRPr="00C06256">
        <w:rPr>
          <w:rFonts w:eastAsiaTheme="majorEastAsia" w:cstheme="minorHAnsi"/>
        </w:rPr>
        <w:t>.</w:t>
      </w:r>
      <w:r w:rsidR="009C7AA5">
        <w:rPr>
          <w:rFonts w:eastAsiaTheme="majorEastAsia" w:cstheme="minorHAnsi"/>
        </w:rPr>
        <w:t xml:space="preserve"> While it is apparent that these services have </w:t>
      </w:r>
      <w:r>
        <w:rPr>
          <w:rFonts w:eastAsiaTheme="majorEastAsia" w:cstheme="minorHAnsi"/>
        </w:rPr>
        <w:t>developed very considerably since the Bradley review (2)</w:t>
      </w:r>
      <w:r w:rsidR="009C7AA5">
        <w:rPr>
          <w:rFonts w:eastAsiaTheme="majorEastAsia" w:cstheme="minorHAnsi"/>
        </w:rPr>
        <w:t>, issues relating to screening and the provision of an appropriate skill-mix remain a work in progress, and there are serious national concerns about the ways in which mental health services operating in the criminal justice system</w:t>
      </w:r>
      <w:r w:rsidR="007F6011">
        <w:rPr>
          <w:rFonts w:eastAsiaTheme="majorEastAsia" w:cstheme="minorHAnsi"/>
        </w:rPr>
        <w:t xml:space="preserve"> (CJS)</w:t>
      </w:r>
      <w:r w:rsidR="009C7AA5">
        <w:rPr>
          <w:rFonts w:eastAsiaTheme="majorEastAsia" w:cstheme="minorHAnsi"/>
        </w:rPr>
        <w:t xml:space="preserve"> are supported by </w:t>
      </w:r>
      <w:r w:rsidR="00FA0001">
        <w:rPr>
          <w:rFonts w:eastAsiaTheme="majorEastAsia" w:cstheme="minorHAnsi"/>
        </w:rPr>
        <w:t xml:space="preserve">the </w:t>
      </w:r>
      <w:r w:rsidR="009C7AA5">
        <w:rPr>
          <w:rFonts w:eastAsiaTheme="majorEastAsia" w:cstheme="minorHAnsi"/>
        </w:rPr>
        <w:t xml:space="preserve">wider </w:t>
      </w:r>
      <w:r w:rsidR="00D9440C">
        <w:rPr>
          <w:rFonts w:eastAsiaTheme="majorEastAsia" w:cstheme="minorHAnsi"/>
        </w:rPr>
        <w:t xml:space="preserve">community and hospital-based </w:t>
      </w:r>
      <w:r w:rsidR="009C7AA5">
        <w:rPr>
          <w:rFonts w:eastAsiaTheme="majorEastAsia" w:cstheme="minorHAnsi"/>
        </w:rPr>
        <w:t xml:space="preserve">healthcare services (4, 5). </w:t>
      </w:r>
      <w:r w:rsidR="00D9440C">
        <w:rPr>
          <w:rFonts w:eastAsiaTheme="majorEastAsia" w:cstheme="minorHAnsi"/>
        </w:rPr>
        <w:t>Yet despite the</w:t>
      </w:r>
      <w:r>
        <w:rPr>
          <w:rFonts w:eastAsiaTheme="majorEastAsia" w:cstheme="minorHAnsi"/>
        </w:rPr>
        <w:t xml:space="preserve"> </w:t>
      </w:r>
      <w:r w:rsidR="00D9440C">
        <w:rPr>
          <w:rFonts w:eastAsiaTheme="majorEastAsia" w:cstheme="minorHAnsi"/>
        </w:rPr>
        <w:t>largescale development</w:t>
      </w:r>
      <w:r>
        <w:rPr>
          <w:rFonts w:eastAsiaTheme="majorEastAsia" w:cstheme="minorHAnsi"/>
        </w:rPr>
        <w:t xml:space="preserve"> of these services</w:t>
      </w:r>
      <w:r w:rsidR="00D9440C">
        <w:rPr>
          <w:rFonts w:eastAsiaTheme="majorEastAsia" w:cstheme="minorHAnsi"/>
        </w:rPr>
        <w:t>, it is apparent that people with neurodevelopmental conditions are still entering our prisons</w:t>
      </w:r>
      <w:r>
        <w:rPr>
          <w:rFonts w:eastAsiaTheme="majorEastAsia" w:cstheme="minorHAnsi"/>
        </w:rPr>
        <w:t xml:space="preserve"> in considerable numbers</w:t>
      </w:r>
      <w:r w:rsidR="00D9440C">
        <w:rPr>
          <w:rFonts w:eastAsiaTheme="majorEastAsia" w:cstheme="minorHAnsi"/>
        </w:rPr>
        <w:t xml:space="preserve">, </w:t>
      </w:r>
      <w:r>
        <w:rPr>
          <w:rFonts w:eastAsiaTheme="majorEastAsia" w:cstheme="minorHAnsi"/>
        </w:rPr>
        <w:t xml:space="preserve">including </w:t>
      </w:r>
      <w:r w:rsidR="00D9440C">
        <w:rPr>
          <w:rFonts w:eastAsiaTheme="majorEastAsia" w:cstheme="minorHAnsi"/>
        </w:rPr>
        <w:t xml:space="preserve">in circumstances in which they may be highly vulnerable, and despite </w:t>
      </w:r>
      <w:r>
        <w:rPr>
          <w:rFonts w:eastAsiaTheme="majorEastAsia" w:cstheme="minorHAnsi"/>
        </w:rPr>
        <w:t>the established</w:t>
      </w:r>
      <w:r w:rsidR="00FA0001">
        <w:rPr>
          <w:rFonts w:eastAsiaTheme="majorEastAsia" w:cstheme="minorHAnsi"/>
        </w:rPr>
        <w:t xml:space="preserve"> </w:t>
      </w:r>
      <w:r>
        <w:rPr>
          <w:rFonts w:eastAsiaTheme="majorEastAsia" w:cstheme="minorHAnsi"/>
        </w:rPr>
        <w:t xml:space="preserve">literature showing </w:t>
      </w:r>
      <w:r w:rsidR="00D9440C">
        <w:rPr>
          <w:rFonts w:eastAsiaTheme="majorEastAsia" w:cstheme="minorHAnsi"/>
        </w:rPr>
        <w:t>high rates of mental illness</w:t>
      </w:r>
      <w:r w:rsidR="005B3EB0">
        <w:rPr>
          <w:rFonts w:eastAsiaTheme="majorEastAsia" w:cstheme="minorHAnsi"/>
        </w:rPr>
        <w:t xml:space="preserve">, </w:t>
      </w:r>
      <w:r w:rsidR="00D9440C">
        <w:rPr>
          <w:rFonts w:eastAsiaTheme="majorEastAsia" w:cstheme="minorHAnsi"/>
        </w:rPr>
        <w:t>self-</w:t>
      </w:r>
      <w:proofErr w:type="gramStart"/>
      <w:r w:rsidR="00D9440C">
        <w:rPr>
          <w:rFonts w:eastAsiaTheme="majorEastAsia" w:cstheme="minorHAnsi"/>
        </w:rPr>
        <w:t>harm</w:t>
      </w:r>
      <w:proofErr w:type="gramEnd"/>
      <w:r w:rsidR="00D9440C">
        <w:rPr>
          <w:rFonts w:eastAsiaTheme="majorEastAsia" w:cstheme="minorHAnsi"/>
        </w:rPr>
        <w:t xml:space="preserve"> </w:t>
      </w:r>
      <w:r w:rsidR="005B3EB0">
        <w:rPr>
          <w:rFonts w:eastAsiaTheme="majorEastAsia" w:cstheme="minorHAnsi"/>
        </w:rPr>
        <w:t xml:space="preserve">and co-morbidity </w:t>
      </w:r>
      <w:r w:rsidR="00D9440C">
        <w:rPr>
          <w:rFonts w:eastAsiaTheme="majorEastAsia" w:cstheme="minorHAnsi"/>
        </w:rPr>
        <w:t>in these settings. (6</w:t>
      </w:r>
      <w:r w:rsidR="005B3EB0">
        <w:rPr>
          <w:rFonts w:eastAsiaTheme="majorEastAsia" w:cstheme="minorHAnsi"/>
        </w:rPr>
        <w:t>, 7, 8</w:t>
      </w:r>
      <w:r w:rsidR="00D9440C">
        <w:rPr>
          <w:rFonts w:eastAsiaTheme="majorEastAsia" w:cstheme="minorHAnsi"/>
        </w:rPr>
        <w:t xml:space="preserve">) </w:t>
      </w:r>
    </w:p>
    <w:p w14:paraId="38478CD1" w14:textId="373F72EB" w:rsidR="00E4701F" w:rsidRDefault="00C06256" w:rsidP="00C06256">
      <w:pPr>
        <w:spacing w:after="200" w:line="252" w:lineRule="auto"/>
        <w:rPr>
          <w:rFonts w:eastAsiaTheme="majorEastAsia" w:cstheme="minorHAnsi"/>
        </w:rPr>
      </w:pPr>
      <w:r w:rsidRPr="00C06256">
        <w:rPr>
          <w:rFonts w:eastAsiaTheme="majorEastAsia" w:cstheme="minorHAnsi"/>
        </w:rPr>
        <w:t>In total</w:t>
      </w:r>
      <w:r w:rsidR="00E4701F">
        <w:rPr>
          <w:rFonts w:eastAsiaTheme="majorEastAsia" w:cstheme="minorHAnsi"/>
        </w:rPr>
        <w:t xml:space="preserve">, </w:t>
      </w:r>
      <w:r w:rsidRPr="00C06256">
        <w:rPr>
          <w:rFonts w:eastAsiaTheme="majorEastAsia" w:cstheme="minorHAnsi"/>
        </w:rPr>
        <w:t>22 people took part</w:t>
      </w:r>
      <w:r w:rsidR="00E4701F">
        <w:rPr>
          <w:rFonts w:eastAsiaTheme="majorEastAsia" w:cstheme="minorHAnsi"/>
        </w:rPr>
        <w:t xml:space="preserve"> in our </w:t>
      </w:r>
      <w:r w:rsidR="00E4701F" w:rsidRPr="00FB0710">
        <w:rPr>
          <w:rFonts w:eastAsiaTheme="majorEastAsia" w:cstheme="minorHAnsi"/>
          <w:i/>
          <w:iCs/>
        </w:rPr>
        <w:t>virtual House of Lords event</w:t>
      </w:r>
      <w:r w:rsidRPr="00C06256">
        <w:rPr>
          <w:rFonts w:eastAsiaTheme="majorEastAsia" w:cstheme="minorHAnsi"/>
        </w:rPr>
        <w:t xml:space="preserve">. The panel </w:t>
      </w:r>
      <w:r w:rsidR="00E4701F">
        <w:rPr>
          <w:rFonts w:eastAsiaTheme="majorEastAsia" w:cstheme="minorHAnsi"/>
        </w:rPr>
        <w:t>included</w:t>
      </w:r>
      <w:r w:rsidRPr="00C06256">
        <w:rPr>
          <w:rFonts w:eastAsiaTheme="majorEastAsia" w:cstheme="minorHAnsi"/>
        </w:rPr>
        <w:t xml:space="preserve"> </w:t>
      </w:r>
      <w:r w:rsidR="00E4701F">
        <w:rPr>
          <w:rFonts w:eastAsiaTheme="majorEastAsia" w:cstheme="minorHAnsi"/>
        </w:rPr>
        <w:t xml:space="preserve">a range of </w:t>
      </w:r>
      <w:r w:rsidRPr="00C06256">
        <w:rPr>
          <w:rFonts w:eastAsiaTheme="majorEastAsia" w:cstheme="minorHAnsi"/>
        </w:rPr>
        <w:t xml:space="preserve">people </w:t>
      </w:r>
      <w:r w:rsidR="00E4701F">
        <w:rPr>
          <w:rFonts w:eastAsiaTheme="majorEastAsia" w:cstheme="minorHAnsi"/>
        </w:rPr>
        <w:t xml:space="preserve">with relevant expertise from across England and Wales, with representatives from clinical </w:t>
      </w:r>
      <w:r w:rsidR="00E4701F">
        <w:rPr>
          <w:rFonts w:eastAsiaTheme="majorEastAsia" w:cstheme="minorHAnsi"/>
        </w:rPr>
        <w:lastRenderedPageBreak/>
        <w:t xml:space="preserve">disciplines (psychiatry, psychology, nursing and social work), academics and researchers, the </w:t>
      </w:r>
      <w:r w:rsidR="007F6011">
        <w:rPr>
          <w:rFonts w:eastAsiaTheme="majorEastAsia" w:cstheme="minorHAnsi"/>
        </w:rPr>
        <w:t>CJS</w:t>
      </w:r>
      <w:r w:rsidR="00E4701F">
        <w:rPr>
          <w:rFonts w:eastAsiaTheme="majorEastAsia" w:cstheme="minorHAnsi"/>
        </w:rPr>
        <w:t xml:space="preserve"> (including the judiciary, police custody and the local courts), commissioners and </w:t>
      </w:r>
      <w:proofErr w:type="gramStart"/>
      <w:r w:rsidR="00E4701F">
        <w:rPr>
          <w:rFonts w:eastAsiaTheme="majorEastAsia" w:cstheme="minorHAnsi"/>
        </w:rPr>
        <w:t>policy-makers</w:t>
      </w:r>
      <w:proofErr w:type="gramEnd"/>
      <w:r w:rsidR="00E4701F">
        <w:rPr>
          <w:rFonts w:eastAsiaTheme="majorEastAsia" w:cstheme="minorHAnsi"/>
        </w:rPr>
        <w:t xml:space="preserve">. </w:t>
      </w:r>
    </w:p>
    <w:p w14:paraId="6DFEE25D" w14:textId="0610B467" w:rsidR="00E8490B" w:rsidRDefault="00C06256" w:rsidP="00C06256">
      <w:pPr>
        <w:spacing w:after="200" w:line="252" w:lineRule="auto"/>
        <w:rPr>
          <w:rFonts w:eastAsiaTheme="majorEastAsia" w:cstheme="minorHAnsi"/>
        </w:rPr>
      </w:pPr>
      <w:r w:rsidRPr="00C06256">
        <w:rPr>
          <w:rFonts w:eastAsiaTheme="majorEastAsia" w:cstheme="minorHAnsi"/>
        </w:rPr>
        <w:t xml:space="preserve">The first </w:t>
      </w:r>
      <w:r w:rsidR="00E4701F">
        <w:rPr>
          <w:rFonts w:eastAsiaTheme="majorEastAsia" w:cstheme="minorHAnsi"/>
        </w:rPr>
        <w:t xml:space="preserve">agreed </w:t>
      </w:r>
      <w:r w:rsidRPr="00C06256">
        <w:rPr>
          <w:rFonts w:eastAsiaTheme="majorEastAsia" w:cstheme="minorHAnsi"/>
        </w:rPr>
        <w:t xml:space="preserve">theme </w:t>
      </w:r>
      <w:r w:rsidR="00884681">
        <w:rPr>
          <w:rFonts w:eastAsiaTheme="majorEastAsia" w:cstheme="minorHAnsi"/>
        </w:rPr>
        <w:t>acknowledged</w:t>
      </w:r>
      <w:r w:rsidR="00E8490B">
        <w:rPr>
          <w:rFonts w:eastAsiaTheme="majorEastAsia" w:cstheme="minorHAnsi"/>
        </w:rPr>
        <w:t xml:space="preserve"> that while court defendants with neurodevelopmental conditions form a diverse and heterogeneous group, current thinking </w:t>
      </w:r>
      <w:r w:rsidR="0031644C">
        <w:rPr>
          <w:rFonts w:eastAsiaTheme="majorEastAsia" w:cstheme="minorHAnsi"/>
        </w:rPr>
        <w:t xml:space="preserve">and literature </w:t>
      </w:r>
      <w:r w:rsidR="00E8490B">
        <w:rPr>
          <w:rFonts w:eastAsiaTheme="majorEastAsia" w:cstheme="minorHAnsi"/>
        </w:rPr>
        <w:t>often focuses on challenges to the whole group</w:t>
      </w:r>
      <w:r w:rsidR="0031644C">
        <w:rPr>
          <w:rFonts w:eastAsiaTheme="majorEastAsia" w:cstheme="minorHAnsi"/>
        </w:rPr>
        <w:t>. In doing so, it can overlook the experiences of individuals, and</w:t>
      </w:r>
      <w:r w:rsidR="00E8490B">
        <w:rPr>
          <w:rFonts w:eastAsiaTheme="majorEastAsia" w:cstheme="minorHAnsi"/>
        </w:rPr>
        <w:t xml:space="preserve"> other considerations</w:t>
      </w:r>
      <w:r w:rsidR="0031644C">
        <w:rPr>
          <w:rFonts w:eastAsiaTheme="majorEastAsia" w:cstheme="minorHAnsi"/>
        </w:rPr>
        <w:t xml:space="preserve"> </w:t>
      </w:r>
      <w:r w:rsidR="00E8490B">
        <w:rPr>
          <w:rFonts w:eastAsiaTheme="majorEastAsia" w:cstheme="minorHAnsi"/>
        </w:rPr>
        <w:t>such as gender and ethnicity. However, w</w:t>
      </w:r>
      <w:r w:rsidRPr="00C06256">
        <w:rPr>
          <w:rFonts w:eastAsiaTheme="majorEastAsia" w:cstheme="minorHAnsi"/>
        </w:rPr>
        <w:t xml:space="preserve">e know </w:t>
      </w:r>
      <w:r w:rsidR="00E8490B">
        <w:rPr>
          <w:rFonts w:eastAsiaTheme="majorEastAsia" w:cstheme="minorHAnsi"/>
        </w:rPr>
        <w:t xml:space="preserve">that </w:t>
      </w:r>
      <w:r w:rsidR="0031644C">
        <w:rPr>
          <w:rFonts w:eastAsiaTheme="majorEastAsia" w:cstheme="minorHAnsi"/>
        </w:rPr>
        <w:t>people</w:t>
      </w:r>
      <w:r w:rsidR="00E8490B">
        <w:rPr>
          <w:rFonts w:eastAsiaTheme="majorEastAsia" w:cstheme="minorHAnsi"/>
        </w:rPr>
        <w:t xml:space="preserve"> with neurodevelopmental conditions can</w:t>
      </w:r>
      <w:r w:rsidR="0031644C">
        <w:rPr>
          <w:rFonts w:eastAsiaTheme="majorEastAsia" w:cstheme="minorHAnsi"/>
        </w:rPr>
        <w:t xml:space="preserve"> present in </w:t>
      </w:r>
      <w:r w:rsidR="00DD0425">
        <w:rPr>
          <w:rFonts w:eastAsiaTheme="majorEastAsia" w:cstheme="minorHAnsi"/>
        </w:rPr>
        <w:t xml:space="preserve">many different </w:t>
      </w:r>
      <w:r w:rsidR="0031644C">
        <w:rPr>
          <w:rFonts w:eastAsiaTheme="majorEastAsia" w:cstheme="minorHAnsi"/>
        </w:rPr>
        <w:t xml:space="preserve">ways </w:t>
      </w:r>
      <w:r w:rsidR="00E8490B">
        <w:rPr>
          <w:rFonts w:eastAsiaTheme="majorEastAsia" w:cstheme="minorHAnsi"/>
        </w:rPr>
        <w:t xml:space="preserve">within the </w:t>
      </w:r>
      <w:r w:rsidR="007F6011">
        <w:rPr>
          <w:rFonts w:eastAsiaTheme="majorEastAsia" w:cstheme="minorHAnsi"/>
        </w:rPr>
        <w:t>CJS</w:t>
      </w:r>
      <w:r w:rsidR="00DD0425">
        <w:rPr>
          <w:rFonts w:eastAsiaTheme="majorEastAsia" w:cstheme="minorHAnsi"/>
        </w:rPr>
        <w:t xml:space="preserve"> </w:t>
      </w:r>
      <w:r w:rsidR="00E8490B">
        <w:rPr>
          <w:rFonts w:eastAsiaTheme="majorEastAsia" w:cstheme="minorHAnsi"/>
        </w:rPr>
        <w:t>with</w:t>
      </w:r>
      <w:r w:rsidR="0031644C">
        <w:rPr>
          <w:rFonts w:eastAsiaTheme="majorEastAsia" w:cstheme="minorHAnsi"/>
        </w:rPr>
        <w:t xml:space="preserve">, for example, </w:t>
      </w:r>
      <w:r w:rsidR="00E8490B">
        <w:rPr>
          <w:rFonts w:eastAsiaTheme="majorEastAsia" w:cstheme="minorHAnsi"/>
        </w:rPr>
        <w:t xml:space="preserve">experiences of trauma and victimisation, </w:t>
      </w:r>
      <w:r w:rsidR="0031644C">
        <w:rPr>
          <w:rFonts w:eastAsiaTheme="majorEastAsia" w:cstheme="minorHAnsi"/>
        </w:rPr>
        <w:t xml:space="preserve">or </w:t>
      </w:r>
      <w:r w:rsidR="00E8490B">
        <w:rPr>
          <w:rFonts w:eastAsiaTheme="majorEastAsia" w:cstheme="minorHAnsi"/>
        </w:rPr>
        <w:t xml:space="preserve">issues relating to family and </w:t>
      </w:r>
      <w:proofErr w:type="gramStart"/>
      <w:r w:rsidR="00E8490B">
        <w:rPr>
          <w:rFonts w:eastAsiaTheme="majorEastAsia" w:cstheme="minorHAnsi"/>
        </w:rPr>
        <w:t>child care</w:t>
      </w:r>
      <w:proofErr w:type="gramEnd"/>
      <w:r w:rsidR="00E8490B">
        <w:rPr>
          <w:rFonts w:eastAsiaTheme="majorEastAsia" w:cstheme="minorHAnsi"/>
        </w:rPr>
        <w:t xml:space="preserve">, or pregnancy. </w:t>
      </w:r>
      <w:r w:rsidR="0031644C">
        <w:rPr>
          <w:rFonts w:eastAsiaTheme="majorEastAsia" w:cstheme="minorHAnsi"/>
        </w:rPr>
        <w:t xml:space="preserve">We also know that </w:t>
      </w:r>
      <w:r w:rsidR="00DD0425">
        <w:rPr>
          <w:rFonts w:eastAsiaTheme="majorEastAsia" w:cstheme="minorHAnsi"/>
        </w:rPr>
        <w:t xml:space="preserve">the </w:t>
      </w:r>
      <w:r w:rsidR="0031644C">
        <w:rPr>
          <w:rFonts w:eastAsiaTheme="majorEastAsia" w:cstheme="minorHAnsi"/>
        </w:rPr>
        <w:t xml:space="preserve">systemic disadvantage </w:t>
      </w:r>
      <w:r w:rsidR="00DD0425">
        <w:rPr>
          <w:rFonts w:eastAsiaTheme="majorEastAsia" w:cstheme="minorHAnsi"/>
        </w:rPr>
        <w:t xml:space="preserve">that is known to </w:t>
      </w:r>
      <w:r w:rsidR="0031644C">
        <w:rPr>
          <w:rFonts w:eastAsiaTheme="majorEastAsia" w:cstheme="minorHAnsi"/>
        </w:rPr>
        <w:t>appl</w:t>
      </w:r>
      <w:r w:rsidR="00DD0425">
        <w:rPr>
          <w:rFonts w:eastAsiaTheme="majorEastAsia" w:cstheme="minorHAnsi"/>
        </w:rPr>
        <w:t>y</w:t>
      </w:r>
      <w:r w:rsidR="0031644C">
        <w:rPr>
          <w:rFonts w:eastAsiaTheme="majorEastAsia" w:cstheme="minorHAnsi"/>
        </w:rPr>
        <w:t xml:space="preserve"> </w:t>
      </w:r>
      <w:r w:rsidR="00DD0425">
        <w:rPr>
          <w:rFonts w:eastAsiaTheme="majorEastAsia" w:cstheme="minorHAnsi"/>
        </w:rPr>
        <w:t xml:space="preserve">throughout the CJS </w:t>
      </w:r>
      <w:r w:rsidR="0031644C">
        <w:rPr>
          <w:rFonts w:eastAsiaTheme="majorEastAsia" w:cstheme="minorHAnsi"/>
        </w:rPr>
        <w:t xml:space="preserve">to people from Black and Asian minority ethnic groups also applies to people with neurodevelopmental conditions. (9) </w:t>
      </w:r>
    </w:p>
    <w:p w14:paraId="48632D45" w14:textId="13ACFD1C" w:rsidR="007017B4" w:rsidRDefault="00C06256" w:rsidP="008919F7">
      <w:pPr>
        <w:spacing w:after="200" w:line="252" w:lineRule="auto"/>
        <w:rPr>
          <w:rFonts w:eastAsiaTheme="majorEastAsia" w:cstheme="minorHAnsi"/>
        </w:rPr>
      </w:pPr>
      <w:r w:rsidRPr="00C06256">
        <w:rPr>
          <w:rFonts w:eastAsiaTheme="majorEastAsia" w:cstheme="minorHAnsi"/>
        </w:rPr>
        <w:t xml:space="preserve">The second </w:t>
      </w:r>
      <w:r w:rsidR="0031644C">
        <w:rPr>
          <w:rFonts w:eastAsiaTheme="majorEastAsia" w:cstheme="minorHAnsi"/>
        </w:rPr>
        <w:t xml:space="preserve">agreed theme </w:t>
      </w:r>
      <w:r w:rsidR="00DD0425">
        <w:rPr>
          <w:rFonts w:eastAsiaTheme="majorEastAsia" w:cstheme="minorHAnsi"/>
        </w:rPr>
        <w:t xml:space="preserve">recognised </w:t>
      </w:r>
      <w:r w:rsidR="0031644C">
        <w:rPr>
          <w:rFonts w:eastAsiaTheme="majorEastAsia" w:cstheme="minorHAnsi"/>
        </w:rPr>
        <w:t xml:space="preserve">the </w:t>
      </w:r>
      <w:r w:rsidR="00F9782F">
        <w:rPr>
          <w:rFonts w:eastAsiaTheme="majorEastAsia" w:cstheme="minorHAnsi"/>
        </w:rPr>
        <w:t xml:space="preserve">central </w:t>
      </w:r>
      <w:r w:rsidR="0031644C">
        <w:rPr>
          <w:rFonts w:eastAsiaTheme="majorEastAsia" w:cstheme="minorHAnsi"/>
        </w:rPr>
        <w:t>importance of</w:t>
      </w:r>
      <w:r w:rsidRPr="00C06256">
        <w:rPr>
          <w:rFonts w:eastAsiaTheme="majorEastAsia" w:cstheme="minorHAnsi"/>
        </w:rPr>
        <w:t xml:space="preserve"> screening </w:t>
      </w:r>
      <w:r w:rsidR="00F9782F">
        <w:rPr>
          <w:rFonts w:eastAsiaTheme="majorEastAsia" w:cstheme="minorHAnsi"/>
        </w:rPr>
        <w:t>for the purposes of case identification</w:t>
      </w:r>
      <w:r w:rsidRPr="00C06256">
        <w:rPr>
          <w:rFonts w:eastAsiaTheme="majorEastAsia" w:cstheme="minorHAnsi"/>
        </w:rPr>
        <w:t xml:space="preserve"> </w:t>
      </w:r>
      <w:r w:rsidR="00F9782F">
        <w:rPr>
          <w:rFonts w:eastAsiaTheme="majorEastAsia" w:cstheme="minorHAnsi"/>
        </w:rPr>
        <w:t xml:space="preserve">within </w:t>
      </w:r>
      <w:r w:rsidRPr="00C06256">
        <w:rPr>
          <w:rFonts w:eastAsiaTheme="majorEastAsia" w:cstheme="minorHAnsi"/>
        </w:rPr>
        <w:t xml:space="preserve">L&amp;D services. </w:t>
      </w:r>
      <w:r w:rsidR="00F9782F">
        <w:rPr>
          <w:rFonts w:eastAsiaTheme="majorEastAsia" w:cstheme="minorHAnsi"/>
        </w:rPr>
        <w:t>(10, 11,</w:t>
      </w:r>
      <w:r w:rsidR="001F54EE">
        <w:rPr>
          <w:rFonts w:eastAsiaTheme="majorEastAsia" w:cstheme="minorHAnsi"/>
        </w:rPr>
        <w:t xml:space="preserve"> 3</w:t>
      </w:r>
      <w:r w:rsidR="00F9782F">
        <w:rPr>
          <w:rFonts w:eastAsiaTheme="majorEastAsia" w:cstheme="minorHAnsi"/>
        </w:rPr>
        <w:t xml:space="preserve">) The initial act of screening </w:t>
      </w:r>
      <w:r w:rsidR="001F54EE">
        <w:rPr>
          <w:rFonts w:eastAsiaTheme="majorEastAsia" w:cstheme="minorHAnsi"/>
        </w:rPr>
        <w:t xml:space="preserve">can </w:t>
      </w:r>
      <w:r w:rsidR="00F9782F">
        <w:rPr>
          <w:rFonts w:eastAsiaTheme="majorEastAsia" w:cstheme="minorHAnsi"/>
        </w:rPr>
        <w:t>allow</w:t>
      </w:r>
      <w:r w:rsidR="001F54EE">
        <w:rPr>
          <w:rFonts w:eastAsiaTheme="majorEastAsia" w:cstheme="minorHAnsi"/>
        </w:rPr>
        <w:t xml:space="preserve"> a</w:t>
      </w:r>
      <w:r w:rsidR="00F9782F">
        <w:rPr>
          <w:rFonts w:eastAsiaTheme="majorEastAsia" w:cstheme="minorHAnsi"/>
        </w:rPr>
        <w:t xml:space="preserve"> wide range of further actions to follow, many of which are important to </w:t>
      </w:r>
      <w:r w:rsidR="001F54EE">
        <w:rPr>
          <w:rFonts w:eastAsiaTheme="majorEastAsia" w:cstheme="minorHAnsi"/>
        </w:rPr>
        <w:t xml:space="preserve">both </w:t>
      </w:r>
      <w:r w:rsidR="00F9782F">
        <w:rPr>
          <w:rFonts w:eastAsiaTheme="majorEastAsia" w:cstheme="minorHAnsi"/>
        </w:rPr>
        <w:t>healthcare services</w:t>
      </w:r>
      <w:r w:rsidR="001F54EE">
        <w:rPr>
          <w:rFonts w:eastAsiaTheme="majorEastAsia" w:cstheme="minorHAnsi"/>
        </w:rPr>
        <w:t xml:space="preserve"> and </w:t>
      </w:r>
      <w:r w:rsidR="00F9782F">
        <w:rPr>
          <w:rFonts w:eastAsiaTheme="majorEastAsia" w:cstheme="minorHAnsi"/>
        </w:rPr>
        <w:t xml:space="preserve">the court system – e.g., confirming or making a </w:t>
      </w:r>
      <w:r w:rsidR="00FA0001">
        <w:rPr>
          <w:rFonts w:eastAsiaTheme="majorEastAsia" w:cstheme="minorHAnsi"/>
        </w:rPr>
        <w:t>diagnosis, assessing</w:t>
      </w:r>
      <w:r w:rsidRPr="00C06256">
        <w:rPr>
          <w:rFonts w:eastAsiaTheme="majorEastAsia" w:cstheme="minorHAnsi"/>
        </w:rPr>
        <w:t xml:space="preserve"> </w:t>
      </w:r>
      <w:r w:rsidR="00F9782F">
        <w:rPr>
          <w:rFonts w:eastAsiaTheme="majorEastAsia" w:cstheme="minorHAnsi"/>
        </w:rPr>
        <w:t xml:space="preserve">health and social care </w:t>
      </w:r>
      <w:r w:rsidRPr="00C06256">
        <w:rPr>
          <w:rFonts w:eastAsiaTheme="majorEastAsia" w:cstheme="minorHAnsi"/>
        </w:rPr>
        <w:t>need</w:t>
      </w:r>
      <w:r w:rsidR="00F9782F">
        <w:rPr>
          <w:rFonts w:eastAsiaTheme="majorEastAsia" w:cstheme="minorHAnsi"/>
        </w:rPr>
        <w:t xml:space="preserve">s, </w:t>
      </w:r>
      <w:r w:rsidRPr="00C06256">
        <w:rPr>
          <w:rFonts w:eastAsiaTheme="majorEastAsia" w:cstheme="minorHAnsi"/>
        </w:rPr>
        <w:t xml:space="preserve">offering an opinion on fitness to be interviewed, </w:t>
      </w:r>
      <w:r w:rsidR="00F9782F">
        <w:rPr>
          <w:rFonts w:eastAsiaTheme="majorEastAsia" w:cstheme="minorHAnsi"/>
        </w:rPr>
        <w:t xml:space="preserve">fitness to </w:t>
      </w:r>
      <w:r w:rsidRPr="00C06256">
        <w:rPr>
          <w:rFonts w:eastAsiaTheme="majorEastAsia" w:cstheme="minorHAnsi"/>
        </w:rPr>
        <w:t>plead</w:t>
      </w:r>
      <w:r w:rsidR="00F9782F">
        <w:rPr>
          <w:rFonts w:eastAsiaTheme="majorEastAsia" w:cstheme="minorHAnsi"/>
        </w:rPr>
        <w:t xml:space="preserve">, </w:t>
      </w:r>
      <w:r w:rsidRPr="00C06256">
        <w:rPr>
          <w:rFonts w:eastAsiaTheme="majorEastAsia" w:cstheme="minorHAnsi"/>
        </w:rPr>
        <w:t xml:space="preserve">or </w:t>
      </w:r>
      <w:r w:rsidR="00F9782F">
        <w:rPr>
          <w:rFonts w:eastAsiaTheme="majorEastAsia" w:cstheme="minorHAnsi"/>
        </w:rPr>
        <w:t xml:space="preserve">effective </w:t>
      </w:r>
      <w:r w:rsidRPr="00C06256">
        <w:rPr>
          <w:rFonts w:eastAsiaTheme="majorEastAsia" w:cstheme="minorHAnsi"/>
        </w:rPr>
        <w:t>participa</w:t>
      </w:r>
      <w:r w:rsidR="00F9782F">
        <w:rPr>
          <w:rFonts w:eastAsiaTheme="majorEastAsia" w:cstheme="minorHAnsi"/>
        </w:rPr>
        <w:t xml:space="preserve">tion. </w:t>
      </w:r>
      <w:r w:rsidR="00634C3B">
        <w:rPr>
          <w:rFonts w:eastAsiaTheme="majorEastAsia" w:cstheme="minorHAnsi"/>
        </w:rPr>
        <w:t>Screening, followed by specialist assessment, can enable resources to be planned then put in place</w:t>
      </w:r>
      <w:r w:rsidR="00194F97">
        <w:rPr>
          <w:rFonts w:eastAsiaTheme="majorEastAsia" w:cstheme="minorHAnsi"/>
        </w:rPr>
        <w:t xml:space="preserve"> for individuals</w:t>
      </w:r>
      <w:r w:rsidR="00634C3B">
        <w:rPr>
          <w:rFonts w:eastAsiaTheme="majorEastAsia" w:cstheme="minorHAnsi"/>
        </w:rPr>
        <w:t xml:space="preserve">, and make sure that </w:t>
      </w:r>
      <w:r w:rsidR="00194F97">
        <w:rPr>
          <w:rFonts w:eastAsiaTheme="majorEastAsia" w:cstheme="minorHAnsi"/>
        </w:rPr>
        <w:t>they are</w:t>
      </w:r>
      <w:r w:rsidR="00634C3B">
        <w:rPr>
          <w:rFonts w:eastAsiaTheme="majorEastAsia" w:cstheme="minorHAnsi"/>
        </w:rPr>
        <w:t xml:space="preserve"> adequately supported</w:t>
      </w:r>
      <w:r w:rsidR="00903BF0">
        <w:rPr>
          <w:rFonts w:eastAsiaTheme="majorEastAsia" w:cstheme="minorHAnsi"/>
        </w:rPr>
        <w:t xml:space="preserve"> by </w:t>
      </w:r>
      <w:r w:rsidR="00634C3B">
        <w:rPr>
          <w:rFonts w:eastAsiaTheme="majorEastAsia" w:cstheme="minorHAnsi"/>
        </w:rPr>
        <w:t>reasonable adjustments</w:t>
      </w:r>
      <w:r w:rsidR="00903BF0">
        <w:rPr>
          <w:rFonts w:eastAsiaTheme="majorEastAsia" w:cstheme="minorHAnsi"/>
        </w:rPr>
        <w:t xml:space="preserve"> where this is necessary</w:t>
      </w:r>
      <w:r w:rsidR="00634C3B">
        <w:rPr>
          <w:rFonts w:eastAsiaTheme="majorEastAsia" w:cstheme="minorHAnsi"/>
        </w:rPr>
        <w:t>. (12)</w:t>
      </w:r>
      <w:r w:rsidR="00903BF0">
        <w:rPr>
          <w:rFonts w:eastAsiaTheme="majorEastAsia" w:cstheme="minorHAnsi"/>
        </w:rPr>
        <w:t xml:space="preserve"> However, further research is </w:t>
      </w:r>
      <w:r w:rsidR="008B6B5E">
        <w:rPr>
          <w:rFonts w:eastAsiaTheme="majorEastAsia" w:cstheme="minorHAnsi"/>
        </w:rPr>
        <w:t>required to assist with the development of practice guidelines</w:t>
      </w:r>
      <w:r w:rsidR="002438F8">
        <w:rPr>
          <w:rFonts w:eastAsiaTheme="majorEastAsia" w:cstheme="minorHAnsi"/>
        </w:rPr>
        <w:t xml:space="preserve"> for screening for NCs in the CJS</w:t>
      </w:r>
      <w:r w:rsidR="008B6B5E">
        <w:rPr>
          <w:rFonts w:eastAsiaTheme="majorEastAsia" w:cstheme="minorHAnsi"/>
        </w:rPr>
        <w:t xml:space="preserve">, </w:t>
      </w:r>
      <w:r w:rsidR="00903BF0">
        <w:rPr>
          <w:rFonts w:eastAsiaTheme="majorEastAsia" w:cstheme="minorHAnsi"/>
        </w:rPr>
        <w:t xml:space="preserve">because </w:t>
      </w:r>
      <w:proofErr w:type="gramStart"/>
      <w:r w:rsidR="00903BF0">
        <w:rPr>
          <w:rFonts w:eastAsiaTheme="majorEastAsia" w:cstheme="minorHAnsi"/>
        </w:rPr>
        <w:t>a number of</w:t>
      </w:r>
      <w:proofErr w:type="gramEnd"/>
      <w:r w:rsidR="00903BF0">
        <w:rPr>
          <w:rFonts w:eastAsiaTheme="majorEastAsia" w:cstheme="minorHAnsi"/>
        </w:rPr>
        <w:t xml:space="preserve"> important questions </w:t>
      </w:r>
      <w:r w:rsidR="008B6B5E">
        <w:rPr>
          <w:rFonts w:eastAsiaTheme="majorEastAsia" w:cstheme="minorHAnsi"/>
        </w:rPr>
        <w:t xml:space="preserve">remain </w:t>
      </w:r>
      <w:r w:rsidR="00903BF0">
        <w:rPr>
          <w:rFonts w:eastAsiaTheme="majorEastAsia" w:cstheme="minorHAnsi"/>
        </w:rPr>
        <w:t xml:space="preserve">outstanding </w:t>
      </w:r>
      <w:r w:rsidR="007C0171">
        <w:rPr>
          <w:rFonts w:eastAsiaTheme="majorEastAsia" w:cstheme="minorHAnsi"/>
        </w:rPr>
        <w:t>- including</w:t>
      </w:r>
      <w:r w:rsidR="00903BF0">
        <w:rPr>
          <w:rFonts w:eastAsiaTheme="majorEastAsia" w:cstheme="minorHAnsi"/>
        </w:rPr>
        <w:t xml:space="preserve"> how </w:t>
      </w:r>
      <w:r w:rsidR="008258F1">
        <w:rPr>
          <w:rFonts w:eastAsiaTheme="majorEastAsia" w:cstheme="minorHAnsi"/>
        </w:rPr>
        <w:t xml:space="preserve">best </w:t>
      </w:r>
      <w:r w:rsidR="00903BF0">
        <w:rPr>
          <w:rFonts w:eastAsiaTheme="majorEastAsia" w:cstheme="minorHAnsi"/>
        </w:rPr>
        <w:t xml:space="preserve">to identify who should be screened, </w:t>
      </w:r>
      <w:r w:rsidR="00914724">
        <w:rPr>
          <w:rFonts w:eastAsiaTheme="majorEastAsia" w:cstheme="minorHAnsi"/>
        </w:rPr>
        <w:t>and how to ensure appropriate training for clinicians who will use the</w:t>
      </w:r>
      <w:r w:rsidR="008258F1">
        <w:rPr>
          <w:rFonts w:eastAsiaTheme="majorEastAsia" w:cstheme="minorHAnsi"/>
        </w:rPr>
        <w:t xml:space="preserve"> </w:t>
      </w:r>
      <w:r w:rsidR="00914724">
        <w:rPr>
          <w:rFonts w:eastAsiaTheme="majorEastAsia" w:cstheme="minorHAnsi"/>
        </w:rPr>
        <w:t>screens. (</w:t>
      </w:r>
      <w:r w:rsidR="008B6B5E">
        <w:rPr>
          <w:rFonts w:eastAsiaTheme="majorEastAsia" w:cstheme="minorHAnsi"/>
        </w:rPr>
        <w:t xml:space="preserve">13, 14) </w:t>
      </w:r>
      <w:r w:rsidR="008258F1">
        <w:rPr>
          <w:rFonts w:eastAsiaTheme="majorEastAsia" w:cstheme="minorHAnsi"/>
        </w:rPr>
        <w:t>Additionally, d</w:t>
      </w:r>
      <w:r w:rsidR="00506C1D">
        <w:rPr>
          <w:rFonts w:eastAsiaTheme="majorEastAsia" w:cstheme="minorHAnsi"/>
        </w:rPr>
        <w:t xml:space="preserve">ifficulties with information flow and retention are well-recognised within the </w:t>
      </w:r>
      <w:r w:rsidR="002438F8">
        <w:rPr>
          <w:rFonts w:eastAsiaTheme="majorEastAsia" w:cstheme="minorHAnsi"/>
        </w:rPr>
        <w:t>CJS</w:t>
      </w:r>
      <w:r w:rsidR="008258F1">
        <w:rPr>
          <w:rFonts w:eastAsiaTheme="majorEastAsia" w:cstheme="minorHAnsi"/>
        </w:rPr>
        <w:t xml:space="preserve">, </w:t>
      </w:r>
      <w:r w:rsidR="00506C1D">
        <w:rPr>
          <w:rFonts w:eastAsiaTheme="majorEastAsia" w:cstheme="minorHAnsi"/>
        </w:rPr>
        <w:t>(15)</w:t>
      </w:r>
      <w:r w:rsidR="008919F7">
        <w:rPr>
          <w:rFonts w:eastAsiaTheme="majorEastAsia" w:cstheme="minorHAnsi"/>
        </w:rPr>
        <w:t xml:space="preserve"> </w:t>
      </w:r>
      <w:r w:rsidR="008258F1">
        <w:rPr>
          <w:rFonts w:eastAsiaTheme="majorEastAsia" w:cstheme="minorHAnsi"/>
        </w:rPr>
        <w:t xml:space="preserve">and this </w:t>
      </w:r>
      <w:r w:rsidR="008919F7">
        <w:rPr>
          <w:rFonts w:eastAsiaTheme="majorEastAsia" w:cstheme="minorHAnsi"/>
        </w:rPr>
        <w:t xml:space="preserve">problem also arose in the Chaplin et al. </w:t>
      </w:r>
      <w:r w:rsidR="002438F8">
        <w:rPr>
          <w:rFonts w:eastAsiaTheme="majorEastAsia" w:cstheme="minorHAnsi"/>
        </w:rPr>
        <w:t xml:space="preserve">study </w:t>
      </w:r>
      <w:r w:rsidR="008919F7">
        <w:rPr>
          <w:rFonts w:eastAsiaTheme="majorEastAsia" w:cstheme="minorHAnsi"/>
        </w:rPr>
        <w:t>(1)</w:t>
      </w:r>
      <w:r w:rsidR="008258F1">
        <w:rPr>
          <w:rFonts w:eastAsiaTheme="majorEastAsia" w:cstheme="minorHAnsi"/>
        </w:rPr>
        <w:t>. A</w:t>
      </w:r>
      <w:r w:rsidR="008919F7">
        <w:rPr>
          <w:rFonts w:eastAsiaTheme="majorEastAsia" w:cstheme="minorHAnsi"/>
        </w:rPr>
        <w:t>l</w:t>
      </w:r>
      <w:r w:rsidRPr="00C06256">
        <w:rPr>
          <w:rFonts w:eastAsiaTheme="majorEastAsia" w:cstheme="minorHAnsi"/>
        </w:rPr>
        <w:t xml:space="preserve">though information was </w:t>
      </w:r>
      <w:r w:rsidR="008258F1">
        <w:rPr>
          <w:rFonts w:eastAsiaTheme="majorEastAsia" w:cstheme="minorHAnsi"/>
        </w:rPr>
        <w:t xml:space="preserve">generally used and </w:t>
      </w:r>
      <w:r w:rsidRPr="00C06256">
        <w:rPr>
          <w:rFonts w:eastAsiaTheme="majorEastAsia" w:cstheme="minorHAnsi"/>
        </w:rPr>
        <w:t xml:space="preserve">valued </w:t>
      </w:r>
      <w:r w:rsidR="008258F1">
        <w:rPr>
          <w:rFonts w:eastAsiaTheme="majorEastAsia" w:cstheme="minorHAnsi"/>
        </w:rPr>
        <w:t xml:space="preserve">during subsequent </w:t>
      </w:r>
      <w:r w:rsidR="002438F8">
        <w:rPr>
          <w:rFonts w:eastAsiaTheme="majorEastAsia" w:cstheme="minorHAnsi"/>
        </w:rPr>
        <w:t xml:space="preserve">criminal </w:t>
      </w:r>
      <w:r w:rsidR="008258F1">
        <w:rPr>
          <w:rFonts w:eastAsiaTheme="majorEastAsia" w:cstheme="minorHAnsi"/>
        </w:rPr>
        <w:t>trials</w:t>
      </w:r>
      <w:r w:rsidR="008919F7">
        <w:rPr>
          <w:rFonts w:eastAsiaTheme="majorEastAsia" w:cstheme="minorHAnsi"/>
        </w:rPr>
        <w:t>, it was often difficult to access</w:t>
      </w:r>
      <w:r w:rsidR="008258F1">
        <w:rPr>
          <w:rFonts w:eastAsiaTheme="majorEastAsia" w:cstheme="minorHAnsi"/>
        </w:rPr>
        <w:t xml:space="preserve"> along the way</w:t>
      </w:r>
      <w:r w:rsidR="008919F7">
        <w:rPr>
          <w:rFonts w:eastAsiaTheme="majorEastAsia" w:cstheme="minorHAnsi"/>
        </w:rPr>
        <w:t xml:space="preserve">, meaning that Magistrates </w:t>
      </w:r>
      <w:r w:rsidR="008258F1">
        <w:rPr>
          <w:rFonts w:eastAsiaTheme="majorEastAsia" w:cstheme="minorHAnsi"/>
        </w:rPr>
        <w:t xml:space="preserve">could be </w:t>
      </w:r>
      <w:r w:rsidR="008919F7">
        <w:rPr>
          <w:rFonts w:eastAsiaTheme="majorEastAsia" w:cstheme="minorHAnsi"/>
        </w:rPr>
        <w:t xml:space="preserve">unaware of defendants’ language or other difficulties. </w:t>
      </w:r>
      <w:r w:rsidRPr="00C06256">
        <w:rPr>
          <w:rFonts w:eastAsiaTheme="majorEastAsia" w:cstheme="minorHAnsi"/>
        </w:rPr>
        <w:t xml:space="preserve">The overall </w:t>
      </w:r>
      <w:r w:rsidR="007017B4" w:rsidRPr="00FB0710">
        <w:rPr>
          <w:rFonts w:eastAsiaTheme="majorEastAsia" w:cstheme="minorHAnsi"/>
          <w:i/>
          <w:iCs/>
        </w:rPr>
        <w:t>virtual meeting</w:t>
      </w:r>
      <w:r w:rsidR="007017B4">
        <w:rPr>
          <w:rFonts w:eastAsiaTheme="majorEastAsia" w:cstheme="minorHAnsi"/>
        </w:rPr>
        <w:t xml:space="preserve"> </w:t>
      </w:r>
      <w:r w:rsidRPr="00C06256">
        <w:rPr>
          <w:rFonts w:eastAsiaTheme="majorEastAsia" w:cstheme="minorHAnsi"/>
        </w:rPr>
        <w:t>consensus</w:t>
      </w:r>
      <w:r w:rsidR="008258F1">
        <w:rPr>
          <w:rFonts w:eastAsiaTheme="majorEastAsia" w:cstheme="minorHAnsi"/>
        </w:rPr>
        <w:t xml:space="preserve"> view was </w:t>
      </w:r>
      <w:r w:rsidRPr="00C06256">
        <w:rPr>
          <w:rFonts w:eastAsiaTheme="majorEastAsia" w:cstheme="minorHAnsi"/>
        </w:rPr>
        <w:t xml:space="preserve">that </w:t>
      </w:r>
      <w:r w:rsidR="00AE5569">
        <w:rPr>
          <w:rFonts w:eastAsiaTheme="majorEastAsia" w:cstheme="minorHAnsi"/>
        </w:rPr>
        <w:t xml:space="preserve">screening and identification </w:t>
      </w:r>
      <w:r w:rsidR="007017B4">
        <w:rPr>
          <w:rFonts w:eastAsiaTheme="majorEastAsia" w:cstheme="minorHAnsi"/>
        </w:rPr>
        <w:t xml:space="preserve">should </w:t>
      </w:r>
      <w:r w:rsidR="00AE5569">
        <w:rPr>
          <w:rFonts w:eastAsiaTheme="majorEastAsia" w:cstheme="minorHAnsi"/>
        </w:rPr>
        <w:t xml:space="preserve">therefore </w:t>
      </w:r>
      <w:r w:rsidR="007017B4">
        <w:rPr>
          <w:rFonts w:eastAsiaTheme="majorEastAsia" w:cstheme="minorHAnsi"/>
        </w:rPr>
        <w:t xml:space="preserve">take place as early as possible during the court process to ensure the efficient availability of information upon which important decisions are made, </w:t>
      </w:r>
      <w:r w:rsidR="00AE5569">
        <w:rPr>
          <w:rFonts w:eastAsiaTheme="majorEastAsia" w:cstheme="minorHAnsi"/>
        </w:rPr>
        <w:t xml:space="preserve">and that a single national model should be established and implemented for this purpose.  </w:t>
      </w:r>
    </w:p>
    <w:p w14:paraId="476AFBF7" w14:textId="1C56E29F" w:rsidR="00794AF5" w:rsidRDefault="00C06256" w:rsidP="00C06256">
      <w:pPr>
        <w:spacing w:after="200" w:line="252" w:lineRule="auto"/>
        <w:rPr>
          <w:rFonts w:eastAsiaTheme="majorEastAsia" w:cstheme="minorHAnsi"/>
        </w:rPr>
      </w:pPr>
      <w:r w:rsidRPr="00C06256">
        <w:rPr>
          <w:rFonts w:eastAsiaTheme="majorEastAsia" w:cstheme="minorHAnsi"/>
        </w:rPr>
        <w:t xml:space="preserve">The third </w:t>
      </w:r>
      <w:r w:rsidR="002438F8">
        <w:rPr>
          <w:rFonts w:eastAsiaTheme="majorEastAsia" w:cstheme="minorHAnsi"/>
        </w:rPr>
        <w:t xml:space="preserve">agreed </w:t>
      </w:r>
      <w:r w:rsidRPr="00C06256">
        <w:rPr>
          <w:rFonts w:eastAsiaTheme="majorEastAsia" w:cstheme="minorHAnsi"/>
        </w:rPr>
        <w:t xml:space="preserve">theme </w:t>
      </w:r>
      <w:r w:rsidR="002438F8">
        <w:rPr>
          <w:rFonts w:eastAsiaTheme="majorEastAsia" w:cstheme="minorHAnsi"/>
        </w:rPr>
        <w:t>concerned the provision of services in the CJS for people with NCs, and raised the question - s</w:t>
      </w:r>
      <w:r w:rsidRPr="00C06256">
        <w:rPr>
          <w:rFonts w:eastAsiaTheme="majorEastAsia" w:cstheme="minorHAnsi"/>
        </w:rPr>
        <w:t>hould</w:t>
      </w:r>
      <w:r w:rsidR="002438F8">
        <w:rPr>
          <w:rFonts w:eastAsiaTheme="majorEastAsia" w:cstheme="minorHAnsi"/>
        </w:rPr>
        <w:t xml:space="preserve"> </w:t>
      </w:r>
      <w:r w:rsidRPr="00C06256">
        <w:rPr>
          <w:rFonts w:eastAsiaTheme="majorEastAsia" w:cstheme="minorHAnsi"/>
        </w:rPr>
        <w:t>services for people with NC</w:t>
      </w:r>
      <w:r w:rsidR="002438F8">
        <w:rPr>
          <w:rFonts w:eastAsiaTheme="majorEastAsia" w:cstheme="minorHAnsi"/>
        </w:rPr>
        <w:t>s in the CJS be integrated with existing L&amp;D services, or should separate services now be established</w:t>
      </w:r>
      <w:r w:rsidR="00794AF5">
        <w:rPr>
          <w:rFonts w:eastAsiaTheme="majorEastAsia" w:cstheme="minorHAnsi"/>
        </w:rPr>
        <w:t xml:space="preserve">? In answering this question, the group </w:t>
      </w:r>
      <w:r w:rsidR="00A976CB">
        <w:rPr>
          <w:rFonts w:eastAsiaTheme="majorEastAsia" w:cstheme="minorHAnsi"/>
        </w:rPr>
        <w:t xml:space="preserve">recognised </w:t>
      </w:r>
      <w:r w:rsidR="00794AF5">
        <w:rPr>
          <w:rFonts w:eastAsiaTheme="majorEastAsia" w:cstheme="minorHAnsi"/>
        </w:rPr>
        <w:t xml:space="preserve">the need to provide information to the courts as quickly and efficiently as </w:t>
      </w:r>
      <w:proofErr w:type="gramStart"/>
      <w:r w:rsidR="00794AF5">
        <w:rPr>
          <w:rFonts w:eastAsiaTheme="majorEastAsia" w:cstheme="minorHAnsi"/>
        </w:rPr>
        <w:t>possible, but</w:t>
      </w:r>
      <w:proofErr w:type="gramEnd"/>
      <w:r w:rsidR="00794AF5">
        <w:rPr>
          <w:rFonts w:eastAsiaTheme="majorEastAsia" w:cstheme="minorHAnsi"/>
        </w:rPr>
        <w:t xml:space="preserve"> was also mindful </w:t>
      </w:r>
      <w:r w:rsidR="00A976CB">
        <w:rPr>
          <w:rFonts w:eastAsiaTheme="majorEastAsia" w:cstheme="minorHAnsi"/>
        </w:rPr>
        <w:t>that such</w:t>
      </w:r>
      <w:r w:rsidR="00794AF5">
        <w:rPr>
          <w:rFonts w:eastAsiaTheme="majorEastAsia" w:cstheme="minorHAnsi"/>
        </w:rPr>
        <w:t xml:space="preserve"> information </w:t>
      </w:r>
      <w:r w:rsidR="00A976CB">
        <w:rPr>
          <w:rFonts w:eastAsiaTheme="majorEastAsia" w:cstheme="minorHAnsi"/>
        </w:rPr>
        <w:t xml:space="preserve">should be </w:t>
      </w:r>
      <w:r w:rsidR="00794AF5">
        <w:rPr>
          <w:rFonts w:eastAsiaTheme="majorEastAsia" w:cstheme="minorHAnsi"/>
        </w:rPr>
        <w:t>of high quality</w:t>
      </w:r>
      <w:r w:rsidR="00A976CB">
        <w:rPr>
          <w:rFonts w:eastAsiaTheme="majorEastAsia" w:cstheme="minorHAnsi"/>
        </w:rPr>
        <w:t xml:space="preserve">. While the former can be arguably be provided best within a one-size-fits-all model, the latter is </w:t>
      </w:r>
      <w:r w:rsidR="005D684B">
        <w:rPr>
          <w:rFonts w:eastAsiaTheme="majorEastAsia" w:cstheme="minorHAnsi"/>
        </w:rPr>
        <w:t xml:space="preserve">more </w:t>
      </w:r>
      <w:r w:rsidR="00794AF5">
        <w:rPr>
          <w:rFonts w:eastAsiaTheme="majorEastAsia" w:cstheme="minorHAnsi"/>
        </w:rPr>
        <w:t>likely to require a</w:t>
      </w:r>
      <w:r w:rsidR="00A976CB">
        <w:rPr>
          <w:rFonts w:eastAsiaTheme="majorEastAsia" w:cstheme="minorHAnsi"/>
        </w:rPr>
        <w:t xml:space="preserve"> </w:t>
      </w:r>
      <w:r w:rsidR="00794AF5">
        <w:rPr>
          <w:rFonts w:eastAsiaTheme="majorEastAsia" w:cstheme="minorHAnsi"/>
        </w:rPr>
        <w:t xml:space="preserve">specialist approach. </w:t>
      </w:r>
      <w:r w:rsidR="00A976CB">
        <w:rPr>
          <w:rFonts w:eastAsiaTheme="majorEastAsia" w:cstheme="minorHAnsi"/>
        </w:rPr>
        <w:t>There</w:t>
      </w:r>
      <w:r w:rsidR="00794AF5">
        <w:rPr>
          <w:rFonts w:eastAsiaTheme="majorEastAsia" w:cstheme="minorHAnsi"/>
        </w:rPr>
        <w:t xml:space="preserve"> was broad recognition that most L&amp;D services currently provide limited specific expertise in </w:t>
      </w:r>
      <w:r w:rsidR="00A976CB">
        <w:rPr>
          <w:rFonts w:eastAsiaTheme="majorEastAsia" w:cstheme="minorHAnsi"/>
        </w:rPr>
        <w:t xml:space="preserve">the identification and management of </w:t>
      </w:r>
      <w:r w:rsidR="00794AF5">
        <w:rPr>
          <w:rFonts w:eastAsiaTheme="majorEastAsia" w:cstheme="minorHAnsi"/>
        </w:rPr>
        <w:t xml:space="preserve">NCs, </w:t>
      </w:r>
      <w:r w:rsidR="00A976CB">
        <w:rPr>
          <w:rFonts w:eastAsiaTheme="majorEastAsia" w:cstheme="minorHAnsi"/>
        </w:rPr>
        <w:t xml:space="preserve">but </w:t>
      </w:r>
      <w:r w:rsidR="00661E03">
        <w:rPr>
          <w:rFonts w:eastAsiaTheme="majorEastAsia" w:cstheme="minorHAnsi"/>
        </w:rPr>
        <w:t>there was also an understanding that the provision of a more specialist approach would likely require regionalisation</w:t>
      </w:r>
      <w:r w:rsidR="005D684B">
        <w:rPr>
          <w:rFonts w:eastAsiaTheme="majorEastAsia" w:cstheme="minorHAnsi"/>
        </w:rPr>
        <w:t xml:space="preserve"> given the numbers involved, </w:t>
      </w:r>
      <w:r w:rsidR="00A976CB">
        <w:rPr>
          <w:rFonts w:eastAsiaTheme="majorEastAsia" w:cstheme="minorHAnsi"/>
        </w:rPr>
        <w:t xml:space="preserve">which </w:t>
      </w:r>
      <w:r w:rsidR="00661E03">
        <w:rPr>
          <w:rFonts w:eastAsiaTheme="majorEastAsia" w:cstheme="minorHAnsi"/>
        </w:rPr>
        <w:t xml:space="preserve">could </w:t>
      </w:r>
      <w:r w:rsidR="005D684B">
        <w:rPr>
          <w:rFonts w:eastAsiaTheme="majorEastAsia" w:cstheme="minorHAnsi"/>
        </w:rPr>
        <w:t xml:space="preserve">then </w:t>
      </w:r>
      <w:r w:rsidR="00661E03">
        <w:rPr>
          <w:rFonts w:eastAsiaTheme="majorEastAsia" w:cstheme="minorHAnsi"/>
        </w:rPr>
        <w:t xml:space="preserve">introduce unhelpful delays </w:t>
      </w:r>
      <w:r w:rsidR="00A976CB">
        <w:rPr>
          <w:rFonts w:eastAsiaTheme="majorEastAsia" w:cstheme="minorHAnsi"/>
        </w:rPr>
        <w:t xml:space="preserve">to </w:t>
      </w:r>
      <w:r w:rsidR="00661E03">
        <w:rPr>
          <w:rFonts w:eastAsiaTheme="majorEastAsia" w:cstheme="minorHAnsi"/>
        </w:rPr>
        <w:t xml:space="preserve">the court process. While the meeting did not </w:t>
      </w:r>
      <w:r w:rsidR="00A976CB">
        <w:rPr>
          <w:rFonts w:eastAsiaTheme="majorEastAsia" w:cstheme="minorHAnsi"/>
        </w:rPr>
        <w:t xml:space="preserve">achieve </w:t>
      </w:r>
      <w:r w:rsidR="00661E03">
        <w:rPr>
          <w:rFonts w:eastAsiaTheme="majorEastAsia" w:cstheme="minorHAnsi"/>
        </w:rPr>
        <w:t xml:space="preserve">a consensus on this point, it was agreed that a useful intermediate step could be to work nationally to ensure that enhanced NC expertise is provided within existing L&amp;D services, </w:t>
      </w:r>
      <w:r w:rsidR="005D684B">
        <w:rPr>
          <w:rFonts w:eastAsiaTheme="majorEastAsia" w:cstheme="minorHAnsi"/>
        </w:rPr>
        <w:t>with a parallel</w:t>
      </w:r>
      <w:r w:rsidR="00A976CB">
        <w:rPr>
          <w:rFonts w:eastAsiaTheme="majorEastAsia" w:cstheme="minorHAnsi"/>
        </w:rPr>
        <w:t xml:space="preserve"> research recommendation to further consider </w:t>
      </w:r>
      <w:r w:rsidR="00661E03">
        <w:rPr>
          <w:rFonts w:eastAsiaTheme="majorEastAsia" w:cstheme="minorHAnsi"/>
        </w:rPr>
        <w:t>the feasibility and effectiveness of regional L&amp;D models for NCs</w:t>
      </w:r>
      <w:r w:rsidR="005D684B">
        <w:rPr>
          <w:rFonts w:eastAsiaTheme="majorEastAsia" w:cstheme="minorHAnsi"/>
        </w:rPr>
        <w:t xml:space="preserve">. Such a service </w:t>
      </w:r>
      <w:r w:rsidR="00661E03">
        <w:rPr>
          <w:rFonts w:eastAsiaTheme="majorEastAsia" w:cstheme="minorHAnsi"/>
        </w:rPr>
        <w:t>c</w:t>
      </w:r>
      <w:r w:rsidR="00A976CB">
        <w:rPr>
          <w:rFonts w:eastAsiaTheme="majorEastAsia" w:cstheme="minorHAnsi"/>
        </w:rPr>
        <w:t xml:space="preserve">ould, at least in theory, </w:t>
      </w:r>
      <w:r w:rsidR="00661E03">
        <w:rPr>
          <w:rFonts w:eastAsiaTheme="majorEastAsia" w:cstheme="minorHAnsi"/>
        </w:rPr>
        <w:t xml:space="preserve">work across health, social care and CJS pathways to support and manage this </w:t>
      </w:r>
      <w:r w:rsidR="00A976CB">
        <w:rPr>
          <w:rFonts w:eastAsiaTheme="majorEastAsia" w:cstheme="minorHAnsi"/>
        </w:rPr>
        <w:t xml:space="preserve">group that is </w:t>
      </w:r>
      <w:r w:rsidR="00BB7E6F">
        <w:rPr>
          <w:rFonts w:eastAsiaTheme="majorEastAsia" w:cstheme="minorHAnsi"/>
        </w:rPr>
        <w:t xml:space="preserve">too often </w:t>
      </w:r>
      <w:r w:rsidR="00661E03">
        <w:rPr>
          <w:rFonts w:eastAsiaTheme="majorEastAsia" w:cstheme="minorHAnsi"/>
        </w:rPr>
        <w:t>overlooked. (16)</w:t>
      </w:r>
      <w:r w:rsidR="003F0D8B">
        <w:rPr>
          <w:rFonts w:eastAsiaTheme="majorEastAsia" w:cstheme="minorHAnsi"/>
        </w:rPr>
        <w:t>.</w:t>
      </w:r>
    </w:p>
    <w:p w14:paraId="667DA282" w14:textId="77777777" w:rsidR="003F0D8B" w:rsidRDefault="003F0D8B" w:rsidP="00C06256">
      <w:pPr>
        <w:spacing w:after="200" w:line="252" w:lineRule="auto"/>
        <w:rPr>
          <w:rFonts w:eastAsiaTheme="majorEastAsia" w:cstheme="minorHAnsi"/>
        </w:rPr>
      </w:pPr>
    </w:p>
    <w:p w14:paraId="5AEF423C" w14:textId="77777777" w:rsidR="003F0D8B" w:rsidRDefault="003F0D8B" w:rsidP="00C06256">
      <w:pPr>
        <w:spacing w:after="200" w:line="252" w:lineRule="auto"/>
        <w:rPr>
          <w:rFonts w:eastAsiaTheme="majorEastAsia" w:cstheme="minorHAnsi"/>
        </w:rPr>
      </w:pPr>
    </w:p>
    <w:p w14:paraId="0C0A59CC" w14:textId="77777777" w:rsidR="00C06256" w:rsidRPr="00C06256" w:rsidRDefault="00C06256" w:rsidP="00C06256">
      <w:pPr>
        <w:spacing w:after="200" w:line="252" w:lineRule="auto"/>
        <w:rPr>
          <w:rFonts w:eastAsiaTheme="majorEastAsia" w:cstheme="minorHAnsi"/>
          <w:b/>
          <w:bCs/>
        </w:rPr>
      </w:pPr>
      <w:r w:rsidRPr="00C06256">
        <w:rPr>
          <w:rFonts w:eastAsiaTheme="majorEastAsia" w:cstheme="minorHAnsi"/>
          <w:b/>
          <w:bCs/>
        </w:rPr>
        <w:lastRenderedPageBreak/>
        <w:t>References</w:t>
      </w:r>
    </w:p>
    <w:p w14:paraId="77FF4BB1" w14:textId="28681ECC" w:rsidR="00704EC4" w:rsidRDefault="00C06256" w:rsidP="00704EC4">
      <w:pPr>
        <w:rPr>
          <w:rFonts w:ascii="Arial" w:eastAsia="Times New Roman" w:hAnsi="Arial" w:cs="Arial"/>
          <w:color w:val="222222"/>
          <w:sz w:val="20"/>
          <w:szCs w:val="20"/>
          <w:shd w:val="clear" w:color="auto" w:fill="FFFFFF"/>
          <w:lang w:eastAsia="en-GB"/>
        </w:rPr>
      </w:pPr>
      <w:r>
        <w:fldChar w:fldCharType="begin"/>
      </w:r>
      <w:r>
        <w:instrText xml:space="preserve"> ADDIN EN.REFLIST </w:instrText>
      </w:r>
      <w:r>
        <w:fldChar w:fldCharType="separate"/>
      </w:r>
      <w:r w:rsidRPr="00C06256">
        <w:t>1.</w:t>
      </w:r>
      <w:r w:rsidR="00704EC4" w:rsidRPr="00704EC4">
        <w:rPr>
          <w:rFonts w:ascii="Arial" w:eastAsia="Times New Roman" w:hAnsi="Arial" w:cs="Arial"/>
          <w:color w:val="222222"/>
          <w:sz w:val="20"/>
          <w:szCs w:val="20"/>
          <w:shd w:val="clear" w:color="auto" w:fill="FFFFFF"/>
          <w:lang w:eastAsia="en-GB"/>
        </w:rPr>
        <w:t xml:space="preserve">Chaplin E, McCarthy J, Marshall-Tate K, Ali S, Xenitidis K, Childs J, Harvey D, McKinnon I, Robinson L, Hardy S, Srivastava S. </w:t>
      </w:r>
      <w:r w:rsidR="00704EC4">
        <w:rPr>
          <w:rFonts w:ascii="Arial" w:eastAsia="Times New Roman" w:hAnsi="Arial" w:cs="Arial"/>
          <w:color w:val="222222"/>
          <w:sz w:val="20"/>
          <w:szCs w:val="20"/>
          <w:shd w:val="clear" w:color="auto" w:fill="FFFFFF"/>
          <w:lang w:eastAsia="en-GB"/>
        </w:rPr>
        <w:t xml:space="preserve">Allely C, Tolchard B, Forrester A. </w:t>
      </w:r>
      <w:r w:rsidR="00704EC4" w:rsidRPr="00704EC4">
        <w:rPr>
          <w:rFonts w:ascii="Arial" w:eastAsia="Times New Roman" w:hAnsi="Arial" w:cs="Arial"/>
          <w:color w:val="222222"/>
          <w:sz w:val="20"/>
          <w:szCs w:val="20"/>
          <w:shd w:val="clear" w:color="auto" w:fill="FFFFFF"/>
          <w:lang w:eastAsia="en-GB"/>
        </w:rPr>
        <w:t>Evaluation of a liaison and diversion Court Mental Health Service for defendants with neurodevelopmental disorders. Research in Developmental Disabilities. 2021 Dec 1;119:104103.</w:t>
      </w:r>
    </w:p>
    <w:p w14:paraId="3F92903F" w14:textId="6BE311C7" w:rsidR="00704EC4" w:rsidRDefault="00704EC4" w:rsidP="00704EC4">
      <w:pPr>
        <w:pStyle w:val="EndNoteBibliography"/>
        <w:spacing w:after="0"/>
      </w:pPr>
      <w:r>
        <w:t xml:space="preserve">2. </w:t>
      </w:r>
      <w:r w:rsidRPr="00C06256">
        <w:t>Bradley KJCB. The Bradley Report: Lord Bradley's review of people with mental health problems or learning disabilities in the criminal justice system. 2009.</w:t>
      </w:r>
    </w:p>
    <w:p w14:paraId="012DE80C" w14:textId="2059ED56" w:rsidR="00704EC4" w:rsidRDefault="00704EC4" w:rsidP="00704EC4">
      <w:pPr>
        <w:pStyle w:val="EndNoteBibliography"/>
        <w:spacing w:after="0"/>
      </w:pPr>
    </w:p>
    <w:p w14:paraId="34F2AE85" w14:textId="49AEAD52" w:rsidR="00704EC4" w:rsidRDefault="00704EC4" w:rsidP="00704EC4">
      <w:pPr>
        <w:pStyle w:val="EndNoteBibliography"/>
        <w:spacing w:after="0"/>
      </w:pPr>
      <w:r>
        <w:t xml:space="preserve">3. NHS England and NHS Improvement. Liaison and Diversion Standard Specification 2019. Available at: </w:t>
      </w:r>
      <w:r w:rsidRPr="00704EC4">
        <w:t>https://www.england.nhs.uk/wp-content/uploads/2019/12/national-liaison-and-diversion-service-specification-2019.pdf</w:t>
      </w:r>
      <w:r>
        <w:t xml:space="preserve"> [Accessed 18 Apr 2022] </w:t>
      </w:r>
    </w:p>
    <w:p w14:paraId="4D3BF3B6" w14:textId="4464D2B3" w:rsidR="009C7AA5" w:rsidRDefault="009C7AA5" w:rsidP="00704EC4">
      <w:pPr>
        <w:pStyle w:val="EndNoteBibliography"/>
        <w:spacing w:after="0"/>
      </w:pPr>
    </w:p>
    <w:p w14:paraId="0C8F368E" w14:textId="4E19CDB2" w:rsidR="009C7AA5" w:rsidRDefault="009C7AA5" w:rsidP="009C7AA5">
      <w:r>
        <w:t xml:space="preserve">4. Ryland H, Exworthy T, Forrester A. Over 30 years of liaison and diversion in England and Wales: How far have we come and what is now needed? Medicine, Science and the Law. 2022; 62(2); 85-87. Available from: </w:t>
      </w:r>
      <w:hyperlink r:id="rId12" w:history="1">
        <w:r>
          <w:rPr>
            <w:rStyle w:val="Hyperlink"/>
            <w:rFonts w:ascii="Arial" w:hAnsi="Arial" w:cs="Arial"/>
            <w:color w:val="006ACC"/>
            <w:sz w:val="21"/>
            <w:szCs w:val="21"/>
            <w:shd w:val="clear" w:color="auto" w:fill="FFFFFF"/>
          </w:rPr>
          <w:t>https://doi.org/10.1177/00258024221092711</w:t>
        </w:r>
      </w:hyperlink>
    </w:p>
    <w:p w14:paraId="6AF3E7A7" w14:textId="6D2CA1E7" w:rsidR="009C7AA5" w:rsidRPr="00C06256" w:rsidRDefault="009C7AA5" w:rsidP="00704EC4">
      <w:pPr>
        <w:pStyle w:val="EndNoteBibliography"/>
        <w:spacing w:after="0"/>
      </w:pPr>
    </w:p>
    <w:p w14:paraId="54BD6EE1" w14:textId="3C9AD686" w:rsidR="009C7AA5" w:rsidRDefault="009C7AA5" w:rsidP="009C7AA5">
      <w:pPr>
        <w:rPr>
          <w:rFonts w:ascii="Arial" w:hAnsi="Arial" w:cs="Arial"/>
          <w:color w:val="333333"/>
          <w:sz w:val="21"/>
          <w:szCs w:val="21"/>
          <w:shd w:val="clear" w:color="auto" w:fill="FFFFFF"/>
        </w:rPr>
      </w:pPr>
      <w:r>
        <w:rPr>
          <w:rFonts w:ascii="Times New Roman" w:eastAsia="Times New Roman" w:hAnsi="Times New Roman" w:cs="Times New Roman"/>
          <w:sz w:val="24"/>
          <w:szCs w:val="24"/>
          <w:lang w:eastAsia="en-GB"/>
        </w:rPr>
        <w:t xml:space="preserve">5. </w:t>
      </w:r>
      <w:r>
        <w:rPr>
          <w:rFonts w:ascii="Arial" w:hAnsi="Arial" w:cs="Arial"/>
          <w:color w:val="333333"/>
          <w:sz w:val="21"/>
          <w:szCs w:val="21"/>
          <w:shd w:val="clear" w:color="auto" w:fill="FFFFFF"/>
        </w:rPr>
        <w:t>Her Majesty's Inspectorate of Probation. A joint thematic inspection of the criminal justice journey for individuals with mental health needs and disorders. 2021. Available from: </w:t>
      </w:r>
      <w:hyperlink r:id="rId13" w:tgtFrame="_blank" w:history="1">
        <w:r>
          <w:rPr>
            <w:rStyle w:val="Hyperlink"/>
            <w:rFonts w:ascii="Arial" w:hAnsi="Arial" w:cs="Arial"/>
            <w:color w:val="006ACC"/>
            <w:sz w:val="21"/>
            <w:szCs w:val="21"/>
            <w:shd w:val="clear" w:color="auto" w:fill="FFFFFF"/>
          </w:rPr>
          <w:t>https://www.justiceinspectorates.gov.uk/cjji/wp-content/uploads/sites/2/2021/11/Mental-health-joint-thematic-report.pdf</w:t>
        </w:r>
      </w:hyperlink>
      <w:r>
        <w:rPr>
          <w:rFonts w:ascii="Arial" w:hAnsi="Arial" w:cs="Arial"/>
          <w:color w:val="333333"/>
          <w:sz w:val="21"/>
          <w:szCs w:val="21"/>
          <w:shd w:val="clear" w:color="auto" w:fill="FFFFFF"/>
        </w:rPr>
        <w:t> (Accessed 18 April 2022).</w:t>
      </w:r>
    </w:p>
    <w:p w14:paraId="51D02991" w14:textId="77777777" w:rsidR="005B3EB0" w:rsidRPr="005B3EB0" w:rsidRDefault="005B3EB0" w:rsidP="005B3EB0">
      <w:pPr>
        <w:rPr>
          <w:rFonts w:ascii="Times New Roman" w:eastAsia="Times New Roman" w:hAnsi="Times New Roman" w:cs="Times New Roman"/>
          <w:sz w:val="24"/>
          <w:szCs w:val="24"/>
          <w:lang w:eastAsia="en-GB"/>
        </w:rPr>
      </w:pPr>
      <w:r>
        <w:rPr>
          <w:rFonts w:ascii="Arial" w:hAnsi="Arial" w:cs="Arial"/>
          <w:color w:val="333333"/>
          <w:sz w:val="21"/>
          <w:szCs w:val="21"/>
          <w:shd w:val="clear" w:color="auto" w:fill="FFFFFF"/>
        </w:rPr>
        <w:t xml:space="preserve">6. </w:t>
      </w:r>
      <w:r w:rsidRPr="005B3EB0">
        <w:rPr>
          <w:rFonts w:ascii="Arial" w:eastAsia="Times New Roman" w:hAnsi="Arial" w:cs="Arial"/>
          <w:color w:val="222222"/>
          <w:sz w:val="20"/>
          <w:szCs w:val="20"/>
          <w:shd w:val="clear" w:color="auto" w:fill="FFFFFF"/>
          <w:lang w:eastAsia="en-GB"/>
        </w:rPr>
        <w:t>Fazel S, Seewald K. Severe mental illness in 33 588 prisoners worldwide: systematic review and meta-regression analysis. The British journal of psychiatry. 2012 May;200(5):364-73.</w:t>
      </w:r>
    </w:p>
    <w:p w14:paraId="6041960E" w14:textId="77777777" w:rsidR="005B3EB0" w:rsidRPr="005B3EB0" w:rsidRDefault="005B3EB0" w:rsidP="005B3EB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7. </w:t>
      </w:r>
      <w:r w:rsidRPr="005B3EB0">
        <w:rPr>
          <w:rFonts w:ascii="Arial" w:eastAsia="Times New Roman" w:hAnsi="Arial" w:cs="Arial"/>
          <w:color w:val="222222"/>
          <w:sz w:val="20"/>
          <w:szCs w:val="20"/>
          <w:shd w:val="clear" w:color="auto" w:fill="FFFFFF"/>
          <w:lang w:eastAsia="en-GB"/>
        </w:rPr>
        <w:t>Hawton K, Linsell L, Adeniji T, Sariaslan A, Fazel S. Self-harm in prisons in England and Wales: an epidemiological study of prevalence, risk factors, clustering, and subsequent suicide. The Lancet. 2014 Mar 29;383(9923):1147-54.</w:t>
      </w:r>
    </w:p>
    <w:p w14:paraId="69BE6B4E" w14:textId="76132CAD" w:rsidR="00D9440C" w:rsidRDefault="005B3EB0" w:rsidP="009C7AA5">
      <w:r>
        <w:rPr>
          <w:rFonts w:ascii="Arial" w:hAnsi="Arial" w:cs="Arial"/>
          <w:color w:val="333333"/>
          <w:sz w:val="21"/>
          <w:szCs w:val="21"/>
          <w:shd w:val="clear" w:color="auto" w:fill="FFFFFF"/>
        </w:rPr>
        <w:t>8</w:t>
      </w:r>
      <w:r w:rsidR="00D9440C">
        <w:rPr>
          <w:rFonts w:ascii="Arial" w:hAnsi="Arial" w:cs="Arial"/>
          <w:color w:val="333333"/>
          <w:sz w:val="21"/>
          <w:szCs w:val="21"/>
          <w:shd w:val="clear" w:color="auto" w:fill="FFFFFF"/>
        </w:rPr>
        <w:t xml:space="preserve">. </w:t>
      </w:r>
      <w:r w:rsidR="00D9440C" w:rsidRPr="00C06256">
        <w:t>McCarthy J, Chaplin E, Forrester A, Underwood L, Hayward H, Sabet J, et al. Prisoners with neurodevelopmental difficulties: Vulnerabilities for mental illness and self-harm. Crim Behav Ment Health. 2019;29(5-6):308-20.</w:t>
      </w:r>
    </w:p>
    <w:p w14:paraId="7154EFEB" w14:textId="6816C618" w:rsidR="00A71F78" w:rsidRDefault="0031644C" w:rsidP="009C7AA5">
      <w:r>
        <w:t>9</w:t>
      </w:r>
      <w:r w:rsidR="00A71F78">
        <w:t xml:space="preserve">. </w:t>
      </w:r>
      <w:r w:rsidR="00A71F78" w:rsidRPr="00C06256">
        <w:t>Lammy D. The Lammy Review: An Independent Review into the Treatment of, and Outcomes for, Black, Asian and Minority Ethnic Individuals in the Criminal Justice System. London</w:t>
      </w:r>
      <w:r w:rsidR="00A71F78">
        <w:t xml:space="preserve">: </w:t>
      </w:r>
      <w:r w:rsidR="00A71F78" w:rsidRPr="00C06256">
        <w:t>2017.</w:t>
      </w:r>
      <w:r w:rsidR="00A71F78">
        <w:t xml:space="preserve"> Available at: </w:t>
      </w:r>
      <w:r w:rsidR="00A71F78" w:rsidRPr="00A71F78">
        <w:t>https://assets.publishing.service.gov.uk/government/uploads/system/uploads/attachment_data/file/643001/lammy-review-final-report.pdf</w:t>
      </w:r>
      <w:r w:rsidR="00A71F78">
        <w:t xml:space="preserve"> [Accessed on 18 April 2022] </w:t>
      </w:r>
    </w:p>
    <w:p w14:paraId="1BB097B9" w14:textId="77777777" w:rsidR="001F54EE" w:rsidRPr="001F54EE" w:rsidRDefault="001F54EE" w:rsidP="001F54EE">
      <w:pPr>
        <w:rPr>
          <w:rFonts w:ascii="Times New Roman" w:eastAsia="Times New Roman" w:hAnsi="Times New Roman" w:cs="Times New Roman"/>
          <w:sz w:val="24"/>
          <w:szCs w:val="24"/>
          <w:lang w:eastAsia="en-GB"/>
        </w:rPr>
      </w:pPr>
      <w:r>
        <w:t xml:space="preserve">10. </w:t>
      </w:r>
      <w:r w:rsidRPr="001F54EE">
        <w:rPr>
          <w:rFonts w:ascii="Arial" w:eastAsia="Times New Roman" w:hAnsi="Arial" w:cs="Arial"/>
          <w:color w:val="222222"/>
          <w:sz w:val="20"/>
          <w:szCs w:val="20"/>
          <w:shd w:val="clear" w:color="auto" w:fill="FFFFFF"/>
          <w:lang w:eastAsia="en-GB"/>
        </w:rPr>
        <w:t>McKinnon IG, Grubin D. Health screening of people in police custody—evaluation of current police screening procedures in London, UK. The european journal of public health. 2013 Jun 1;23(3):399-405.</w:t>
      </w:r>
    </w:p>
    <w:p w14:paraId="5ED01335" w14:textId="6DAB9954" w:rsidR="001F54EE" w:rsidRDefault="001F54EE" w:rsidP="001F54EE">
      <w:pPr>
        <w:rPr>
          <w:rFonts w:ascii="Arial" w:eastAsia="Times New Roman" w:hAnsi="Arial" w:cs="Arial"/>
          <w:color w:val="222222"/>
          <w:sz w:val="20"/>
          <w:szCs w:val="20"/>
          <w:shd w:val="clear" w:color="auto" w:fill="FFFFFF"/>
          <w:lang w:eastAsia="en-GB"/>
        </w:rPr>
      </w:pPr>
      <w:r>
        <w:t xml:space="preserve">11. </w:t>
      </w:r>
      <w:r w:rsidRPr="001F54EE">
        <w:rPr>
          <w:rFonts w:ascii="Arial" w:eastAsia="Times New Roman" w:hAnsi="Arial" w:cs="Arial"/>
          <w:color w:val="222222"/>
          <w:sz w:val="20"/>
          <w:szCs w:val="20"/>
          <w:shd w:val="clear" w:color="auto" w:fill="FFFFFF"/>
          <w:lang w:eastAsia="en-GB"/>
        </w:rPr>
        <w:t>Samele C, McKinnon I, Brown P, Srivastava S, Arnold A, Hallett N, Forrester A. The prevalence of mental illness and unmet needs of police custody detainees. Criminal Behaviour and Mental Health. 2021 Apr;31(2):80-95.</w:t>
      </w:r>
    </w:p>
    <w:p w14:paraId="6B260A73" w14:textId="718C6682" w:rsidR="00634C3B" w:rsidRDefault="00634C3B" w:rsidP="001F54EE">
      <w:pPr>
        <w:rPr>
          <w:rFonts w:ascii="Arial" w:eastAsia="Times New Roman" w:hAnsi="Arial" w:cs="Arial"/>
          <w:color w:val="222222"/>
          <w:sz w:val="20"/>
          <w:szCs w:val="20"/>
          <w:shd w:val="clear" w:color="auto" w:fill="FFFFFF"/>
          <w:lang w:eastAsia="en-GB"/>
        </w:rPr>
      </w:pPr>
      <w:r>
        <w:rPr>
          <w:rFonts w:ascii="Arial" w:eastAsia="Times New Roman" w:hAnsi="Arial" w:cs="Arial"/>
          <w:color w:val="222222"/>
          <w:sz w:val="20"/>
          <w:szCs w:val="20"/>
          <w:shd w:val="clear" w:color="auto" w:fill="FFFFFF"/>
          <w:lang w:eastAsia="en-GB"/>
        </w:rPr>
        <w:t xml:space="preserve">12. Public Health England. Reasonable adjustments: a legal duty. 2020. Available at: </w:t>
      </w:r>
      <w:r w:rsidR="001E5EAE" w:rsidRPr="001E5EAE">
        <w:rPr>
          <w:rFonts w:ascii="Arial" w:eastAsia="Times New Roman" w:hAnsi="Arial" w:cs="Arial"/>
          <w:color w:val="222222"/>
          <w:sz w:val="20"/>
          <w:szCs w:val="20"/>
          <w:shd w:val="clear" w:color="auto" w:fill="FFFFFF"/>
          <w:lang w:eastAsia="en-GB"/>
        </w:rPr>
        <w:t>https://www.gov.uk/government/publications/reasonable-adjustments-a-legal-duty/reasonable-adjustments-a-legal-duty</w:t>
      </w:r>
      <w:r w:rsidR="001E5EAE">
        <w:rPr>
          <w:rFonts w:ascii="Arial" w:eastAsia="Times New Roman" w:hAnsi="Arial" w:cs="Arial"/>
          <w:color w:val="222222"/>
          <w:sz w:val="20"/>
          <w:szCs w:val="20"/>
          <w:shd w:val="clear" w:color="auto" w:fill="FFFFFF"/>
          <w:lang w:eastAsia="en-GB"/>
        </w:rPr>
        <w:t xml:space="preserve"> [Accessed on 29 April 2022] </w:t>
      </w:r>
    </w:p>
    <w:p w14:paraId="02A4B112" w14:textId="77777777" w:rsidR="008B6B5E" w:rsidRPr="008B6B5E" w:rsidRDefault="008B6B5E" w:rsidP="008B6B5E">
      <w:pPr>
        <w:rPr>
          <w:rFonts w:ascii="Times New Roman" w:eastAsia="Times New Roman" w:hAnsi="Times New Roman" w:cs="Times New Roman"/>
          <w:sz w:val="24"/>
          <w:szCs w:val="24"/>
          <w:lang w:eastAsia="en-GB"/>
        </w:rPr>
      </w:pPr>
      <w:r>
        <w:rPr>
          <w:rFonts w:ascii="Arial" w:eastAsia="Times New Roman" w:hAnsi="Arial" w:cs="Arial"/>
          <w:color w:val="222222"/>
          <w:sz w:val="20"/>
          <w:szCs w:val="20"/>
          <w:shd w:val="clear" w:color="auto" w:fill="FFFFFF"/>
          <w:lang w:eastAsia="en-GB"/>
        </w:rPr>
        <w:t xml:space="preserve">13. </w:t>
      </w:r>
      <w:r w:rsidRPr="008B6B5E">
        <w:rPr>
          <w:rFonts w:ascii="Arial" w:eastAsia="Times New Roman" w:hAnsi="Arial" w:cs="Arial"/>
          <w:color w:val="222222"/>
          <w:sz w:val="20"/>
          <w:szCs w:val="20"/>
          <w:shd w:val="clear" w:color="auto" w:fill="FFFFFF"/>
          <w:lang w:eastAsia="en-GB"/>
        </w:rPr>
        <w:t>Silva D, Gough K, Weeks H. Screening for learning disabilities in the criminal justice system: a review of existing measures for use within liaison and diversion services. Journal of intellectual disabilities and offending behaviour. 2015 Mar 9.</w:t>
      </w:r>
    </w:p>
    <w:p w14:paraId="77375978" w14:textId="046836D3" w:rsidR="008B6B5E" w:rsidRDefault="008B6B5E" w:rsidP="008B6B5E">
      <w:pPr>
        <w:rPr>
          <w:rFonts w:ascii="Arial" w:eastAsia="Times New Roman" w:hAnsi="Arial" w:cs="Arial"/>
          <w:color w:val="222222"/>
          <w:sz w:val="20"/>
          <w:szCs w:val="20"/>
          <w:shd w:val="clear" w:color="auto" w:fill="FFFFFF"/>
          <w:lang w:eastAsia="en-GB"/>
        </w:rPr>
      </w:pPr>
      <w:r>
        <w:rPr>
          <w:rFonts w:ascii="Times New Roman" w:eastAsia="Times New Roman" w:hAnsi="Times New Roman" w:cs="Times New Roman"/>
          <w:sz w:val="24"/>
          <w:szCs w:val="24"/>
          <w:lang w:eastAsia="en-GB"/>
        </w:rPr>
        <w:lastRenderedPageBreak/>
        <w:t xml:space="preserve">14. </w:t>
      </w:r>
      <w:r w:rsidRPr="008B6B5E">
        <w:rPr>
          <w:rFonts w:ascii="Arial" w:eastAsia="Times New Roman" w:hAnsi="Arial" w:cs="Arial"/>
          <w:color w:val="222222"/>
          <w:sz w:val="20"/>
          <w:szCs w:val="20"/>
          <w:shd w:val="clear" w:color="auto" w:fill="FFFFFF"/>
          <w:lang w:eastAsia="en-GB"/>
        </w:rPr>
        <w:t>Ryland H, Exworthy T, Forrester A. Over 30 years of liaison and diversion in England and Wales: How far have we come, and what is now needed?. Medicine, Science and the Law. 2022 Apr</w:t>
      </w:r>
      <w:r>
        <w:rPr>
          <w:rFonts w:ascii="Arial" w:eastAsia="Times New Roman" w:hAnsi="Arial" w:cs="Arial"/>
          <w:color w:val="222222"/>
          <w:sz w:val="20"/>
          <w:szCs w:val="20"/>
          <w:shd w:val="clear" w:color="auto" w:fill="FFFFFF"/>
          <w:lang w:eastAsia="en-GB"/>
        </w:rPr>
        <w:t xml:space="preserve">;62(2):85-87. </w:t>
      </w:r>
    </w:p>
    <w:p w14:paraId="71C4146D" w14:textId="75E09EB2" w:rsidR="00506C1D" w:rsidRDefault="00506C1D" w:rsidP="00506C1D">
      <w:pPr>
        <w:rPr>
          <w:rFonts w:ascii="Arial" w:eastAsia="Times New Roman" w:hAnsi="Arial" w:cs="Arial"/>
          <w:color w:val="222222"/>
          <w:sz w:val="20"/>
          <w:szCs w:val="20"/>
          <w:shd w:val="clear" w:color="auto" w:fill="FFFFFF"/>
          <w:lang w:eastAsia="en-GB"/>
        </w:rPr>
      </w:pPr>
      <w:r>
        <w:rPr>
          <w:rFonts w:ascii="Arial" w:eastAsia="Times New Roman" w:hAnsi="Arial" w:cs="Arial"/>
          <w:color w:val="222222"/>
          <w:sz w:val="20"/>
          <w:szCs w:val="20"/>
          <w:shd w:val="clear" w:color="auto" w:fill="FFFFFF"/>
          <w:lang w:eastAsia="en-GB"/>
        </w:rPr>
        <w:t xml:space="preserve">15. </w:t>
      </w:r>
      <w:r w:rsidRPr="00506C1D">
        <w:rPr>
          <w:rFonts w:ascii="Arial" w:eastAsia="Times New Roman" w:hAnsi="Arial" w:cs="Arial"/>
          <w:color w:val="222222"/>
          <w:sz w:val="20"/>
          <w:szCs w:val="20"/>
          <w:shd w:val="clear" w:color="auto" w:fill="FFFFFF"/>
          <w:lang w:eastAsia="en-GB"/>
        </w:rPr>
        <w:t>Samele C, Urquía N, Slade K, Forrester A. Information pathways into prison mental health care. The Journal of Forensic Psychiatry &amp; Psychology. 2017 Jul 4;28(4):548-61.</w:t>
      </w:r>
    </w:p>
    <w:p w14:paraId="58C0A26F" w14:textId="77777777" w:rsidR="00661E03" w:rsidRPr="00661E03" w:rsidRDefault="00661E03" w:rsidP="00661E03">
      <w:pPr>
        <w:rPr>
          <w:rFonts w:ascii="Times New Roman" w:eastAsia="Times New Roman" w:hAnsi="Times New Roman" w:cs="Times New Roman"/>
          <w:sz w:val="24"/>
          <w:szCs w:val="24"/>
          <w:lang w:eastAsia="en-GB"/>
        </w:rPr>
      </w:pPr>
      <w:r>
        <w:rPr>
          <w:rFonts w:ascii="Arial" w:eastAsia="Times New Roman" w:hAnsi="Arial" w:cs="Arial"/>
          <w:color w:val="222222"/>
          <w:sz w:val="20"/>
          <w:szCs w:val="20"/>
          <w:shd w:val="clear" w:color="auto" w:fill="FFFFFF"/>
          <w:lang w:eastAsia="en-GB"/>
        </w:rPr>
        <w:t xml:space="preserve">16. </w:t>
      </w:r>
      <w:r w:rsidRPr="00661E03">
        <w:rPr>
          <w:rFonts w:ascii="Arial" w:eastAsia="Times New Roman" w:hAnsi="Arial" w:cs="Arial"/>
          <w:color w:val="222222"/>
          <w:sz w:val="20"/>
          <w:szCs w:val="20"/>
          <w:shd w:val="clear" w:color="auto" w:fill="FFFFFF"/>
          <w:lang w:eastAsia="en-GB"/>
        </w:rPr>
        <w:t>Jones G, Talbot J. No one knows: the bewildering passage of offenders with learning disability and learning difficulty through the criminal justice system. Crim. Behav. &amp; Mental Health. 2010;20:1.</w:t>
      </w:r>
    </w:p>
    <w:p w14:paraId="45350215" w14:textId="71245363" w:rsidR="00661E03" w:rsidRPr="00506C1D" w:rsidRDefault="00661E03" w:rsidP="00506C1D">
      <w:pPr>
        <w:rPr>
          <w:rFonts w:ascii="Times New Roman" w:eastAsia="Times New Roman" w:hAnsi="Times New Roman" w:cs="Times New Roman"/>
          <w:sz w:val="24"/>
          <w:szCs w:val="24"/>
          <w:lang w:eastAsia="en-GB"/>
        </w:rPr>
      </w:pPr>
    </w:p>
    <w:p w14:paraId="2D0BF274" w14:textId="0A507F6E" w:rsidR="00506C1D" w:rsidRPr="008B6B5E" w:rsidRDefault="00506C1D" w:rsidP="008B6B5E">
      <w:pPr>
        <w:rPr>
          <w:rFonts w:ascii="Times New Roman" w:eastAsia="Times New Roman" w:hAnsi="Times New Roman" w:cs="Times New Roman"/>
          <w:sz w:val="24"/>
          <w:szCs w:val="24"/>
          <w:lang w:eastAsia="en-GB"/>
        </w:rPr>
      </w:pPr>
    </w:p>
    <w:p w14:paraId="324581F0" w14:textId="21704DA7" w:rsidR="008B6B5E" w:rsidRPr="001F54EE" w:rsidRDefault="008B6B5E" w:rsidP="001F54EE">
      <w:pPr>
        <w:rPr>
          <w:rFonts w:ascii="Times New Roman" w:eastAsia="Times New Roman" w:hAnsi="Times New Roman" w:cs="Times New Roman"/>
          <w:sz w:val="24"/>
          <w:szCs w:val="24"/>
          <w:lang w:eastAsia="en-GB"/>
        </w:rPr>
      </w:pPr>
    </w:p>
    <w:p w14:paraId="4CBA6979" w14:textId="6F7DC246" w:rsidR="001F54EE" w:rsidRDefault="001F54EE" w:rsidP="009C7AA5"/>
    <w:p w14:paraId="4A7BDEC9" w14:textId="02538928" w:rsidR="00704EC4" w:rsidRPr="00704EC4" w:rsidRDefault="00704EC4" w:rsidP="00704EC4">
      <w:pPr>
        <w:rPr>
          <w:rFonts w:ascii="Times New Roman" w:eastAsia="Times New Roman" w:hAnsi="Times New Roman" w:cs="Times New Roman"/>
          <w:sz w:val="24"/>
          <w:szCs w:val="24"/>
          <w:lang w:eastAsia="en-GB"/>
        </w:rPr>
      </w:pPr>
    </w:p>
    <w:p w14:paraId="3A99507A" w14:textId="1807AC8E" w:rsidR="00704EC4" w:rsidRDefault="00704EC4" w:rsidP="00C06256">
      <w:pPr>
        <w:pStyle w:val="EndNoteBibliography"/>
        <w:spacing w:after="0"/>
      </w:pPr>
    </w:p>
    <w:p w14:paraId="3648EDA9" w14:textId="12A75E86" w:rsidR="00737A73" w:rsidRDefault="00C06256" w:rsidP="00FB0710">
      <w:pPr>
        <w:pStyle w:val="EndNoteBibliography"/>
        <w:spacing w:after="0"/>
      </w:pPr>
      <w:r w:rsidRPr="00C06256">
        <w:tab/>
      </w:r>
      <w:r>
        <w:fldChar w:fldCharType="end"/>
      </w:r>
    </w:p>
    <w:sectPr w:rsidR="00737A73" w:rsidSect="00617A37">
      <w:footerReference w:type="default" r:id="rId14"/>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ew Forrester" w:date="2022-04-18T17:38:00Z" w:initials="AF">
    <w:p w14:paraId="0B696909" w14:textId="47E1E4C9" w:rsidR="00704EC4" w:rsidRDefault="00704EC4">
      <w:pPr>
        <w:pStyle w:val="CommentText"/>
      </w:pPr>
      <w:r>
        <w:rPr>
          <w:rStyle w:val="CommentReference"/>
        </w:rPr>
        <w:annotationRef/>
      </w:r>
      <w:r>
        <w:t xml:space="preserve">Need to add in the rest of our details including designations, addresses and emails.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6969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820AF" w16cex:dateUtc="2022-04-18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696909" w16cid:durableId="260820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87C67" w14:textId="77777777" w:rsidR="00F97CE7" w:rsidRDefault="00F97CE7">
      <w:pPr>
        <w:spacing w:after="0" w:line="240" w:lineRule="auto"/>
      </w:pPr>
      <w:r>
        <w:separator/>
      </w:r>
    </w:p>
  </w:endnote>
  <w:endnote w:type="continuationSeparator" w:id="0">
    <w:p w14:paraId="613EC237" w14:textId="77777777" w:rsidR="00F97CE7" w:rsidRDefault="00F97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haris SIL">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280924"/>
      <w:docPartObj>
        <w:docPartGallery w:val="Page Numbers (Bottom of Page)"/>
        <w:docPartUnique/>
      </w:docPartObj>
    </w:sdtPr>
    <w:sdtEndPr>
      <w:rPr>
        <w:noProof/>
      </w:rPr>
    </w:sdtEndPr>
    <w:sdtContent>
      <w:p w14:paraId="64AB8091" w14:textId="77777777" w:rsidR="0029236E" w:rsidRDefault="00837E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701807" w14:textId="77777777" w:rsidR="0029236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EDF2" w14:textId="77777777" w:rsidR="00F97CE7" w:rsidRDefault="00F97CE7">
      <w:pPr>
        <w:spacing w:after="0" w:line="240" w:lineRule="auto"/>
      </w:pPr>
      <w:r>
        <w:separator/>
      </w:r>
    </w:p>
  </w:footnote>
  <w:footnote w:type="continuationSeparator" w:id="0">
    <w:p w14:paraId="46DAA05F" w14:textId="77777777" w:rsidR="00F97CE7" w:rsidRDefault="00F97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44F0"/>
    <w:multiLevelType w:val="hybridMultilevel"/>
    <w:tmpl w:val="3B2E9C52"/>
    <w:lvl w:ilvl="0" w:tplc="6BCCD386">
      <w:numFmt w:val="bullet"/>
      <w:lvlText w:val=""/>
      <w:lvlJc w:val="left"/>
      <w:pPr>
        <w:ind w:left="720" w:hanging="360"/>
      </w:pPr>
      <w:rPr>
        <w:rFonts w:ascii="Symbol" w:eastAsiaTheme="maj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6572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Forrester">
    <w15:presenceInfo w15:providerId="Windows Live" w15:userId="c20de31b97953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NrcwNzUyMDM1MDdV0lEKTi0uzszPAykwrAUAh/Zt+i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tfxzrvwtvfszed0s9vdzam00frxexae5vz&quot;&gt;ASD-Court Copy-converted 3&lt;record-ids&gt;&lt;item&gt;988&lt;/item&gt;&lt;item&gt;1013&lt;/item&gt;&lt;item&gt;1229&lt;/item&gt;&lt;item&gt;1307&lt;/item&gt;&lt;item&gt;1372&lt;/item&gt;&lt;item&gt;1413&lt;/item&gt;&lt;/record-ids&gt;&lt;/item&gt;&lt;/Libraries&gt;"/>
  </w:docVars>
  <w:rsids>
    <w:rsidRoot w:val="00C06256"/>
    <w:rsid w:val="00056BBC"/>
    <w:rsid w:val="00092B6A"/>
    <w:rsid w:val="001024AC"/>
    <w:rsid w:val="00194F97"/>
    <w:rsid w:val="001B532D"/>
    <w:rsid w:val="001E1A8B"/>
    <w:rsid w:val="001E5EAE"/>
    <w:rsid w:val="001F54EE"/>
    <w:rsid w:val="00210C2B"/>
    <w:rsid w:val="002438F8"/>
    <w:rsid w:val="00253084"/>
    <w:rsid w:val="0031644C"/>
    <w:rsid w:val="003F0D8B"/>
    <w:rsid w:val="004C6C78"/>
    <w:rsid w:val="00506C1D"/>
    <w:rsid w:val="005B3EB0"/>
    <w:rsid w:val="005D684B"/>
    <w:rsid w:val="00634C3B"/>
    <w:rsid w:val="00642E7F"/>
    <w:rsid w:val="00661E03"/>
    <w:rsid w:val="007017B4"/>
    <w:rsid w:val="00704EC4"/>
    <w:rsid w:val="00737A73"/>
    <w:rsid w:val="00794AF5"/>
    <w:rsid w:val="007C0171"/>
    <w:rsid w:val="007D085D"/>
    <w:rsid w:val="007F6011"/>
    <w:rsid w:val="008258F1"/>
    <w:rsid w:val="00837E16"/>
    <w:rsid w:val="008432CB"/>
    <w:rsid w:val="00884681"/>
    <w:rsid w:val="008919F7"/>
    <w:rsid w:val="008B6B5E"/>
    <w:rsid w:val="008E11C2"/>
    <w:rsid w:val="00903BF0"/>
    <w:rsid w:val="00914724"/>
    <w:rsid w:val="009576EE"/>
    <w:rsid w:val="009C7AA5"/>
    <w:rsid w:val="00A71F78"/>
    <w:rsid w:val="00A976CB"/>
    <w:rsid w:val="00AE5569"/>
    <w:rsid w:val="00BB7E6F"/>
    <w:rsid w:val="00C0093B"/>
    <w:rsid w:val="00C06256"/>
    <w:rsid w:val="00C3448D"/>
    <w:rsid w:val="00CA23C3"/>
    <w:rsid w:val="00CC2D22"/>
    <w:rsid w:val="00D9440C"/>
    <w:rsid w:val="00DC1C3F"/>
    <w:rsid w:val="00DD0425"/>
    <w:rsid w:val="00E32824"/>
    <w:rsid w:val="00E4701F"/>
    <w:rsid w:val="00E8490B"/>
    <w:rsid w:val="00F737EA"/>
    <w:rsid w:val="00F93E7B"/>
    <w:rsid w:val="00F9782F"/>
    <w:rsid w:val="00F97CE7"/>
    <w:rsid w:val="00FA0001"/>
    <w:rsid w:val="00FA2A8D"/>
    <w:rsid w:val="00FB0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3948B"/>
  <w15:chartTrackingRefBased/>
  <w15:docId w15:val="{FE7B6E1E-4D31-4F21-8EA4-DC5E7FAF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6256"/>
    <w:pPr>
      <w:tabs>
        <w:tab w:val="center" w:pos="4513"/>
        <w:tab w:val="right" w:pos="9026"/>
      </w:tabs>
      <w:spacing w:after="0" w:line="240" w:lineRule="auto"/>
    </w:pPr>
    <w:rPr>
      <w:rFonts w:asciiTheme="majorHAnsi" w:eastAsiaTheme="majorEastAsia" w:hAnsiTheme="majorHAnsi" w:cstheme="majorBidi"/>
      <w:sz w:val="28"/>
    </w:rPr>
  </w:style>
  <w:style w:type="character" w:customStyle="1" w:styleId="FooterChar">
    <w:name w:val="Footer Char"/>
    <w:basedOn w:val="DefaultParagraphFont"/>
    <w:link w:val="Footer"/>
    <w:uiPriority w:val="99"/>
    <w:rsid w:val="00C06256"/>
    <w:rPr>
      <w:rFonts w:asciiTheme="majorHAnsi" w:eastAsiaTheme="majorEastAsia" w:hAnsiTheme="majorHAnsi" w:cstheme="majorBidi"/>
      <w:sz w:val="28"/>
    </w:rPr>
  </w:style>
  <w:style w:type="character" w:styleId="CommentReference">
    <w:name w:val="annotation reference"/>
    <w:basedOn w:val="DefaultParagraphFont"/>
    <w:uiPriority w:val="99"/>
    <w:semiHidden/>
    <w:unhideWhenUsed/>
    <w:rsid w:val="00C06256"/>
    <w:rPr>
      <w:sz w:val="16"/>
      <w:szCs w:val="16"/>
    </w:rPr>
  </w:style>
  <w:style w:type="paragraph" w:styleId="CommentText">
    <w:name w:val="annotation text"/>
    <w:basedOn w:val="Normal"/>
    <w:link w:val="CommentTextChar"/>
    <w:uiPriority w:val="99"/>
    <w:unhideWhenUsed/>
    <w:rsid w:val="00C06256"/>
    <w:pPr>
      <w:spacing w:after="200" w:line="240" w:lineRule="auto"/>
    </w:pPr>
    <w:rPr>
      <w:rFonts w:asciiTheme="majorHAnsi" w:eastAsiaTheme="majorEastAsia" w:hAnsiTheme="majorHAnsi" w:cstheme="majorBidi"/>
      <w:sz w:val="20"/>
      <w:szCs w:val="20"/>
    </w:rPr>
  </w:style>
  <w:style w:type="character" w:customStyle="1" w:styleId="CommentTextChar">
    <w:name w:val="Comment Text Char"/>
    <w:basedOn w:val="DefaultParagraphFont"/>
    <w:link w:val="CommentText"/>
    <w:uiPriority w:val="99"/>
    <w:rsid w:val="00C06256"/>
    <w:rPr>
      <w:rFonts w:asciiTheme="majorHAnsi" w:eastAsiaTheme="majorEastAsia" w:hAnsiTheme="majorHAnsi" w:cstheme="majorBidi"/>
      <w:sz w:val="20"/>
      <w:szCs w:val="20"/>
    </w:rPr>
  </w:style>
  <w:style w:type="paragraph" w:customStyle="1" w:styleId="EndNoteBibliographyTitle">
    <w:name w:val="EndNote Bibliography Title"/>
    <w:basedOn w:val="Normal"/>
    <w:link w:val="EndNoteBibliographyTitleChar"/>
    <w:rsid w:val="00C0625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06256"/>
    <w:rPr>
      <w:rFonts w:ascii="Calibri" w:hAnsi="Calibri" w:cs="Calibri"/>
      <w:noProof/>
      <w:lang w:val="en-US"/>
    </w:rPr>
  </w:style>
  <w:style w:type="paragraph" w:customStyle="1" w:styleId="EndNoteBibliography">
    <w:name w:val="EndNote Bibliography"/>
    <w:basedOn w:val="Normal"/>
    <w:link w:val="EndNoteBibliographyChar"/>
    <w:rsid w:val="00C0625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06256"/>
    <w:rPr>
      <w:rFonts w:ascii="Calibri" w:hAnsi="Calibri" w:cs="Calibri"/>
      <w:noProof/>
      <w:lang w:val="en-US"/>
    </w:rPr>
  </w:style>
  <w:style w:type="paragraph" w:styleId="Revision">
    <w:name w:val="Revision"/>
    <w:hidden/>
    <w:uiPriority w:val="99"/>
    <w:semiHidden/>
    <w:rsid w:val="00704EC4"/>
    <w:pPr>
      <w:spacing w:after="0" w:line="240" w:lineRule="auto"/>
    </w:pPr>
  </w:style>
  <w:style w:type="paragraph" w:styleId="CommentSubject">
    <w:name w:val="annotation subject"/>
    <w:basedOn w:val="CommentText"/>
    <w:next w:val="CommentText"/>
    <w:link w:val="CommentSubjectChar"/>
    <w:uiPriority w:val="99"/>
    <w:semiHidden/>
    <w:unhideWhenUsed/>
    <w:rsid w:val="00704EC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4EC4"/>
    <w:rPr>
      <w:rFonts w:asciiTheme="majorHAnsi" w:eastAsiaTheme="majorEastAsia" w:hAnsiTheme="majorHAnsi" w:cstheme="majorBidi"/>
      <w:b/>
      <w:bCs/>
      <w:sz w:val="20"/>
      <w:szCs w:val="20"/>
    </w:rPr>
  </w:style>
  <w:style w:type="character" w:styleId="Hyperlink">
    <w:name w:val="Hyperlink"/>
    <w:basedOn w:val="DefaultParagraphFont"/>
    <w:uiPriority w:val="99"/>
    <w:unhideWhenUsed/>
    <w:rsid w:val="00CA23C3"/>
    <w:rPr>
      <w:color w:val="0563C1" w:themeColor="hyperlink"/>
      <w:u w:val="single"/>
    </w:rPr>
  </w:style>
  <w:style w:type="character" w:styleId="UnresolvedMention">
    <w:name w:val="Unresolved Mention"/>
    <w:basedOn w:val="DefaultParagraphFont"/>
    <w:uiPriority w:val="99"/>
    <w:semiHidden/>
    <w:unhideWhenUsed/>
    <w:rsid w:val="00CA23C3"/>
    <w:rPr>
      <w:color w:val="605E5C"/>
      <w:shd w:val="clear" w:color="auto" w:fill="E1DFDD"/>
    </w:rPr>
  </w:style>
  <w:style w:type="character" w:styleId="Strong">
    <w:name w:val="Strong"/>
    <w:basedOn w:val="DefaultParagraphFont"/>
    <w:uiPriority w:val="22"/>
    <w:qFormat/>
    <w:rsid w:val="00CA2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3979">
      <w:bodyDiv w:val="1"/>
      <w:marLeft w:val="0"/>
      <w:marRight w:val="0"/>
      <w:marTop w:val="0"/>
      <w:marBottom w:val="0"/>
      <w:divBdr>
        <w:top w:val="none" w:sz="0" w:space="0" w:color="auto"/>
        <w:left w:val="none" w:sz="0" w:space="0" w:color="auto"/>
        <w:bottom w:val="none" w:sz="0" w:space="0" w:color="auto"/>
        <w:right w:val="none" w:sz="0" w:space="0" w:color="auto"/>
      </w:divBdr>
    </w:div>
    <w:div w:id="449861432">
      <w:bodyDiv w:val="1"/>
      <w:marLeft w:val="0"/>
      <w:marRight w:val="0"/>
      <w:marTop w:val="0"/>
      <w:marBottom w:val="0"/>
      <w:divBdr>
        <w:top w:val="none" w:sz="0" w:space="0" w:color="auto"/>
        <w:left w:val="none" w:sz="0" w:space="0" w:color="auto"/>
        <w:bottom w:val="none" w:sz="0" w:space="0" w:color="auto"/>
        <w:right w:val="none" w:sz="0" w:space="0" w:color="auto"/>
      </w:divBdr>
    </w:div>
    <w:div w:id="452555237">
      <w:bodyDiv w:val="1"/>
      <w:marLeft w:val="0"/>
      <w:marRight w:val="0"/>
      <w:marTop w:val="0"/>
      <w:marBottom w:val="0"/>
      <w:divBdr>
        <w:top w:val="none" w:sz="0" w:space="0" w:color="auto"/>
        <w:left w:val="none" w:sz="0" w:space="0" w:color="auto"/>
        <w:bottom w:val="none" w:sz="0" w:space="0" w:color="auto"/>
        <w:right w:val="none" w:sz="0" w:space="0" w:color="auto"/>
      </w:divBdr>
    </w:div>
    <w:div w:id="458652040">
      <w:bodyDiv w:val="1"/>
      <w:marLeft w:val="0"/>
      <w:marRight w:val="0"/>
      <w:marTop w:val="0"/>
      <w:marBottom w:val="0"/>
      <w:divBdr>
        <w:top w:val="none" w:sz="0" w:space="0" w:color="auto"/>
        <w:left w:val="none" w:sz="0" w:space="0" w:color="auto"/>
        <w:bottom w:val="none" w:sz="0" w:space="0" w:color="auto"/>
        <w:right w:val="none" w:sz="0" w:space="0" w:color="auto"/>
      </w:divBdr>
    </w:div>
    <w:div w:id="944776981">
      <w:bodyDiv w:val="1"/>
      <w:marLeft w:val="0"/>
      <w:marRight w:val="0"/>
      <w:marTop w:val="0"/>
      <w:marBottom w:val="0"/>
      <w:divBdr>
        <w:top w:val="none" w:sz="0" w:space="0" w:color="auto"/>
        <w:left w:val="none" w:sz="0" w:space="0" w:color="auto"/>
        <w:bottom w:val="none" w:sz="0" w:space="0" w:color="auto"/>
        <w:right w:val="none" w:sz="0" w:space="0" w:color="auto"/>
      </w:divBdr>
    </w:div>
    <w:div w:id="1112742942">
      <w:bodyDiv w:val="1"/>
      <w:marLeft w:val="0"/>
      <w:marRight w:val="0"/>
      <w:marTop w:val="0"/>
      <w:marBottom w:val="0"/>
      <w:divBdr>
        <w:top w:val="none" w:sz="0" w:space="0" w:color="auto"/>
        <w:left w:val="none" w:sz="0" w:space="0" w:color="auto"/>
        <w:bottom w:val="none" w:sz="0" w:space="0" w:color="auto"/>
        <w:right w:val="none" w:sz="0" w:space="0" w:color="auto"/>
      </w:divBdr>
    </w:div>
    <w:div w:id="1184398147">
      <w:bodyDiv w:val="1"/>
      <w:marLeft w:val="0"/>
      <w:marRight w:val="0"/>
      <w:marTop w:val="0"/>
      <w:marBottom w:val="0"/>
      <w:divBdr>
        <w:top w:val="none" w:sz="0" w:space="0" w:color="auto"/>
        <w:left w:val="none" w:sz="0" w:space="0" w:color="auto"/>
        <w:bottom w:val="none" w:sz="0" w:space="0" w:color="auto"/>
        <w:right w:val="none" w:sz="0" w:space="0" w:color="auto"/>
      </w:divBdr>
    </w:div>
    <w:div w:id="1227913490">
      <w:bodyDiv w:val="1"/>
      <w:marLeft w:val="0"/>
      <w:marRight w:val="0"/>
      <w:marTop w:val="0"/>
      <w:marBottom w:val="0"/>
      <w:divBdr>
        <w:top w:val="none" w:sz="0" w:space="0" w:color="auto"/>
        <w:left w:val="none" w:sz="0" w:space="0" w:color="auto"/>
        <w:bottom w:val="none" w:sz="0" w:space="0" w:color="auto"/>
        <w:right w:val="none" w:sz="0" w:space="0" w:color="auto"/>
      </w:divBdr>
    </w:div>
    <w:div w:id="1237210334">
      <w:bodyDiv w:val="1"/>
      <w:marLeft w:val="0"/>
      <w:marRight w:val="0"/>
      <w:marTop w:val="0"/>
      <w:marBottom w:val="0"/>
      <w:divBdr>
        <w:top w:val="none" w:sz="0" w:space="0" w:color="auto"/>
        <w:left w:val="none" w:sz="0" w:space="0" w:color="auto"/>
        <w:bottom w:val="none" w:sz="0" w:space="0" w:color="auto"/>
        <w:right w:val="none" w:sz="0" w:space="0" w:color="auto"/>
      </w:divBdr>
    </w:div>
    <w:div w:id="1672365472">
      <w:bodyDiv w:val="1"/>
      <w:marLeft w:val="0"/>
      <w:marRight w:val="0"/>
      <w:marTop w:val="0"/>
      <w:marBottom w:val="0"/>
      <w:divBdr>
        <w:top w:val="none" w:sz="0" w:space="0" w:color="auto"/>
        <w:left w:val="none" w:sz="0" w:space="0" w:color="auto"/>
        <w:bottom w:val="none" w:sz="0" w:space="0" w:color="auto"/>
        <w:right w:val="none" w:sz="0" w:space="0" w:color="auto"/>
      </w:divBdr>
    </w:div>
    <w:div w:id="2039578564">
      <w:bodyDiv w:val="1"/>
      <w:marLeft w:val="0"/>
      <w:marRight w:val="0"/>
      <w:marTop w:val="0"/>
      <w:marBottom w:val="0"/>
      <w:divBdr>
        <w:top w:val="none" w:sz="0" w:space="0" w:color="auto"/>
        <w:left w:val="none" w:sz="0" w:space="0" w:color="auto"/>
        <w:bottom w:val="none" w:sz="0" w:space="0" w:color="auto"/>
        <w:right w:val="none" w:sz="0" w:space="0" w:color="auto"/>
      </w:divBdr>
    </w:div>
    <w:div w:id="2078429990">
      <w:bodyDiv w:val="1"/>
      <w:marLeft w:val="0"/>
      <w:marRight w:val="0"/>
      <w:marTop w:val="0"/>
      <w:marBottom w:val="0"/>
      <w:divBdr>
        <w:top w:val="none" w:sz="0" w:space="0" w:color="auto"/>
        <w:left w:val="none" w:sz="0" w:space="0" w:color="auto"/>
        <w:bottom w:val="none" w:sz="0" w:space="0" w:color="auto"/>
        <w:right w:val="none" w:sz="0" w:space="0" w:color="auto"/>
      </w:divBdr>
    </w:div>
    <w:div w:id="21130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justiceinspectorates.gov.uk/cjji/wp-content/uploads/sites/2/2021/11/Mental-health-joint-thematic-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7%2F00258024221092711"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92E35-9BC5-4B40-9DFF-A641BD1D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CHAPLIN</dc:creator>
  <cp:keywords/>
  <dc:description/>
  <cp:lastModifiedBy>Chaplin, Edward</cp:lastModifiedBy>
  <cp:revision>12</cp:revision>
  <dcterms:created xsi:type="dcterms:W3CDTF">2022-11-24T10:15:00Z</dcterms:created>
  <dcterms:modified xsi:type="dcterms:W3CDTF">2022-11-24T10:23:00Z</dcterms:modified>
</cp:coreProperties>
</file>