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theme/themeOverride16.xml" ContentType="application/vnd.openxmlformats-officedocument.themeOverride+xml"/>
  <Override PartName="/word/charts/chart19.xml" ContentType="application/vnd.openxmlformats-officedocument.drawingml.chart+xml"/>
  <Override PartName="/word/theme/themeOverride17.xml" ContentType="application/vnd.openxmlformats-officedocument.themeOverride+xml"/>
  <Override PartName="/word/charts/chart20.xml" ContentType="application/vnd.openxmlformats-officedocument.drawingml.chart+xml"/>
  <Override PartName="/word/theme/themeOverride18.xml" ContentType="application/vnd.openxmlformats-officedocument.themeOverride+xml"/>
  <Override PartName="/word/charts/chart2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510CB" w:rsidRPr="00B84270" w:rsidRDefault="000D473F" w:rsidP="00F86B2E">
      <w:pPr>
        <w:spacing w:after="0" w:line="360" w:lineRule="auto"/>
        <w:jc w:val="center"/>
        <w:rPr>
          <w:rFonts w:ascii="Arial" w:hAnsi="Arial" w:cs="Arial"/>
          <w:b/>
          <w:sz w:val="24"/>
          <w:szCs w:val="24"/>
          <w:lang w:val="en-US"/>
        </w:rPr>
      </w:pPr>
      <w:r w:rsidRPr="00B84270">
        <w:rPr>
          <w:rFonts w:ascii="Arial" w:hAnsi="Arial" w:cs="Arial"/>
          <w:b/>
          <w:sz w:val="24"/>
          <w:szCs w:val="24"/>
          <w:lang w:val="en-US"/>
        </w:rPr>
        <w:t>Characterization</w:t>
      </w:r>
      <w:r w:rsidR="006C7776" w:rsidRPr="00B84270">
        <w:rPr>
          <w:rFonts w:ascii="Arial" w:hAnsi="Arial" w:cs="Arial"/>
          <w:b/>
          <w:sz w:val="24"/>
          <w:szCs w:val="24"/>
          <w:lang w:val="en-US"/>
        </w:rPr>
        <w:t xml:space="preserve"> of h</w:t>
      </w:r>
      <w:r w:rsidR="005510CB" w:rsidRPr="00B84270">
        <w:rPr>
          <w:rFonts w:ascii="Arial" w:hAnsi="Arial" w:cs="Arial"/>
          <w:b/>
          <w:sz w:val="24"/>
          <w:szCs w:val="24"/>
          <w:lang w:val="en-US"/>
        </w:rPr>
        <w:t>epcidin</w:t>
      </w:r>
      <w:r w:rsidR="00CA24FE" w:rsidRPr="00B84270">
        <w:rPr>
          <w:rFonts w:ascii="Arial" w:hAnsi="Arial" w:cs="Arial"/>
          <w:b/>
          <w:sz w:val="24"/>
          <w:szCs w:val="24"/>
          <w:lang w:val="en-US"/>
        </w:rPr>
        <w:t xml:space="preserve"> </w:t>
      </w:r>
      <w:r w:rsidR="006C7776" w:rsidRPr="00B84270">
        <w:rPr>
          <w:rFonts w:ascii="Arial" w:hAnsi="Arial" w:cs="Arial"/>
          <w:b/>
          <w:sz w:val="24"/>
          <w:szCs w:val="24"/>
          <w:lang w:val="en-US"/>
        </w:rPr>
        <w:t xml:space="preserve">response to holotransferrin </w:t>
      </w:r>
      <w:r w:rsidR="005510CB" w:rsidRPr="00B84270">
        <w:rPr>
          <w:rFonts w:ascii="Arial" w:hAnsi="Arial" w:cs="Arial"/>
          <w:b/>
          <w:sz w:val="24"/>
          <w:szCs w:val="24"/>
          <w:lang w:val="en-US"/>
        </w:rPr>
        <w:t xml:space="preserve">in </w:t>
      </w:r>
      <w:r w:rsidR="006C7776" w:rsidRPr="00B84270">
        <w:rPr>
          <w:rFonts w:ascii="Arial" w:hAnsi="Arial" w:cs="Arial"/>
          <w:b/>
          <w:sz w:val="24"/>
          <w:szCs w:val="24"/>
          <w:lang w:val="en-US"/>
        </w:rPr>
        <w:t xml:space="preserve">novel </w:t>
      </w:r>
      <w:r w:rsidR="005510CB" w:rsidRPr="00B84270">
        <w:rPr>
          <w:rFonts w:ascii="Arial" w:hAnsi="Arial" w:cs="Arial"/>
          <w:b/>
          <w:sz w:val="24"/>
          <w:szCs w:val="24"/>
          <w:lang w:val="en-US"/>
        </w:rPr>
        <w:t>recombinant TfR1 HepG2 cells</w:t>
      </w:r>
    </w:p>
    <w:p w:rsidR="005510CB" w:rsidRPr="00B84270" w:rsidRDefault="005510CB" w:rsidP="00F86B2E">
      <w:pPr>
        <w:pStyle w:val="Heading3"/>
        <w:spacing w:before="0" w:beforeAutospacing="0" w:after="0" w:afterAutospacing="0" w:line="360" w:lineRule="auto"/>
        <w:rPr>
          <w:rFonts w:ascii="Arial" w:hAnsi="Arial" w:cs="Arial"/>
          <w:b w:val="0"/>
          <w:sz w:val="24"/>
          <w:szCs w:val="24"/>
          <w:vertAlign w:val="superscript"/>
          <w:lang w:val="en-US"/>
        </w:rPr>
      </w:pPr>
      <w:r w:rsidRPr="00B84270">
        <w:rPr>
          <w:rFonts w:ascii="Arial" w:hAnsi="Arial" w:cs="Arial"/>
          <w:b w:val="0"/>
          <w:sz w:val="24"/>
          <w:szCs w:val="24"/>
          <w:lang w:val="en-US"/>
        </w:rPr>
        <w:t>Kosha Mehta</w:t>
      </w:r>
      <w:r w:rsidRPr="00B84270">
        <w:rPr>
          <w:rFonts w:ascii="Arial" w:hAnsi="Arial" w:cs="Arial"/>
          <w:b w:val="0"/>
          <w:sz w:val="24"/>
          <w:szCs w:val="24"/>
          <w:vertAlign w:val="superscript"/>
          <w:lang w:val="en-US"/>
        </w:rPr>
        <w:t>1</w:t>
      </w:r>
      <w:r w:rsidRPr="00B84270">
        <w:rPr>
          <w:rFonts w:ascii="Arial" w:hAnsi="Arial" w:cs="Arial"/>
          <w:b w:val="0"/>
          <w:sz w:val="24"/>
          <w:szCs w:val="24"/>
          <w:lang w:val="en-US"/>
        </w:rPr>
        <w:t>, Mark Busbridge</w:t>
      </w:r>
      <w:r w:rsidRPr="00B84270">
        <w:rPr>
          <w:rFonts w:ascii="Arial" w:hAnsi="Arial" w:cs="Arial"/>
          <w:b w:val="0"/>
          <w:sz w:val="24"/>
          <w:szCs w:val="24"/>
          <w:vertAlign w:val="superscript"/>
          <w:lang w:val="en-US"/>
        </w:rPr>
        <w:t>2</w:t>
      </w:r>
      <w:r w:rsidRPr="00B84270">
        <w:rPr>
          <w:rFonts w:ascii="Arial" w:hAnsi="Arial" w:cs="Arial"/>
          <w:b w:val="0"/>
          <w:sz w:val="24"/>
          <w:szCs w:val="24"/>
          <w:lang w:val="en-US"/>
        </w:rPr>
        <w:t>, Derek Renshaw</w:t>
      </w:r>
      <w:r w:rsidRPr="00B84270">
        <w:rPr>
          <w:rFonts w:ascii="Arial" w:hAnsi="Arial" w:cs="Arial"/>
          <w:b w:val="0"/>
          <w:sz w:val="24"/>
          <w:szCs w:val="24"/>
          <w:vertAlign w:val="superscript"/>
          <w:lang w:val="en-US"/>
        </w:rPr>
        <w:t>3</w:t>
      </w:r>
      <w:r w:rsidRPr="00B84270">
        <w:rPr>
          <w:rFonts w:ascii="Arial" w:hAnsi="Arial" w:cs="Arial"/>
          <w:b w:val="0"/>
          <w:sz w:val="24"/>
          <w:szCs w:val="24"/>
          <w:lang w:val="en-US"/>
        </w:rPr>
        <w:t>, Robert W. Evans</w:t>
      </w:r>
      <w:r w:rsidRPr="00B84270">
        <w:rPr>
          <w:rFonts w:ascii="Arial" w:hAnsi="Arial" w:cs="Arial"/>
          <w:b w:val="0"/>
          <w:sz w:val="24"/>
          <w:szCs w:val="24"/>
          <w:vertAlign w:val="superscript"/>
          <w:lang w:val="en-US"/>
        </w:rPr>
        <w:t>4</w:t>
      </w:r>
      <w:r w:rsidRPr="00B84270">
        <w:rPr>
          <w:rFonts w:ascii="Arial" w:hAnsi="Arial" w:cs="Arial"/>
          <w:b w:val="0"/>
          <w:sz w:val="24"/>
          <w:szCs w:val="24"/>
          <w:lang w:val="en-US"/>
        </w:rPr>
        <w:t xml:space="preserve">, </w:t>
      </w:r>
      <w:r w:rsidR="000D0DFC" w:rsidRPr="00B84270">
        <w:rPr>
          <w:rFonts w:ascii="Arial" w:hAnsi="Arial" w:cs="Arial"/>
          <w:b w:val="0"/>
          <w:sz w:val="24"/>
          <w:szCs w:val="24"/>
          <w:lang w:val="en-US"/>
        </w:rPr>
        <w:t>S</w:t>
      </w:r>
      <w:r w:rsidRPr="00B84270">
        <w:rPr>
          <w:rFonts w:ascii="Arial" w:hAnsi="Arial" w:cs="Arial"/>
          <w:b w:val="0"/>
          <w:sz w:val="24"/>
          <w:szCs w:val="24"/>
          <w:lang w:val="en-US"/>
        </w:rPr>
        <w:t>ebastien Farnaud</w:t>
      </w:r>
      <w:r w:rsidR="00DE5F6C" w:rsidRPr="00B84270">
        <w:rPr>
          <w:rFonts w:ascii="Arial" w:hAnsi="Arial" w:cs="Arial"/>
          <w:b w:val="0"/>
          <w:sz w:val="24"/>
          <w:szCs w:val="24"/>
          <w:vertAlign w:val="superscript"/>
          <w:lang w:val="en-US"/>
        </w:rPr>
        <w:t>5</w:t>
      </w:r>
      <w:proofErr w:type="gramStart"/>
      <w:r w:rsidRPr="00B84270">
        <w:rPr>
          <w:rFonts w:ascii="Arial" w:hAnsi="Arial" w:cs="Arial"/>
          <w:b w:val="0"/>
          <w:sz w:val="24"/>
          <w:szCs w:val="24"/>
          <w:vertAlign w:val="superscript"/>
          <w:lang w:val="en-US"/>
        </w:rPr>
        <w:t xml:space="preserve">¶ </w:t>
      </w:r>
      <w:r w:rsidR="00333E82" w:rsidRPr="00B84270">
        <w:rPr>
          <w:rFonts w:ascii="Arial" w:hAnsi="Arial" w:cs="Arial"/>
          <w:b w:val="0"/>
          <w:sz w:val="24"/>
          <w:szCs w:val="24"/>
          <w:vertAlign w:val="superscript"/>
          <w:lang w:val="en-US"/>
        </w:rPr>
        <w:t xml:space="preserve"> </w:t>
      </w:r>
      <w:r w:rsidRPr="00B84270">
        <w:rPr>
          <w:rFonts w:ascii="Arial" w:hAnsi="Arial" w:cs="Arial"/>
          <w:b w:val="0"/>
          <w:sz w:val="24"/>
          <w:szCs w:val="24"/>
          <w:lang w:val="en-US"/>
        </w:rPr>
        <w:t>and</w:t>
      </w:r>
      <w:proofErr w:type="gramEnd"/>
      <w:r w:rsidRPr="00B84270">
        <w:rPr>
          <w:rFonts w:ascii="Arial" w:hAnsi="Arial" w:cs="Arial"/>
          <w:b w:val="0"/>
          <w:sz w:val="24"/>
          <w:szCs w:val="24"/>
          <w:lang w:val="en-US"/>
        </w:rPr>
        <w:t xml:space="preserve"> Vinood B. Patel</w:t>
      </w:r>
      <w:r w:rsidRPr="00B84270">
        <w:rPr>
          <w:rFonts w:ascii="Arial" w:hAnsi="Arial" w:cs="Arial"/>
          <w:b w:val="0"/>
          <w:sz w:val="24"/>
          <w:szCs w:val="24"/>
          <w:vertAlign w:val="superscript"/>
          <w:lang w:val="en-US"/>
        </w:rPr>
        <w:t>1¶*</w:t>
      </w:r>
    </w:p>
    <w:p w:rsidR="00F86B2E" w:rsidRPr="00B84270" w:rsidRDefault="00F86B2E" w:rsidP="00F86B2E">
      <w:pPr>
        <w:pStyle w:val="Heading3"/>
        <w:spacing w:before="0" w:beforeAutospacing="0" w:after="0" w:afterAutospacing="0" w:line="360" w:lineRule="auto"/>
        <w:rPr>
          <w:rFonts w:ascii="Arial" w:hAnsi="Arial" w:cs="Arial"/>
          <w:b w:val="0"/>
          <w:sz w:val="24"/>
          <w:szCs w:val="24"/>
          <w:vertAlign w:val="superscript"/>
          <w:lang w:val="en-US"/>
        </w:rPr>
      </w:pPr>
    </w:p>
    <w:p w:rsidR="005510CB" w:rsidRPr="00B84270" w:rsidRDefault="005510CB" w:rsidP="00F86B2E">
      <w:pPr>
        <w:spacing w:after="0" w:line="360" w:lineRule="auto"/>
        <w:rPr>
          <w:rFonts w:ascii="Arial" w:hAnsi="Arial" w:cs="Arial"/>
          <w:iCs/>
          <w:sz w:val="24"/>
          <w:szCs w:val="24"/>
          <w:lang w:val="en-US"/>
        </w:rPr>
      </w:pPr>
      <w:r w:rsidRPr="00B84270">
        <w:rPr>
          <w:rFonts w:ascii="Arial" w:hAnsi="Arial" w:cs="Arial"/>
          <w:iCs/>
          <w:sz w:val="24"/>
          <w:szCs w:val="24"/>
          <w:vertAlign w:val="superscript"/>
          <w:lang w:val="en-US"/>
        </w:rPr>
        <w:t>1</w:t>
      </w:r>
      <w:r w:rsidRPr="00B84270">
        <w:rPr>
          <w:rFonts w:ascii="Arial" w:hAnsi="Arial" w:cs="Arial"/>
          <w:iCs/>
          <w:sz w:val="24"/>
          <w:szCs w:val="24"/>
          <w:lang w:val="en-US"/>
        </w:rPr>
        <w:t>Department of Biomedical Sciences, University of Westminster, London, UK</w:t>
      </w:r>
    </w:p>
    <w:p w:rsidR="005510CB" w:rsidRPr="00B84270" w:rsidRDefault="005510CB" w:rsidP="00F86B2E">
      <w:pPr>
        <w:spacing w:after="0" w:line="360" w:lineRule="auto"/>
        <w:rPr>
          <w:rFonts w:ascii="Arial" w:hAnsi="Arial" w:cs="Arial"/>
          <w:sz w:val="24"/>
          <w:szCs w:val="24"/>
          <w:lang w:val="en-US"/>
        </w:rPr>
      </w:pPr>
      <w:r w:rsidRPr="00B84270">
        <w:rPr>
          <w:rFonts w:ascii="Arial" w:hAnsi="Arial" w:cs="Arial"/>
          <w:sz w:val="24"/>
          <w:szCs w:val="24"/>
          <w:vertAlign w:val="superscript"/>
          <w:lang w:val="en-US"/>
        </w:rPr>
        <w:t>2</w:t>
      </w:r>
      <w:r w:rsidRPr="00B84270">
        <w:rPr>
          <w:rFonts w:ascii="Arial" w:hAnsi="Arial" w:cs="Arial"/>
          <w:sz w:val="24"/>
          <w:szCs w:val="24"/>
          <w:lang w:val="en-US"/>
        </w:rPr>
        <w:t>Department of Clinical Biochemistry, Charing Cross Hospital, Imperial College Healthcare NHS Trust, London, UK</w:t>
      </w:r>
    </w:p>
    <w:p w:rsidR="005510CB" w:rsidRPr="00B84270" w:rsidRDefault="005510CB" w:rsidP="00F86B2E">
      <w:pPr>
        <w:spacing w:after="0" w:line="360" w:lineRule="auto"/>
        <w:rPr>
          <w:rFonts w:ascii="Arial" w:hAnsi="Arial" w:cs="Arial"/>
          <w:sz w:val="24"/>
          <w:szCs w:val="24"/>
          <w:lang w:val="en-US"/>
        </w:rPr>
      </w:pPr>
      <w:r w:rsidRPr="00B84270">
        <w:rPr>
          <w:rFonts w:ascii="Arial" w:hAnsi="Arial" w:cs="Arial"/>
          <w:sz w:val="24"/>
          <w:szCs w:val="24"/>
          <w:vertAlign w:val="superscript"/>
          <w:lang w:val="en-US"/>
        </w:rPr>
        <w:t>3</w:t>
      </w:r>
      <w:r w:rsidRPr="00B84270">
        <w:rPr>
          <w:rFonts w:ascii="Arial" w:hAnsi="Arial" w:cs="Arial"/>
          <w:sz w:val="24"/>
          <w:szCs w:val="24"/>
          <w:lang w:val="en-US"/>
        </w:rPr>
        <w:t xml:space="preserve">Faculty of Health &amp; Life Sciences, Coventry University, Coventry, UK </w:t>
      </w:r>
    </w:p>
    <w:p w:rsidR="005510CB" w:rsidRPr="00B84270" w:rsidRDefault="005510CB" w:rsidP="00F86B2E">
      <w:pPr>
        <w:spacing w:after="0" w:line="360" w:lineRule="auto"/>
        <w:rPr>
          <w:rFonts w:ascii="Arial" w:hAnsi="Arial" w:cs="Arial"/>
          <w:sz w:val="24"/>
          <w:szCs w:val="24"/>
          <w:lang w:val="en-US"/>
        </w:rPr>
      </w:pPr>
      <w:r w:rsidRPr="00B84270">
        <w:rPr>
          <w:rFonts w:ascii="Arial" w:hAnsi="Arial" w:cs="Arial"/>
          <w:sz w:val="24"/>
          <w:szCs w:val="24"/>
          <w:vertAlign w:val="superscript"/>
          <w:lang w:val="en-US"/>
        </w:rPr>
        <w:t>4</w:t>
      </w:r>
      <w:r w:rsidRPr="00B84270">
        <w:rPr>
          <w:rFonts w:ascii="Arial" w:hAnsi="Arial" w:cs="Arial"/>
          <w:sz w:val="24"/>
          <w:szCs w:val="24"/>
          <w:lang w:val="en-US"/>
        </w:rPr>
        <w:t>School of Engineering and Design, Brunel University, London, UK</w:t>
      </w:r>
    </w:p>
    <w:p w:rsidR="005510CB" w:rsidRPr="00B84270" w:rsidRDefault="00DE5F6C" w:rsidP="00F86B2E">
      <w:pPr>
        <w:spacing w:after="0" w:line="360" w:lineRule="auto"/>
        <w:rPr>
          <w:rFonts w:ascii="Arial" w:hAnsi="Arial" w:cs="Arial"/>
          <w:sz w:val="24"/>
          <w:szCs w:val="24"/>
          <w:lang w:val="en-US"/>
        </w:rPr>
      </w:pPr>
      <w:r w:rsidRPr="00B84270">
        <w:rPr>
          <w:rFonts w:ascii="Arial" w:hAnsi="Arial" w:cs="Arial"/>
          <w:sz w:val="24"/>
          <w:szCs w:val="24"/>
          <w:vertAlign w:val="superscript"/>
          <w:lang w:val="en-US"/>
        </w:rPr>
        <w:t>5</w:t>
      </w:r>
      <w:r w:rsidR="005510CB" w:rsidRPr="00B84270">
        <w:rPr>
          <w:rFonts w:ascii="Arial" w:hAnsi="Arial" w:cs="Arial"/>
          <w:sz w:val="24"/>
          <w:szCs w:val="24"/>
          <w:lang w:val="en-US"/>
        </w:rPr>
        <w:t xml:space="preserve">Department of Life Sciences, University of Bedfordshire, </w:t>
      </w:r>
      <w:proofErr w:type="spellStart"/>
      <w:r w:rsidR="005510CB" w:rsidRPr="00B84270">
        <w:rPr>
          <w:rFonts w:ascii="Arial" w:hAnsi="Arial" w:cs="Arial"/>
          <w:sz w:val="24"/>
          <w:szCs w:val="24"/>
          <w:lang w:val="en-US"/>
        </w:rPr>
        <w:t>Luton</w:t>
      </w:r>
      <w:proofErr w:type="spellEnd"/>
      <w:r w:rsidR="005510CB" w:rsidRPr="00B84270">
        <w:rPr>
          <w:rFonts w:ascii="Arial" w:hAnsi="Arial" w:cs="Arial"/>
          <w:sz w:val="24"/>
          <w:szCs w:val="24"/>
          <w:lang w:val="en-US"/>
        </w:rPr>
        <w:t>, UK</w:t>
      </w:r>
    </w:p>
    <w:p w:rsidR="005510CB" w:rsidRPr="00B84270" w:rsidRDefault="005510CB" w:rsidP="00CE1F34">
      <w:pPr>
        <w:spacing w:after="0" w:line="360" w:lineRule="auto"/>
        <w:rPr>
          <w:rFonts w:ascii="Arial" w:hAnsi="Arial" w:cs="Arial"/>
          <w:sz w:val="24"/>
          <w:szCs w:val="24"/>
          <w:lang w:val="en-US"/>
        </w:rPr>
      </w:pPr>
      <w:r w:rsidRPr="00B84270">
        <w:rPr>
          <w:rFonts w:ascii="Arial" w:hAnsi="Arial" w:cs="Arial"/>
          <w:sz w:val="24"/>
          <w:szCs w:val="24"/>
          <w:vertAlign w:val="superscript"/>
          <w:lang w:val="en-US"/>
        </w:rPr>
        <w:t>¶</w:t>
      </w:r>
      <w:r w:rsidRPr="00B84270">
        <w:rPr>
          <w:rFonts w:ascii="Arial" w:hAnsi="Arial" w:cs="Arial"/>
          <w:sz w:val="24"/>
          <w:szCs w:val="24"/>
          <w:lang w:val="en-US"/>
        </w:rPr>
        <w:t>Equal contribution</w:t>
      </w:r>
    </w:p>
    <w:p w:rsidR="005510CB" w:rsidRPr="00B84270" w:rsidRDefault="005510CB" w:rsidP="00CE1F34">
      <w:pPr>
        <w:spacing w:after="0" w:line="360" w:lineRule="auto"/>
        <w:rPr>
          <w:rFonts w:ascii="Arial" w:hAnsi="Arial" w:cs="Arial"/>
          <w:sz w:val="24"/>
          <w:szCs w:val="24"/>
          <w:lang w:val="en-US"/>
        </w:rPr>
      </w:pPr>
    </w:p>
    <w:p w:rsidR="005510CB" w:rsidRPr="00B84270" w:rsidRDefault="005510CB" w:rsidP="00CE1F34">
      <w:pPr>
        <w:spacing w:after="0" w:line="360" w:lineRule="auto"/>
        <w:rPr>
          <w:rFonts w:ascii="Arial" w:hAnsi="Arial" w:cs="Arial"/>
          <w:sz w:val="24"/>
          <w:szCs w:val="24"/>
          <w:lang w:val="en-US"/>
        </w:rPr>
      </w:pPr>
      <w:r w:rsidRPr="00B84270">
        <w:rPr>
          <w:rFonts w:ascii="Arial" w:hAnsi="Arial" w:cs="Arial"/>
          <w:sz w:val="24"/>
          <w:szCs w:val="24"/>
          <w:vertAlign w:val="superscript"/>
          <w:lang w:val="en-US"/>
        </w:rPr>
        <w:t>*</w:t>
      </w:r>
      <w:r w:rsidRPr="00B84270">
        <w:rPr>
          <w:rFonts w:ascii="Arial" w:hAnsi="Arial" w:cs="Arial"/>
          <w:sz w:val="24"/>
          <w:szCs w:val="24"/>
          <w:lang w:val="en-US"/>
        </w:rPr>
        <w:t xml:space="preserve">Corresponding author: Dr Vinood Patel, Department of Biomedical Sciences, </w:t>
      </w:r>
      <w:r w:rsidRPr="00B84270">
        <w:rPr>
          <w:rFonts w:ascii="Arial" w:hAnsi="Arial" w:cs="Arial"/>
          <w:iCs/>
          <w:sz w:val="24"/>
          <w:szCs w:val="24"/>
          <w:lang w:val="en-US"/>
        </w:rPr>
        <w:t xml:space="preserve">University of Westminster, London W1W 6UW, UK, </w:t>
      </w:r>
      <w:hyperlink r:id="rId8" w:history="1">
        <w:r w:rsidRPr="00B84270">
          <w:rPr>
            <w:rStyle w:val="Hyperlink"/>
            <w:rFonts w:ascii="Arial" w:hAnsi="Arial" w:cs="Arial"/>
            <w:iCs/>
            <w:color w:val="auto"/>
            <w:sz w:val="24"/>
            <w:szCs w:val="24"/>
            <w:u w:val="none"/>
            <w:lang w:val="en-US"/>
          </w:rPr>
          <w:t>Tel.:0207 911 5000</w:t>
        </w:r>
      </w:hyperlink>
      <w:r w:rsidRPr="00B84270">
        <w:rPr>
          <w:rFonts w:ascii="Arial" w:hAnsi="Arial" w:cs="Arial"/>
          <w:iCs/>
          <w:sz w:val="24"/>
          <w:szCs w:val="24"/>
          <w:lang w:val="en-US"/>
        </w:rPr>
        <w:t xml:space="preserve"> ext. 64138; Fax:</w:t>
      </w:r>
      <w:r w:rsidRPr="00B84270">
        <w:rPr>
          <w:rFonts w:ascii="Arial" w:hAnsi="Arial" w:cs="Arial"/>
          <w:sz w:val="24"/>
          <w:szCs w:val="24"/>
          <w:lang w:val="en-US"/>
        </w:rPr>
        <w:t xml:space="preserve"> 0207 911 5087</w:t>
      </w:r>
      <w:r w:rsidRPr="00B84270">
        <w:rPr>
          <w:rFonts w:ascii="Arial" w:hAnsi="Arial" w:cs="Arial"/>
          <w:iCs/>
          <w:sz w:val="24"/>
          <w:szCs w:val="24"/>
          <w:lang w:val="en-US"/>
        </w:rPr>
        <w:t xml:space="preserve">; Email: </w:t>
      </w:r>
      <w:hyperlink r:id="rId9" w:history="1">
        <w:r w:rsidRPr="00B84270">
          <w:rPr>
            <w:rStyle w:val="Hyperlink"/>
            <w:rFonts w:ascii="Arial" w:hAnsi="Arial" w:cs="Arial"/>
            <w:color w:val="auto"/>
            <w:sz w:val="24"/>
            <w:szCs w:val="24"/>
            <w:u w:val="none"/>
            <w:lang w:val="en-US"/>
          </w:rPr>
          <w:t>v.b.patel</w:t>
        </w:r>
        <w:r w:rsidRPr="00B84270">
          <w:rPr>
            <w:rStyle w:val="Hyperlink"/>
            <w:rFonts w:ascii="Arial" w:hAnsi="Arial" w:cs="Arial"/>
            <w:iCs/>
            <w:color w:val="auto"/>
            <w:sz w:val="24"/>
            <w:szCs w:val="24"/>
            <w:u w:val="none"/>
            <w:lang w:val="en-US"/>
          </w:rPr>
          <w:t>@westminster.ac.uk</w:t>
        </w:r>
      </w:hyperlink>
    </w:p>
    <w:p w:rsidR="005510CB" w:rsidRPr="00B84270" w:rsidRDefault="005510CB" w:rsidP="00CE1F34">
      <w:pPr>
        <w:pStyle w:val="BodyText"/>
        <w:jc w:val="left"/>
        <w:rPr>
          <w:b/>
          <w:strike w:val="0"/>
          <w:lang w:val="en-US"/>
        </w:rPr>
      </w:pPr>
    </w:p>
    <w:p w:rsidR="005510CB" w:rsidRPr="00B84270" w:rsidRDefault="005510CB" w:rsidP="00CE1F34">
      <w:pPr>
        <w:pStyle w:val="BodyText"/>
        <w:jc w:val="left"/>
        <w:rPr>
          <w:b/>
          <w:strike w:val="0"/>
          <w:lang w:val="en-US"/>
        </w:rPr>
      </w:pPr>
    </w:p>
    <w:p w:rsidR="005510CB" w:rsidRPr="00B84270" w:rsidRDefault="005510CB" w:rsidP="00CE1F34">
      <w:pPr>
        <w:autoSpaceDE w:val="0"/>
        <w:autoSpaceDN w:val="0"/>
        <w:adjustRightInd w:val="0"/>
        <w:spacing w:after="0" w:line="360" w:lineRule="auto"/>
        <w:rPr>
          <w:rFonts w:ascii="Arial" w:eastAsia="Calibri" w:hAnsi="Arial" w:cs="Arial"/>
          <w:b/>
          <w:bCs/>
          <w:sz w:val="24"/>
          <w:szCs w:val="24"/>
          <w:lang w:val="en-US" w:eastAsia="en-US"/>
        </w:rPr>
      </w:pPr>
    </w:p>
    <w:p w:rsidR="005510CB" w:rsidRPr="00B84270" w:rsidRDefault="005510CB" w:rsidP="00CE1F34">
      <w:pPr>
        <w:pStyle w:val="BodyText"/>
        <w:jc w:val="left"/>
        <w:rPr>
          <w:b/>
          <w:strike w:val="0"/>
          <w:lang w:val="en-US"/>
        </w:rPr>
      </w:pPr>
    </w:p>
    <w:p w:rsidR="005510CB" w:rsidRPr="00B84270" w:rsidRDefault="005510CB" w:rsidP="00CE1F34">
      <w:pPr>
        <w:pStyle w:val="BodyText"/>
        <w:jc w:val="left"/>
        <w:rPr>
          <w:b/>
          <w:strike w:val="0"/>
          <w:lang w:val="en-US"/>
        </w:rPr>
      </w:pPr>
    </w:p>
    <w:p w:rsidR="005510CB" w:rsidRPr="00B84270" w:rsidRDefault="005510CB" w:rsidP="00CE1F34">
      <w:pPr>
        <w:pStyle w:val="BodyText"/>
        <w:jc w:val="left"/>
        <w:rPr>
          <w:b/>
          <w:strike w:val="0"/>
          <w:lang w:val="en-US"/>
        </w:rPr>
      </w:pPr>
    </w:p>
    <w:p w:rsidR="005510CB" w:rsidRPr="00B84270" w:rsidRDefault="005510CB" w:rsidP="00CE1F34">
      <w:pPr>
        <w:pStyle w:val="BodyText"/>
        <w:jc w:val="left"/>
        <w:rPr>
          <w:b/>
          <w:strike w:val="0"/>
          <w:lang w:val="en-US"/>
        </w:rPr>
      </w:pPr>
    </w:p>
    <w:p w:rsidR="005510CB" w:rsidRPr="00B84270" w:rsidRDefault="005510CB" w:rsidP="00CE1F34">
      <w:pPr>
        <w:pStyle w:val="BodyText"/>
        <w:jc w:val="left"/>
        <w:rPr>
          <w:b/>
          <w:strike w:val="0"/>
          <w:lang w:val="en-US"/>
        </w:rPr>
      </w:pPr>
    </w:p>
    <w:p w:rsidR="00EC3166" w:rsidRPr="00B84270" w:rsidRDefault="00EC3166" w:rsidP="00CE1F34">
      <w:pPr>
        <w:pStyle w:val="BodyText"/>
        <w:jc w:val="left"/>
        <w:rPr>
          <w:b/>
          <w:strike w:val="0"/>
          <w:lang w:val="en-US"/>
        </w:rPr>
      </w:pPr>
    </w:p>
    <w:p w:rsidR="00EC3166" w:rsidRPr="00B84270" w:rsidRDefault="00EC3166" w:rsidP="00CE1F34">
      <w:pPr>
        <w:pStyle w:val="BodyText"/>
        <w:jc w:val="left"/>
        <w:rPr>
          <w:b/>
          <w:strike w:val="0"/>
          <w:lang w:val="en-US"/>
        </w:rPr>
      </w:pPr>
    </w:p>
    <w:p w:rsidR="00EC3166" w:rsidRPr="00B84270" w:rsidRDefault="00EC3166" w:rsidP="00CE1F34">
      <w:pPr>
        <w:pStyle w:val="BodyText"/>
        <w:jc w:val="left"/>
        <w:rPr>
          <w:b/>
          <w:strike w:val="0"/>
          <w:lang w:val="en-US"/>
        </w:rPr>
      </w:pPr>
    </w:p>
    <w:p w:rsidR="00A2423A" w:rsidRPr="00B84270" w:rsidRDefault="00A2423A" w:rsidP="00CE1F34">
      <w:pPr>
        <w:pStyle w:val="BodyText"/>
        <w:jc w:val="left"/>
        <w:rPr>
          <w:b/>
          <w:strike w:val="0"/>
          <w:lang w:val="en-US"/>
        </w:rPr>
      </w:pPr>
    </w:p>
    <w:p w:rsidR="00A2423A" w:rsidRPr="00B84270" w:rsidRDefault="00A2423A" w:rsidP="00CE1F34">
      <w:pPr>
        <w:pStyle w:val="BodyText"/>
        <w:jc w:val="left"/>
        <w:rPr>
          <w:b/>
          <w:strike w:val="0"/>
          <w:lang w:val="en-US"/>
        </w:rPr>
      </w:pPr>
    </w:p>
    <w:p w:rsidR="00EC3166" w:rsidRPr="00B84270" w:rsidRDefault="00EC3166" w:rsidP="00CE1F34">
      <w:pPr>
        <w:pStyle w:val="BodyText"/>
        <w:jc w:val="left"/>
        <w:rPr>
          <w:b/>
          <w:strike w:val="0"/>
          <w:lang w:val="en-US"/>
        </w:rPr>
      </w:pPr>
    </w:p>
    <w:p w:rsidR="000A126A" w:rsidRPr="00B84270" w:rsidRDefault="000A126A" w:rsidP="00CE1F34">
      <w:pPr>
        <w:pStyle w:val="BodyText"/>
        <w:jc w:val="left"/>
        <w:rPr>
          <w:b/>
          <w:strike w:val="0"/>
          <w:lang w:val="en-US"/>
        </w:rPr>
      </w:pPr>
    </w:p>
    <w:p w:rsidR="000A126A" w:rsidRPr="00B84270" w:rsidRDefault="000A126A" w:rsidP="00CE1F34">
      <w:pPr>
        <w:pStyle w:val="BodyText"/>
        <w:jc w:val="left"/>
        <w:rPr>
          <w:b/>
          <w:strike w:val="0"/>
          <w:lang w:val="en-US"/>
        </w:rPr>
      </w:pPr>
    </w:p>
    <w:p w:rsidR="000A126A" w:rsidRPr="00B84270" w:rsidRDefault="000A126A" w:rsidP="00CE1F34">
      <w:pPr>
        <w:pStyle w:val="BodyText"/>
        <w:jc w:val="left"/>
        <w:rPr>
          <w:b/>
          <w:strike w:val="0"/>
          <w:lang w:val="en-US"/>
        </w:rPr>
      </w:pPr>
    </w:p>
    <w:p w:rsidR="00EC3166" w:rsidRPr="00B84270" w:rsidRDefault="00EC3166" w:rsidP="00CE1F34">
      <w:pPr>
        <w:pStyle w:val="BodyText"/>
        <w:jc w:val="left"/>
        <w:rPr>
          <w:b/>
          <w:strike w:val="0"/>
          <w:lang w:val="en-US"/>
        </w:rPr>
      </w:pPr>
    </w:p>
    <w:p w:rsidR="008B1B7C" w:rsidRPr="00B84270" w:rsidRDefault="001F152B" w:rsidP="00CE1F34">
      <w:pPr>
        <w:pStyle w:val="BodyText"/>
        <w:jc w:val="left"/>
        <w:rPr>
          <w:b/>
          <w:strike w:val="0"/>
          <w:lang w:val="en-US"/>
        </w:rPr>
      </w:pPr>
      <w:r w:rsidRPr="00B84270">
        <w:rPr>
          <w:b/>
          <w:strike w:val="0"/>
          <w:lang w:val="en-US"/>
        </w:rPr>
        <w:lastRenderedPageBreak/>
        <w:t>Abstract</w:t>
      </w:r>
    </w:p>
    <w:p w:rsidR="00CB7BEC" w:rsidRPr="00B84270" w:rsidRDefault="00CB7BEC" w:rsidP="00333E82">
      <w:pPr>
        <w:spacing w:after="0" w:line="360" w:lineRule="auto"/>
        <w:rPr>
          <w:rFonts w:ascii="Arial" w:hAnsi="Arial" w:cs="Arial"/>
          <w:bCs/>
          <w:sz w:val="24"/>
          <w:szCs w:val="24"/>
          <w:lang w:val="en-US" w:eastAsia="zh-TW"/>
        </w:rPr>
      </w:pPr>
      <w:r w:rsidRPr="00B84270">
        <w:rPr>
          <w:rFonts w:ascii="Arial" w:hAnsi="Arial" w:cs="Arial"/>
          <w:bCs/>
          <w:sz w:val="24"/>
          <w:szCs w:val="24"/>
          <w:lang w:val="en-US" w:eastAsia="zh-TW"/>
        </w:rPr>
        <w:t xml:space="preserve">Hepcidin is the key regulator of systemic iron homeostasis. The iron-sensing mechanisms and the role of intracellular iron in modulating hepatic hepcidin secretion are unclear. </w:t>
      </w:r>
      <w:r w:rsidRPr="00B84270">
        <w:rPr>
          <w:rFonts w:ascii="Arial" w:hAnsi="Arial" w:cs="Arial"/>
          <w:bCs/>
          <w:sz w:val="24"/>
          <w:szCs w:val="24"/>
          <w:lang w:eastAsia="zh-TW"/>
        </w:rPr>
        <w:t xml:space="preserve">Therefore, we created a novel cell line, recombinant-TfR1 HepG2, expressing iron-response-element-independent </w:t>
      </w:r>
      <w:r w:rsidRPr="00B84270">
        <w:rPr>
          <w:rFonts w:ascii="Arial" w:hAnsi="Arial" w:cs="Arial"/>
          <w:bCs/>
          <w:i/>
          <w:iCs/>
          <w:sz w:val="24"/>
          <w:szCs w:val="24"/>
          <w:lang w:eastAsia="zh-TW"/>
        </w:rPr>
        <w:t xml:space="preserve">TFRC </w:t>
      </w:r>
      <w:r w:rsidRPr="00B84270">
        <w:rPr>
          <w:rFonts w:ascii="Arial" w:hAnsi="Arial" w:cs="Arial"/>
          <w:bCs/>
          <w:sz w:val="24"/>
          <w:szCs w:val="24"/>
          <w:lang w:eastAsia="zh-TW"/>
        </w:rPr>
        <w:t xml:space="preserve">mRNA </w:t>
      </w:r>
      <w:r w:rsidRPr="00B84270">
        <w:rPr>
          <w:rFonts w:ascii="Arial" w:hAnsi="Arial" w:cs="Arial"/>
          <w:bCs/>
          <w:sz w:val="24"/>
          <w:szCs w:val="24"/>
          <w:lang w:val="en-US" w:eastAsia="zh-TW"/>
        </w:rPr>
        <w:t xml:space="preserve">to promote cellular iron-overload and examined the effect of excess holotransferrin (5 g/L) on cell-surface TfR1, iron content, hepcidin secretion </w:t>
      </w:r>
      <w:r w:rsidRPr="00B84270">
        <w:rPr>
          <w:rFonts w:ascii="Arial" w:hAnsi="Arial" w:cs="Arial"/>
          <w:bCs/>
          <w:sz w:val="24"/>
          <w:szCs w:val="24"/>
          <w:lang w:eastAsia="zh-TW"/>
        </w:rPr>
        <w:t xml:space="preserve">and mRNA expressions of </w:t>
      </w:r>
      <w:r w:rsidRPr="00B84270">
        <w:rPr>
          <w:rFonts w:ascii="Arial" w:hAnsi="Arial" w:cs="Arial"/>
          <w:bCs/>
          <w:i/>
          <w:iCs/>
          <w:sz w:val="24"/>
          <w:szCs w:val="24"/>
          <w:lang w:eastAsia="zh-TW"/>
        </w:rPr>
        <w:t>TFRC</w:t>
      </w:r>
      <w:r w:rsidRPr="00B84270">
        <w:rPr>
          <w:rFonts w:ascii="Arial" w:hAnsi="Arial" w:cs="Arial"/>
          <w:bCs/>
          <w:sz w:val="24"/>
          <w:szCs w:val="24"/>
          <w:lang w:eastAsia="zh-TW"/>
        </w:rPr>
        <w:t>,</w:t>
      </w:r>
      <w:r w:rsidRPr="00B84270">
        <w:rPr>
          <w:rFonts w:ascii="Arial" w:hAnsi="Arial" w:cs="Arial"/>
          <w:bCs/>
          <w:i/>
          <w:iCs/>
          <w:sz w:val="24"/>
          <w:szCs w:val="24"/>
          <w:lang w:eastAsia="zh-TW"/>
        </w:rPr>
        <w:t xml:space="preserve"> HAMP</w:t>
      </w:r>
      <w:r w:rsidRPr="00B84270">
        <w:rPr>
          <w:rFonts w:ascii="Arial" w:hAnsi="Arial" w:cs="Arial"/>
          <w:bCs/>
          <w:sz w:val="24"/>
          <w:szCs w:val="24"/>
          <w:lang w:eastAsia="zh-TW"/>
        </w:rPr>
        <w:t xml:space="preserve">, </w:t>
      </w:r>
      <w:r w:rsidRPr="00B84270">
        <w:rPr>
          <w:rFonts w:ascii="Arial" w:hAnsi="Arial" w:cs="Arial"/>
          <w:bCs/>
          <w:i/>
          <w:iCs/>
          <w:sz w:val="24"/>
          <w:szCs w:val="24"/>
          <w:lang w:eastAsia="zh-TW"/>
        </w:rPr>
        <w:t>SLC40A1</w:t>
      </w:r>
      <w:r w:rsidRPr="00B84270">
        <w:rPr>
          <w:rFonts w:ascii="Arial" w:hAnsi="Arial" w:cs="Arial"/>
          <w:bCs/>
          <w:iCs/>
          <w:sz w:val="24"/>
          <w:szCs w:val="24"/>
          <w:lang w:eastAsia="zh-TW"/>
        </w:rPr>
        <w:t xml:space="preserve">, </w:t>
      </w:r>
      <w:r w:rsidRPr="00B84270">
        <w:rPr>
          <w:rFonts w:ascii="Arial" w:hAnsi="Arial" w:cs="Arial"/>
          <w:bCs/>
          <w:i/>
          <w:iCs/>
          <w:sz w:val="24"/>
          <w:szCs w:val="24"/>
          <w:lang w:eastAsia="zh-TW"/>
        </w:rPr>
        <w:t>HFE</w:t>
      </w:r>
      <w:r w:rsidRPr="00B84270">
        <w:rPr>
          <w:rFonts w:ascii="Arial" w:hAnsi="Arial" w:cs="Arial"/>
          <w:bCs/>
          <w:iCs/>
          <w:sz w:val="24"/>
          <w:szCs w:val="24"/>
          <w:lang w:eastAsia="zh-TW"/>
        </w:rPr>
        <w:t xml:space="preserve"> and </w:t>
      </w:r>
      <w:r w:rsidRPr="00B84270">
        <w:rPr>
          <w:rFonts w:ascii="Arial" w:hAnsi="Arial" w:cs="Arial"/>
          <w:bCs/>
          <w:i/>
          <w:iCs/>
          <w:sz w:val="24"/>
          <w:szCs w:val="24"/>
          <w:lang w:eastAsia="zh-TW"/>
        </w:rPr>
        <w:t>TFR2</w:t>
      </w:r>
      <w:r w:rsidRPr="00B84270">
        <w:rPr>
          <w:rFonts w:ascii="Arial" w:hAnsi="Arial" w:cs="Arial"/>
          <w:bCs/>
          <w:sz w:val="24"/>
          <w:szCs w:val="24"/>
          <w:lang w:eastAsia="zh-TW"/>
        </w:rPr>
        <w:t xml:space="preserve">. </w:t>
      </w:r>
      <w:r w:rsidRPr="00B84270">
        <w:rPr>
          <w:rFonts w:ascii="Arial" w:hAnsi="Arial" w:cs="Arial"/>
          <w:bCs/>
          <w:sz w:val="24"/>
          <w:szCs w:val="24"/>
          <w:lang w:val="en-US" w:eastAsia="zh-TW"/>
        </w:rPr>
        <w:t xml:space="preserve">Results showed that the recombinant cells exceeded levels of cell-surface TfR1 in wild-type cells under basal (2.8-fold; p&lt;0.03) and holotransferrin-supplemented conditions for 24 h and 48 h (4.4- and 7.5-fold, respectively; p&lt;0.01). Also, these cells showed higher intracellular iron content than wild-type cells under basal (3-fold; p&lt;0.03) and holotransferrin-supplemented conditions (6.6-fold at 4 h; p&lt;0.01). However, hepcidin secretion was not higher than wild-type cells. Moreover, holotransferrin treatment to recombinant cells did not elevate </w:t>
      </w:r>
      <w:r w:rsidRPr="00B84270">
        <w:rPr>
          <w:rFonts w:ascii="Arial" w:hAnsi="Arial" w:cs="Arial"/>
          <w:bCs/>
          <w:i/>
          <w:sz w:val="24"/>
          <w:szCs w:val="24"/>
          <w:lang w:val="en-US" w:eastAsia="zh-TW"/>
        </w:rPr>
        <w:t>HAMP</w:t>
      </w:r>
      <w:r w:rsidRPr="00B84270">
        <w:rPr>
          <w:rFonts w:ascii="Arial" w:hAnsi="Arial" w:cs="Arial"/>
          <w:bCs/>
          <w:sz w:val="24"/>
          <w:szCs w:val="24"/>
          <w:lang w:val="en-US" w:eastAsia="zh-TW"/>
        </w:rPr>
        <w:t xml:space="preserve"> responses compared to untreated or wild-type cells. In conclusion, increased intracellular iron content in recombinant cells did not increase hepcidin responses compared to wild-type cells, resembling hemochromatosis. Furthermore, </w:t>
      </w:r>
      <w:r w:rsidRPr="00B84270">
        <w:rPr>
          <w:rFonts w:ascii="Arial" w:hAnsi="Arial" w:cs="Arial"/>
          <w:bCs/>
          <w:i/>
          <w:iCs/>
          <w:sz w:val="24"/>
          <w:szCs w:val="24"/>
          <w:lang w:val="en-US" w:eastAsia="zh-TW"/>
        </w:rPr>
        <w:t xml:space="preserve">TFR2 </w:t>
      </w:r>
      <w:r w:rsidRPr="00B84270">
        <w:rPr>
          <w:rFonts w:ascii="Arial" w:hAnsi="Arial" w:cs="Arial"/>
          <w:bCs/>
          <w:sz w:val="24"/>
          <w:szCs w:val="24"/>
          <w:lang w:val="en-US" w:eastAsia="zh-TW"/>
        </w:rPr>
        <w:t xml:space="preserve">expression altered within 4 h of treatment, while </w:t>
      </w:r>
      <w:r w:rsidRPr="00B84270">
        <w:rPr>
          <w:rFonts w:ascii="Arial" w:hAnsi="Arial" w:cs="Arial"/>
          <w:bCs/>
          <w:i/>
          <w:iCs/>
          <w:sz w:val="24"/>
          <w:szCs w:val="24"/>
          <w:lang w:val="en-US" w:eastAsia="zh-TW"/>
        </w:rPr>
        <w:t xml:space="preserve">HFE </w:t>
      </w:r>
      <w:r w:rsidRPr="00B84270">
        <w:rPr>
          <w:rFonts w:ascii="Arial" w:hAnsi="Arial" w:cs="Arial"/>
          <w:bCs/>
          <w:sz w:val="24"/>
          <w:szCs w:val="24"/>
          <w:lang w:val="en-US" w:eastAsia="zh-TW"/>
        </w:rPr>
        <w:t xml:space="preserve">expression altered later at 24 h and 48 h, suggesting that TFR2 may function prior to HFE in </w:t>
      </w:r>
      <w:r w:rsidRPr="00B84270">
        <w:rPr>
          <w:rFonts w:ascii="Arial" w:hAnsi="Arial" w:cs="Arial"/>
          <w:bCs/>
          <w:i/>
          <w:sz w:val="24"/>
          <w:szCs w:val="24"/>
          <w:lang w:val="en-US" w:eastAsia="zh-TW"/>
        </w:rPr>
        <w:t xml:space="preserve">HAMP </w:t>
      </w:r>
      <w:r w:rsidRPr="00B84270">
        <w:rPr>
          <w:rFonts w:ascii="Arial" w:hAnsi="Arial" w:cs="Arial"/>
          <w:bCs/>
          <w:sz w:val="24"/>
          <w:szCs w:val="24"/>
          <w:lang w:val="en-US" w:eastAsia="zh-TW"/>
        </w:rPr>
        <w:t>regulation.</w:t>
      </w:r>
    </w:p>
    <w:p w:rsidR="009D0D61" w:rsidRPr="00B84270" w:rsidRDefault="009D0D61" w:rsidP="005510CB">
      <w:pPr>
        <w:pStyle w:val="BodyText"/>
        <w:jc w:val="left"/>
        <w:rPr>
          <w:b/>
          <w:strike w:val="0"/>
          <w:lang w:val="en-US"/>
        </w:rPr>
      </w:pPr>
    </w:p>
    <w:p w:rsidR="00805D58" w:rsidRPr="00B84270" w:rsidRDefault="007D5B6F" w:rsidP="005510CB">
      <w:pPr>
        <w:pStyle w:val="BodyText"/>
        <w:jc w:val="left"/>
        <w:rPr>
          <w:strike w:val="0"/>
          <w:shd w:val="clear" w:color="auto" w:fill="FFFFFF"/>
          <w:lang w:val="en-US"/>
        </w:rPr>
      </w:pPr>
      <w:r w:rsidRPr="00B84270">
        <w:rPr>
          <w:b/>
          <w:strike w:val="0"/>
          <w:lang w:val="en-US"/>
        </w:rPr>
        <w:t>Keywords:</w:t>
      </w:r>
      <w:r w:rsidR="00565E7D" w:rsidRPr="00B84270">
        <w:rPr>
          <w:b/>
          <w:strike w:val="0"/>
          <w:lang w:val="en-US"/>
        </w:rPr>
        <w:t xml:space="preserve"> </w:t>
      </w:r>
      <w:r w:rsidR="00C638DC" w:rsidRPr="00B84270">
        <w:rPr>
          <w:strike w:val="0"/>
          <w:lang w:val="en-US"/>
        </w:rPr>
        <w:t xml:space="preserve">hepcidin, </w:t>
      </w:r>
      <w:r w:rsidR="00C113EB" w:rsidRPr="00B84270">
        <w:rPr>
          <w:strike w:val="0"/>
          <w:lang w:val="en-US"/>
        </w:rPr>
        <w:t xml:space="preserve">iron, </w:t>
      </w:r>
      <w:r w:rsidR="000B63DA" w:rsidRPr="00B84270">
        <w:rPr>
          <w:strike w:val="0"/>
          <w:lang w:val="en-US"/>
        </w:rPr>
        <w:t xml:space="preserve">HepG2, hepatocyte, </w:t>
      </w:r>
      <w:r w:rsidR="00C638DC" w:rsidRPr="00B84270">
        <w:rPr>
          <w:strike w:val="0"/>
          <w:lang w:val="en-US"/>
        </w:rPr>
        <w:t xml:space="preserve">transferrin </w:t>
      </w:r>
    </w:p>
    <w:p w:rsidR="00A92473" w:rsidRPr="00B84270" w:rsidRDefault="00A92473" w:rsidP="005510CB">
      <w:pPr>
        <w:pStyle w:val="BodyText"/>
        <w:jc w:val="left"/>
        <w:rPr>
          <w:strike w:val="0"/>
          <w:shd w:val="clear" w:color="auto" w:fill="FFFFFF"/>
          <w:lang w:val="en-US"/>
        </w:rPr>
      </w:pPr>
    </w:p>
    <w:p w:rsidR="00CE1F34" w:rsidRPr="00B84270" w:rsidRDefault="00CE1F34" w:rsidP="005510CB">
      <w:pPr>
        <w:pStyle w:val="BodyText"/>
        <w:jc w:val="left"/>
        <w:rPr>
          <w:strike w:val="0"/>
          <w:shd w:val="clear" w:color="auto" w:fill="FFFFFF"/>
          <w:lang w:val="en-US"/>
        </w:rPr>
      </w:pPr>
    </w:p>
    <w:p w:rsidR="00CE1F34" w:rsidRPr="00B84270" w:rsidRDefault="00CE1F34" w:rsidP="005510CB">
      <w:pPr>
        <w:pStyle w:val="BodyText"/>
        <w:jc w:val="left"/>
        <w:rPr>
          <w:strike w:val="0"/>
          <w:shd w:val="clear" w:color="auto" w:fill="FFFFFF"/>
          <w:lang w:val="en-US"/>
        </w:rPr>
      </w:pPr>
    </w:p>
    <w:p w:rsidR="00CE1F34" w:rsidRPr="00B84270" w:rsidRDefault="00CE1F34" w:rsidP="005510CB">
      <w:pPr>
        <w:pStyle w:val="BodyText"/>
        <w:jc w:val="left"/>
        <w:rPr>
          <w:strike w:val="0"/>
          <w:shd w:val="clear" w:color="auto" w:fill="FFFFFF"/>
          <w:lang w:val="en-US"/>
        </w:rPr>
      </w:pPr>
    </w:p>
    <w:p w:rsidR="00CE1F34" w:rsidRPr="00B84270" w:rsidRDefault="00CE1F34" w:rsidP="005510CB">
      <w:pPr>
        <w:pStyle w:val="BodyText"/>
        <w:jc w:val="left"/>
        <w:rPr>
          <w:strike w:val="0"/>
          <w:shd w:val="clear" w:color="auto" w:fill="FFFFFF"/>
          <w:lang w:val="en-US"/>
        </w:rPr>
      </w:pPr>
    </w:p>
    <w:p w:rsidR="00CE1F34" w:rsidRPr="00B84270" w:rsidRDefault="00CE1F34" w:rsidP="005510CB">
      <w:pPr>
        <w:pStyle w:val="BodyText"/>
        <w:jc w:val="left"/>
        <w:rPr>
          <w:strike w:val="0"/>
          <w:shd w:val="clear" w:color="auto" w:fill="FFFFFF"/>
          <w:lang w:val="en-US"/>
        </w:rPr>
      </w:pPr>
    </w:p>
    <w:p w:rsidR="00F32366" w:rsidRPr="00B84270" w:rsidRDefault="00F32366" w:rsidP="005510CB">
      <w:pPr>
        <w:pStyle w:val="BodyText"/>
        <w:jc w:val="left"/>
        <w:rPr>
          <w:strike w:val="0"/>
          <w:shd w:val="clear" w:color="auto" w:fill="FFFFFF"/>
          <w:lang w:val="en-US"/>
        </w:rPr>
      </w:pPr>
    </w:p>
    <w:p w:rsidR="00F32366" w:rsidRPr="00B84270" w:rsidRDefault="00F32366" w:rsidP="005510CB">
      <w:pPr>
        <w:pStyle w:val="BodyText"/>
        <w:jc w:val="left"/>
        <w:rPr>
          <w:strike w:val="0"/>
          <w:shd w:val="clear" w:color="auto" w:fill="FFFFFF"/>
          <w:lang w:val="en-US"/>
        </w:rPr>
      </w:pPr>
    </w:p>
    <w:p w:rsidR="00F32366" w:rsidRPr="00B84270" w:rsidRDefault="00F32366" w:rsidP="005510CB">
      <w:pPr>
        <w:pStyle w:val="BodyText"/>
        <w:jc w:val="left"/>
        <w:rPr>
          <w:strike w:val="0"/>
          <w:shd w:val="clear" w:color="auto" w:fill="FFFFFF"/>
          <w:lang w:val="en-US"/>
        </w:rPr>
      </w:pPr>
    </w:p>
    <w:p w:rsidR="000A126A" w:rsidRPr="00B84270" w:rsidRDefault="000A126A" w:rsidP="005510CB">
      <w:pPr>
        <w:pStyle w:val="BodyText"/>
        <w:jc w:val="left"/>
        <w:rPr>
          <w:strike w:val="0"/>
          <w:shd w:val="clear" w:color="auto" w:fill="FFFFFF"/>
          <w:lang w:val="en-US"/>
        </w:rPr>
      </w:pPr>
    </w:p>
    <w:p w:rsidR="000A126A" w:rsidRPr="00B84270" w:rsidRDefault="000A126A" w:rsidP="005510CB">
      <w:pPr>
        <w:pStyle w:val="BodyText"/>
        <w:jc w:val="left"/>
        <w:rPr>
          <w:strike w:val="0"/>
          <w:shd w:val="clear" w:color="auto" w:fill="FFFFFF"/>
          <w:lang w:val="en-US"/>
        </w:rPr>
      </w:pPr>
    </w:p>
    <w:p w:rsidR="001A2775" w:rsidRPr="00B84270" w:rsidRDefault="001A2775" w:rsidP="005510CB">
      <w:pPr>
        <w:pStyle w:val="BodyText"/>
        <w:jc w:val="left"/>
        <w:rPr>
          <w:strike w:val="0"/>
          <w:shd w:val="clear" w:color="auto" w:fill="FFFFFF"/>
          <w:lang w:val="en-US"/>
        </w:rPr>
      </w:pPr>
    </w:p>
    <w:p w:rsidR="00AF7FAD" w:rsidRPr="00B84270" w:rsidRDefault="00CE1F34" w:rsidP="005510CB">
      <w:pPr>
        <w:spacing w:after="0" w:line="360" w:lineRule="auto"/>
        <w:rPr>
          <w:rFonts w:ascii="Arial" w:hAnsi="Arial" w:cs="Arial"/>
          <w:bCs/>
          <w:sz w:val="24"/>
          <w:szCs w:val="24"/>
          <w:lang w:val="en-US" w:eastAsia="zh-TW"/>
        </w:rPr>
      </w:pPr>
      <w:r w:rsidRPr="00B84270">
        <w:rPr>
          <w:rFonts w:ascii="Arial" w:hAnsi="Arial" w:cs="Arial"/>
          <w:b/>
          <w:sz w:val="24"/>
          <w:szCs w:val="24"/>
          <w:lang w:val="en-US"/>
        </w:rPr>
        <w:lastRenderedPageBreak/>
        <w:t>I</w:t>
      </w:r>
      <w:r w:rsidR="001F152B" w:rsidRPr="00B84270">
        <w:rPr>
          <w:rFonts w:ascii="Arial" w:hAnsi="Arial" w:cs="Arial"/>
          <w:b/>
          <w:sz w:val="24"/>
          <w:szCs w:val="24"/>
          <w:lang w:val="en-US"/>
        </w:rPr>
        <w:t xml:space="preserve">ntroduction </w:t>
      </w:r>
    </w:p>
    <w:p w:rsidR="001A047C" w:rsidRPr="00B84270" w:rsidRDefault="00AF09E6" w:rsidP="005510CB">
      <w:pPr>
        <w:spacing w:after="0" w:line="360" w:lineRule="auto"/>
        <w:rPr>
          <w:rFonts w:ascii="Arial" w:hAnsi="Arial" w:cs="Arial"/>
          <w:sz w:val="24"/>
          <w:szCs w:val="24"/>
          <w:lang w:val="en-US"/>
        </w:rPr>
      </w:pPr>
      <w:r w:rsidRPr="00B84270">
        <w:rPr>
          <w:rFonts w:ascii="Arial" w:hAnsi="Arial" w:cs="Arial"/>
          <w:sz w:val="24"/>
          <w:szCs w:val="24"/>
          <w:lang w:val="en-US"/>
        </w:rPr>
        <w:t xml:space="preserve">Hepcidin, the 25-mer </w:t>
      </w:r>
      <w:r w:rsidR="00F02A6C" w:rsidRPr="00B84270">
        <w:rPr>
          <w:rFonts w:ascii="Arial" w:hAnsi="Arial" w:cs="Arial"/>
          <w:sz w:val="24"/>
          <w:szCs w:val="24"/>
          <w:lang w:val="en-US"/>
        </w:rPr>
        <w:t>iron-</w:t>
      </w:r>
      <w:r w:rsidRPr="00B84270">
        <w:rPr>
          <w:rFonts w:ascii="Arial" w:hAnsi="Arial" w:cs="Arial"/>
          <w:sz w:val="24"/>
          <w:szCs w:val="24"/>
          <w:lang w:val="en-US"/>
        </w:rPr>
        <w:t>hormone</w:t>
      </w:r>
      <w:r w:rsidR="00525C2B" w:rsidRPr="00B84270">
        <w:rPr>
          <w:rFonts w:ascii="Arial" w:hAnsi="Arial" w:cs="Arial"/>
          <w:sz w:val="24"/>
          <w:szCs w:val="24"/>
          <w:lang w:val="en-US"/>
        </w:rPr>
        <w:t xml:space="preserve"> is secreted by the liver</w:t>
      </w:r>
      <w:r w:rsidR="00C926ED" w:rsidRPr="00B84270">
        <w:rPr>
          <w:rFonts w:ascii="Arial" w:hAnsi="Arial" w:cs="Arial"/>
          <w:sz w:val="24"/>
          <w:szCs w:val="24"/>
          <w:lang w:val="en-US"/>
        </w:rPr>
        <w:t xml:space="preserve"> hepatocytes</w:t>
      </w:r>
      <w:r w:rsidR="00525C2B" w:rsidRPr="00B84270">
        <w:rPr>
          <w:rFonts w:ascii="Arial" w:hAnsi="Arial" w:cs="Arial"/>
          <w:sz w:val="24"/>
          <w:szCs w:val="24"/>
          <w:lang w:val="en-US"/>
        </w:rPr>
        <w:t xml:space="preserve"> in response to increased systemic iron levels in the body</w:t>
      </w:r>
      <w:r w:rsidR="009C5893" w:rsidRPr="00B84270">
        <w:rPr>
          <w:rFonts w:ascii="Arial" w:hAnsi="Arial" w:cs="Arial"/>
          <w:sz w:val="24"/>
          <w:szCs w:val="24"/>
          <w:lang w:val="en-US"/>
        </w:rPr>
        <w:t xml:space="preserve"> </w:t>
      </w:r>
      <w:r w:rsidR="00614C46" w:rsidRPr="00B84270">
        <w:rPr>
          <w:rFonts w:ascii="Arial" w:hAnsi="Arial" w:cs="Arial"/>
          <w:sz w:val="24"/>
          <w:szCs w:val="24"/>
          <w:lang w:val="en-US"/>
        </w:rPr>
        <w:fldChar w:fldCharType="begin"/>
      </w:r>
      <w:r w:rsidR="00024C0B" w:rsidRPr="00B84270">
        <w:rPr>
          <w:rFonts w:ascii="Arial" w:hAnsi="Arial" w:cs="Arial"/>
          <w:sz w:val="24"/>
          <w:szCs w:val="24"/>
          <w:lang w:val="en-US"/>
        </w:rPr>
        <w:instrText xml:space="preserve"> ADDIN ZOTERO_ITEM CSL_CITATION {"citationID":"V6o2V6Pm","properties":{"formattedCitation":"(1,2)","plainCitation":"(1,2)"},"citationItems":[{"id":186,"uris":["http://zotero.org/users/2804724/items/NZW4KK5W"],"uri":["http://zotero.org/users/2804724/items/NZW4KK5W"],"itemData":{"id":186,"type":"article-journal","title":"A new mouse liver-specific gene, encoding a protein homologous to human antimicrobial peptide hepcidin, is overexpressed during iron overload","container-title":"The Journal of Biological Chemistry","page":"7811-7819","volume":"276","issue":"11","source":"PubMed","abstract":"Considering that the development of hepatic lesions related to iron overload diseases might be a result of abnormally expressed hepatic genes, we searched for new genes up-regulated under the condition of iron excess. By suppressive subtractive hybridization performed between livers from carbonyl iron-overloaded and control mice, we isolated a 225-base pair cDNA. By Northern blot analysis, the corresponding mRNA was confirmed to be overexpressed in livers of experimentally (carbonyl iron and iron-dextran-treated mice) and spontaneously (beta(2)-microglobulin knockout mice) iron-overloaded mice. In addition, beta(2)-microglobulin knockout mice fed with a low iron content diet exhibited a decrease of hepatic mRNA expression. The murine full-length cDNA was isolated and was found to encode an 83-amino acid protein presenting a strong homology in its C-terminal region to the human antimicrobial peptide hepcidin. In addition, we cloned the corresponding rat and human orthologue cDNAs. Both mouse and human genes named HEPC are constituted of 3 exons and 2 introns and are located on chromosome 7 and 19, respectively, in close proximity to USF2 gene. In mouse and human, HEPC mRNA was predominantly expressed in the liver. During both in vivo and in vitro studies, HEPC mRNA expression was enhanced in mouse hepatocytes under the effect of lipopolysaccharide. Finally, to analyze the intracellular localization of the predicted protein, we used the green fluorescent protein chimera expression vectors. The murine green fluorescent protein-prohepcidin protein was exclusively localized in the nucleus. When the putative nuclear localization signal was deleted, the resulting protein was addressed to the cytoplasm. Taken together, our data strongly suggest that the product of the new liver-specific gene HEPC might play a specific role during iron overload and exhibit additional functions distinct from its antimicrobial activity.","DOI":"10.1074/jbc.M008923200","ISSN":"0021-9258","note":"PMID: 11113132","journalAbbreviation":"J. Biol. Chem.","language":"eng","author":[{"family":"Pigeon","given":"C."},{"family":"Ilyin","given":"G."},{"family":"Courselaud","given":"B."},{"family":"Leroyer","given":"P."},{"family":"Turlin","given":"B."},{"family":"Brissot","given":"P."},{"family":"Loréal","given":"O."}],"issued":{"date-parts":[["2001",3,16]]},"PMID":"11113132"}},{"id":188,"uris":["http://zotero.org/users/2804724/items/286XP3KB"],"uri":["http://zotero.org/users/2804724/items/286XP3KB"],"itemData":{"id":188,"type":"article-journal","title":"Hepcidin, a urinary antimicrobial peptide synthesized in the liver","container-title":"The Journal of Biological Chemistry","page":"7806-7810","volume":"276","issue":"11","source":"PubMed","abstract":"Cysteine-rich antimicrobial peptides are abundant in animal and plant tissues involved in host defense. In insects, most are synthesized in the fat body, an organ analogous to the liver of vertebrates. From human urine, we characterized a cysteine-rich peptide with three forms differing by amino-terminal truncation, and we named it hepcidin (Hepc) because of its origin in the liver and its antimicrobial properties. Two predominant forms, Hepc20 and Hepc25, contained 20 and 25 amino acid residues with all 8 cysteines connected by intramolecular disulfide bonds. Reverse translation and search of the data bases found homologous liver cDNAs in species from fish to human and a corresponding human genomic sequence on human chromosome 19. The full cDNA by 5' rapid amplification of cDNA ends was 0.4 kilobase pair, in agreement with hepcidin mRNA size on Northern blots. The liver was the predominant site of mRNA expression. The encoded prepropeptide contains 84 amino acids, but only the 20-25-amino acid processed forms were found in urine. Hepcidins exhibited antifungal activity against Candida albicans, Aspergillus fumigatus, and Aspergillus niger and antibacterial activity against Escherichia coli, Staphylococcus aureus, Staphylococcus epidermidis, and group B Streptococcus. Hepcidin may be a vertebrate counterpart of cysteine-rich antimicrobial peptides produced in the fat body of insects.","DOI":"10.1074/jbc.M008922200","ISSN":"0021-9258","note":"PMID: 11113131","journalAbbreviation":"J. Biol. Chem.","language":"eng","author":[{"family":"Park","given":"C. H."},{"family":"Valore","given":"E. V."},{"family":"Waring","given":"A. J."},{"family":"Ganz","given":"T."}],"issued":{"date-parts":[["2001",3,16]]},"PMID":"11113131"}}],"schema":"https://github.com/citation-style-language/schema/raw/master/csl-citation.json"} </w:instrText>
      </w:r>
      <w:r w:rsidR="00614C46" w:rsidRPr="00B84270">
        <w:rPr>
          <w:rFonts w:ascii="Arial" w:hAnsi="Arial" w:cs="Arial"/>
          <w:sz w:val="24"/>
          <w:szCs w:val="24"/>
          <w:lang w:val="en-US"/>
        </w:rPr>
        <w:fldChar w:fldCharType="separate"/>
      </w:r>
      <w:r w:rsidR="000A09BE" w:rsidRPr="00B84270">
        <w:rPr>
          <w:rFonts w:ascii="Arial" w:hAnsi="Arial" w:cs="Arial"/>
          <w:sz w:val="24"/>
        </w:rPr>
        <w:t>(1,2)</w:t>
      </w:r>
      <w:r w:rsidR="00614C46" w:rsidRPr="00B84270">
        <w:rPr>
          <w:rFonts w:ascii="Arial" w:hAnsi="Arial" w:cs="Arial"/>
          <w:sz w:val="24"/>
          <w:szCs w:val="24"/>
          <w:lang w:val="en-US"/>
        </w:rPr>
        <w:fldChar w:fldCharType="end"/>
      </w:r>
      <w:r w:rsidR="00024C0B" w:rsidRPr="00B84270">
        <w:rPr>
          <w:rFonts w:ascii="Arial" w:hAnsi="Arial" w:cs="Arial"/>
          <w:sz w:val="24"/>
          <w:szCs w:val="24"/>
          <w:lang w:val="en-US"/>
        </w:rPr>
        <w:t xml:space="preserve">. </w:t>
      </w:r>
      <w:r w:rsidR="00FB1746" w:rsidRPr="00B84270">
        <w:rPr>
          <w:rFonts w:ascii="Arial" w:hAnsi="Arial" w:cs="Arial"/>
          <w:sz w:val="24"/>
          <w:szCs w:val="24"/>
          <w:lang w:val="en-US"/>
        </w:rPr>
        <w:t xml:space="preserve">It </w:t>
      </w:r>
      <w:r w:rsidR="00525C2B" w:rsidRPr="00B84270">
        <w:rPr>
          <w:rFonts w:ascii="Arial" w:hAnsi="Arial" w:cs="Arial"/>
          <w:sz w:val="24"/>
          <w:szCs w:val="24"/>
          <w:lang w:val="en-US"/>
        </w:rPr>
        <w:t>binds to ferroportin, the iron</w:t>
      </w:r>
      <w:r w:rsidR="00F02A6C" w:rsidRPr="00B84270">
        <w:rPr>
          <w:rFonts w:ascii="Arial" w:hAnsi="Arial" w:cs="Arial"/>
          <w:sz w:val="24"/>
          <w:szCs w:val="24"/>
          <w:lang w:val="en-US"/>
        </w:rPr>
        <w:t>-</w:t>
      </w:r>
      <w:r w:rsidR="00525C2B" w:rsidRPr="00B84270">
        <w:rPr>
          <w:rFonts w:ascii="Arial" w:hAnsi="Arial" w:cs="Arial"/>
          <w:sz w:val="24"/>
          <w:szCs w:val="24"/>
          <w:lang w:val="en-US"/>
        </w:rPr>
        <w:t xml:space="preserve">exporter </w:t>
      </w:r>
      <w:r w:rsidR="00F02A6C" w:rsidRPr="00B84270">
        <w:rPr>
          <w:rFonts w:ascii="Arial" w:hAnsi="Arial" w:cs="Arial"/>
          <w:sz w:val="24"/>
          <w:szCs w:val="24"/>
          <w:lang w:val="en-US"/>
        </w:rPr>
        <w:t xml:space="preserve">protein on </w:t>
      </w:r>
      <w:r w:rsidR="00296ED8" w:rsidRPr="00B84270">
        <w:rPr>
          <w:rFonts w:ascii="Arial" w:hAnsi="Arial" w:cs="Arial"/>
          <w:sz w:val="24"/>
          <w:szCs w:val="24"/>
          <w:lang w:val="en-US"/>
        </w:rPr>
        <w:t>hepatocytes</w:t>
      </w:r>
      <w:r w:rsidR="00F22BC0" w:rsidRPr="00B84270">
        <w:rPr>
          <w:rFonts w:ascii="Arial" w:hAnsi="Arial" w:cs="Arial"/>
          <w:sz w:val="24"/>
          <w:szCs w:val="24"/>
          <w:lang w:val="en-US"/>
        </w:rPr>
        <w:t xml:space="preserve">, duodenal enterocytes </w:t>
      </w:r>
      <w:r w:rsidR="00296ED8" w:rsidRPr="00B84270">
        <w:rPr>
          <w:rFonts w:ascii="Arial" w:hAnsi="Arial" w:cs="Arial"/>
          <w:sz w:val="24"/>
          <w:szCs w:val="24"/>
          <w:lang w:val="en-US"/>
        </w:rPr>
        <w:t>and sple</w:t>
      </w:r>
      <w:r w:rsidR="00525C2B" w:rsidRPr="00B84270">
        <w:rPr>
          <w:rFonts w:ascii="Arial" w:hAnsi="Arial" w:cs="Arial"/>
          <w:sz w:val="24"/>
          <w:szCs w:val="24"/>
          <w:lang w:val="en-US"/>
        </w:rPr>
        <w:t xml:space="preserve">nic and liver macrophages </w:t>
      </w:r>
      <w:r w:rsidR="00614C46" w:rsidRPr="00B84270">
        <w:rPr>
          <w:rFonts w:ascii="Arial" w:hAnsi="Arial" w:cs="Arial"/>
          <w:sz w:val="24"/>
          <w:szCs w:val="24"/>
          <w:lang w:val="en-US"/>
        </w:rPr>
        <w:fldChar w:fldCharType="begin"/>
      </w:r>
      <w:r w:rsidR="003777D3" w:rsidRPr="00B84270">
        <w:rPr>
          <w:rFonts w:ascii="Arial" w:hAnsi="Arial" w:cs="Arial"/>
          <w:sz w:val="24"/>
          <w:szCs w:val="24"/>
          <w:lang w:val="en-US"/>
        </w:rPr>
        <w:instrText xml:space="preserve"> ADDIN ZOTERO_ITEM CSL_CITATION {"citationID":"XXdukKkh","properties":{"formattedCitation":"{\\rtf (3\\uc0\\u8211{}5)}","plainCitation":"(3–5)"},"citationItems":[{"id":190,"uris":["http://zotero.org/users/2804724/items/WHPBI45D"],"uri":["http://zotero.org/users/2804724/items/WHPBI45D"],"itemData":{"id":190,"type":"article-journal","title":"A novel mammalian iron-regulated protein involved in intracellular iron metabolism","container-title":"The Journal of Biological Chemistry","page":"19906-19912","volume":"275","issue":"26","source":"PubMed","abstract":"We have isolated and characterized a novel iron-regulated gene that is homologous to the divalent metal transporter 1 family of metal transporters. This gene, termed metal transporter protein (mtp1), is expressed in tissues involved in body iron homeostasis including the developing and mature reticuloendothelial system, the duodenum, and the pregnant uterus. MTP1 is also expressed in muscle and central nervous system cells in the embryo. At the subcellular level, MTP1 is localized to the basolateral membrane of the duodenal epithelial cell and a cytoplasmic compartment of reticuloendothelial system cells. Overexpression of MTP1 in tissue culture cells results in intracellular iron depletion. In the adult mouse, MTP1 expression in the liver and duodenum are reciprocally regulated. Iron deficiency induces MTP1 expression in the duodenum but down-regulates expression in the liver. These data indicate that MTP1 is an iron-regulated membrane-spanning protein that is involved in intracellular iron metabolism.","DOI":"10.1074/jbc.M000713200","ISSN":"0021-9258","note":"PMID: 10747949","journalAbbreviation":"J. Biol. Chem.","language":"eng","author":[{"family":"Abboud","given":"S."},{"family":"Haile","given":"D. J."}],"issued":{"date-parts":[["2000",6,30]]},"PMID":"10747949"}},{"id":192,"uris":["http://zotero.org/users/2804724/items/WZIQAUKF"],"uri":["http://zotero.org/users/2804724/items/WZIQAUKF"],"itemData":{"id":192,"type":"article-journal","title":"Positional cloning of zebrafish ferroportin1 identifies a conserved vertebrate iron exporter","container-title":"Nature","page":"776-781","volume":"403","issue":"6771","source":"PubMed","abstract":"Defects in iron absorption and utilization lead to iron deficiency and overload disorders. Adult mammals absorb iron through the duodenum, whereas embryos obtain iron through placental transport. Iron uptake from the intestinal lumen through the apical surface of polarized duodenal enterocytes is mediated by the divalent metal transporter, DMTi. A second transporter has been postulated to export iron across the basolateral surface to the circulation. Here we have used positional cloning to identify the gene responsible for the hypochromic anaemia of the zebrafish mutant weissherbst. The gene, ferroportin1, encodes a multiple-transmembrane domain protein, expressed in the yolk sac, that is a candidate for the elusive iron exporter. Zebrafish ferroportin1 is required for the transport of iron from maternally derived yolk stores to the circulation and functions as an iron exporter when expressed in Xenopus oocytes. Human Ferroportin1 is found at the basal surface of placental syncytiotrophoblasts, suggesting that it also transports iron from mother to embryo. Mammalian Ferroportin1 is expressed at the basolateral surface of duodenal enterocytes and could export cellular iron into the circulation. We propose that Ferroportin1 function may be perturbed in mammalian disorders of iron deficiency or overload.","DOI":"10.1038/35001596","ISSN":"0028-0836","note":"PMID: 10693807","journalAbbreviation":"Nature","language":"eng","author":[{"family":"Donovan","given":"A."},{"family":"Brownlie","given":"A."},{"family":"Zhou","given":"Y."},{"family":"Shepard","given":"J."},{"family":"Pratt","given":"S. J."},{"family":"Moynihan","given":"J."},{"family":"Paw","given":"B. H."},{"family":"Drejer","given":"A."},{"family":"Barut","given":"B."},{"family":"Zapata","given":"A."},{"family":"Law","given":"T. C."},{"family":"Brugnara","given":"C."},{"family":"Lux","given":"S. E."},{"family":"Pinkus","given":"G. S."},{"family":"Pinkus","given":"J. L."},{"family":"Kingsley","given":"P. D."},{"family":"Palis","given":"J."},{"family":"Fleming","given":"M. D."},{"family":"Andrews","given":"N. C."},{"family":"Zon","given":"L. I."}],"issued":{"date-parts":[["2000",2,17]]},"PMID":"10693807"}},{"id":194,"uris":["http://zotero.org/users/2804724/items/KUCXBHQF"],"uri":["http://zotero.org/users/2804724/items/KUCXBHQF"],"itemData":{"id":194,"type":"article-journal","title":"Hepcidin targets ferroportin for degradation in hepatocytes","container-title":"Haematologica","page":"501-504","volume":"95","issue":"3","source":"PubMed","abstract":"Hepcidin, a circulating regulatory hormone peptide produced by hepatocytes, functions as the master regulator of cellular iron export by controlling the amount of ferroportin, an iron exporter present on the basolateral surface of intestinal enterocytes and macrophages. Hepcidin binding to ferroportin induces its internalization and degradation, resulting in cellular iron retention and decreased iron export. Whether hepatocytes express ferroportin that could be targeted by hepcidin has remained a subject of debate. Here, we describe a hepatocyte culture system expressing high levels of ferroportin, and demonstrate that both endogenously secreted and synthetic hepcidin are fully active in down-regulating membrane-associated ferroportin. In agreement with this result, ferroportin is stabilized in liver hepatocytes of hepcidin-deficient mice and accumulates in periportal areas, supporting the centrolobular iron deposition observed in these mice. In conclusion, we show that hepcidin can trigger ferroportin degradation in hepatocytes, which must be taken into account when considering hepcidin therapeutics.","DOI":"10.3324/haematol.2009.014399","ISSN":"1592-8721","note":"PMID: 19773263\nPMCID: PMC2833082","journalAbbreviation":"Haematologica","language":"eng","author":[{"family":"Ramey","given":"Guillemette"},{"family":"Deschemin","given":"Jean-Christophe"},{"family":"Durel","given":"Béatrice"},{"family":"Canonne-Hergaux","given":"François"},{"family":"Nicolas","given":"Gaël"},{"family":"Vaulont","given":"Sophie"}],"issued":{"date-parts":[["2010",3]]},"PMID":"19773263","PMCID":"PMC2833082"}}],"schema":"https://github.com/citation-style-language/schema/raw/master/csl-citation.json"} </w:instrText>
      </w:r>
      <w:r w:rsidR="00614C46" w:rsidRPr="00B84270">
        <w:rPr>
          <w:rFonts w:ascii="Arial" w:hAnsi="Arial" w:cs="Arial"/>
          <w:sz w:val="24"/>
          <w:szCs w:val="24"/>
          <w:lang w:val="en-US"/>
        </w:rPr>
        <w:fldChar w:fldCharType="separate"/>
      </w:r>
      <w:r w:rsidR="000A09BE" w:rsidRPr="00B84270">
        <w:rPr>
          <w:rFonts w:ascii="Arial" w:hAnsi="Arial" w:cs="Arial"/>
          <w:sz w:val="24"/>
          <w:szCs w:val="24"/>
        </w:rPr>
        <w:t>(3–5)</w:t>
      </w:r>
      <w:r w:rsidR="00614C46" w:rsidRPr="00B84270">
        <w:rPr>
          <w:rFonts w:ascii="Arial" w:hAnsi="Arial" w:cs="Arial"/>
          <w:sz w:val="24"/>
          <w:szCs w:val="24"/>
          <w:lang w:val="en-US"/>
        </w:rPr>
        <w:fldChar w:fldCharType="end"/>
      </w:r>
      <w:r w:rsidR="000A126A" w:rsidRPr="00B84270">
        <w:rPr>
          <w:rFonts w:ascii="Arial" w:hAnsi="Arial" w:cs="Arial"/>
          <w:sz w:val="24"/>
          <w:szCs w:val="24"/>
          <w:lang w:val="en-US"/>
        </w:rPr>
        <w:t xml:space="preserve"> </w:t>
      </w:r>
      <w:r w:rsidR="00494B44" w:rsidRPr="00B84270">
        <w:rPr>
          <w:rFonts w:ascii="Arial" w:hAnsi="Arial" w:cs="Arial"/>
          <w:sz w:val="24"/>
          <w:szCs w:val="24"/>
          <w:lang w:val="en-US"/>
        </w:rPr>
        <w:t xml:space="preserve">and causes </w:t>
      </w:r>
      <w:r w:rsidR="00525C2B" w:rsidRPr="00B84270">
        <w:rPr>
          <w:rFonts w:ascii="Arial" w:hAnsi="Arial" w:cs="Arial"/>
          <w:sz w:val="24"/>
          <w:szCs w:val="24"/>
          <w:lang w:val="en-US"/>
        </w:rPr>
        <w:t>intracellular degradation of both hepcidin and ferroportin</w:t>
      </w:r>
      <w:r w:rsidR="003A416C" w:rsidRPr="00B84270">
        <w:rPr>
          <w:rFonts w:ascii="Arial" w:hAnsi="Arial" w:cs="Arial"/>
          <w:sz w:val="24"/>
          <w:szCs w:val="24"/>
          <w:lang w:val="en-US"/>
        </w:rPr>
        <w:t xml:space="preserve"> </w:t>
      </w:r>
      <w:r w:rsidR="00614C46" w:rsidRPr="00B84270">
        <w:rPr>
          <w:rFonts w:ascii="Arial" w:hAnsi="Arial" w:cs="Arial"/>
          <w:sz w:val="24"/>
          <w:szCs w:val="24"/>
          <w:lang w:val="en-US"/>
        </w:rPr>
        <w:fldChar w:fldCharType="begin"/>
      </w:r>
      <w:r w:rsidR="003A416C" w:rsidRPr="00B84270">
        <w:rPr>
          <w:rFonts w:ascii="Arial" w:hAnsi="Arial" w:cs="Arial"/>
          <w:sz w:val="24"/>
          <w:szCs w:val="24"/>
          <w:lang w:val="en-US"/>
        </w:rPr>
        <w:instrText xml:space="preserve"> ADDIN ZOTERO_ITEM CSL_CITATION {"citationID":"2ctf78fge2","properties":{"formattedCitation":"(6)","plainCitation":"(6)"},"citationItems":[{"id":196,"uris":["http://zotero.org/users/2804724/items/HICTJVUH"],"uri":["http://zotero.org/users/2804724/items/HICTJVUH"],"itemData":{"id":196,"type":"article-journal","title":"Cellular catabolism of the iron-regulatory peptide hormone hepcidin","container-title":"PloS One","page":"e58934","volume":"8","issue":"3","source":"PubMed","abstract":"Hepcidin, a 25-amino acid peptide hormone, is the principal regulator of plasma iron concentrations. Hepcidin binding to its receptor, the iron exporter ferroportin, induces ferroportin internalization and degradation, thus blocking iron efflux from cells into plasma. The aim of this study was to characterize the fate of hepcidin after binding to ferroportin. We show that hepcidin is taken up by ferroportin-expressing cells in a temperature- and pH-dependent manner, and degraded together with its receptor. When Texas red-labeled hepcidin (TR-Hep) was added to ferroportin-GFP (Fpn-GFP) expressing cells, confocal microscopy showed co-localization of TR-Hep with Fpn-GFP. Using flow cytometry, we showed that the peptide was almost completely degraded by 24 h after its addition, but that lysosomal inhibitors completely prevented degradation of both ferroportin and hepcidin. In addition, using radio-labeled hepcidin and HPLC analysis we show that hepcidin is not recycled, and that only degradation products are released from the cells. Together these results show that the hormone hepcidin and its receptor ferroportin are internalized together and trafficked to lysosomes where both are degraded.","DOI":"10.1371/journal.pone.0058934","ISSN":"1932-6203","note":"PMID: 23536837\nPMCID: PMC3594189","journalAbbreviation":"PLoS ONE","language":"eng","author":[{"family":"Preza","given":"Gloria Cuevas"},{"family":"Pinon","given":"Rogelio"},{"family":"Ganz","given":"Tomas"},{"family":"Nemeth","given":"Elizabeta"}],"issued":{"date-parts":[["2013"]]},"PMID":"23536837","PMCID":"PMC3594189"}}],"schema":"https://github.com/citation-style-language/schema/raw/master/csl-citation.json"} </w:instrText>
      </w:r>
      <w:r w:rsidR="00614C46" w:rsidRPr="00B84270">
        <w:rPr>
          <w:rFonts w:ascii="Arial" w:hAnsi="Arial" w:cs="Arial"/>
          <w:sz w:val="24"/>
          <w:szCs w:val="24"/>
          <w:lang w:val="en-US"/>
        </w:rPr>
        <w:fldChar w:fldCharType="separate"/>
      </w:r>
      <w:r w:rsidR="000A09BE" w:rsidRPr="00B84270">
        <w:rPr>
          <w:rFonts w:ascii="Arial" w:hAnsi="Arial" w:cs="Arial"/>
          <w:sz w:val="24"/>
        </w:rPr>
        <w:t>(6)</w:t>
      </w:r>
      <w:r w:rsidR="00614C46" w:rsidRPr="00B84270">
        <w:rPr>
          <w:rFonts w:ascii="Arial" w:hAnsi="Arial" w:cs="Arial"/>
          <w:sz w:val="24"/>
          <w:szCs w:val="24"/>
          <w:lang w:val="en-US"/>
        </w:rPr>
        <w:fldChar w:fldCharType="end"/>
      </w:r>
      <w:r w:rsidR="00494B44" w:rsidRPr="00B84270">
        <w:rPr>
          <w:rFonts w:ascii="Arial" w:hAnsi="Arial" w:cs="Arial"/>
          <w:sz w:val="24"/>
          <w:szCs w:val="24"/>
          <w:lang w:val="en-US"/>
        </w:rPr>
        <w:t xml:space="preserve">. </w:t>
      </w:r>
      <w:r w:rsidR="00187C07" w:rsidRPr="00B84270">
        <w:rPr>
          <w:rFonts w:ascii="Arial" w:hAnsi="Arial" w:cs="Arial"/>
          <w:sz w:val="24"/>
          <w:szCs w:val="24"/>
          <w:lang w:val="en-US"/>
        </w:rPr>
        <w:t>Hepcidin</w:t>
      </w:r>
      <w:r w:rsidR="00494B44" w:rsidRPr="00B84270">
        <w:rPr>
          <w:rFonts w:ascii="Arial" w:hAnsi="Arial" w:cs="Arial"/>
          <w:sz w:val="24"/>
          <w:szCs w:val="24"/>
          <w:lang w:val="en-US"/>
        </w:rPr>
        <w:t xml:space="preserve"> thus </w:t>
      </w:r>
      <w:r w:rsidR="00525C2B" w:rsidRPr="00B84270">
        <w:rPr>
          <w:rFonts w:ascii="Arial" w:hAnsi="Arial" w:cs="Arial"/>
          <w:sz w:val="24"/>
          <w:szCs w:val="24"/>
          <w:lang w:val="en-US"/>
        </w:rPr>
        <w:t xml:space="preserve">prevents iron efflux </w:t>
      </w:r>
      <w:r w:rsidR="00DB2168" w:rsidRPr="00B84270">
        <w:rPr>
          <w:rFonts w:ascii="Arial" w:hAnsi="Arial" w:cs="Arial"/>
          <w:sz w:val="24"/>
          <w:szCs w:val="24"/>
          <w:lang w:val="en-US"/>
        </w:rPr>
        <w:t xml:space="preserve">via ferroportin </w:t>
      </w:r>
      <w:r w:rsidR="00525C2B" w:rsidRPr="00B84270">
        <w:rPr>
          <w:rFonts w:ascii="Arial" w:hAnsi="Arial" w:cs="Arial"/>
          <w:sz w:val="24"/>
          <w:szCs w:val="24"/>
          <w:lang w:val="en-US"/>
        </w:rPr>
        <w:t>into the circulation</w:t>
      </w:r>
      <w:r w:rsidR="00494B44" w:rsidRPr="00B84270">
        <w:rPr>
          <w:rFonts w:ascii="Arial" w:hAnsi="Arial" w:cs="Arial"/>
          <w:sz w:val="24"/>
          <w:szCs w:val="24"/>
          <w:lang w:val="en-US"/>
        </w:rPr>
        <w:t xml:space="preserve"> and </w:t>
      </w:r>
      <w:r w:rsidR="00CC6D63" w:rsidRPr="00B84270">
        <w:rPr>
          <w:rFonts w:ascii="Arial" w:hAnsi="Arial" w:cs="Arial"/>
          <w:sz w:val="24"/>
          <w:szCs w:val="24"/>
          <w:lang w:val="en-US"/>
        </w:rPr>
        <w:t xml:space="preserve">acts as the main </w:t>
      </w:r>
      <w:r w:rsidR="008C283C" w:rsidRPr="00B84270">
        <w:rPr>
          <w:rFonts w:ascii="Arial" w:hAnsi="Arial" w:cs="Arial"/>
          <w:sz w:val="24"/>
          <w:szCs w:val="24"/>
          <w:lang w:val="en-US"/>
        </w:rPr>
        <w:t>regulator of systemic iron homeostasis</w:t>
      </w:r>
      <w:r w:rsidR="006C1F22" w:rsidRPr="00B84270">
        <w:rPr>
          <w:rFonts w:ascii="Arial" w:hAnsi="Arial" w:cs="Arial"/>
          <w:sz w:val="24"/>
          <w:szCs w:val="24"/>
          <w:lang w:val="en-US"/>
        </w:rPr>
        <w:t xml:space="preserve">. </w:t>
      </w:r>
      <w:r w:rsidR="00CC6D63" w:rsidRPr="00B84270">
        <w:rPr>
          <w:rFonts w:ascii="Arial" w:hAnsi="Arial" w:cs="Arial"/>
          <w:sz w:val="24"/>
          <w:szCs w:val="24"/>
          <w:lang w:val="en-US"/>
        </w:rPr>
        <w:t>Accordingly, i</w:t>
      </w:r>
      <w:r w:rsidR="00525C2B" w:rsidRPr="00B84270">
        <w:rPr>
          <w:rFonts w:ascii="Arial" w:hAnsi="Arial" w:cs="Arial"/>
          <w:sz w:val="24"/>
          <w:szCs w:val="24"/>
          <w:lang w:val="en-US"/>
        </w:rPr>
        <w:t>nsufficient s</w:t>
      </w:r>
      <w:r w:rsidR="00CC6D63" w:rsidRPr="00B84270">
        <w:rPr>
          <w:rFonts w:ascii="Arial" w:hAnsi="Arial" w:cs="Arial"/>
          <w:sz w:val="24"/>
          <w:szCs w:val="24"/>
          <w:lang w:val="en-US"/>
        </w:rPr>
        <w:t xml:space="preserve">ystemic hepcidin levels lead to </w:t>
      </w:r>
      <w:r w:rsidR="00525C2B" w:rsidRPr="00B84270">
        <w:rPr>
          <w:rFonts w:ascii="Arial" w:hAnsi="Arial" w:cs="Arial"/>
          <w:sz w:val="24"/>
          <w:szCs w:val="24"/>
          <w:lang w:val="en-US"/>
        </w:rPr>
        <w:t>elevated duodenal iron absorpti</w:t>
      </w:r>
      <w:r w:rsidR="00CC6D63" w:rsidRPr="00B84270">
        <w:rPr>
          <w:rFonts w:ascii="Arial" w:hAnsi="Arial" w:cs="Arial"/>
          <w:sz w:val="24"/>
          <w:szCs w:val="24"/>
          <w:lang w:val="en-US"/>
        </w:rPr>
        <w:t xml:space="preserve">on and uncontrolled iron efflux </w:t>
      </w:r>
      <w:r w:rsidR="00AA2382" w:rsidRPr="00B84270">
        <w:rPr>
          <w:rFonts w:ascii="Arial" w:hAnsi="Arial" w:cs="Arial"/>
          <w:sz w:val="24"/>
          <w:szCs w:val="24"/>
          <w:lang w:val="en-US"/>
        </w:rPr>
        <w:t>into the circulation</w:t>
      </w:r>
      <w:r w:rsidR="00525C2B" w:rsidRPr="00B84270">
        <w:rPr>
          <w:rFonts w:ascii="Arial" w:hAnsi="Arial" w:cs="Arial"/>
          <w:sz w:val="24"/>
          <w:szCs w:val="24"/>
          <w:lang w:val="en-US"/>
        </w:rPr>
        <w:t xml:space="preserve">. This causes progressive iron accumulation in vital organs such as liver, pancreas and heart, eventually resulting in organ failure due to iron toxicity. These features are hallmarks of </w:t>
      </w:r>
      <w:r w:rsidR="00434D6A" w:rsidRPr="00B84270">
        <w:rPr>
          <w:rFonts w:ascii="Arial" w:hAnsi="Arial" w:cs="Arial"/>
          <w:sz w:val="24"/>
          <w:szCs w:val="24"/>
          <w:lang w:val="en-US"/>
        </w:rPr>
        <w:t xml:space="preserve">the </w:t>
      </w:r>
      <w:r w:rsidR="00677FD5" w:rsidRPr="00B84270">
        <w:rPr>
          <w:rFonts w:ascii="Arial" w:hAnsi="Arial" w:cs="Arial"/>
          <w:sz w:val="24"/>
          <w:szCs w:val="24"/>
          <w:lang w:val="en-US"/>
        </w:rPr>
        <w:t>iron-overload</w:t>
      </w:r>
      <w:r w:rsidR="00565E7D" w:rsidRPr="00B84270">
        <w:rPr>
          <w:rFonts w:ascii="Arial" w:hAnsi="Arial" w:cs="Arial"/>
          <w:sz w:val="24"/>
          <w:szCs w:val="24"/>
          <w:lang w:val="en-US"/>
        </w:rPr>
        <w:t xml:space="preserve"> </w:t>
      </w:r>
      <w:r w:rsidR="00525C2B" w:rsidRPr="00B84270">
        <w:rPr>
          <w:rFonts w:ascii="Arial" w:hAnsi="Arial" w:cs="Arial"/>
          <w:sz w:val="24"/>
          <w:szCs w:val="24"/>
          <w:lang w:val="en-US"/>
        </w:rPr>
        <w:t xml:space="preserve">heredity </w:t>
      </w:r>
      <w:r w:rsidR="00B621C3" w:rsidRPr="00B84270">
        <w:rPr>
          <w:rFonts w:ascii="Arial" w:hAnsi="Arial" w:cs="Arial"/>
          <w:sz w:val="24"/>
          <w:szCs w:val="24"/>
          <w:lang w:val="en-US"/>
        </w:rPr>
        <w:t>he</w:t>
      </w:r>
      <w:r w:rsidR="00525C2B" w:rsidRPr="00B84270">
        <w:rPr>
          <w:rFonts w:ascii="Arial" w:hAnsi="Arial" w:cs="Arial"/>
          <w:sz w:val="24"/>
          <w:szCs w:val="24"/>
          <w:lang w:val="en-US"/>
        </w:rPr>
        <w:t>mochromatosis</w:t>
      </w:r>
      <w:r w:rsidR="00155A66" w:rsidRPr="00B84270">
        <w:rPr>
          <w:rFonts w:ascii="Arial" w:hAnsi="Arial" w:cs="Arial"/>
          <w:sz w:val="24"/>
          <w:szCs w:val="24"/>
          <w:lang w:val="en-US"/>
        </w:rPr>
        <w:t xml:space="preserve"> </w:t>
      </w:r>
      <w:r w:rsidR="00614C46" w:rsidRPr="00B84270">
        <w:rPr>
          <w:rFonts w:ascii="Arial" w:hAnsi="Arial" w:cs="Arial"/>
          <w:sz w:val="24"/>
          <w:szCs w:val="24"/>
          <w:lang w:val="en-US"/>
        </w:rPr>
        <w:fldChar w:fldCharType="begin"/>
      </w:r>
      <w:r w:rsidR="00975DDD" w:rsidRPr="00B84270">
        <w:rPr>
          <w:rFonts w:ascii="Arial" w:hAnsi="Arial" w:cs="Arial"/>
          <w:sz w:val="24"/>
          <w:szCs w:val="24"/>
          <w:lang w:val="en-US"/>
        </w:rPr>
        <w:instrText xml:space="preserve"> ADDIN ZOTERO_ITEM CSL_CITATION {"citationID":"t7EiqdVC","properties":{"formattedCitation":"(7,8)","plainCitation":"(7,8)"},"citationItems":[{"id":198,"uris":["http://zotero.org/users/2804724/items/NXHS8T62"],"uri":["http://zotero.org/users/2804724/items/NXHS8T62"],"itemData":{"id":198,"type":"article-journal","title":"Hereditary hemochromatosis: pathogenesis, diagnosis, and treatment","container-title":"Gastroenterology","page":"393-408, 408.e1-2","volume":"139","issue":"2","source":"PubMed","abstract":"In the late 1800s, hemochromatosis was considered an odd autoptic finding. More than a century later, it was finally recognized as a hereditary, multi-organ disorder associated with a polymorphism that is common among white people: a 845G--&gt;A change in HFE that results in C282Y in the gene product. Hemochromatosis is now a well-defined syndrome characterized by normal iron-driven erythropoiesis and the toxic accumulation of iron in parenchymal cells of liver, heart, and endocrine glands. It can be caused by mutations that affect any of the proteins that limit the entry of iron into the blood. In mice, deletion of the iron hormone hepcidin and any of 8 genes that regulate its biology, including Hfe, transferrin receptor 2 (Tfr2), and hemojuvelin (Hjv) (which all sense the accumulation of iron that hepcidin corrects) or ferroportin (Fpn) (the cellular iron exporter down-regulated by hepcidin), cause iron overload but not organ disease. In humans, loss of TfR2, HJV, and hepcidin itself or FPN mutations result in full-blown hemochromatosis. Unlike these rare instances, in white people, homozygotes for C282Y polymorphism in HFE are numerous, but they are only predisposed to hemochromatosis; complete organ disease develops in a minority, when these individuals abuse alcohol or from other unidentified modifying factors. HFE gene testing can be used to diagnose hemochromatosis, but analyses of liver histology and clinical features are still required to identify patients with rare, non-HFE forms of the disease. The role of hepcidin in the pathogenesis of hemochromatosis reveals its similarities to endocrine diseases such as diabetes and indicates new approaches to diagnosis and management of this common disorder in iron metabolism.","DOI":"10.1053/j.gastro.2010.06.013","ISSN":"1528-0012","note":"PMID: 20542038","shortTitle":"Hereditary hemochromatosis","journalAbbreviation":"Gastroenterology","language":"eng","author":[{"family":"Pietrangelo","given":"Antonello"}],"issued":{"date-parts":[["2010",8]]},"PMID":"20542038"}},{"id":127,"uris":["http://zotero.org/users/2804724/items/7QNQUB5C"],"uri":["http://zotero.org/users/2804724/items/7QNQUB5C"],"itemData":{"id":127,"type":"article-journal","title":"Hepcidin and iron regulation, 10 years later","container-title":"Blood","page":"4425-4433","volume":"117","issue":"17","source":"PubMed","abstract":"Under evolutionary pressure to counter the toxicity of iron and to maintain adequate iron supply for hemoglobin synthesis and essential metabolic functions, humans and other vertebrates have effective mechanisms to conserve iron and to regulate its concentration, storage, and distribution in tissues. The iron-regulatory hormone hepcidin, first described 10 years ago, and its receptor and iron channel ferroportin control the dietary absorption, storage, and tissue distribution of iron. Hepcidin causes ferroportin internalization and degradation, thereby decreasing iron transfer into blood plasma from the duodenum, from macrophages involved in recycling senescent erythrocytes, and from iron-storing hepatocytes. Hepcidin is feedback regulated by iron concentrations in plasma and the liver and by erythropoietic demand for iron. Genetic malfunctions affecting the hepcidin-ferroportin axis are a main cause of iron overload disorders but can also cause iron-restricted anemias. Modulation of hepcidin and ferroportin expression during infection and inflammation couples iron metabolism to host defense and decreases iron availability to invading pathogens. This response also restricts the iron supply to erythropoietic precursors and may cause or contribute to the anemia associated with infections and inflammatory disorders.","DOI":"10.1182/blood-2011-01-258467","ISSN":"1528-0020","note":"PMID: 21346250\nPMCID: PMC3099567","journalAbbreviation":"Blood","language":"eng","author":[{"family":"Ganz","given":"Tomas"}],"issued":{"date-parts":[["2011",4,28]]},"PMID":"21346250","PMCID":"PMC3099567"}}],"schema":"https://github.com/citation-style-language/schema/raw/master/csl-citation.json"} </w:instrText>
      </w:r>
      <w:r w:rsidR="00614C46" w:rsidRPr="00B84270">
        <w:rPr>
          <w:rFonts w:ascii="Arial" w:hAnsi="Arial" w:cs="Arial"/>
          <w:sz w:val="24"/>
          <w:szCs w:val="24"/>
          <w:lang w:val="en-US"/>
        </w:rPr>
        <w:fldChar w:fldCharType="separate"/>
      </w:r>
      <w:r w:rsidR="000A09BE" w:rsidRPr="00B84270">
        <w:rPr>
          <w:rFonts w:ascii="Arial" w:hAnsi="Arial" w:cs="Arial"/>
          <w:sz w:val="24"/>
        </w:rPr>
        <w:t>(7,8)</w:t>
      </w:r>
      <w:r w:rsidR="00614C46" w:rsidRPr="00B84270">
        <w:rPr>
          <w:rFonts w:ascii="Arial" w:hAnsi="Arial" w:cs="Arial"/>
          <w:sz w:val="24"/>
          <w:szCs w:val="24"/>
          <w:lang w:val="en-US"/>
        </w:rPr>
        <w:fldChar w:fldCharType="end"/>
      </w:r>
      <w:r w:rsidR="00975DDD" w:rsidRPr="00B84270">
        <w:rPr>
          <w:rFonts w:ascii="Arial" w:hAnsi="Arial" w:cs="Arial"/>
          <w:sz w:val="24"/>
          <w:szCs w:val="24"/>
          <w:lang w:val="en-US"/>
        </w:rPr>
        <w:t xml:space="preserve"> </w:t>
      </w:r>
      <w:r w:rsidR="00DC38F1" w:rsidRPr="00B84270">
        <w:rPr>
          <w:rFonts w:ascii="Arial" w:hAnsi="Arial" w:cs="Arial"/>
          <w:sz w:val="24"/>
          <w:szCs w:val="24"/>
          <w:lang w:val="en-US"/>
        </w:rPr>
        <w:t>and</w:t>
      </w:r>
      <w:r w:rsidR="00565E7D" w:rsidRPr="00B84270">
        <w:rPr>
          <w:rFonts w:ascii="Arial" w:hAnsi="Arial" w:cs="Arial"/>
          <w:sz w:val="24"/>
          <w:szCs w:val="24"/>
          <w:lang w:val="en-US"/>
        </w:rPr>
        <w:t xml:space="preserve"> </w:t>
      </w:r>
      <w:r w:rsidR="008749FE" w:rsidRPr="00B84270">
        <w:rPr>
          <w:rFonts w:ascii="Arial" w:hAnsi="Arial" w:cs="Arial"/>
          <w:sz w:val="24"/>
          <w:szCs w:val="24"/>
          <w:lang w:val="en-US"/>
        </w:rPr>
        <w:t xml:space="preserve">also </w:t>
      </w:r>
      <w:r w:rsidR="00525C2B" w:rsidRPr="00B84270">
        <w:rPr>
          <w:rFonts w:ascii="Arial" w:hAnsi="Arial" w:cs="Arial"/>
          <w:sz w:val="24"/>
          <w:szCs w:val="24"/>
          <w:lang w:val="en-US"/>
        </w:rPr>
        <w:t>observed in alcoholic liver disease</w:t>
      </w:r>
      <w:r w:rsidR="00FB7379" w:rsidRPr="00B84270">
        <w:rPr>
          <w:rFonts w:ascii="Arial" w:hAnsi="Arial" w:cs="Arial"/>
          <w:sz w:val="24"/>
          <w:szCs w:val="24"/>
          <w:lang w:val="en-US"/>
        </w:rPr>
        <w:t xml:space="preserve"> </w:t>
      </w:r>
      <w:r w:rsidR="00614C46" w:rsidRPr="00B84270">
        <w:rPr>
          <w:rFonts w:ascii="Arial" w:hAnsi="Arial" w:cs="Arial"/>
          <w:sz w:val="24"/>
          <w:szCs w:val="24"/>
          <w:lang w:val="en-US"/>
        </w:rPr>
        <w:fldChar w:fldCharType="begin"/>
      </w:r>
      <w:r w:rsidR="00617613" w:rsidRPr="00B84270">
        <w:rPr>
          <w:rFonts w:ascii="Arial" w:hAnsi="Arial" w:cs="Arial"/>
          <w:sz w:val="24"/>
          <w:szCs w:val="24"/>
          <w:lang w:val="en-US"/>
        </w:rPr>
        <w:instrText xml:space="preserve"> ADDIN ZOTERO_ITEM CSL_CITATION {"citationID":"Gp1M215m","properties":{"formattedCitation":"(9,10)","plainCitation":"(9,10)"},"citationItems":[{"id":202,"uris":["http://zotero.org/users/2804724/items/CFZQIWTE"],"uri":["http://zotero.org/users/2804724/items/CFZQIWTE"],"itemData":{"id":202,"type":"article-journal","title":"Liver hepcidin mRNA expression is inappropriately low in alcoholic patients compared with healthy controls","container-title":"European Journal of Gastroenterology &amp; Hepatology","page":"1158-1165","volume":"24","issue":"10","source":"PubMed","abstract":"BACKGROUND AND AIMS: Hepcidin plays a crucial role in iron metabolism, preventing its absorption at the basolateral enterocyte membrane. Hepcidin regulation is complex and regulated at the transcriptional level. The relation between iron overload and alcoholic liver disease is well known, but its mechanism is not clear. We present an observational, case-control study, aimed at evaluating the effects of alcohol on the expression of hepcidin in human participants. We intended to assess whether iron overload related to alcohol ingestion was caused by hepcidin-impaired expression by determining hepcidin mRNA expression and relating it to iron stores, both in alcoholic patients and in normal controls.\nMETHODS: We compared liver hepcidin mRNA expression between 25 active drinkers with alcoholic liver disease, without cirrhosis, and 20 healthy controls. All individuals were evaluated for HFE mutations, complete blood count, coagulation, glucose, kidney function, liver function, viral hepatitis, C-reactive protein, interleukin 6, tumor necrosis factor α, and serum iron, ferritin, and transferrin saturation. Total RNA was isolated from liver samples, cDNA was obtained by reverse transcription, and hepatic expression levels of hepcidin were determined by real-time PCR using the comparative Ct method (2(-ΔΔCt)).\nRESULTS: Serum ferritin and transferrin saturation were significantly higher in patients. Hepcidin was downregulated in patients compared with the controls by a mean factor of -0.44 (log10 2(-ΔΔCt)) (P=0.009). Hepcidin expression was not significantly different between the several grades of fibrosis, necroinflammatory activity, and liver iron stores. Heavy alcohol consumption caused the highest hepcidin mRNA suppression. The hepcidin mRNA expression/serum ferritin ratio was significantly lower in alcoholic patients (P&lt;0.0001).\nCONCLUSION: Hepcidin liver expression is inappropriately low in alcoholic patients with active alcoholism and preserved hepatic function, and we conclude that this is the mechanism for alcohol consumption-associated iron overload in humans.","DOI":"10.1097/MEG.0b013e328355cfd0","ISSN":"1473-5687","note":"PMID: 22732356","journalAbbreviation":"Eur J Gastroenterol Hepatol","language":"eng","author":[{"family":"Costa-Matos","given":"Luís"},{"family":"Batista","given":"Paulo"},{"family":"Monteiro","given":"Nuno"},{"family":"Simões","given":"Maria"},{"family":"Egas","given":"Conceição"},{"family":"Pereira","given":"Jorge"},{"family":"Pinho","given":"Helena"},{"family":"Santos","given":"Natália"},{"family":"Ribeiro","given":"João"},{"family":"Cipriano","given":"Maria A."},{"family":"Henriques","given":"Pedro"},{"family":"Girão","given":"Fernando"},{"family":"Rodrigues","given":"Alfredo"},{"family":"Carvalho","given":"Armando"}],"issued":{"date-parts":[["2012",10]]},"PMID":"22732356"}},{"id":204,"uris":["http://zotero.org/users/2804724/items/2EMV8GV6"],"uri":["http://zotero.org/users/2804724/items/2EMV8GV6"],"itemData":{"id":204,"type":"article-journal","title":"Hepcidin is down-regulated in alcohol loading","container-title":"Alcoholism, Clinical and Experimental Research","page":"S2-8","volume":"31","issue":"1 Suppl","source":"PubMed","abstract":"BACKGROUND: It is common for alcoholic patients to have excess iron accumulation in the liver, which may contribute to the development of alcoholic liver disease (ALD). However, the mechanism of hepatic iron uptake in ALD is still obscure. Recently, a novel iron-regulatory hormone hepcidin was found that suppresses the absorption of iron from the small intestine and the release of iron from macrophages. To elucidate the contribution of hepcidin toward the hepatic excess iron accumulation in ALD, we examined whether alcohol loading affects hepcidin expression both in ALD patients and in an ethanol-fed mouse model.\nMETHODS: Serum prohepcidin concentration was quantified by enzyme-linked immunosorbent assay. Hepatic hepcidin-1 and hepcidin-2 mRNA expressions in mouse liver were evaluated by quantitative real-time reverse-transcriptase polymerase chain reaction method. The protein expression of prohepcidin in mouse liver was examined immunohistochemically by rabbit antimouse prohepcidin antibody.\nRESULTS: Serum prohepcidin concentration in ALD was significantly lower than that in healthy subjects (p&lt;0.001). Especially, serum prohepcidin concentrations were decreased in the patients whose serum ferritin value was high. In the ethanol-fed mouse model, hepatic hepcidin-1 mRNA expression was significantly lower than that in control (p=0.04). Prohepcidin was expressed in the cytoplasm of hepatocytes of mice liver tissue sections, and its expression was decreased after ethanol loading.\nCONCLUSION: Alcohol loading down-regulates hepatic hepcidin expression and leads to the increase of iron absorption from the intestine.","DOI":"10.1111/j.1530-0277.2006.00279.x","ISSN":"1530-0277","note":"PMID: 17331161","journalAbbreviation":"Alcohol. Clin. Exp. Res.","language":"eng","author":[{"family":"Ohtake","given":"Takaaki"},{"family":"Saito","given":"Hiroyuki"},{"family":"Hosoki","given":"Yayoi"},{"family":"Inoue","given":"Mitsutaka"},{"family":"Miyoshi","given":"Shigeki"},{"family":"Suzuki","given":"Yasuaki"},{"family":"Fujimoto","given":"Yoshinori"},{"family":"Kohgo","given":"Yutaka"}],"issued":{"date-parts":[["2007",1]]},"PMID":"17331161"}}],"schema":"https://github.com/citation-style-language/schema/raw/master/csl-citation.json"} </w:instrText>
      </w:r>
      <w:r w:rsidR="00614C46" w:rsidRPr="00B84270">
        <w:rPr>
          <w:rFonts w:ascii="Arial" w:hAnsi="Arial" w:cs="Arial"/>
          <w:sz w:val="24"/>
          <w:szCs w:val="24"/>
          <w:lang w:val="en-US"/>
        </w:rPr>
        <w:fldChar w:fldCharType="separate"/>
      </w:r>
      <w:r w:rsidR="000A09BE" w:rsidRPr="00B84270">
        <w:rPr>
          <w:rFonts w:ascii="Arial" w:hAnsi="Arial" w:cs="Arial"/>
          <w:sz w:val="24"/>
        </w:rPr>
        <w:t>(9,10)</w:t>
      </w:r>
      <w:r w:rsidR="00614C46" w:rsidRPr="00B84270">
        <w:rPr>
          <w:rFonts w:ascii="Arial" w:hAnsi="Arial" w:cs="Arial"/>
          <w:sz w:val="24"/>
          <w:szCs w:val="24"/>
          <w:lang w:val="en-US"/>
        </w:rPr>
        <w:fldChar w:fldCharType="end"/>
      </w:r>
      <w:r w:rsidR="00617613" w:rsidRPr="00B84270">
        <w:rPr>
          <w:rFonts w:ascii="Arial" w:hAnsi="Arial" w:cs="Arial"/>
          <w:sz w:val="24"/>
          <w:szCs w:val="24"/>
          <w:lang w:val="en-US"/>
        </w:rPr>
        <w:t>.</w:t>
      </w:r>
    </w:p>
    <w:p w:rsidR="001A047C" w:rsidRPr="00B84270" w:rsidRDefault="001A047C" w:rsidP="005510CB">
      <w:pPr>
        <w:spacing w:after="0" w:line="360" w:lineRule="auto"/>
        <w:rPr>
          <w:rFonts w:ascii="Arial" w:hAnsi="Arial" w:cs="Arial"/>
          <w:sz w:val="24"/>
          <w:szCs w:val="24"/>
          <w:lang w:val="en-US"/>
        </w:rPr>
      </w:pPr>
    </w:p>
    <w:p w:rsidR="00163CE5" w:rsidRPr="00B84270" w:rsidRDefault="00525C2B" w:rsidP="005510CB">
      <w:pPr>
        <w:spacing w:after="0" w:line="360" w:lineRule="auto"/>
        <w:rPr>
          <w:rFonts w:ascii="Arial" w:hAnsi="Arial" w:cs="Arial"/>
          <w:sz w:val="24"/>
          <w:szCs w:val="24"/>
          <w:lang w:val="en-US"/>
        </w:rPr>
      </w:pPr>
      <w:r w:rsidRPr="00B84270">
        <w:rPr>
          <w:rFonts w:ascii="Arial" w:hAnsi="Arial" w:cs="Arial"/>
          <w:sz w:val="24"/>
          <w:szCs w:val="24"/>
          <w:lang w:val="en-US"/>
        </w:rPr>
        <w:t xml:space="preserve">The </w:t>
      </w:r>
      <w:r w:rsidR="002B6936" w:rsidRPr="00B84270">
        <w:rPr>
          <w:rFonts w:ascii="Arial" w:hAnsi="Arial" w:cs="Arial"/>
          <w:sz w:val="24"/>
          <w:szCs w:val="24"/>
          <w:lang w:val="en-US"/>
        </w:rPr>
        <w:t xml:space="preserve">extracellular and intracellular </w:t>
      </w:r>
      <w:r w:rsidR="00CC7CC2" w:rsidRPr="00B84270">
        <w:rPr>
          <w:rFonts w:ascii="Arial" w:hAnsi="Arial" w:cs="Arial"/>
          <w:sz w:val="24"/>
          <w:szCs w:val="24"/>
          <w:lang w:val="en-US"/>
        </w:rPr>
        <w:t xml:space="preserve">iron-sensing </w:t>
      </w:r>
      <w:r w:rsidRPr="00B84270">
        <w:rPr>
          <w:rFonts w:ascii="Arial" w:hAnsi="Arial" w:cs="Arial"/>
          <w:sz w:val="24"/>
          <w:szCs w:val="24"/>
          <w:lang w:val="en-US"/>
        </w:rPr>
        <w:t>mechanisms of hepatocytes that lead to hepcidin synthesis and secretion in resp</w:t>
      </w:r>
      <w:r w:rsidR="004A2A65" w:rsidRPr="00B84270">
        <w:rPr>
          <w:rFonts w:ascii="Arial" w:hAnsi="Arial" w:cs="Arial"/>
          <w:sz w:val="24"/>
          <w:szCs w:val="24"/>
          <w:lang w:val="en-US"/>
        </w:rPr>
        <w:t xml:space="preserve">onse to circulatory iron are </w:t>
      </w:r>
      <w:r w:rsidR="00882C5B" w:rsidRPr="00B84270">
        <w:rPr>
          <w:rFonts w:ascii="Arial" w:hAnsi="Arial" w:cs="Arial"/>
          <w:sz w:val="24"/>
          <w:szCs w:val="24"/>
          <w:lang w:val="en-US"/>
        </w:rPr>
        <w:t>not clearly defined yet. In this context, p</w:t>
      </w:r>
      <w:r w:rsidR="00AA2382" w:rsidRPr="00B84270">
        <w:rPr>
          <w:rFonts w:ascii="Arial" w:hAnsi="Arial" w:cs="Arial"/>
          <w:sz w:val="24"/>
          <w:szCs w:val="24"/>
          <w:lang w:val="en-US"/>
        </w:rPr>
        <w:t>revious s</w:t>
      </w:r>
      <w:r w:rsidRPr="00B84270">
        <w:rPr>
          <w:rFonts w:ascii="Arial" w:hAnsi="Arial" w:cs="Arial"/>
          <w:sz w:val="24"/>
          <w:szCs w:val="24"/>
          <w:lang w:val="en-US"/>
        </w:rPr>
        <w:t>tudies</w:t>
      </w:r>
      <w:r w:rsidR="00CA24FE" w:rsidRPr="00B84270">
        <w:rPr>
          <w:rFonts w:ascii="Arial" w:hAnsi="Arial" w:cs="Arial"/>
          <w:sz w:val="24"/>
          <w:szCs w:val="24"/>
          <w:lang w:val="en-US"/>
        </w:rPr>
        <w:t xml:space="preserve"> </w:t>
      </w:r>
      <w:r w:rsidR="002F6061" w:rsidRPr="00B84270">
        <w:rPr>
          <w:rFonts w:ascii="Arial" w:hAnsi="Arial" w:cs="Arial"/>
          <w:sz w:val="24"/>
          <w:szCs w:val="24"/>
          <w:lang w:val="en-US"/>
        </w:rPr>
        <w:t xml:space="preserve">suggested roles of </w:t>
      </w:r>
      <w:r w:rsidR="00FF46E4" w:rsidRPr="00B84270">
        <w:rPr>
          <w:rFonts w:ascii="Arial" w:hAnsi="Arial" w:cs="Arial"/>
          <w:sz w:val="24"/>
          <w:szCs w:val="24"/>
          <w:lang w:val="en-US"/>
        </w:rPr>
        <w:t xml:space="preserve">plasma </w:t>
      </w:r>
      <w:r w:rsidR="002F6061" w:rsidRPr="00B84270">
        <w:rPr>
          <w:rFonts w:ascii="Arial" w:hAnsi="Arial" w:cs="Arial"/>
          <w:sz w:val="24"/>
          <w:szCs w:val="24"/>
          <w:lang w:val="en-US"/>
        </w:rPr>
        <w:t>transferrin</w:t>
      </w:r>
      <w:r w:rsidR="00CA24FE" w:rsidRPr="00B84270">
        <w:rPr>
          <w:rFonts w:ascii="Arial" w:hAnsi="Arial" w:cs="Arial"/>
          <w:sz w:val="24"/>
          <w:szCs w:val="24"/>
          <w:lang w:val="en-US"/>
        </w:rPr>
        <w:t xml:space="preserve"> (</w:t>
      </w:r>
      <w:proofErr w:type="spellStart"/>
      <w:r w:rsidR="00CA24FE" w:rsidRPr="00B84270">
        <w:rPr>
          <w:rFonts w:ascii="Arial" w:hAnsi="Arial" w:cs="Arial"/>
          <w:sz w:val="24"/>
          <w:szCs w:val="24"/>
          <w:lang w:val="en-US"/>
        </w:rPr>
        <w:t>Tf</w:t>
      </w:r>
      <w:proofErr w:type="spellEnd"/>
      <w:r w:rsidR="00CA24FE" w:rsidRPr="00B84270">
        <w:rPr>
          <w:rFonts w:ascii="Arial" w:hAnsi="Arial" w:cs="Arial"/>
          <w:sz w:val="24"/>
          <w:szCs w:val="24"/>
          <w:lang w:val="en-US"/>
        </w:rPr>
        <w:t>)</w:t>
      </w:r>
      <w:r w:rsidR="00DD25C2" w:rsidRPr="00B84270">
        <w:rPr>
          <w:rFonts w:ascii="Arial" w:hAnsi="Arial" w:cs="Arial"/>
          <w:sz w:val="24"/>
          <w:szCs w:val="24"/>
          <w:lang w:val="en-US"/>
        </w:rPr>
        <w:t xml:space="preserve"> and </w:t>
      </w:r>
      <w:r w:rsidRPr="00B84270">
        <w:rPr>
          <w:rFonts w:ascii="Arial" w:hAnsi="Arial" w:cs="Arial"/>
          <w:sz w:val="24"/>
          <w:szCs w:val="24"/>
          <w:lang w:val="en-US"/>
        </w:rPr>
        <w:t>stored intracellular iron in</w:t>
      </w:r>
      <w:r w:rsidR="00B57BB5" w:rsidRPr="00B84270">
        <w:rPr>
          <w:rFonts w:ascii="Arial" w:hAnsi="Arial" w:cs="Arial"/>
          <w:sz w:val="24"/>
          <w:szCs w:val="24"/>
          <w:lang w:val="en-US"/>
        </w:rPr>
        <w:t xml:space="preserve"> the</w:t>
      </w:r>
      <w:r w:rsidR="00155A66" w:rsidRPr="00B84270">
        <w:rPr>
          <w:rFonts w:ascii="Arial" w:hAnsi="Arial" w:cs="Arial"/>
          <w:sz w:val="24"/>
          <w:szCs w:val="24"/>
          <w:lang w:val="en-US"/>
        </w:rPr>
        <w:t xml:space="preserve"> </w:t>
      </w:r>
      <w:r w:rsidR="00B57BB5" w:rsidRPr="00B84270">
        <w:rPr>
          <w:rFonts w:ascii="Arial" w:hAnsi="Arial" w:cs="Arial"/>
          <w:sz w:val="24"/>
          <w:szCs w:val="24"/>
          <w:lang w:val="en-US"/>
        </w:rPr>
        <w:t xml:space="preserve">induction of </w:t>
      </w:r>
      <w:r w:rsidRPr="00B84270">
        <w:rPr>
          <w:rFonts w:ascii="Arial" w:hAnsi="Arial" w:cs="Arial"/>
          <w:i/>
          <w:sz w:val="24"/>
          <w:szCs w:val="24"/>
          <w:lang w:val="en-US"/>
        </w:rPr>
        <w:t>HAM</w:t>
      </w:r>
      <w:r w:rsidR="00C12B67" w:rsidRPr="00B84270">
        <w:rPr>
          <w:rFonts w:ascii="Arial" w:hAnsi="Arial" w:cs="Arial"/>
          <w:i/>
          <w:sz w:val="24"/>
          <w:szCs w:val="24"/>
          <w:lang w:val="en-US"/>
        </w:rPr>
        <w:t>P</w:t>
      </w:r>
      <w:r w:rsidR="00B57BB5" w:rsidRPr="00B84270">
        <w:rPr>
          <w:rFonts w:ascii="Arial" w:hAnsi="Arial" w:cs="Arial"/>
          <w:sz w:val="24"/>
          <w:szCs w:val="24"/>
          <w:lang w:val="en-US"/>
        </w:rPr>
        <w:t>,</w:t>
      </w:r>
      <w:r w:rsidR="00155A66" w:rsidRPr="00B84270">
        <w:rPr>
          <w:rFonts w:ascii="Arial" w:hAnsi="Arial" w:cs="Arial"/>
          <w:sz w:val="24"/>
          <w:szCs w:val="24"/>
          <w:lang w:val="en-US"/>
        </w:rPr>
        <w:t xml:space="preserve"> </w:t>
      </w:r>
      <w:r w:rsidR="00B57BB5" w:rsidRPr="00B84270">
        <w:rPr>
          <w:rFonts w:ascii="Arial" w:hAnsi="Arial" w:cs="Arial"/>
          <w:sz w:val="24"/>
          <w:szCs w:val="24"/>
          <w:lang w:val="en-US"/>
        </w:rPr>
        <w:t>gene encoding hepcidin</w:t>
      </w:r>
      <w:r w:rsidR="004F616F" w:rsidRPr="00B84270">
        <w:rPr>
          <w:rFonts w:ascii="Arial" w:hAnsi="Arial" w:cs="Arial"/>
          <w:sz w:val="24"/>
          <w:szCs w:val="24"/>
          <w:lang w:val="en-US"/>
        </w:rPr>
        <w:t xml:space="preserve"> </w:t>
      </w:r>
      <w:r w:rsidR="00614C46" w:rsidRPr="00B84270">
        <w:rPr>
          <w:rFonts w:ascii="Arial" w:hAnsi="Arial" w:cs="Arial"/>
          <w:sz w:val="24"/>
          <w:szCs w:val="24"/>
          <w:lang w:val="en-US"/>
        </w:rPr>
        <w:fldChar w:fldCharType="begin"/>
      </w:r>
      <w:r w:rsidR="004F616F" w:rsidRPr="00B84270">
        <w:rPr>
          <w:rFonts w:ascii="Arial" w:hAnsi="Arial" w:cs="Arial"/>
          <w:sz w:val="24"/>
          <w:szCs w:val="24"/>
          <w:lang w:val="en-US"/>
        </w:rPr>
        <w:instrText xml:space="preserve"> ADDIN ZOTERO_ITEM CSL_CITATION {"citationID":"aTJNaX9Z","properties":{"formattedCitation":"{\\rtf (11\\uc0\\u8211{}13)}","plainCitation":"(11–13)"},"citationItems":[{"id":206,"uris":["http://zotero.org/users/2804724/items/HPV3BE2I"],"uri":["http://zotero.org/users/2804724/items/HPV3BE2I"],"itemData":{"id":206,"type":"article-journal","title":"Evidence for distinct pathways of hepcidin regulation by acute and chronic iron loading in mice","container-title":"Hepatology (Baltimore, Md.)","page":"1333-1341","volume":"53","issue":"4","source":"PubMed","abstract":"In response to iron loading, hepcidin synthesis is homeostatically increased to limit further absorption of dietary iron and its release from stores. Mutations in HFE, transferrin receptor 2 (Tfr2), hemojuvelin (HJV), or bone morphogenetic protein 6 (BMP6) prevent appropriate hepcidin response to iron, allowing increased absorption of dietary iron, and eventually iron overload. To understand the role each of these proteins plays in hepcidin regulation by iron, we analyzed hepcidin messenger RNA (mRNA) responsiveness to short and long-term iron challenge in iron-depleted Hfe, Tfr2, Hjv, and Bmp6 mutant mice. After 1-day (acute) iron challenge, Hfe(-/-) mice showed a smaller hepcidin increase than their wild-type strain-matched controls, Bmp6(-/-) mice showed nearly no increase, and Tfr2 and Hjv mutant mice showed no increase in hepcidin expression, indicating that all four proteins participate in hepcidin regulation by acute iron changes. After a 21-day (chronic) iron challenge, Hfe and Tfr2 mutant mice increased hepcidin expression to nearly wild-type levels, but a blunted increase of hepcidin was seen in Bmp6(-/-) and Hjv(-/-) mice. BMP6, whose expression is also regulated by iron, may mediate hepcidin regulation by iron stores. None of the mutant strains (except Bmp6(-/-) mice) had impaired BMP6 mRNA response to chronic iron loading.\nCONCLUSION: TfR2, HJV, BMP6, and, to a lesser extent, HFE are required for the hepcidin response to acute iron loading, but are partially redundant for hepcidin regulation during chronic iron loading and are not involved in the regulation of BMP6 expression. Our findings support a model in which acute increases in holotransferrin concentrations transmitted through HFE, TfR2, and HJV augment BMP receptor sensitivity to BMPs. A distinct regulatory mechanism that senses hepatic iron may modulate hepcidin response to chronic iron loading.","DOI":"10.1002/hep.24178","ISSN":"1527-3350","note":"PMID: 21480335\nPMCID: PMC3074982","journalAbbreviation":"Hepatology","language":"eng","author":[{"family":"Ramos","given":"Emilio"},{"family":"Kautz","given":"Léon"},{"family":"Rodriguez","given":"Richard"},{"family":"Hansen","given":"Michael"},{"family":"Gabayan","given":"Victoria"},{"family":"Ginzburg","given":"Yelena"},{"family":"Roth","given":"Marie-Paule"},{"family":"Nemeth","given":"Elizabeta"},{"family":"Ganz","given":"Tomas"}],"issued":{"date-parts":[["2011",4]]},"PMID":"21480335","PMCID":"PMC3074982"}},{"id":210,"uris":["http://zotero.org/users/2804724/items/PXTF55CZ"],"uri":["http://zotero.org/users/2804724/items/PXTF55CZ"],"itemData":{"id":210,"type":"article-journal","title":"Liver iron modulates hepcidin expression during chronically elevated erythropoiesis in mice","container-title":"Hepatology (Baltimore, Md.)","page":"2122-2132","volume":"58","issue":"6","source":"PubMed","abstract":"The liver-derived peptide hepcidin controls the balance between iron demand and iron supply. By inhibiting the iron export activity of ferroportin, hepcidin modulates iron absorption and delivery from the body's stores. The regulation of hepcidin, however, is not completely understood and includes a variety of different signals. We studied iron metabolism and hepcidin expression in mice constitutively overexpressing erythropoietin (Epo) (Tg6 mice), which leads to excessive erythropoiesis. We observed a very strong down-regulation of hepcidin in Tg6 mice that was accompanied by a strong increase in duodenal expression of ferroportin and divalent metal tranporter-1, as well as enhanced duodenal iron absorption. Despite these compensatory mechanisms, Tg6 mice displayed marked circulating iron deficiency and low levels of iron in liver, spleen, and muscle. To elucidate the primary signal affecting hepcidin expression during chronically elevated erythropoiesis, we increased iron availability by either providing iron (thus further increasing the hematocrit) or reducing erythropoiesis-dependent iron consumption by means of splenectomy. Both treatments increased liver iron and up-regulated hepcidin expression and the BMP6/SMAD pathway despite continuously high plasma Epo levels and sustained erythropoiesis. This suggests that hepcidin expression is not controlled by erythropoietic signals directly in this setting. Rather, these results indicate that iron consumption for erythropoiesis modulates liver iron content, and ultimately BMP6 and hepcidin. Analysis of the BMP6/SMAD pathway targets showed that inhibitor of DNA binding 1 (ID1) and SMAD7, but not transmembrane serine protease 6 (TMPRSS6), were up-regulated by increased iron availability and thus may be involved in setting the upper limit of hepcidin.\nCONCLUSION: We provide evidence that under conditions of excessive and effective erythropoiesis, liver iron regulates hepcidin expression through the BMP6/SMAD pathway.","DOI":"10.1002/hep.26550","ISSN":"1527-3350","note":"PMID: 23744538","journalAbbreviation":"Hepatology","language":"eng","author":[{"family":"Díaz","given":"Víctor"},{"family":"Gammella","given":"Elena"},{"family":"Recalcati","given":"Stefania"},{"family":"Santambrogio","given":"Paolo"},{"family":"Naldi","given":"Arianne Monge"},{"family":"Vogel","given":"Johannes"},{"family":"Gassmann","given":"Max"},{"family":"Cairo","given":"Gaetano"}],"issued":{"date-parts":[["2013",12]]},"PMID":"23744538"}},{"id":212,"uris":["http://zotero.org/users/2804724/items/KF8ZA4ZM"],"uri":["http://zotero.org/users/2804724/items/KF8ZA4ZM"],"itemData":{"id":212,"type":"article-journal","title":"Low intracellular iron increases the stability of matriptase-2","container-title":"The Journal of Biological Chemistry","page":"4432-4446","volume":"290","issue":"7","source":"PubMed","abstract":"Matriptase-2 (MT2) is a type II transmembrane serine protease that is predominantly expressed in hepatocytes. It suppresses the expression of hepatic hepcidin, an iron regulatory hormone, by cleaving membrane hemojuvelin into an inactive form. Hemojuvelin is a bone morphogenetic protein (BMP) co-receptor. Here, we report that MT2 is up-regulated under iron deprivation. In HepG2 cells stably expressing the coding sequence of the MT2 gene, TMPRSS6, incubation with apo-transferrin or the membrane-impermeable iron chelator, deferoxamine mesylate salt, was able to increase MT2 levels. This increase did not result from the inhibition of MT2 shedding from the cells. Rather, studies using a membrane-permeable iron chelator, salicylaldehyde isonicotinoyl hydrazone, revealed that depletion of cellular iron was able to decrease the degradation of MT2 independently of internalization. We found that lack of the putative endocytosis motif in its cytoplasmic domain largely abolished the sensitivity of MT2 to iron depletion. Neither acute nor chronic iron deficiency was able to alter the association of Tmprss6 mRNA with polyribosomes in the liver of rats indicating a lack of translational regulation by low iron levels. Studies in mice showed that Tmprss6 mRNA was not regulated by iron nor the BMP-mediated signaling with no evident correlation with either Bmp6 mRNA or Id1 mRNA, a target of BMP signaling. These results suggest that regulation of MT2 occurs at the level of protein degradation rather than by changes in the rate of internalization and translational or transcriptional mechanisms and that the cytoplasmic domain of MT2 is necessary for its regulation.","DOI":"10.1074/jbc.M114.611913","ISSN":"1083-351X","note":"PMID: 25550162\nPMCID: PMC4326848","journalAbbreviation":"J. Biol. Chem.","language":"eng","author":[{"family":"Zhao","given":"Ningning"},{"family":"Nizzi","given":"Christopher P."},{"family":"Anderson","given":"Sheila A."},{"family":"Wang","given":"Jiaohong"},{"family":"Ueno","given":"Akiko"},{"family":"Tsukamoto","given":"Hidekazu"},{"family":"Eisenstein","given":"Richard S."},{"family":"Enns","given":"Caroline A."},{"family":"Zhang","given":"An-Sheng"}],"issued":{"date-parts":[["2015",2,13]]},"PMID":"25550162","PMCID":"PMC4326848"}}],"schema":"https://github.com/citation-style-language/schema/raw/master/csl-citation.json"} </w:instrText>
      </w:r>
      <w:r w:rsidR="00614C46" w:rsidRPr="00B84270">
        <w:rPr>
          <w:rFonts w:ascii="Arial" w:hAnsi="Arial" w:cs="Arial"/>
          <w:sz w:val="24"/>
          <w:szCs w:val="24"/>
          <w:lang w:val="en-US"/>
        </w:rPr>
        <w:fldChar w:fldCharType="separate"/>
      </w:r>
      <w:r w:rsidR="000A09BE" w:rsidRPr="00B84270">
        <w:rPr>
          <w:rFonts w:ascii="Arial" w:hAnsi="Arial" w:cs="Arial"/>
          <w:sz w:val="24"/>
          <w:szCs w:val="24"/>
        </w:rPr>
        <w:t>(11–13)</w:t>
      </w:r>
      <w:r w:rsidR="00614C46" w:rsidRPr="00B84270">
        <w:rPr>
          <w:rFonts w:ascii="Arial" w:hAnsi="Arial" w:cs="Arial"/>
          <w:sz w:val="24"/>
          <w:szCs w:val="24"/>
          <w:lang w:val="en-US"/>
        </w:rPr>
        <w:fldChar w:fldCharType="end"/>
      </w:r>
      <w:r w:rsidRPr="00B84270">
        <w:rPr>
          <w:rFonts w:ascii="Arial" w:hAnsi="Arial" w:cs="Arial"/>
          <w:sz w:val="24"/>
          <w:szCs w:val="24"/>
          <w:lang w:val="en-US"/>
        </w:rPr>
        <w:t>.</w:t>
      </w:r>
      <w:r w:rsidR="004F616F" w:rsidRPr="00B84270">
        <w:rPr>
          <w:rFonts w:ascii="Arial" w:hAnsi="Arial" w:cs="Arial"/>
          <w:sz w:val="24"/>
          <w:szCs w:val="24"/>
          <w:lang w:val="en-US"/>
        </w:rPr>
        <w:t xml:space="preserve"> </w:t>
      </w:r>
      <w:r w:rsidRPr="00B84270">
        <w:rPr>
          <w:rFonts w:ascii="Arial" w:hAnsi="Arial" w:cs="Arial"/>
          <w:sz w:val="24"/>
          <w:szCs w:val="24"/>
          <w:lang w:val="en-US"/>
        </w:rPr>
        <w:t xml:space="preserve">In addition, </w:t>
      </w:r>
      <w:r w:rsidR="00607B9E" w:rsidRPr="00B84270">
        <w:rPr>
          <w:rFonts w:ascii="Arial" w:hAnsi="Arial" w:cs="Arial"/>
          <w:sz w:val="24"/>
          <w:szCs w:val="24"/>
          <w:lang w:val="en-US"/>
        </w:rPr>
        <w:t xml:space="preserve">intracellular iron was proposed </w:t>
      </w:r>
      <w:r w:rsidRPr="00B84270">
        <w:rPr>
          <w:rFonts w:ascii="Arial" w:hAnsi="Arial" w:cs="Arial"/>
          <w:sz w:val="24"/>
          <w:szCs w:val="24"/>
          <w:lang w:val="en-US"/>
        </w:rPr>
        <w:t xml:space="preserve">to induce the maturation of </w:t>
      </w:r>
      <w:r w:rsidR="00DD25C2" w:rsidRPr="00B84270">
        <w:rPr>
          <w:rFonts w:ascii="Arial" w:hAnsi="Arial" w:cs="Arial"/>
          <w:sz w:val="24"/>
          <w:szCs w:val="24"/>
          <w:lang w:val="en-US"/>
        </w:rPr>
        <w:t>pro</w:t>
      </w:r>
      <w:r w:rsidR="00163CE5" w:rsidRPr="00B84270">
        <w:rPr>
          <w:rFonts w:ascii="Arial" w:hAnsi="Arial" w:cs="Arial"/>
          <w:sz w:val="24"/>
          <w:szCs w:val="24"/>
          <w:lang w:val="en-US"/>
        </w:rPr>
        <w:t xml:space="preserve">-hepcidin </w:t>
      </w:r>
      <w:r w:rsidRPr="00B84270">
        <w:rPr>
          <w:rFonts w:ascii="Arial" w:hAnsi="Arial" w:cs="Arial"/>
          <w:sz w:val="24"/>
          <w:szCs w:val="24"/>
          <w:lang w:val="en-US"/>
        </w:rPr>
        <w:t xml:space="preserve">into </w:t>
      </w:r>
      <w:proofErr w:type="spellStart"/>
      <w:r w:rsidRPr="00B84270">
        <w:rPr>
          <w:rFonts w:ascii="Arial" w:hAnsi="Arial" w:cs="Arial"/>
          <w:sz w:val="24"/>
          <w:szCs w:val="24"/>
          <w:lang w:val="en-US"/>
        </w:rPr>
        <w:t>secretable</w:t>
      </w:r>
      <w:proofErr w:type="spellEnd"/>
      <w:r w:rsidRPr="00B84270">
        <w:rPr>
          <w:rFonts w:ascii="Arial" w:hAnsi="Arial" w:cs="Arial"/>
          <w:sz w:val="24"/>
          <w:szCs w:val="24"/>
          <w:lang w:val="en-US"/>
        </w:rPr>
        <w:t xml:space="preserve"> bioactive hepcidin</w:t>
      </w:r>
      <w:r w:rsidR="001D4DB9" w:rsidRPr="00B84270">
        <w:rPr>
          <w:rFonts w:ascii="Arial" w:hAnsi="Arial" w:cs="Arial"/>
          <w:sz w:val="24"/>
          <w:szCs w:val="24"/>
          <w:lang w:val="en-US"/>
        </w:rPr>
        <w:t xml:space="preserve"> </w:t>
      </w:r>
      <w:r w:rsidR="00614C46" w:rsidRPr="00B84270">
        <w:rPr>
          <w:rFonts w:ascii="Arial" w:hAnsi="Arial" w:cs="Arial"/>
          <w:sz w:val="24"/>
          <w:szCs w:val="24"/>
          <w:lang w:val="en-US"/>
        </w:rPr>
        <w:fldChar w:fldCharType="begin"/>
      </w:r>
      <w:r w:rsidR="001D4DB9" w:rsidRPr="00B84270">
        <w:rPr>
          <w:rFonts w:ascii="Arial" w:hAnsi="Arial" w:cs="Arial"/>
          <w:sz w:val="24"/>
          <w:szCs w:val="24"/>
          <w:lang w:val="en-US"/>
        </w:rPr>
        <w:instrText xml:space="preserve"> ADDIN ZOTERO_ITEM CSL_CITATION {"citationID":"ce9uuv11t","properties":{"formattedCitation":"(14)","plainCitation":"(14)"},"citationItems":[{"id":158,"uris":["http://zotero.org/users/2804724/items/HSW27J7Q"],"uri":["http://zotero.org/users/2804724/items/HSW27J7Q"],"itemData":{"id":158,"type":"article-journal","title":"Identification of an iron-hepcidin complex","container-title":"The Biochemical Journal","page":"553-557","volume":"413","issue":"3","source":"PubMed","abstract":"Following its identification as a liver-expressed antimicrobial peptide, the hepcidin peptide was later shown to be a key player in iron homoeostasis. It is now proposed to be the 'iron hormone' which, by interacting with the iron transporter ferroportin, prevents further iron import into the circulatory system. This conclusion was reached using the corresponding synthetic peptide, emphasizing the functional importance of the mature 25-mer peptide, but omitting the possible functionality of its maturation. From urine-purified native hepcidin, we recently demonstrated that a proportion of the purified hepcidin had formed iron-hepcidin complexes. This interaction was investigated further by computer modelling and, based on the sequence similarity of hepcidin with metallothionein, a three-dimensional model of hepcidin, containing one atom of iron, was constructed. To characterize these complexes further, the interaction with iron was analysed using different spectroscopic methods. Monoferric hepcidin was identified by MS, as were possibly other complexes containing two and three atoms of iron respectively, although these were present only in minor amounts. UV/visible absorbance and CD studies identified the iron-binding events which were facilitated at a physiological pH. EPR spectroscopy identified the ferric state of the bound metal, and indicated that the iron-hepcidin complex shares some similarities with the rubredoxin iron-sulfur complex, suggesting the presence of Fe(3+) in a tetrahedral sulfur co-ordination. The potential roles of iron binding for hepcidin are discussed, and we propose either a regulatory function in the maturation of pro-hepcidin into active hepcidin or as the necessary link in the interaction between hepcidin and ferroportin.","DOI":"10.1042/BJ20080406","ISSN":"1470-8728","note":"PMID: 18447830","journalAbbreviation":"Biochem. J.","language":"eng","author":[{"family":"Farnaud","given":"Sébastien"},{"family":"Rapisarda","given":"Chiara"},{"family":"Bui","given":"Tam"},{"family":"Drake","given":"Alex"},{"family":"Cammack","given":"Richard"},{"family":"Evans","given":"Robert W."}],"issued":{"date-parts":[["2008",8,1]]},"PMID":"18447830"}}],"schema":"https://github.com/citation-style-language/schema/raw/master/csl-citation.json"} </w:instrText>
      </w:r>
      <w:r w:rsidR="00614C46" w:rsidRPr="00B84270">
        <w:rPr>
          <w:rFonts w:ascii="Arial" w:hAnsi="Arial" w:cs="Arial"/>
          <w:sz w:val="24"/>
          <w:szCs w:val="24"/>
          <w:lang w:val="en-US"/>
        </w:rPr>
        <w:fldChar w:fldCharType="separate"/>
      </w:r>
      <w:r w:rsidR="000A09BE" w:rsidRPr="00B84270">
        <w:rPr>
          <w:rFonts w:ascii="Arial" w:hAnsi="Arial" w:cs="Arial"/>
          <w:sz w:val="24"/>
        </w:rPr>
        <w:t>(14)</w:t>
      </w:r>
      <w:r w:rsidR="00614C46" w:rsidRPr="00B84270">
        <w:rPr>
          <w:rFonts w:ascii="Arial" w:hAnsi="Arial" w:cs="Arial"/>
          <w:sz w:val="24"/>
          <w:szCs w:val="24"/>
          <w:lang w:val="en-US"/>
        </w:rPr>
        <w:fldChar w:fldCharType="end"/>
      </w:r>
      <w:r w:rsidR="002B6936" w:rsidRPr="00B84270">
        <w:rPr>
          <w:rFonts w:ascii="Arial" w:hAnsi="Arial" w:cs="Arial"/>
          <w:sz w:val="24"/>
          <w:szCs w:val="24"/>
          <w:lang w:val="en-US"/>
        </w:rPr>
        <w:t xml:space="preserve">. </w:t>
      </w:r>
      <w:r w:rsidR="00CD0206" w:rsidRPr="00B84270">
        <w:rPr>
          <w:rFonts w:ascii="Arial" w:hAnsi="Arial" w:cs="Arial"/>
          <w:sz w:val="24"/>
          <w:szCs w:val="24"/>
          <w:lang w:val="en-US"/>
        </w:rPr>
        <w:t>However</w:t>
      </w:r>
      <w:r w:rsidRPr="00B84270">
        <w:rPr>
          <w:rFonts w:ascii="Arial" w:hAnsi="Arial" w:cs="Arial"/>
          <w:sz w:val="24"/>
          <w:szCs w:val="24"/>
          <w:lang w:val="en-US"/>
        </w:rPr>
        <w:t xml:space="preserve">, </w:t>
      </w:r>
      <w:r w:rsidR="002B6936" w:rsidRPr="00B84270">
        <w:rPr>
          <w:rFonts w:ascii="Arial" w:hAnsi="Arial" w:cs="Arial"/>
          <w:sz w:val="24"/>
          <w:szCs w:val="24"/>
          <w:lang w:val="en-US"/>
        </w:rPr>
        <w:t xml:space="preserve">its </w:t>
      </w:r>
      <w:r w:rsidRPr="00B84270">
        <w:rPr>
          <w:rFonts w:ascii="Arial" w:hAnsi="Arial" w:cs="Arial"/>
          <w:sz w:val="24"/>
          <w:szCs w:val="24"/>
          <w:lang w:val="en-US"/>
        </w:rPr>
        <w:t xml:space="preserve">precise role in hepcidin peptide secretion </w:t>
      </w:r>
      <w:r w:rsidR="00281143" w:rsidRPr="00B84270">
        <w:rPr>
          <w:rFonts w:ascii="Arial" w:hAnsi="Arial" w:cs="Arial"/>
          <w:sz w:val="24"/>
          <w:szCs w:val="24"/>
          <w:lang w:val="en-US"/>
        </w:rPr>
        <w:t>has not been sufficiently studied</w:t>
      </w:r>
      <w:r w:rsidR="002F6061" w:rsidRPr="00B84270">
        <w:rPr>
          <w:rFonts w:ascii="Arial" w:hAnsi="Arial" w:cs="Arial"/>
          <w:sz w:val="24"/>
          <w:szCs w:val="24"/>
          <w:lang w:val="en-US"/>
        </w:rPr>
        <w:t>. Alongside, a</w:t>
      </w:r>
      <w:r w:rsidR="006C7227" w:rsidRPr="00B84270">
        <w:rPr>
          <w:rFonts w:ascii="Arial" w:hAnsi="Arial" w:cs="Arial"/>
          <w:sz w:val="24"/>
          <w:szCs w:val="24"/>
          <w:lang w:val="en-US"/>
        </w:rPr>
        <w:t>lthough the proteins HFE</w:t>
      </w:r>
      <w:r w:rsidR="00FB02DA" w:rsidRPr="00B84270">
        <w:rPr>
          <w:rFonts w:ascii="Arial" w:hAnsi="Arial" w:cs="Arial"/>
          <w:sz w:val="24"/>
          <w:szCs w:val="24"/>
          <w:lang w:val="en-US"/>
        </w:rPr>
        <w:t xml:space="preserve"> and </w:t>
      </w:r>
      <w:r w:rsidR="003D63BB" w:rsidRPr="00B84270">
        <w:rPr>
          <w:rFonts w:ascii="Arial" w:hAnsi="Arial" w:cs="Arial"/>
          <w:sz w:val="24"/>
          <w:szCs w:val="24"/>
          <w:lang w:val="en-US"/>
        </w:rPr>
        <w:t>TF</w:t>
      </w:r>
      <w:r w:rsidR="006C7227" w:rsidRPr="00B84270">
        <w:rPr>
          <w:rFonts w:ascii="Arial" w:hAnsi="Arial" w:cs="Arial"/>
          <w:sz w:val="24"/>
          <w:szCs w:val="24"/>
          <w:lang w:val="en-US"/>
        </w:rPr>
        <w:t xml:space="preserve">R2 on the hepatocytes are </w:t>
      </w:r>
      <w:r w:rsidR="003A6F9B" w:rsidRPr="00B84270">
        <w:rPr>
          <w:rFonts w:ascii="Arial" w:hAnsi="Arial" w:cs="Arial"/>
          <w:sz w:val="24"/>
          <w:szCs w:val="24"/>
          <w:lang w:val="en-US"/>
        </w:rPr>
        <w:t>pivotal</w:t>
      </w:r>
      <w:r w:rsidR="006C7227" w:rsidRPr="00B84270">
        <w:rPr>
          <w:rFonts w:ascii="Arial" w:hAnsi="Arial" w:cs="Arial"/>
          <w:sz w:val="24"/>
          <w:szCs w:val="24"/>
          <w:lang w:val="en-US"/>
        </w:rPr>
        <w:t xml:space="preserve"> in </w:t>
      </w:r>
      <w:r w:rsidR="006C7227" w:rsidRPr="00B84270">
        <w:rPr>
          <w:rFonts w:ascii="Arial" w:hAnsi="Arial" w:cs="Arial"/>
          <w:i/>
          <w:sz w:val="24"/>
          <w:szCs w:val="24"/>
          <w:lang w:val="en-US"/>
        </w:rPr>
        <w:t>HAMP</w:t>
      </w:r>
      <w:r w:rsidR="00AA2382" w:rsidRPr="00B84270">
        <w:rPr>
          <w:rFonts w:ascii="Arial" w:hAnsi="Arial" w:cs="Arial"/>
          <w:sz w:val="24"/>
          <w:szCs w:val="24"/>
          <w:lang w:val="en-US"/>
        </w:rPr>
        <w:t xml:space="preserve"> induction</w:t>
      </w:r>
      <w:r w:rsidR="001D4DB9" w:rsidRPr="00B84270">
        <w:rPr>
          <w:rFonts w:ascii="Arial" w:hAnsi="Arial" w:cs="Arial"/>
          <w:sz w:val="24"/>
          <w:szCs w:val="24"/>
          <w:lang w:val="en-US"/>
        </w:rPr>
        <w:t xml:space="preserve"> </w:t>
      </w:r>
      <w:r w:rsidR="00614C46" w:rsidRPr="00B84270">
        <w:rPr>
          <w:rFonts w:ascii="Arial" w:hAnsi="Arial" w:cs="Arial"/>
          <w:sz w:val="24"/>
          <w:szCs w:val="24"/>
          <w:lang w:val="en-US"/>
        </w:rPr>
        <w:fldChar w:fldCharType="begin"/>
      </w:r>
      <w:r w:rsidR="001D4DB9" w:rsidRPr="00B84270">
        <w:rPr>
          <w:rFonts w:ascii="Arial" w:hAnsi="Arial" w:cs="Arial"/>
          <w:sz w:val="24"/>
          <w:szCs w:val="24"/>
          <w:lang w:val="en-US"/>
        </w:rPr>
        <w:instrText xml:space="preserve"> ADDIN ZOTERO_ITEM CSL_CITATION {"citationID":"2et279pq2m","properties":{"formattedCitation":"(15)","plainCitation":"(15)"},"citationItems":[{"id":218,"uris":["http://zotero.org/users/2804724/items/TPVFQHU3"],"uri":["http://zotero.org/users/2804724/items/TPVFQHU3"],"itemData":{"id":218,"type":"article-journal","title":"Molecular insights into the pathogenesis of hereditary haemochromatosis","container-title":"Gut","page":"564-568","volume":"55","issue":"4","source":"PubMed","DOI":"10.1136/gut.2005.078063","ISSN":"0017-5749","note":"PMID: 16531535\nPMCID: PMC1856183","journalAbbreviation":"Gut","language":"eng","author":[{"family":"Pietrangelo","given":"A."}],"issued":{"date-parts":[["2006",4]]},"PMID":"16531535","PMCID":"PMC1856183"}}],"schema":"https://github.com/citation-style-language/schema/raw/master/csl-citation.json"} </w:instrText>
      </w:r>
      <w:r w:rsidR="00614C46" w:rsidRPr="00B84270">
        <w:rPr>
          <w:rFonts w:ascii="Arial" w:hAnsi="Arial" w:cs="Arial"/>
          <w:sz w:val="24"/>
          <w:szCs w:val="24"/>
          <w:lang w:val="en-US"/>
        </w:rPr>
        <w:fldChar w:fldCharType="separate"/>
      </w:r>
      <w:r w:rsidR="000A09BE" w:rsidRPr="00B84270">
        <w:rPr>
          <w:rFonts w:ascii="Arial" w:hAnsi="Arial" w:cs="Arial"/>
          <w:sz w:val="24"/>
        </w:rPr>
        <w:t>(15)</w:t>
      </w:r>
      <w:r w:rsidR="00614C46" w:rsidRPr="00B84270">
        <w:rPr>
          <w:rFonts w:ascii="Arial" w:hAnsi="Arial" w:cs="Arial"/>
          <w:sz w:val="24"/>
          <w:szCs w:val="24"/>
          <w:lang w:val="en-US"/>
        </w:rPr>
        <w:fldChar w:fldCharType="end"/>
      </w:r>
      <w:r w:rsidR="0063250F" w:rsidRPr="00B84270">
        <w:rPr>
          <w:rFonts w:ascii="Arial" w:hAnsi="Arial" w:cs="Arial"/>
          <w:sz w:val="24"/>
          <w:szCs w:val="24"/>
          <w:lang w:val="en-US"/>
        </w:rPr>
        <w:t>,</w:t>
      </w:r>
      <w:r w:rsidR="001D4DB9" w:rsidRPr="00B84270">
        <w:rPr>
          <w:rFonts w:ascii="Arial" w:hAnsi="Arial" w:cs="Arial"/>
          <w:sz w:val="24"/>
          <w:szCs w:val="24"/>
          <w:lang w:val="en-US"/>
        </w:rPr>
        <w:t xml:space="preserve"> </w:t>
      </w:r>
      <w:r w:rsidR="003A6F9B" w:rsidRPr="00B84270">
        <w:rPr>
          <w:rFonts w:ascii="Arial" w:hAnsi="Arial" w:cs="Arial"/>
          <w:sz w:val="24"/>
          <w:szCs w:val="24"/>
          <w:lang w:val="en-US"/>
        </w:rPr>
        <w:t>their mechanisms of action</w:t>
      </w:r>
      <w:r w:rsidR="004F5B02" w:rsidRPr="00B84270">
        <w:rPr>
          <w:rFonts w:ascii="Arial" w:hAnsi="Arial" w:cs="Arial"/>
          <w:sz w:val="24"/>
          <w:szCs w:val="24"/>
          <w:lang w:val="en-US"/>
        </w:rPr>
        <w:t>, whether independent or in conjunction</w:t>
      </w:r>
      <w:r w:rsidR="00DE4322" w:rsidRPr="00B84270">
        <w:rPr>
          <w:rFonts w:ascii="Arial" w:hAnsi="Arial" w:cs="Arial"/>
          <w:sz w:val="24"/>
          <w:szCs w:val="24"/>
          <w:lang w:val="en-US"/>
        </w:rPr>
        <w:t xml:space="preserve">, </w:t>
      </w:r>
      <w:r w:rsidR="003A6F9B" w:rsidRPr="00B84270">
        <w:rPr>
          <w:rFonts w:ascii="Arial" w:hAnsi="Arial" w:cs="Arial"/>
          <w:sz w:val="24"/>
          <w:szCs w:val="24"/>
          <w:lang w:val="en-US"/>
        </w:rPr>
        <w:t>remain ambiguous</w:t>
      </w:r>
      <w:r w:rsidR="001D4DB9" w:rsidRPr="00B84270">
        <w:rPr>
          <w:rFonts w:ascii="Arial" w:hAnsi="Arial" w:cs="Arial"/>
          <w:sz w:val="24"/>
          <w:szCs w:val="24"/>
          <w:lang w:val="en-US"/>
        </w:rPr>
        <w:t xml:space="preserve"> </w:t>
      </w:r>
      <w:r w:rsidR="00614C46" w:rsidRPr="00B84270">
        <w:rPr>
          <w:rFonts w:ascii="Arial" w:hAnsi="Arial" w:cs="Arial"/>
          <w:sz w:val="24"/>
          <w:szCs w:val="24"/>
          <w:lang w:val="en-US"/>
        </w:rPr>
        <w:fldChar w:fldCharType="begin"/>
      </w:r>
      <w:r w:rsidR="00B922AA" w:rsidRPr="00B84270">
        <w:rPr>
          <w:rFonts w:ascii="Arial" w:hAnsi="Arial" w:cs="Arial"/>
          <w:sz w:val="24"/>
          <w:szCs w:val="24"/>
          <w:lang w:val="en-US"/>
        </w:rPr>
        <w:instrText xml:space="preserve"> ADDIN ZOTERO_ITEM CSL_CITATION {"citationID":"MsrVFCcX","properties":{"formattedCitation":"{\\rtf (16\\uc0\\u8211{}18)}","plainCitation":"(16–18)"},"citationItems":[{"id":162,"uris":["http://zotero.org/users/2804724/items/95N3HQV7"],"uri":["http://zotero.org/users/2804724/items/95N3HQV7"],"itemData":{"id":162,"type":"article-journal","title":"The hemochromatosis proteins HFE, TfR2, and HJV form a membrane-associated protein complex for hepcidin regulation","container-title":"Journal of Hepatology","page":"1052-1060","volume":"57","issue":"5","source":"PubMed","abstract":"BACKGROUND &amp; AIMS: The hereditary hemochromatosis-associated membrane proteins HFE, TfR2, and HJV are required for adequate hepatic expression of the iron hormone hepcidin. While the genetic interactions are clear, it remains elusive how bone morphogenetic protein co-receptor HJV functions together with HFE and TfR2 to activate hepcidin transcription via the BMP-SMAD signaling pathway. Here, we investigate whether HFE, TfR2, and HJV physically interact on the surface of hepatocytes.\nMETHODS: We explore protein-protein interactions by glycerol gradient sedimentation assays and co-immunoprecipitation analyses in transfected HuH7 hepatoma-derived cells.\nRESULTS: Our data demonstrate that HFE and TfR2 bind HJV in a non-competitive manner. Co-immunoprecipitation analyses provide direct experimental evidence that HFE, TfR2, and HJV form a multi-protein membrane complex. Our experiments show that like TfR2, HJV competes with TfR1 for binding to HFE, indicating that the expression of TfR2 and HJV may be critical for iron sensing. We identify residues 120-139 of the TfR2 extra-cellular domain as the critical amino acids required for the binding of both HFE and HJV. Interestingly, RGMA, a central nervous system homolog, can substitute for HJV in the complex and promote hepcidin transcription, implicating RGMA in the local control of hepcidin in the CNS.\nCONCLUSIONS: Taken together, our findings provide a biochemical basis for hepcidin control by HFE, TfR2, and HJV.","DOI":"10.1016/j.jhep.2012.06.015","ISSN":"1600-0641","note":"PMID: 22728873","journalAbbreviation":"J. Hepatol.","language":"eng","author":[{"family":"D'Alessio","given":"Flavia"},{"family":"Hentze","given":"Matthias W."},{"family":"Muckenthaler","given":"Martina U."}],"issued":{"date-parts":[["2012",11]]},"PMID":"22728873"}},{"id":222,"uris":["http://zotero.org/users/2804724/items/QX8JB6NT"],"uri":["http://zotero.org/users/2804724/items/QX8JB6NT"],"itemData":{"id":222,"type":"article-journal","title":"Transgenic HFE-dependent induction of hepcidin in mice does not require transferrin receptor-2","container-title":"American Journal of Hematology","page":"588-595","volume":"87","issue":"6","source":"PubMed","abstract":"Hereditary hemochomatosis (HH) is caused by mutations in several genes, including HFE and transferrin receptor-2 (TFR2). Loss of either protein decreases expression of the iron regulatory hormone hepcidin by the liver, leading to inappropriately high iron uptake from the diet, and resulting in systemic iron overload. In tissue culture, overexpressed HFE and TFR2 physically interact. Hepatocellular overexpression of Hfe in vivo increases hepcidin expression, despite an associated decrease in Tfr2. On this basis, we hypothesized that Tfr2 would not be required for Hfe-dependent up-regulation of hepcidin. We show that hepatocellular overexpression of Hfe in Tfr2(Y245X/Y245X) mice leads to hepcidin induction eventuating in iron deficiency and a hypochromic, microcytic anemia. Furthermore, coimmunoprecipitation studies using liver lysates did not provide evidence for physical interaction between Hfe and Tfr2 in vivo. In conclusion, we demonstrate that Tfr2 is not essential for Hfe-mediated induction of hepcidin expression, supporting the possibility that TFR2 may regulate iron metabolism in an HFE-independent manner.","DOI":"10.1002/ajh.23173","ISSN":"1096-8652","note":"PMID: 22460705\nPMCID: PMC3386558","journalAbbreviation":"Am. J. Hematol.","language":"eng","author":[{"family":"Schmidt","given":"Paul J."},{"family":"Fleming","given":"Mark D."}],"issued":{"date-parts":[["2012",6]]},"PMID":"22460705","PMCID":"PMC3386558"}},{"id":113,"uris":["http://zotero.org/users/2804724/items/R5C3KI8B"],"uri":["http://zotero.org/users/2804724/items/R5C3KI8B"],"itemData":{"id":113,"type":"article-journal","title":"In situ proximity ligation assays indicate that hemochromatosis proteins Hfe and transferrin receptor 2 (Tfr2) do not interact","container-title":"PloS One","page":"e77267","volume":"8","issue":"10","source":"PubMed","abstract":"The hemochromatosis associated proteins HFE and Transferrin Receptor 2 (TFR2) have been shown to be important for the proper regulation of hepcidin. A number of in vitro studies using transient overexpression systems have suggested that an interaction between HFE and TFR2 is required for the regulation of hepcidin. This model of iron sensing which centers upon the requirement for an interaction between HFE and TFR2 has recently been questioned with in vivo studies in mice from our laboratory and others which suggest that Hfe and Tfr2 can regulate hepcidin independently of each other. To re-examine the postulated interaction between Hfe and Tfr2 we developed a novel expression system in which both proteins are stably co-expressed and used the proximity ligation assay to examine the interactions between Hfe, Tfr1 and Tfr2 at a cellular level. We were able to detect the previously described interaction between Hfe and Tfr1, and heterodimers between Tfr1 and Tfr2; however no interaction between Hfe and Tfr2 was observed in our system. The results from this study indicate that Hfe and Tfr2 do not interact with each other when they are stably expressed at similar levels. Furthermore, these results support in vivo studies which suggest that Hfe and Tfr2 can independently regulate hepcidin.","DOI":"10.1371/journal.pone.0077267","ISSN":"1932-6203","note":"PMID: 24155934\nPMCID: PMC3796466","journalAbbreviation":"PLoS ONE","language":"eng","author":[{"family":"Rishi","given":"Gautam"},{"family":"Crampton","given":"Emily M."},{"family":"Wallace","given":"Daniel F."},{"family":"Subramaniam","given":"V. Nathan"}],"issued":{"date-parts":[["2013"]]},"PMID":"24155934","PMCID":"PMC3796466"}}],"schema":"https://github.com/citation-style-language/schema/raw/master/csl-citation.json"} </w:instrText>
      </w:r>
      <w:r w:rsidR="00614C46" w:rsidRPr="00B84270">
        <w:rPr>
          <w:rFonts w:ascii="Arial" w:hAnsi="Arial" w:cs="Arial"/>
          <w:sz w:val="24"/>
          <w:szCs w:val="24"/>
          <w:lang w:val="en-US"/>
        </w:rPr>
        <w:fldChar w:fldCharType="separate"/>
      </w:r>
      <w:r w:rsidR="000A09BE" w:rsidRPr="00B84270">
        <w:rPr>
          <w:rFonts w:ascii="Arial" w:hAnsi="Arial" w:cs="Arial"/>
          <w:sz w:val="24"/>
          <w:szCs w:val="24"/>
        </w:rPr>
        <w:t>(16–18)</w:t>
      </w:r>
      <w:r w:rsidR="00614C46" w:rsidRPr="00B84270">
        <w:rPr>
          <w:rFonts w:ascii="Arial" w:hAnsi="Arial" w:cs="Arial"/>
          <w:sz w:val="24"/>
          <w:szCs w:val="24"/>
          <w:lang w:val="en-US"/>
        </w:rPr>
        <w:fldChar w:fldCharType="end"/>
      </w:r>
      <w:r w:rsidR="003A6F9B" w:rsidRPr="00B84270">
        <w:rPr>
          <w:rFonts w:ascii="Arial" w:hAnsi="Arial" w:cs="Arial"/>
          <w:sz w:val="24"/>
          <w:szCs w:val="24"/>
          <w:lang w:val="en-US"/>
        </w:rPr>
        <w:t xml:space="preserve">. </w:t>
      </w:r>
      <w:r w:rsidR="00CD0206" w:rsidRPr="00B84270">
        <w:rPr>
          <w:rFonts w:ascii="Arial" w:hAnsi="Arial" w:cs="Arial"/>
          <w:sz w:val="24"/>
          <w:szCs w:val="24"/>
          <w:lang w:val="en-US"/>
        </w:rPr>
        <w:t xml:space="preserve">Collectively, </w:t>
      </w:r>
      <w:r w:rsidRPr="00B84270">
        <w:rPr>
          <w:rFonts w:ascii="Arial" w:hAnsi="Arial" w:cs="Arial"/>
          <w:sz w:val="24"/>
          <w:szCs w:val="24"/>
          <w:lang w:val="en-US"/>
        </w:rPr>
        <w:t>the complete picture</w:t>
      </w:r>
      <w:r w:rsidR="00B8398D" w:rsidRPr="00B84270">
        <w:rPr>
          <w:rFonts w:ascii="Arial" w:hAnsi="Arial" w:cs="Arial"/>
          <w:sz w:val="24"/>
          <w:szCs w:val="24"/>
          <w:lang w:val="en-US"/>
        </w:rPr>
        <w:t xml:space="preserve"> of </w:t>
      </w:r>
      <w:r w:rsidR="00607B9E" w:rsidRPr="00B84270">
        <w:rPr>
          <w:rFonts w:ascii="Arial" w:hAnsi="Arial" w:cs="Arial"/>
          <w:sz w:val="24"/>
          <w:szCs w:val="24"/>
          <w:lang w:val="en-US"/>
        </w:rPr>
        <w:t xml:space="preserve">hepcidin </w:t>
      </w:r>
      <w:r w:rsidRPr="00B84270">
        <w:rPr>
          <w:rFonts w:ascii="Arial" w:hAnsi="Arial" w:cs="Arial"/>
          <w:sz w:val="24"/>
          <w:szCs w:val="24"/>
          <w:lang w:val="en-US"/>
        </w:rPr>
        <w:t xml:space="preserve">regulation </w:t>
      </w:r>
      <w:r w:rsidR="00592A5C" w:rsidRPr="00B84270">
        <w:rPr>
          <w:rFonts w:ascii="Arial" w:hAnsi="Arial" w:cs="Arial"/>
          <w:sz w:val="24"/>
          <w:szCs w:val="24"/>
          <w:lang w:val="en-US"/>
        </w:rPr>
        <w:t xml:space="preserve">and secretion </w:t>
      </w:r>
      <w:r w:rsidR="00772679" w:rsidRPr="00B84270">
        <w:rPr>
          <w:rFonts w:ascii="Arial" w:hAnsi="Arial" w:cs="Arial"/>
          <w:sz w:val="24"/>
          <w:szCs w:val="24"/>
          <w:lang w:val="en-US"/>
        </w:rPr>
        <w:t xml:space="preserve">in response to iron </w:t>
      </w:r>
      <w:r w:rsidRPr="00B84270">
        <w:rPr>
          <w:rFonts w:ascii="Arial" w:hAnsi="Arial" w:cs="Arial"/>
          <w:sz w:val="24"/>
          <w:szCs w:val="24"/>
          <w:lang w:val="en-US"/>
        </w:rPr>
        <w:t xml:space="preserve">is yet to be fully elucidated. </w:t>
      </w:r>
    </w:p>
    <w:p w:rsidR="00163CE5" w:rsidRPr="00B84270" w:rsidRDefault="00163CE5" w:rsidP="005510CB">
      <w:pPr>
        <w:spacing w:after="0" w:line="360" w:lineRule="auto"/>
        <w:rPr>
          <w:rFonts w:ascii="Arial" w:hAnsi="Arial" w:cs="Arial"/>
          <w:sz w:val="24"/>
          <w:szCs w:val="24"/>
          <w:lang w:val="en-US"/>
        </w:rPr>
      </w:pPr>
    </w:p>
    <w:p w:rsidR="00D54B52" w:rsidRPr="00B84270" w:rsidRDefault="00B0705D" w:rsidP="008749FE">
      <w:pPr>
        <w:spacing w:after="0" w:line="360" w:lineRule="auto"/>
        <w:rPr>
          <w:rFonts w:ascii="Arial" w:hAnsi="Arial" w:cs="Arial"/>
          <w:sz w:val="24"/>
          <w:szCs w:val="24"/>
          <w:lang w:val="en-US"/>
        </w:rPr>
      </w:pPr>
      <w:r w:rsidRPr="00B84270">
        <w:rPr>
          <w:rFonts w:ascii="Arial" w:hAnsi="Arial" w:cs="Arial"/>
          <w:sz w:val="24"/>
          <w:szCs w:val="24"/>
          <w:lang w:val="en-US"/>
        </w:rPr>
        <w:t xml:space="preserve">Hence, </w:t>
      </w:r>
      <w:r w:rsidR="008A460D" w:rsidRPr="00B84270">
        <w:rPr>
          <w:rFonts w:ascii="Arial" w:hAnsi="Arial" w:cs="Arial"/>
          <w:sz w:val="24"/>
          <w:szCs w:val="24"/>
          <w:lang w:val="en-US"/>
        </w:rPr>
        <w:t>here</w:t>
      </w:r>
      <w:r w:rsidR="00B55523" w:rsidRPr="00B84270">
        <w:rPr>
          <w:rFonts w:ascii="Arial" w:hAnsi="Arial" w:cs="Arial"/>
          <w:sz w:val="24"/>
          <w:szCs w:val="24"/>
          <w:lang w:val="en-US"/>
        </w:rPr>
        <w:t>, the effect of excess holo-</w:t>
      </w:r>
      <w:r w:rsidR="00CA24FE" w:rsidRPr="00B84270">
        <w:rPr>
          <w:rFonts w:ascii="Arial" w:hAnsi="Arial" w:cs="Arial"/>
          <w:sz w:val="24"/>
          <w:szCs w:val="24"/>
          <w:lang w:val="en-US"/>
        </w:rPr>
        <w:t xml:space="preserve">Tf </w:t>
      </w:r>
      <w:r w:rsidR="00525C2B" w:rsidRPr="00B84270">
        <w:rPr>
          <w:rFonts w:ascii="Arial" w:hAnsi="Arial" w:cs="Arial"/>
          <w:sz w:val="24"/>
          <w:szCs w:val="24"/>
          <w:lang w:val="en-US"/>
        </w:rPr>
        <w:t>and the consequentl</w:t>
      </w:r>
      <w:r w:rsidR="004F5910" w:rsidRPr="00B84270">
        <w:rPr>
          <w:rFonts w:ascii="Arial" w:hAnsi="Arial" w:cs="Arial"/>
          <w:sz w:val="24"/>
          <w:szCs w:val="24"/>
          <w:lang w:val="en-US"/>
        </w:rPr>
        <w:t xml:space="preserve">y </w:t>
      </w:r>
      <w:r w:rsidR="00525C2B" w:rsidRPr="00B84270">
        <w:rPr>
          <w:rFonts w:ascii="Arial" w:hAnsi="Arial" w:cs="Arial"/>
          <w:sz w:val="24"/>
          <w:szCs w:val="24"/>
          <w:lang w:val="en-US"/>
        </w:rPr>
        <w:t>altered intracellular iron content on hepcidin secretion (at peptide level) and synthesis (at mRNA leve</w:t>
      </w:r>
      <w:r w:rsidR="000B5BF8" w:rsidRPr="00B84270">
        <w:rPr>
          <w:rFonts w:ascii="Arial" w:hAnsi="Arial" w:cs="Arial"/>
          <w:sz w:val="24"/>
          <w:szCs w:val="24"/>
          <w:lang w:val="en-US"/>
        </w:rPr>
        <w:t xml:space="preserve">l) was examined simultaneously. </w:t>
      </w:r>
      <w:r w:rsidR="00525C2B" w:rsidRPr="00B84270">
        <w:rPr>
          <w:rFonts w:ascii="Arial" w:hAnsi="Arial" w:cs="Arial"/>
          <w:sz w:val="24"/>
          <w:szCs w:val="24"/>
          <w:lang w:val="en-US"/>
        </w:rPr>
        <w:t xml:space="preserve">Since hepcidin is </w:t>
      </w:r>
      <w:r w:rsidR="0046198B" w:rsidRPr="00B84270">
        <w:rPr>
          <w:rFonts w:ascii="Arial" w:hAnsi="Arial" w:cs="Arial"/>
          <w:sz w:val="24"/>
          <w:szCs w:val="24"/>
          <w:lang w:val="en-US"/>
        </w:rPr>
        <w:t xml:space="preserve">secreted </w:t>
      </w:r>
      <w:r w:rsidR="00525C2B" w:rsidRPr="00B84270">
        <w:rPr>
          <w:rFonts w:ascii="Arial" w:hAnsi="Arial" w:cs="Arial"/>
          <w:sz w:val="24"/>
          <w:szCs w:val="24"/>
          <w:lang w:val="en-US"/>
        </w:rPr>
        <w:t xml:space="preserve">predominantly by the hepatocytes, the liver–derived </w:t>
      </w:r>
      <w:r w:rsidR="00DD776A" w:rsidRPr="00B84270">
        <w:rPr>
          <w:rFonts w:ascii="Arial" w:hAnsi="Arial" w:cs="Arial"/>
          <w:sz w:val="24"/>
          <w:szCs w:val="24"/>
          <w:lang w:val="en-US"/>
        </w:rPr>
        <w:t>cell line, HepG2, was</w:t>
      </w:r>
      <w:r w:rsidR="00525C2B" w:rsidRPr="00B84270">
        <w:rPr>
          <w:rFonts w:ascii="Arial" w:hAnsi="Arial" w:cs="Arial"/>
          <w:sz w:val="24"/>
          <w:szCs w:val="24"/>
          <w:lang w:val="en-US"/>
        </w:rPr>
        <w:t xml:space="preserve"> chosen for the </w:t>
      </w:r>
      <w:r w:rsidR="00C0004D" w:rsidRPr="00B84270">
        <w:rPr>
          <w:rFonts w:ascii="Arial" w:hAnsi="Arial" w:cs="Arial"/>
          <w:sz w:val="24"/>
          <w:szCs w:val="24"/>
          <w:lang w:val="en-US"/>
        </w:rPr>
        <w:t>study. Cellular</w:t>
      </w:r>
      <w:r w:rsidR="00125254" w:rsidRPr="00B84270">
        <w:rPr>
          <w:rFonts w:ascii="Arial" w:hAnsi="Arial" w:cs="Arial"/>
          <w:sz w:val="24"/>
          <w:szCs w:val="24"/>
          <w:lang w:val="en-US"/>
        </w:rPr>
        <w:t xml:space="preserve"> </w:t>
      </w:r>
      <w:r w:rsidR="009C5EEA" w:rsidRPr="00B84270">
        <w:rPr>
          <w:rFonts w:ascii="Arial" w:hAnsi="Arial" w:cs="Arial"/>
          <w:sz w:val="24"/>
          <w:szCs w:val="24"/>
          <w:lang w:val="en-US"/>
        </w:rPr>
        <w:t>iron-uptake</w:t>
      </w:r>
      <w:r w:rsidR="00125254" w:rsidRPr="00B84270">
        <w:rPr>
          <w:rFonts w:ascii="Arial" w:hAnsi="Arial" w:cs="Arial"/>
          <w:sz w:val="24"/>
          <w:szCs w:val="24"/>
          <w:lang w:val="en-US"/>
        </w:rPr>
        <w:t xml:space="preserve"> is mediated by </w:t>
      </w:r>
      <w:r w:rsidR="00F22AE9" w:rsidRPr="00B84270">
        <w:rPr>
          <w:rFonts w:ascii="Arial" w:hAnsi="Arial" w:cs="Arial"/>
          <w:sz w:val="24"/>
          <w:szCs w:val="24"/>
          <w:lang w:val="en-US"/>
        </w:rPr>
        <w:t xml:space="preserve">the cell-surface </w:t>
      </w:r>
      <w:r w:rsidR="00EC08B1" w:rsidRPr="00B84270">
        <w:rPr>
          <w:rFonts w:ascii="Arial" w:hAnsi="Arial" w:cs="Arial"/>
          <w:sz w:val="24"/>
          <w:szCs w:val="24"/>
          <w:lang w:val="en-US"/>
        </w:rPr>
        <w:t xml:space="preserve">protein </w:t>
      </w:r>
      <w:r w:rsidR="0017473A" w:rsidRPr="00B84270">
        <w:rPr>
          <w:rFonts w:ascii="Arial" w:hAnsi="Arial" w:cs="Arial"/>
          <w:sz w:val="24"/>
          <w:szCs w:val="24"/>
          <w:lang w:val="en-US"/>
        </w:rPr>
        <w:t>TfR1</w:t>
      </w:r>
      <w:r w:rsidR="006D0A36" w:rsidRPr="00B84270">
        <w:rPr>
          <w:rFonts w:ascii="Arial" w:hAnsi="Arial" w:cs="Arial"/>
          <w:sz w:val="24"/>
          <w:szCs w:val="24"/>
          <w:lang w:val="en-US"/>
        </w:rPr>
        <w:t xml:space="preserve">, </w:t>
      </w:r>
      <w:r w:rsidR="00655882" w:rsidRPr="00B84270">
        <w:rPr>
          <w:rFonts w:ascii="Arial" w:hAnsi="Arial" w:cs="Arial"/>
          <w:sz w:val="24"/>
          <w:szCs w:val="24"/>
          <w:lang w:val="en-US"/>
        </w:rPr>
        <w:t xml:space="preserve">which </w:t>
      </w:r>
      <w:r w:rsidR="00EC08B1" w:rsidRPr="00B84270">
        <w:rPr>
          <w:rFonts w:ascii="Arial" w:hAnsi="Arial" w:cs="Arial"/>
          <w:sz w:val="24"/>
          <w:szCs w:val="24"/>
          <w:lang w:val="en-US"/>
        </w:rPr>
        <w:t xml:space="preserve">is </w:t>
      </w:r>
      <w:r w:rsidR="00125254" w:rsidRPr="00B84270">
        <w:rPr>
          <w:rFonts w:ascii="Arial" w:hAnsi="Arial" w:cs="Arial"/>
          <w:sz w:val="24"/>
          <w:szCs w:val="24"/>
          <w:lang w:val="en-US"/>
        </w:rPr>
        <w:t xml:space="preserve">regulated at the iron-response element (IRE) </w:t>
      </w:r>
      <w:r w:rsidR="00EC08B1" w:rsidRPr="00B84270">
        <w:rPr>
          <w:rFonts w:ascii="Arial" w:hAnsi="Arial" w:cs="Arial"/>
          <w:sz w:val="24"/>
          <w:szCs w:val="24"/>
          <w:lang w:val="en-US"/>
        </w:rPr>
        <w:t>region on its mRNA</w:t>
      </w:r>
      <w:r w:rsidR="00125254" w:rsidRPr="00B84270">
        <w:rPr>
          <w:rFonts w:ascii="Arial" w:hAnsi="Arial" w:cs="Arial"/>
          <w:sz w:val="24"/>
          <w:szCs w:val="24"/>
          <w:lang w:val="en-US"/>
        </w:rPr>
        <w:t xml:space="preserve"> via the IRE/iron-regulatory protein (IRP) system</w:t>
      </w:r>
      <w:r w:rsidR="00330100" w:rsidRPr="00B84270">
        <w:rPr>
          <w:rFonts w:ascii="Arial" w:hAnsi="Arial" w:cs="Arial"/>
          <w:sz w:val="24"/>
          <w:szCs w:val="24"/>
          <w:lang w:val="en-US"/>
        </w:rPr>
        <w:t xml:space="preserve"> </w:t>
      </w:r>
      <w:r w:rsidR="00614C46" w:rsidRPr="00B84270">
        <w:rPr>
          <w:rFonts w:ascii="Arial" w:hAnsi="Arial" w:cs="Arial"/>
          <w:sz w:val="24"/>
          <w:szCs w:val="24"/>
          <w:lang w:val="en-US"/>
        </w:rPr>
        <w:fldChar w:fldCharType="begin"/>
      </w:r>
      <w:r w:rsidR="00330100" w:rsidRPr="00B84270">
        <w:rPr>
          <w:rFonts w:ascii="Arial" w:hAnsi="Arial" w:cs="Arial"/>
          <w:sz w:val="24"/>
          <w:szCs w:val="24"/>
          <w:lang w:val="en-US"/>
        </w:rPr>
        <w:instrText xml:space="preserve"> ADDIN ZOTERO_ITEM CSL_CITATION {"citationID":"51ohj49hv","properties":{"formattedCitation":"(19)","plainCitation":"(19)"},"citationItems":[{"id":160,"uris":["http://zotero.org/users/2804724/items/8JBXXC9V"],"uri":["http://zotero.org/users/2804724/items/8JBXXC9V"],"itemData":{"id":160,"type":"article-journal","title":"Systemic iron homeostasis and the iron-responsive element/iron-regulatory protein (IRE/IRP) regulatory network","container-title":"Annual Review of Nutrition","page":"197-213","volume":"28","source":"PubMed","abstract":"The regulation and maintenance of systemic iron homeostasis is critical to human health. Iron overload and deficiency diseases belong to the most common nutrition-related pathologies across the globe. It is now well appreciated that the hormonal hepcidin/ferroportin system plays an important regulatory role for systemic iron metabolism. We review recent data that uncover the importance of the cellular iron-responsive element/iron-regulatory protein (IRE/IRP) regulatory network in systemic iron homeostasis. We also discuss how the IRE/IRP regulatory system communicates with the hepcidin/ferroportin system to connect the control networks for systemic and cellular iron balance.","DOI":"10.1146/annurev.nutr.28.061807.155521","ISSN":"0199-9885","note":"PMID: 18489257","journalAbbreviation":"Annu. Rev. Nutr.","language":"eng","author":[{"family":"Muckenthaler","given":"Martina U."},{"family":"Galy","given":"Bruno"},{"family":"Hentze","given":"Matthias W."}],"issued":{"date-parts":[["2008"]]},"PMID":"18489257"}}],"schema":"https://github.com/citation-style-language/schema/raw/master/csl-citation.json"} </w:instrText>
      </w:r>
      <w:r w:rsidR="00614C46" w:rsidRPr="00B84270">
        <w:rPr>
          <w:rFonts w:ascii="Arial" w:hAnsi="Arial" w:cs="Arial"/>
          <w:sz w:val="24"/>
          <w:szCs w:val="24"/>
          <w:lang w:val="en-US"/>
        </w:rPr>
        <w:fldChar w:fldCharType="separate"/>
      </w:r>
      <w:r w:rsidR="000A09BE" w:rsidRPr="00B84270">
        <w:rPr>
          <w:rFonts w:ascii="Arial" w:hAnsi="Arial" w:cs="Arial"/>
          <w:sz w:val="24"/>
        </w:rPr>
        <w:t>(19)</w:t>
      </w:r>
      <w:r w:rsidR="00614C46" w:rsidRPr="00B84270">
        <w:rPr>
          <w:rFonts w:ascii="Arial" w:hAnsi="Arial" w:cs="Arial"/>
          <w:sz w:val="24"/>
          <w:szCs w:val="24"/>
          <w:lang w:val="en-US"/>
        </w:rPr>
        <w:fldChar w:fldCharType="end"/>
      </w:r>
      <w:r w:rsidR="00125254" w:rsidRPr="00B84270">
        <w:rPr>
          <w:rFonts w:ascii="Arial" w:hAnsi="Arial" w:cs="Arial"/>
          <w:sz w:val="24"/>
          <w:szCs w:val="24"/>
          <w:lang w:val="en-US"/>
        </w:rPr>
        <w:t>.</w:t>
      </w:r>
      <w:r w:rsidR="00330100" w:rsidRPr="00B84270">
        <w:rPr>
          <w:rFonts w:ascii="Arial" w:hAnsi="Arial" w:cs="Arial"/>
          <w:sz w:val="24"/>
          <w:szCs w:val="24"/>
          <w:lang w:val="en-US"/>
        </w:rPr>
        <w:t xml:space="preserve"> </w:t>
      </w:r>
      <w:r w:rsidR="00601393" w:rsidRPr="00B84270">
        <w:rPr>
          <w:rFonts w:ascii="Arial" w:hAnsi="Arial" w:cs="Arial"/>
          <w:sz w:val="24"/>
          <w:szCs w:val="24"/>
          <w:lang w:val="en-US"/>
        </w:rPr>
        <w:t xml:space="preserve">Here, </w:t>
      </w:r>
      <w:r w:rsidR="00DA3C51" w:rsidRPr="00B84270">
        <w:rPr>
          <w:rFonts w:ascii="Arial" w:hAnsi="Arial" w:cs="Arial"/>
          <w:sz w:val="24"/>
          <w:szCs w:val="24"/>
          <w:lang w:val="en-US"/>
        </w:rPr>
        <w:t>using wild-</w:t>
      </w:r>
      <w:r w:rsidR="00EC08B1" w:rsidRPr="00B84270">
        <w:rPr>
          <w:rFonts w:ascii="Arial" w:hAnsi="Arial" w:cs="Arial"/>
          <w:sz w:val="24"/>
          <w:szCs w:val="24"/>
          <w:lang w:val="en-US"/>
        </w:rPr>
        <w:t xml:space="preserve">type (Wt) HepG2 cells, </w:t>
      </w:r>
      <w:r w:rsidR="00525C2B" w:rsidRPr="00B84270">
        <w:rPr>
          <w:rFonts w:ascii="Arial" w:hAnsi="Arial" w:cs="Arial"/>
          <w:sz w:val="24"/>
          <w:szCs w:val="24"/>
          <w:lang w:val="en-US"/>
        </w:rPr>
        <w:t xml:space="preserve">a novel </w:t>
      </w:r>
      <w:r w:rsidR="005341E1" w:rsidRPr="00B84270">
        <w:rPr>
          <w:rFonts w:ascii="Arial" w:hAnsi="Arial" w:cs="Arial"/>
          <w:sz w:val="24"/>
          <w:szCs w:val="24"/>
          <w:lang w:val="en-US"/>
        </w:rPr>
        <w:t xml:space="preserve">recombinant </w:t>
      </w:r>
      <w:r w:rsidR="006440D5" w:rsidRPr="00B84270">
        <w:rPr>
          <w:rFonts w:ascii="Arial" w:hAnsi="Arial" w:cs="Arial"/>
          <w:sz w:val="24"/>
          <w:szCs w:val="24"/>
          <w:lang w:val="en-US"/>
        </w:rPr>
        <w:t>HepG2 cell line</w:t>
      </w:r>
      <w:r w:rsidR="00A139D3" w:rsidRPr="00B84270">
        <w:rPr>
          <w:rFonts w:ascii="Arial" w:hAnsi="Arial" w:cs="Arial"/>
          <w:sz w:val="24"/>
          <w:szCs w:val="24"/>
          <w:lang w:val="en-US"/>
        </w:rPr>
        <w:t xml:space="preserve"> </w:t>
      </w:r>
      <w:r w:rsidR="006440D5" w:rsidRPr="00B84270">
        <w:rPr>
          <w:rFonts w:ascii="Arial" w:hAnsi="Arial" w:cs="Arial"/>
          <w:sz w:val="24"/>
          <w:szCs w:val="24"/>
          <w:lang w:val="en-US"/>
        </w:rPr>
        <w:t>was created</w:t>
      </w:r>
      <w:r w:rsidR="00EC08B1" w:rsidRPr="00B84270">
        <w:rPr>
          <w:rFonts w:ascii="Arial" w:hAnsi="Arial" w:cs="Arial"/>
          <w:sz w:val="24"/>
          <w:szCs w:val="24"/>
          <w:lang w:val="en-US"/>
        </w:rPr>
        <w:t xml:space="preserve"> that </w:t>
      </w:r>
      <w:r w:rsidR="00525C2B" w:rsidRPr="00B84270">
        <w:rPr>
          <w:rFonts w:ascii="Arial" w:hAnsi="Arial" w:cs="Arial"/>
          <w:sz w:val="24"/>
          <w:szCs w:val="24"/>
          <w:lang w:val="en-US"/>
        </w:rPr>
        <w:t xml:space="preserve">expressed IRE-independent </w:t>
      </w:r>
      <w:r w:rsidR="00525C2B" w:rsidRPr="00B84270">
        <w:rPr>
          <w:rFonts w:ascii="Arial" w:hAnsi="Arial" w:cs="Arial"/>
          <w:i/>
          <w:sz w:val="24"/>
          <w:szCs w:val="24"/>
          <w:lang w:val="en-US"/>
        </w:rPr>
        <w:t>TFRC</w:t>
      </w:r>
      <w:r w:rsidR="00CA24FE" w:rsidRPr="00B84270">
        <w:rPr>
          <w:rFonts w:ascii="Arial" w:hAnsi="Arial" w:cs="Arial"/>
          <w:i/>
          <w:sz w:val="24"/>
          <w:szCs w:val="24"/>
          <w:lang w:val="en-US"/>
        </w:rPr>
        <w:t xml:space="preserve"> </w:t>
      </w:r>
      <w:r w:rsidR="000B5BF8" w:rsidRPr="00B84270">
        <w:rPr>
          <w:rFonts w:ascii="Arial" w:hAnsi="Arial" w:cs="Arial"/>
          <w:sz w:val="24"/>
          <w:szCs w:val="24"/>
          <w:lang w:val="en-US"/>
        </w:rPr>
        <w:t xml:space="preserve">mRNA to </w:t>
      </w:r>
      <w:r w:rsidR="00525C2B" w:rsidRPr="00B84270">
        <w:rPr>
          <w:rFonts w:ascii="Arial" w:hAnsi="Arial" w:cs="Arial"/>
          <w:sz w:val="24"/>
          <w:szCs w:val="24"/>
          <w:lang w:val="en-US"/>
        </w:rPr>
        <w:t xml:space="preserve">diminish sensitivity towards increasing intracellular iron content and allow intracellular </w:t>
      </w:r>
      <w:r w:rsidR="00525C2B" w:rsidRPr="00B84270">
        <w:rPr>
          <w:rFonts w:ascii="Arial" w:hAnsi="Arial" w:cs="Arial"/>
          <w:sz w:val="24"/>
          <w:szCs w:val="24"/>
          <w:lang w:val="en-US"/>
        </w:rPr>
        <w:lastRenderedPageBreak/>
        <w:t xml:space="preserve">iron overload. It was </w:t>
      </w:r>
      <w:r w:rsidR="00FA111D" w:rsidRPr="00B84270">
        <w:rPr>
          <w:rFonts w:ascii="Arial" w:hAnsi="Arial" w:cs="Arial"/>
          <w:sz w:val="24"/>
          <w:szCs w:val="24"/>
          <w:lang w:val="en-US"/>
        </w:rPr>
        <w:t>hypothesized</w:t>
      </w:r>
      <w:r w:rsidR="00CA24FE" w:rsidRPr="00B84270">
        <w:rPr>
          <w:rFonts w:ascii="Arial" w:hAnsi="Arial" w:cs="Arial"/>
          <w:sz w:val="24"/>
          <w:szCs w:val="24"/>
          <w:lang w:val="en-US"/>
        </w:rPr>
        <w:t xml:space="preserve"> that upon holo-Tf</w:t>
      </w:r>
      <w:r w:rsidR="00CF7BE1" w:rsidRPr="00B84270">
        <w:rPr>
          <w:rFonts w:ascii="Arial" w:hAnsi="Arial" w:cs="Arial"/>
          <w:sz w:val="24"/>
          <w:szCs w:val="24"/>
          <w:lang w:val="en-US"/>
        </w:rPr>
        <w:t xml:space="preserve"> </w:t>
      </w:r>
      <w:r w:rsidR="00525C2B" w:rsidRPr="00B84270">
        <w:rPr>
          <w:rFonts w:ascii="Arial" w:hAnsi="Arial" w:cs="Arial"/>
          <w:sz w:val="24"/>
          <w:szCs w:val="24"/>
          <w:lang w:val="en-US"/>
        </w:rPr>
        <w:t>treatment, these</w:t>
      </w:r>
      <w:r w:rsidR="00A139D3" w:rsidRPr="00B84270">
        <w:rPr>
          <w:rFonts w:ascii="Arial" w:hAnsi="Arial" w:cs="Arial"/>
          <w:sz w:val="24"/>
          <w:szCs w:val="24"/>
          <w:lang w:val="en-US"/>
        </w:rPr>
        <w:t xml:space="preserve"> </w:t>
      </w:r>
      <w:r w:rsidR="009D1AAB" w:rsidRPr="00B84270">
        <w:rPr>
          <w:rFonts w:ascii="Arial" w:hAnsi="Arial" w:cs="Arial"/>
          <w:sz w:val="24"/>
          <w:szCs w:val="24"/>
          <w:lang w:val="en-US"/>
        </w:rPr>
        <w:t>rec</w:t>
      </w:r>
      <w:r w:rsidR="005341E1" w:rsidRPr="00B84270">
        <w:rPr>
          <w:rFonts w:ascii="Arial" w:hAnsi="Arial" w:cs="Arial"/>
          <w:sz w:val="24"/>
          <w:szCs w:val="24"/>
          <w:lang w:val="en-US"/>
        </w:rPr>
        <w:t>ombinant</w:t>
      </w:r>
      <w:r w:rsidR="00B55523" w:rsidRPr="00B84270">
        <w:rPr>
          <w:rFonts w:ascii="Arial" w:hAnsi="Arial" w:cs="Arial"/>
          <w:sz w:val="24"/>
          <w:szCs w:val="24"/>
          <w:lang w:val="en-US"/>
        </w:rPr>
        <w:t xml:space="preserve"> (rec)</w:t>
      </w:r>
      <w:r w:rsidR="005341E1" w:rsidRPr="00B84270">
        <w:rPr>
          <w:rFonts w:ascii="Arial" w:hAnsi="Arial" w:cs="Arial"/>
          <w:sz w:val="24"/>
          <w:szCs w:val="24"/>
          <w:lang w:val="en-US"/>
        </w:rPr>
        <w:t>-</w:t>
      </w:r>
      <w:r w:rsidR="009D1AAB" w:rsidRPr="00B84270">
        <w:rPr>
          <w:rFonts w:ascii="Arial" w:hAnsi="Arial" w:cs="Arial"/>
          <w:sz w:val="24"/>
          <w:szCs w:val="24"/>
          <w:lang w:val="en-US"/>
        </w:rPr>
        <w:t xml:space="preserve">TfR1 HepG2 cells </w:t>
      </w:r>
      <w:r w:rsidR="00525C2B" w:rsidRPr="00B84270">
        <w:rPr>
          <w:rFonts w:ascii="Arial" w:hAnsi="Arial" w:cs="Arial"/>
          <w:sz w:val="24"/>
          <w:szCs w:val="24"/>
          <w:lang w:val="en-US"/>
        </w:rPr>
        <w:t>would</w:t>
      </w:r>
      <w:r w:rsidR="000B5BF8" w:rsidRPr="00B84270">
        <w:rPr>
          <w:rFonts w:ascii="Arial" w:hAnsi="Arial" w:cs="Arial"/>
          <w:sz w:val="24"/>
          <w:szCs w:val="24"/>
          <w:lang w:val="en-US"/>
        </w:rPr>
        <w:t xml:space="preserve"> demonstrate high</w:t>
      </w:r>
      <w:r w:rsidR="00BD2152" w:rsidRPr="00B84270">
        <w:rPr>
          <w:rFonts w:ascii="Arial" w:hAnsi="Arial" w:cs="Arial"/>
          <w:sz w:val="24"/>
          <w:szCs w:val="24"/>
          <w:lang w:val="en-US"/>
        </w:rPr>
        <w:t>er</w:t>
      </w:r>
      <w:r w:rsidR="00A139D3" w:rsidRPr="00B84270">
        <w:rPr>
          <w:rFonts w:ascii="Arial" w:hAnsi="Arial" w:cs="Arial"/>
          <w:sz w:val="24"/>
          <w:szCs w:val="24"/>
          <w:lang w:val="en-US"/>
        </w:rPr>
        <w:t xml:space="preserve"> </w:t>
      </w:r>
      <w:r w:rsidR="00525C2B" w:rsidRPr="00B84270">
        <w:rPr>
          <w:rFonts w:ascii="Arial" w:hAnsi="Arial" w:cs="Arial"/>
          <w:sz w:val="24"/>
          <w:szCs w:val="24"/>
          <w:lang w:val="en-US"/>
        </w:rPr>
        <w:t xml:space="preserve">intracellular iron content and </w:t>
      </w:r>
      <w:r w:rsidR="009D1AAB" w:rsidRPr="00B84270">
        <w:rPr>
          <w:rFonts w:ascii="Arial" w:hAnsi="Arial" w:cs="Arial"/>
          <w:sz w:val="24"/>
          <w:szCs w:val="24"/>
          <w:lang w:val="en-US"/>
        </w:rPr>
        <w:t xml:space="preserve">consequently, </w:t>
      </w:r>
      <w:r w:rsidR="00A27D42" w:rsidRPr="00B84270">
        <w:rPr>
          <w:rFonts w:ascii="Arial" w:hAnsi="Arial" w:cs="Arial"/>
          <w:sz w:val="24"/>
          <w:szCs w:val="24"/>
          <w:lang w:val="en-US"/>
        </w:rPr>
        <w:t>alter</w:t>
      </w:r>
      <w:r w:rsidR="008656F3" w:rsidRPr="00B84270">
        <w:rPr>
          <w:rFonts w:ascii="Arial" w:hAnsi="Arial" w:cs="Arial"/>
          <w:sz w:val="24"/>
          <w:szCs w:val="24"/>
          <w:lang w:val="en-US"/>
        </w:rPr>
        <w:t xml:space="preserve"> </w:t>
      </w:r>
      <w:r w:rsidR="00525C2B" w:rsidRPr="00B84270">
        <w:rPr>
          <w:rFonts w:ascii="Arial" w:hAnsi="Arial" w:cs="Arial"/>
          <w:sz w:val="24"/>
          <w:szCs w:val="24"/>
          <w:lang w:val="en-US"/>
        </w:rPr>
        <w:t>hepcidin</w:t>
      </w:r>
      <w:r w:rsidR="008656F3" w:rsidRPr="00B84270">
        <w:rPr>
          <w:rFonts w:ascii="Arial" w:hAnsi="Arial" w:cs="Arial"/>
          <w:sz w:val="24"/>
          <w:szCs w:val="24"/>
          <w:lang w:val="en-US"/>
        </w:rPr>
        <w:t xml:space="preserve"> </w:t>
      </w:r>
      <w:r w:rsidR="00525C2B" w:rsidRPr="00B84270">
        <w:rPr>
          <w:rFonts w:ascii="Arial" w:hAnsi="Arial" w:cs="Arial"/>
          <w:sz w:val="24"/>
          <w:szCs w:val="24"/>
          <w:lang w:val="en-US"/>
        </w:rPr>
        <w:t xml:space="preserve">peptide secretion and </w:t>
      </w:r>
      <w:r w:rsidR="00525C2B" w:rsidRPr="00B84270">
        <w:rPr>
          <w:rFonts w:ascii="Arial" w:hAnsi="Arial" w:cs="Arial"/>
          <w:i/>
          <w:sz w:val="24"/>
          <w:szCs w:val="24"/>
          <w:lang w:val="en-US"/>
        </w:rPr>
        <w:t>HAMP</w:t>
      </w:r>
      <w:r w:rsidR="00525C2B" w:rsidRPr="00B84270">
        <w:rPr>
          <w:rFonts w:ascii="Arial" w:hAnsi="Arial" w:cs="Arial"/>
          <w:sz w:val="24"/>
          <w:szCs w:val="24"/>
          <w:lang w:val="en-US"/>
        </w:rPr>
        <w:t xml:space="preserve"> mRNA</w:t>
      </w:r>
      <w:r w:rsidR="00BD2152" w:rsidRPr="00B84270">
        <w:rPr>
          <w:rFonts w:ascii="Arial" w:hAnsi="Arial" w:cs="Arial"/>
          <w:sz w:val="24"/>
          <w:szCs w:val="24"/>
          <w:lang w:val="en-US"/>
        </w:rPr>
        <w:t xml:space="preserve"> responses compared to Wt cells. </w:t>
      </w:r>
      <w:r w:rsidR="00655882" w:rsidRPr="00B84270">
        <w:rPr>
          <w:rFonts w:ascii="Arial" w:hAnsi="Arial" w:cs="Arial"/>
          <w:sz w:val="24"/>
          <w:szCs w:val="24"/>
          <w:lang w:val="en-US"/>
        </w:rPr>
        <w:t>P</w:t>
      </w:r>
      <w:r w:rsidR="00525C2B" w:rsidRPr="00B84270">
        <w:rPr>
          <w:rFonts w:ascii="Arial" w:hAnsi="Arial" w:cs="Arial"/>
          <w:sz w:val="24"/>
          <w:szCs w:val="24"/>
          <w:lang w:val="en-US"/>
        </w:rPr>
        <w:t xml:space="preserve">revious </w:t>
      </w:r>
      <w:r w:rsidR="00525C2B" w:rsidRPr="00B84270">
        <w:rPr>
          <w:rFonts w:ascii="Arial" w:hAnsi="Arial" w:cs="Arial"/>
          <w:i/>
          <w:sz w:val="24"/>
          <w:szCs w:val="24"/>
          <w:lang w:val="en-US"/>
        </w:rPr>
        <w:t>ex vivo</w:t>
      </w:r>
      <w:r w:rsidR="00525C2B" w:rsidRPr="00B84270">
        <w:rPr>
          <w:rFonts w:ascii="Arial" w:hAnsi="Arial" w:cs="Arial"/>
          <w:sz w:val="24"/>
          <w:szCs w:val="24"/>
          <w:lang w:val="en-US"/>
        </w:rPr>
        <w:t xml:space="preserve"> studies</w:t>
      </w:r>
      <w:r w:rsidR="008656F3" w:rsidRPr="00B84270">
        <w:rPr>
          <w:rFonts w:ascii="Arial" w:hAnsi="Arial" w:cs="Arial"/>
          <w:sz w:val="24"/>
          <w:szCs w:val="24"/>
          <w:lang w:val="en-US"/>
        </w:rPr>
        <w:t xml:space="preserve"> </w:t>
      </w:r>
      <w:r w:rsidR="00525C2B" w:rsidRPr="00B84270">
        <w:rPr>
          <w:rFonts w:ascii="Arial" w:hAnsi="Arial" w:cs="Arial"/>
          <w:sz w:val="24"/>
          <w:szCs w:val="24"/>
          <w:lang w:val="en-US"/>
        </w:rPr>
        <w:t xml:space="preserve">investigated </w:t>
      </w:r>
      <w:r w:rsidR="00525C2B" w:rsidRPr="00B84270">
        <w:rPr>
          <w:rFonts w:ascii="Arial" w:hAnsi="Arial" w:cs="Arial"/>
          <w:i/>
          <w:sz w:val="24"/>
          <w:szCs w:val="24"/>
          <w:lang w:val="en-US"/>
        </w:rPr>
        <w:t>HAMP</w:t>
      </w:r>
      <w:r w:rsidR="00525C2B" w:rsidRPr="00B84270">
        <w:rPr>
          <w:rFonts w:ascii="Arial" w:hAnsi="Arial" w:cs="Arial"/>
          <w:sz w:val="24"/>
          <w:szCs w:val="24"/>
          <w:lang w:val="en-US"/>
        </w:rPr>
        <w:t xml:space="preserve"> regulation only at longer time-points such as 24 hours (h), 48 h and 72 h</w:t>
      </w:r>
      <w:r w:rsidR="00040A1C" w:rsidRPr="00B84270">
        <w:rPr>
          <w:rFonts w:ascii="Arial" w:hAnsi="Arial" w:cs="Arial"/>
          <w:sz w:val="24"/>
          <w:szCs w:val="24"/>
          <w:lang w:val="en-US"/>
        </w:rPr>
        <w:t xml:space="preserve"> </w:t>
      </w:r>
      <w:r w:rsidR="00614C46" w:rsidRPr="00B84270">
        <w:rPr>
          <w:rFonts w:ascii="Arial" w:hAnsi="Arial" w:cs="Arial"/>
          <w:sz w:val="24"/>
          <w:szCs w:val="24"/>
          <w:lang w:val="en-US"/>
        </w:rPr>
        <w:fldChar w:fldCharType="begin"/>
      </w:r>
      <w:r w:rsidR="00310CD9" w:rsidRPr="00B84270">
        <w:rPr>
          <w:rFonts w:ascii="Arial" w:hAnsi="Arial" w:cs="Arial"/>
          <w:sz w:val="24"/>
          <w:szCs w:val="24"/>
          <w:lang w:val="en-US"/>
        </w:rPr>
        <w:instrText xml:space="preserve"> ADDIN ZOTERO_ITEM CSL_CITATION {"citationID":"OuGcDqIA","properties":{"formattedCitation":"{\\rtf (20\\uc0\\u8211{}24)}","plainCitation":"(20–24)"},"citationItems":[{"id":166,"uris":["http://zotero.org/users/2804724/items/24U6QSPR"],"uri":["http://zotero.org/users/2804724/items/24U6QSPR"],"itemData":{"id":166,"type":"article-journal","title":"Transferrin receptor 2 is crucial for iron sensing in human hepatocytes","container-title":"American Journal of Physiology. Gastrointestinal and Liver Physiology","page":"G778-783","volume":"299","issue":"3","source":"PubMed","abstract":"Hepcidin expression in vivo is regulated in proportion to iron status (i.e., increased by iron loading and decreased in iron deficiency). However, in vitro studies with hepatoma cell lines often show an inverse relationship between iron status and hepcidin expression. Here, we investigated possible molecular mechanisms responsible for the differences in iron sensing between hepatoma cell lines and human primary hepatocytes. RNA was collected from primary human hepatocytes, and HepG2 and HuH7 hepatoma cells were treated with either transferrin-bound and non-transferrin-bound iron. Expression of hepcidin, transferrin receptor 2, HFE, and hemojuvelin were quantified by real-time PCR. Hepcidin expression was increased in primary human hepatocytes following 24-h exposure to holoferric transferrin. In contrast, hepcidin mRNA levels in hepatoma cells were decreased by transferrin. Hepcidin expression was positively correlated with transferrin receptor 2 mRNA levels in primary human hepatocytes. Compared with primary hepatocytes, transferrin receptor 2 expression was significantly lower in hepatoma cell lines; furthermore, there was no correlation between transferrin receptor 2 and hepcidin mRNA levels in either HepG2 or HuH7 cells. Taken together our data suggest that transferrin receptor 2 is a likely candidate to explain the differences in iron sensing between hepatoma cell lines and primary human hepatocytes.","DOI":"10.1152/ajpgi.00157.2010","ISSN":"1522-1547","note":"PMID: 20576915\nPMCID: PMC2950680","journalAbbreviation":"Am. J. Physiol. Gastrointest. Liver Physiol.","language":"eng","author":[{"family":"Rapisarda","given":"Chiara"},{"family":"Puppi","given":"Juliana"},{"family":"Hughes","given":"Robin D."},{"family":"Dhawan","given":"Anil"},{"family":"Farnaud","given":"Sebastien"},{"family":"Evans","given":"Robert W."},{"family":"Sharp","given":"Paul A."}],"issued":{"date-parts":[["2010",9]]},"PMID":"20576915","PMCID":"PMC2950680"}},{"id":168,"uris":["http://zotero.org/users/2804724/items/DG9MX5Z3"],"uri":["http://zotero.org/users/2804724/items/DG9MX5Z3"],"itemData":{"id":168,"type":"article-journal","title":"Regulatory effects of tumor necrosis factor-alpha and interleukin-6 on HAMP expression in iron loaded rat hepatocytes","container-title":"Journal of Hepatology","page":"544-551","volume":"44","issue":"3","source":"PubMed","abstract":"BACKGROUND/AIMS: To study the effect of iron and proinflammatory cytokines on the expression of HAMP and other iron regulatory genes in primary rat hepatocytes.\nMETHODS: Primary hepatocytes from rats fed a control or iron-enriched diet were plated on extracellular matrix and incubated with inflammatory stimuli in the presence or absence of serum. Cells were also incubated with desferrioxamine or ferric ammonium citrate. mRNA levels were determined by Real-Time PCR.\nRESULTS: Hepatocytes from control rats increased their HAMP expression during culturing, whereas the opposite was seen in hepatocytes from carbonyl-iron loaded animals. In the presence of serum, tumor necrosis factor-alpha, lipopolysaccharide and interleukin-6 increased HAMP expression in hepatocytes from both control and iron-loaded rats. Under serum-free conditions only tumor necrosis factor-alpha increased HAMP mRNA levels. Desferrioxamine and ferric ammonium citrate decreased HAMP gene expression. Tumor necrosis factor-alpha significantly increased mRNA levels of TfR2 and decreased those of DMT1 and IREG1.\nCONCLUSIONS: HAMP expression differs in cultured as compared with freshly isolated hepatocytes, and decreases in iron-loaded hepatocytes in serum free-media, suggesting that additional serum factors influence HAMP expression. Tumor necrosis factor-alpha regulates the mRNA levels of HAMP, IREG1, DMT1 and TfR2 in cultured hepatocytes from both iron-loaded and control animals.","DOI":"10.1016/j.jhep.2005.07.028","ISSN":"0168-8278","note":"PMID: 16221503","journalAbbreviation":"J. Hepatol.","language":"eng","author":[{"family":"Dzikaite","given":"Vijole"},{"family":"Holmström","given":"Petra"},{"family":"Stål","given":"Per"},{"family":"Eckes","given":"Kristina"},{"family":"Hagen","given":"Karin"},{"family":"Eggertsen","given":"Gösta"},{"family":"Gåfvels","given":"Mats"},{"family":"Melefors","given":"Ojar"},{"family":"Hultcrantz","given":"Rolf"}],"issued":{"date-parts":[["2006",3]]},"PMID":"16221503"}},{"id":170,"uris":["http://zotero.org/users/2804724/items/J9A4283Z"],"uri":["http://zotero.org/users/2804724/items/J9A4283Z"],"itemData":{"id":170,"type":"article-journal","title":"Regulation of hepcidin in HepG2 and RINm5F cells","container-title":"Peptides","page":"951-957","volume":"28","issue":"5","source":"PubMed","abstract":"Despite the high impact of the antimicrobial peptide hepcidin in iron homeostasis, the regulation of this hormone is still not completely understood. Studies concerning hepcidin regulation are performed at the mRNA level. For the first time we analyzed the regulation of hepcidin not only at mRNA, but also at protein level in a hepatoma and a pancreatic beta cell line using quantitative RT-PCR and immunoblot analysis. Our data show, that hepcidin is present in HepG2 and RINm5F cells. A significant up-regulation of hepcidin was observed in both cell lines by the inflammatory cytokine interleukin-6, lipopolysaccharide, and a slight upregulation by deferoxamine. A down-regulation was detected after stimulation with erythropoietin. Hepcidin was regulated by iron in a dose dependent manner: low doses up to 3 microM increased hepcidin expression, high doses of iron (65 microM) revealed a switch-over to down-regulation of hepcidin expression. Regulation of hepcidin in HepG2 and RINm5F cells at mRNA and protein level by these substances indicates its involvement in inflammation and iron metabolism.","DOI":"10.1016/j.peptides.2007.01.016","ISSN":"0196-9781","note":"PMID: 17363110","journalAbbreviation":"Peptides","language":"eng","author":[{"family":"Fein","given":"Evelyn"},{"family":"Merle","given":"Uta"},{"family":"Ehehalt","given":"Robert"},{"family":"Herrmann","given":"Thomas"},{"family":"Kulaksiz","given":"Hasan"}],"issued":{"date-parts":[["2007",5]]},"PMID":"17363110"}},{"id":172,"uris":["http://zotero.org/users/2804724/items/A9GPAH2U"],"uri":["http://zotero.org/users/2804724/items/A9GPAH2U"],"itemData":{"id":172,"type":"article-journal","title":"Hepcidin, a putative mediator of anemia of inflammation, is a type II acute-phase protein","container-title":"Blood","page":"2461-2463","volume":"101","issue":"7","source":"PubMed","abstract":"Hepcidin is a liver-made peptide proposed to be a central regulator of intestinal iron absorption and iron recycling by macrophages. In animal models, hepcidin is induced by inflammation and iron loading, but its regulation in humans has not been studied. We report that urinary excretion of hepcidin was greatly increased in patients with iron overload, infections, or inflammatory diseases. Hepcidin excretion correlated well with serum ferritin levels, which are regulated by similar pathologic stimuli. In vitro iron loading of primary human hepatocytes, however, unexpectedly down-regulated hepcidin mRNA, suggesting that in vivo regulation of hepcidin expression by iron stores involves complex indirect effects. Hepcidin mRNA was dramatically induced by interleukin-6 (IL-6) in vitro, but not by IL-1 or tumor necrosis factor alpha (TNF-alpha), demonstrating that human hepcidin is a type II acute-phase reactant. The linkage of hepcidin induction to inflammation in humans supports its proposed role as a key mediator of anemia of inflammation.","DOI":"10.1182/blood-2002-10-3235","ISSN":"0006-4971","note":"PMID: 12433676","journalAbbreviation":"Blood","language":"eng","author":[{"family":"Nemeth","given":"Elizabeta"},{"family":"Valore","given":"Erika V."},{"family":"Territo","given":"Mary"},{"family":"Schiller","given":"Gary"},{"family":"Lichtenstein","given":"Alan"},{"family":"Ganz","given":"Tomas"}],"issued":{"date-parts":[["2003",4,1]]},"PMID":"12433676"}},{"id":174,"uris":["http://zotero.org/users/2804724/items/F76247IC"],"uri":["http://zotero.org/users/2804724/items/F76247IC"],"itemData":{"id":174,"type":"article-journal","title":"Expression of hepcidin in hereditary hemochromatosis: evidence for a regulation in response to the serum transferrin saturation and to non-transferrin-bound iron","container-title":"Blood","page":"371-376","volume":"102","issue":"1","source":"PubMed","abstract":"Experimental data suggest the antimicrobial peptide hepcidin as a central regulator in iron homeostasis. In this study, we characterized the expression of human hepcidin in experimental and clinical iron overload conditions, including hereditary hemochromatosis. Using quantitative reverse transcriptase-polymerase chain reaction (RT-PCR), we determined expression of hepcidin and the most relevant iron-related genes in liver biopsies from patients with hemochromatosis and iron-stain-negative control subjects. Regulation of hepcidin mRNA expression in response to transferrin-bound iron, non-transferrin-bound iron, and deferoxamine was analyzed in HepG2 cells. Hepcidin expression correlated significantly with serum ferritin levels in controls, whereas no significant up-regulation was observed in patients with hemochromatosis despite iron-overload conditions and high serum ferritin levels. However, patients with hemochromatosis showed an inverse correlation between hepcidin transcript levels and the serum transferrin saturation. Moreover, we found a significant correlation between hepatic transcript levels of hepcidin and transferrin receptor-2 irrespective of the iron status. In vitro data indicated that hepcidin expression is down-regulated in response to non-transferrin-bound iron. In conclusion, the presented data suggest a close relationship between the transferrin saturation and hepatic hepcidin expression in hereditary hemochromatosis. Although the causality is not yet clear, this interaction might result from a down-regulation of hepcidin expression in response to significant levels of non-transferrin-bound iron.","DOI":"10.1182/blood-2002-11-3610","ISSN":"0006-4971","note":"PMID: 12637325","shortTitle":"Expression of hepcidin in hereditary hemochromatosis","journalAbbreviation":"Blood","language":"eng","author":[{"family":"Gehrke","given":"Sven G."},{"family":"Kulaksiz","given":"Hasan"},{"family":"Herrmann","given":"Thomas"},{"family":"Riedel","given":"Hans-Dieter"},{"family":"Bents","given":"Karin"},{"family":"Veltkamp","given":"Claudia"},{"family":"Stremmel","given":"Wolfgang"}],"issued":{"date-parts":[["2003",7,1]]},"PMID":"12637325"}}],"schema":"https://github.com/citation-style-language/schema/raw/master/csl-citation.json"} </w:instrText>
      </w:r>
      <w:r w:rsidR="00614C46" w:rsidRPr="00B84270">
        <w:rPr>
          <w:rFonts w:ascii="Arial" w:hAnsi="Arial" w:cs="Arial"/>
          <w:sz w:val="24"/>
          <w:szCs w:val="24"/>
          <w:lang w:val="en-US"/>
        </w:rPr>
        <w:fldChar w:fldCharType="separate"/>
      </w:r>
      <w:r w:rsidR="000A09BE" w:rsidRPr="00B84270">
        <w:rPr>
          <w:rFonts w:ascii="Arial" w:hAnsi="Arial" w:cs="Arial"/>
          <w:sz w:val="24"/>
          <w:szCs w:val="24"/>
        </w:rPr>
        <w:t>(20–24)</w:t>
      </w:r>
      <w:r w:rsidR="00614C46" w:rsidRPr="00B84270">
        <w:rPr>
          <w:rFonts w:ascii="Arial" w:hAnsi="Arial" w:cs="Arial"/>
          <w:sz w:val="24"/>
          <w:szCs w:val="24"/>
          <w:lang w:val="en-US"/>
        </w:rPr>
        <w:fldChar w:fldCharType="end"/>
      </w:r>
      <w:r w:rsidR="00655882" w:rsidRPr="00B84270">
        <w:rPr>
          <w:rFonts w:ascii="Arial" w:hAnsi="Arial" w:cs="Arial"/>
          <w:sz w:val="24"/>
          <w:szCs w:val="24"/>
          <w:lang w:val="en-US"/>
        </w:rPr>
        <w:t xml:space="preserve">. Here, we studied the effects </w:t>
      </w:r>
      <w:r w:rsidR="00525C2B" w:rsidRPr="00B84270">
        <w:rPr>
          <w:rFonts w:ascii="Arial" w:hAnsi="Arial" w:cs="Arial"/>
          <w:sz w:val="24"/>
          <w:szCs w:val="24"/>
          <w:lang w:val="en-US"/>
        </w:rPr>
        <w:t>of holo-Tf</w:t>
      </w:r>
      <w:r w:rsidR="00655882" w:rsidRPr="00B84270">
        <w:rPr>
          <w:rFonts w:ascii="Arial" w:hAnsi="Arial" w:cs="Arial"/>
          <w:sz w:val="24"/>
          <w:szCs w:val="24"/>
          <w:lang w:val="en-US"/>
        </w:rPr>
        <w:t xml:space="preserve"> on hepcidin secretion </w:t>
      </w:r>
      <w:r w:rsidR="00525C2B" w:rsidRPr="00B84270">
        <w:rPr>
          <w:rFonts w:ascii="Arial" w:hAnsi="Arial" w:cs="Arial"/>
          <w:sz w:val="24"/>
          <w:szCs w:val="24"/>
          <w:lang w:val="en-US"/>
        </w:rPr>
        <w:t xml:space="preserve">for short-term i.e. at 30 minutes (min), 2 h and 4 h, in addition to long-term i.e. 24 h and 48 h, in conjunction with mRNA expression studies of key iron-related genes such as </w:t>
      </w:r>
      <w:r w:rsidR="00525C2B" w:rsidRPr="00B84270">
        <w:rPr>
          <w:rFonts w:ascii="Arial" w:hAnsi="Arial" w:cs="Arial"/>
          <w:i/>
          <w:sz w:val="24"/>
          <w:szCs w:val="24"/>
          <w:lang w:val="en-US"/>
        </w:rPr>
        <w:t>TFRC</w:t>
      </w:r>
      <w:r w:rsidR="00525C2B" w:rsidRPr="00B84270">
        <w:rPr>
          <w:rFonts w:ascii="Arial" w:hAnsi="Arial" w:cs="Arial"/>
          <w:sz w:val="24"/>
          <w:szCs w:val="24"/>
          <w:lang w:val="en-US"/>
        </w:rPr>
        <w:t xml:space="preserve">, </w:t>
      </w:r>
      <w:r w:rsidR="00525C2B" w:rsidRPr="00B84270">
        <w:rPr>
          <w:rFonts w:ascii="Arial" w:hAnsi="Arial" w:cs="Arial"/>
          <w:i/>
          <w:sz w:val="24"/>
          <w:szCs w:val="24"/>
          <w:lang w:val="en-US"/>
        </w:rPr>
        <w:t>HAMP</w:t>
      </w:r>
      <w:r w:rsidR="00525C2B" w:rsidRPr="00B84270">
        <w:rPr>
          <w:rFonts w:ascii="Arial" w:hAnsi="Arial" w:cs="Arial"/>
          <w:sz w:val="24"/>
          <w:szCs w:val="24"/>
          <w:lang w:val="en-US"/>
        </w:rPr>
        <w:t xml:space="preserve">, </w:t>
      </w:r>
      <w:r w:rsidR="00525C2B" w:rsidRPr="00B84270">
        <w:rPr>
          <w:rFonts w:ascii="Arial" w:hAnsi="Arial" w:cs="Arial"/>
          <w:i/>
          <w:sz w:val="24"/>
          <w:szCs w:val="24"/>
          <w:lang w:val="en-US"/>
        </w:rPr>
        <w:t>SCL40A1</w:t>
      </w:r>
      <w:r w:rsidR="00525C2B" w:rsidRPr="00B84270">
        <w:rPr>
          <w:rFonts w:ascii="Arial" w:hAnsi="Arial" w:cs="Arial"/>
          <w:sz w:val="24"/>
          <w:szCs w:val="24"/>
          <w:lang w:val="en-US"/>
        </w:rPr>
        <w:t xml:space="preserve">, </w:t>
      </w:r>
      <w:r w:rsidR="00525C2B" w:rsidRPr="00B84270">
        <w:rPr>
          <w:rFonts w:ascii="Arial" w:hAnsi="Arial" w:cs="Arial"/>
          <w:i/>
          <w:sz w:val="24"/>
          <w:szCs w:val="24"/>
          <w:lang w:val="en-US"/>
        </w:rPr>
        <w:t>HFE</w:t>
      </w:r>
      <w:r w:rsidR="00525C2B" w:rsidRPr="00B84270">
        <w:rPr>
          <w:rFonts w:ascii="Arial" w:hAnsi="Arial" w:cs="Arial"/>
          <w:sz w:val="24"/>
          <w:szCs w:val="24"/>
          <w:lang w:val="en-US"/>
        </w:rPr>
        <w:t xml:space="preserve">, and </w:t>
      </w:r>
      <w:r w:rsidR="00525C2B" w:rsidRPr="00B84270">
        <w:rPr>
          <w:rFonts w:ascii="Arial" w:hAnsi="Arial" w:cs="Arial"/>
          <w:i/>
          <w:sz w:val="24"/>
          <w:szCs w:val="24"/>
          <w:lang w:val="en-US"/>
        </w:rPr>
        <w:t>TFR2</w:t>
      </w:r>
      <w:r w:rsidR="00D54B52" w:rsidRPr="00B84270">
        <w:rPr>
          <w:rFonts w:ascii="Arial" w:hAnsi="Arial" w:cs="Arial"/>
          <w:sz w:val="24"/>
          <w:szCs w:val="24"/>
          <w:lang w:val="en-US"/>
        </w:rPr>
        <w:t>.</w:t>
      </w:r>
    </w:p>
    <w:p w:rsidR="008749FE" w:rsidRPr="00B84270" w:rsidRDefault="008749FE" w:rsidP="005510CB">
      <w:pPr>
        <w:spacing w:after="0" w:line="360" w:lineRule="auto"/>
        <w:rPr>
          <w:rFonts w:ascii="Arial" w:hAnsi="Arial" w:cs="Arial"/>
          <w:b/>
          <w:sz w:val="24"/>
          <w:szCs w:val="24"/>
          <w:lang w:val="en-US"/>
        </w:rPr>
      </w:pPr>
    </w:p>
    <w:p w:rsidR="00B94A88" w:rsidRPr="00B84270" w:rsidRDefault="008749FE" w:rsidP="005510CB">
      <w:pPr>
        <w:spacing w:after="0" w:line="360" w:lineRule="auto"/>
        <w:rPr>
          <w:rFonts w:ascii="Arial" w:hAnsi="Arial" w:cs="Arial"/>
          <w:sz w:val="24"/>
          <w:szCs w:val="24"/>
          <w:lang w:val="en-US"/>
        </w:rPr>
      </w:pPr>
      <w:r w:rsidRPr="00B84270">
        <w:rPr>
          <w:rFonts w:ascii="Arial" w:hAnsi="Arial" w:cs="Arial"/>
          <w:b/>
          <w:sz w:val="24"/>
          <w:szCs w:val="24"/>
          <w:lang w:val="en-US"/>
        </w:rPr>
        <w:t xml:space="preserve">Materials and </w:t>
      </w:r>
      <w:r w:rsidR="00967941" w:rsidRPr="00B84270">
        <w:rPr>
          <w:rFonts w:ascii="Arial" w:hAnsi="Arial" w:cs="Arial"/>
          <w:b/>
          <w:sz w:val="24"/>
          <w:szCs w:val="24"/>
          <w:lang w:val="en-US"/>
        </w:rPr>
        <w:t>m</w:t>
      </w:r>
      <w:r w:rsidR="00B94A88" w:rsidRPr="00B84270">
        <w:rPr>
          <w:rFonts w:ascii="Arial" w:hAnsi="Arial" w:cs="Arial"/>
          <w:b/>
          <w:sz w:val="24"/>
          <w:szCs w:val="24"/>
          <w:lang w:val="en-US"/>
        </w:rPr>
        <w:t xml:space="preserve">ethods </w:t>
      </w:r>
    </w:p>
    <w:p w:rsidR="00B94A88" w:rsidRPr="00B84270" w:rsidRDefault="00B94A88" w:rsidP="005510CB">
      <w:pPr>
        <w:spacing w:after="0" w:line="360" w:lineRule="auto"/>
        <w:rPr>
          <w:rFonts w:ascii="Arial" w:hAnsi="Arial" w:cs="Arial"/>
          <w:b/>
          <w:sz w:val="24"/>
          <w:szCs w:val="24"/>
          <w:lang w:val="en-US"/>
        </w:rPr>
      </w:pPr>
      <w:r w:rsidRPr="00B84270">
        <w:rPr>
          <w:rFonts w:ascii="Arial" w:hAnsi="Arial" w:cs="Arial"/>
          <w:b/>
          <w:sz w:val="24"/>
          <w:szCs w:val="24"/>
          <w:lang w:val="en-US"/>
        </w:rPr>
        <w:t>Cell culture</w:t>
      </w:r>
    </w:p>
    <w:p w:rsidR="00B94A88" w:rsidRPr="00B84270" w:rsidRDefault="00B94A88" w:rsidP="005510CB">
      <w:pPr>
        <w:spacing w:after="0" w:line="360" w:lineRule="auto"/>
        <w:rPr>
          <w:rFonts w:ascii="Arial" w:hAnsi="Arial" w:cs="Arial"/>
          <w:sz w:val="24"/>
          <w:szCs w:val="24"/>
          <w:lang w:val="en-US"/>
        </w:rPr>
      </w:pPr>
      <w:r w:rsidRPr="00B84270">
        <w:rPr>
          <w:rFonts w:ascii="Arial" w:hAnsi="Arial" w:cs="Arial"/>
          <w:sz w:val="24"/>
          <w:szCs w:val="24"/>
          <w:lang w:val="en-US"/>
        </w:rPr>
        <w:t xml:space="preserve">HepG2 cells (Health Protection Agency, UK) were maintained in Eagle’s Minimum Essential Medium (EMEM) (Sigma-Aldrich UK), 1 % non-essential amino acids (NEAA) (Sigma-Aldrich UK), 2 </w:t>
      </w:r>
      <w:proofErr w:type="spellStart"/>
      <w:r w:rsidRPr="00B84270">
        <w:rPr>
          <w:rFonts w:ascii="Arial" w:hAnsi="Arial" w:cs="Arial"/>
          <w:sz w:val="24"/>
          <w:szCs w:val="24"/>
          <w:lang w:val="en-US"/>
        </w:rPr>
        <w:t>mM</w:t>
      </w:r>
      <w:proofErr w:type="spellEnd"/>
      <w:r w:rsidR="007A5965" w:rsidRPr="00B84270">
        <w:rPr>
          <w:rFonts w:ascii="Arial" w:hAnsi="Arial" w:cs="Arial"/>
          <w:sz w:val="24"/>
          <w:szCs w:val="24"/>
          <w:lang w:val="en-US"/>
        </w:rPr>
        <w:t xml:space="preserve"> </w:t>
      </w:r>
      <w:proofErr w:type="spellStart"/>
      <w:r w:rsidRPr="00B84270">
        <w:rPr>
          <w:rFonts w:ascii="Arial" w:hAnsi="Arial" w:cs="Arial"/>
          <w:sz w:val="24"/>
          <w:szCs w:val="24"/>
          <w:lang w:val="en-US"/>
        </w:rPr>
        <w:t>glutamax</w:t>
      </w:r>
      <w:proofErr w:type="spellEnd"/>
      <w:r w:rsidRPr="00B84270">
        <w:rPr>
          <w:rFonts w:ascii="Arial" w:hAnsi="Arial" w:cs="Arial"/>
          <w:sz w:val="24"/>
          <w:szCs w:val="24"/>
          <w:lang w:val="en-US"/>
        </w:rPr>
        <w:t xml:space="preserve"> (Fisher Scientific International Inc. UK), 1 % antibiotic/antimycotic solution (Fisher Scientific International Inc. UK) and 10 % </w:t>
      </w:r>
      <w:r w:rsidR="00F253F9" w:rsidRPr="00B84270">
        <w:rPr>
          <w:rFonts w:ascii="Arial" w:hAnsi="Arial" w:cs="Arial"/>
          <w:sz w:val="24"/>
          <w:szCs w:val="24"/>
          <w:lang w:val="en-US"/>
        </w:rPr>
        <w:t>fetal</w:t>
      </w:r>
      <w:r w:rsidRPr="00B84270">
        <w:rPr>
          <w:rFonts w:ascii="Arial" w:hAnsi="Arial" w:cs="Arial"/>
          <w:sz w:val="24"/>
          <w:szCs w:val="24"/>
          <w:lang w:val="en-US"/>
        </w:rPr>
        <w:t xml:space="preserve"> calf serum (FCS)</w:t>
      </w:r>
      <w:r w:rsidR="007A4A69" w:rsidRPr="00B84270">
        <w:rPr>
          <w:rFonts w:ascii="Arial" w:hAnsi="Arial" w:cs="Arial"/>
          <w:sz w:val="24"/>
          <w:szCs w:val="24"/>
          <w:lang w:val="en-US"/>
        </w:rPr>
        <w:t xml:space="preserve"> (</w:t>
      </w:r>
      <w:proofErr w:type="spellStart"/>
      <w:r w:rsidR="007A4A69" w:rsidRPr="00B84270">
        <w:rPr>
          <w:rFonts w:ascii="Arial" w:hAnsi="Arial" w:cs="Arial"/>
          <w:sz w:val="24"/>
          <w:szCs w:val="24"/>
          <w:lang w:val="en-US"/>
        </w:rPr>
        <w:t>Biosera</w:t>
      </w:r>
      <w:proofErr w:type="spellEnd"/>
      <w:r w:rsidR="007A4A69" w:rsidRPr="00B84270">
        <w:rPr>
          <w:rFonts w:ascii="Arial" w:hAnsi="Arial" w:cs="Arial"/>
          <w:sz w:val="24"/>
          <w:szCs w:val="24"/>
          <w:lang w:val="en-US"/>
        </w:rPr>
        <w:t xml:space="preserve">, UK). Rec-TfR1 HepG2 </w:t>
      </w:r>
      <w:r w:rsidR="008A460D" w:rsidRPr="00B84270">
        <w:rPr>
          <w:rFonts w:ascii="Arial" w:hAnsi="Arial" w:cs="Arial"/>
          <w:sz w:val="24"/>
          <w:szCs w:val="24"/>
          <w:lang w:val="en-US"/>
        </w:rPr>
        <w:t xml:space="preserve">cells </w:t>
      </w:r>
      <w:r w:rsidR="00C8008A" w:rsidRPr="00B84270">
        <w:rPr>
          <w:rFonts w:ascii="Arial" w:hAnsi="Arial" w:cs="Arial"/>
          <w:sz w:val="24"/>
          <w:szCs w:val="24"/>
          <w:lang w:val="en-US"/>
        </w:rPr>
        <w:t xml:space="preserve">expressing </w:t>
      </w:r>
      <w:r w:rsidRPr="00B84270">
        <w:rPr>
          <w:rFonts w:ascii="Arial" w:hAnsi="Arial" w:cs="Arial"/>
          <w:sz w:val="24"/>
          <w:szCs w:val="24"/>
          <w:lang w:val="en-US"/>
        </w:rPr>
        <w:t xml:space="preserve">IRE-independent human </w:t>
      </w:r>
      <w:r w:rsidRPr="00B84270">
        <w:rPr>
          <w:rFonts w:ascii="Arial" w:hAnsi="Arial" w:cs="Arial"/>
          <w:i/>
          <w:sz w:val="24"/>
          <w:szCs w:val="24"/>
          <w:lang w:val="en-US"/>
        </w:rPr>
        <w:t>TFRC</w:t>
      </w:r>
      <w:r w:rsidR="00C8008A" w:rsidRPr="00B84270">
        <w:rPr>
          <w:rFonts w:ascii="Arial" w:hAnsi="Arial" w:cs="Arial"/>
          <w:sz w:val="24"/>
          <w:szCs w:val="24"/>
          <w:lang w:val="en-US"/>
        </w:rPr>
        <w:t xml:space="preserve"> mRNA were</w:t>
      </w:r>
      <w:r w:rsidR="007A4A69" w:rsidRPr="00B84270">
        <w:rPr>
          <w:rFonts w:ascii="Arial" w:hAnsi="Arial" w:cs="Arial"/>
          <w:sz w:val="24"/>
          <w:szCs w:val="24"/>
          <w:lang w:val="en-US"/>
        </w:rPr>
        <w:t xml:space="preserve"> created (supplementary data</w:t>
      </w:r>
      <w:r w:rsidR="00060DB5" w:rsidRPr="00B84270">
        <w:rPr>
          <w:rFonts w:ascii="Arial" w:hAnsi="Arial" w:cs="Arial"/>
          <w:sz w:val="24"/>
          <w:szCs w:val="24"/>
          <w:lang w:val="en-US"/>
        </w:rPr>
        <w:t>-1</w:t>
      </w:r>
      <w:r w:rsidR="007A4A69" w:rsidRPr="00B84270">
        <w:rPr>
          <w:rFonts w:ascii="Arial" w:hAnsi="Arial" w:cs="Arial"/>
          <w:sz w:val="24"/>
          <w:szCs w:val="24"/>
          <w:lang w:val="en-US"/>
        </w:rPr>
        <w:t xml:space="preserve">) and </w:t>
      </w:r>
      <w:r w:rsidRPr="00B84270">
        <w:rPr>
          <w:rFonts w:ascii="Arial" w:hAnsi="Arial" w:cs="Arial"/>
          <w:sz w:val="24"/>
          <w:szCs w:val="24"/>
          <w:lang w:val="en-US"/>
        </w:rPr>
        <w:t>maintained in 200 µg/mL hygromycin B (Invitrogen, UK) as a selection for exclusive growth of recombinant cells.</w:t>
      </w:r>
      <w:r w:rsidR="00B77F20" w:rsidRPr="00B84270">
        <w:rPr>
          <w:rFonts w:ascii="Arial" w:hAnsi="Arial" w:cs="Arial"/>
          <w:sz w:val="24"/>
          <w:szCs w:val="24"/>
          <w:lang w:val="en-US"/>
        </w:rPr>
        <w:t xml:space="preserve"> </w:t>
      </w:r>
      <w:r w:rsidR="00B77F20" w:rsidRPr="00B84270">
        <w:rPr>
          <w:rFonts w:ascii="Arial" w:hAnsi="Arial" w:cs="Arial"/>
          <w:i/>
          <w:sz w:val="24"/>
          <w:szCs w:val="24"/>
          <w:lang w:val="en-US"/>
        </w:rPr>
        <w:t xml:space="preserve">TFRC-IRE </w:t>
      </w:r>
      <w:r w:rsidR="00B77F20" w:rsidRPr="00B84270">
        <w:rPr>
          <w:rFonts w:ascii="Arial" w:hAnsi="Arial" w:cs="Arial"/>
          <w:sz w:val="24"/>
          <w:szCs w:val="24"/>
          <w:lang w:val="en-US"/>
        </w:rPr>
        <w:t xml:space="preserve">mRNA response was explored by probing the mRNA (cDNA) of rec-TfR1 HepG2 cells and Wt HepG2 cells (as control) with the </w:t>
      </w:r>
      <w:r w:rsidR="00B77F20" w:rsidRPr="00B84270">
        <w:rPr>
          <w:rFonts w:ascii="Arial" w:hAnsi="Arial" w:cs="Arial"/>
          <w:i/>
          <w:sz w:val="24"/>
          <w:szCs w:val="24"/>
          <w:lang w:val="en-US"/>
        </w:rPr>
        <w:t>IRE</w:t>
      </w:r>
      <w:r w:rsidR="00B77F20" w:rsidRPr="00B84270">
        <w:rPr>
          <w:rFonts w:ascii="Arial" w:hAnsi="Arial" w:cs="Arial"/>
          <w:sz w:val="24"/>
          <w:szCs w:val="24"/>
          <w:lang w:val="en-US"/>
        </w:rPr>
        <w:t>-specific primers (GGTTGCTAAGAAGCGAGCAC and TGCTCCCGATAATGTGTTAGG)</w:t>
      </w:r>
      <w:r w:rsidR="00377AFA" w:rsidRPr="00B84270">
        <w:rPr>
          <w:rFonts w:ascii="Arial" w:hAnsi="Arial" w:cs="Arial"/>
          <w:sz w:val="24"/>
          <w:szCs w:val="24"/>
          <w:lang w:val="en-US"/>
        </w:rPr>
        <w:t xml:space="preserve">. </w:t>
      </w:r>
      <w:r w:rsidR="00B77F20" w:rsidRPr="00B84270">
        <w:rPr>
          <w:rFonts w:ascii="Arial" w:hAnsi="Arial" w:cs="Arial"/>
          <w:sz w:val="24"/>
          <w:szCs w:val="24"/>
          <w:lang w:val="en-US"/>
        </w:rPr>
        <w:t xml:space="preserve">As an additional reference, the cDNA was probed with </w:t>
      </w:r>
      <w:r w:rsidR="00B77F20" w:rsidRPr="00B84270">
        <w:rPr>
          <w:rFonts w:ascii="Arial" w:hAnsi="Arial" w:cs="Arial"/>
          <w:i/>
          <w:sz w:val="24"/>
          <w:szCs w:val="24"/>
          <w:lang w:val="en-US"/>
        </w:rPr>
        <w:t>TFRC</w:t>
      </w:r>
      <w:r w:rsidR="00B77F20" w:rsidRPr="00B84270">
        <w:rPr>
          <w:rFonts w:ascii="Arial" w:hAnsi="Arial" w:cs="Arial"/>
          <w:sz w:val="24"/>
          <w:szCs w:val="24"/>
          <w:lang w:val="en-US"/>
        </w:rPr>
        <w:t>- specific primers</w:t>
      </w:r>
      <w:r w:rsidR="00377AFA" w:rsidRPr="00B84270">
        <w:rPr>
          <w:rFonts w:ascii="Arial" w:hAnsi="Arial" w:cs="Arial"/>
          <w:sz w:val="24"/>
          <w:szCs w:val="24"/>
          <w:lang w:val="en-US"/>
        </w:rPr>
        <w:t xml:space="preserve"> (supplementary </w:t>
      </w:r>
      <w:r w:rsidR="00F13AFB" w:rsidRPr="00B84270">
        <w:rPr>
          <w:rFonts w:ascii="Arial" w:hAnsi="Arial" w:cs="Arial"/>
          <w:sz w:val="24"/>
          <w:szCs w:val="24"/>
          <w:lang w:val="en-US"/>
        </w:rPr>
        <w:t>figures 1A -1B</w:t>
      </w:r>
      <w:r w:rsidR="00377AFA" w:rsidRPr="00B84270">
        <w:rPr>
          <w:rFonts w:ascii="Arial" w:hAnsi="Arial" w:cs="Arial"/>
          <w:sz w:val="24"/>
          <w:szCs w:val="24"/>
          <w:lang w:val="en-US"/>
        </w:rPr>
        <w:t xml:space="preserve">). </w:t>
      </w:r>
      <w:r w:rsidR="00B77F20" w:rsidRPr="00B84270">
        <w:rPr>
          <w:rFonts w:ascii="Arial" w:hAnsi="Arial" w:cs="Arial"/>
          <w:sz w:val="24"/>
          <w:szCs w:val="24"/>
          <w:lang w:val="en-US"/>
        </w:rPr>
        <w:t xml:space="preserve">Results showed diminished </w:t>
      </w:r>
      <w:r w:rsidR="00B77F20" w:rsidRPr="00B84270">
        <w:rPr>
          <w:rFonts w:ascii="Arial" w:hAnsi="Arial" w:cs="Arial"/>
          <w:i/>
          <w:sz w:val="24"/>
          <w:szCs w:val="24"/>
          <w:lang w:val="en-US"/>
        </w:rPr>
        <w:t>TFRC-IRE</w:t>
      </w:r>
      <w:r w:rsidR="00B77F20" w:rsidRPr="00B84270">
        <w:rPr>
          <w:rFonts w:ascii="Arial" w:hAnsi="Arial" w:cs="Arial"/>
          <w:sz w:val="24"/>
          <w:szCs w:val="24"/>
          <w:lang w:val="en-US"/>
        </w:rPr>
        <w:t>-specific amplification in</w:t>
      </w:r>
      <w:r w:rsidR="00C81463" w:rsidRPr="00B84270">
        <w:rPr>
          <w:rFonts w:ascii="Arial" w:hAnsi="Arial" w:cs="Arial"/>
          <w:sz w:val="24"/>
          <w:szCs w:val="24"/>
          <w:lang w:val="en-US"/>
        </w:rPr>
        <w:t xml:space="preserve"> the rec-TfR1 HepG2 cells (Fig.</w:t>
      </w:r>
      <w:r w:rsidR="00377AFA" w:rsidRPr="00B84270">
        <w:rPr>
          <w:rFonts w:ascii="Arial" w:hAnsi="Arial" w:cs="Arial"/>
          <w:sz w:val="24"/>
          <w:szCs w:val="24"/>
          <w:lang w:val="en-US"/>
        </w:rPr>
        <w:t>1</w:t>
      </w:r>
      <w:r w:rsidR="00B77F20" w:rsidRPr="00B84270">
        <w:rPr>
          <w:rFonts w:ascii="Arial" w:hAnsi="Arial" w:cs="Arial"/>
          <w:sz w:val="24"/>
          <w:szCs w:val="24"/>
          <w:lang w:val="en-US"/>
        </w:rPr>
        <w:t xml:space="preserve">A), indicating </w:t>
      </w:r>
      <w:r w:rsidR="00432B94" w:rsidRPr="00B84270">
        <w:rPr>
          <w:rFonts w:ascii="Arial" w:hAnsi="Arial" w:cs="Arial"/>
          <w:sz w:val="24"/>
          <w:szCs w:val="24"/>
          <w:lang w:val="en-US"/>
        </w:rPr>
        <w:t xml:space="preserve">diminished </w:t>
      </w:r>
      <w:r w:rsidR="00432B94" w:rsidRPr="00B84270">
        <w:rPr>
          <w:rFonts w:ascii="Arial" w:hAnsi="Arial" w:cs="Arial"/>
          <w:i/>
          <w:sz w:val="24"/>
          <w:szCs w:val="24"/>
          <w:lang w:val="en-US"/>
        </w:rPr>
        <w:t>IRE</w:t>
      </w:r>
      <w:r w:rsidR="00432B94" w:rsidRPr="00B84270">
        <w:rPr>
          <w:rFonts w:ascii="Arial" w:hAnsi="Arial" w:cs="Arial"/>
          <w:sz w:val="24"/>
          <w:szCs w:val="24"/>
          <w:lang w:val="en-US"/>
        </w:rPr>
        <w:t xml:space="preserve">-related </w:t>
      </w:r>
      <w:r w:rsidR="00B77F20" w:rsidRPr="00B84270">
        <w:rPr>
          <w:rFonts w:ascii="Arial" w:hAnsi="Arial" w:cs="Arial"/>
          <w:sz w:val="24"/>
          <w:szCs w:val="24"/>
          <w:lang w:val="en-US"/>
        </w:rPr>
        <w:t xml:space="preserve">responsiveness, as desired for the study. </w:t>
      </w:r>
      <w:r w:rsidR="00106811" w:rsidRPr="00B84270">
        <w:rPr>
          <w:rFonts w:ascii="Arial" w:hAnsi="Arial" w:cs="Arial"/>
          <w:sz w:val="24"/>
          <w:szCs w:val="24"/>
          <w:lang w:val="en-US"/>
        </w:rPr>
        <w:t>Also,</w:t>
      </w:r>
      <w:r w:rsidRPr="00B84270">
        <w:rPr>
          <w:rFonts w:ascii="Arial" w:hAnsi="Arial" w:cs="Arial"/>
          <w:sz w:val="24"/>
          <w:szCs w:val="24"/>
          <w:lang w:val="en-US"/>
        </w:rPr>
        <w:t xml:space="preserve"> a </w:t>
      </w:r>
      <w:r w:rsidR="00DE1471" w:rsidRPr="00B84270">
        <w:rPr>
          <w:rFonts w:ascii="Arial" w:hAnsi="Arial" w:cs="Arial"/>
          <w:sz w:val="24"/>
          <w:szCs w:val="24"/>
          <w:lang w:val="en-US"/>
        </w:rPr>
        <w:t xml:space="preserve">HepG2 cell line with the unmodified plasmid </w:t>
      </w:r>
      <w:r w:rsidR="001B1CFB" w:rsidRPr="00B84270">
        <w:rPr>
          <w:rFonts w:ascii="Arial" w:hAnsi="Arial" w:cs="Arial"/>
          <w:sz w:val="24"/>
          <w:szCs w:val="24"/>
          <w:lang w:val="en-US"/>
        </w:rPr>
        <w:t>vector [HepG2 (p) cells] was created for pre</w:t>
      </w:r>
      <w:r w:rsidR="004811C4" w:rsidRPr="00B84270">
        <w:rPr>
          <w:rFonts w:ascii="Arial" w:hAnsi="Arial" w:cs="Arial"/>
          <w:sz w:val="24"/>
          <w:szCs w:val="24"/>
          <w:lang w:val="en-US"/>
        </w:rPr>
        <w:t>-</w:t>
      </w:r>
      <w:r w:rsidR="001B1CFB" w:rsidRPr="00B84270">
        <w:rPr>
          <w:rFonts w:ascii="Arial" w:hAnsi="Arial" w:cs="Arial"/>
          <w:sz w:val="24"/>
          <w:szCs w:val="24"/>
          <w:lang w:val="en-US"/>
        </w:rPr>
        <w:t>iron</w:t>
      </w:r>
      <w:r w:rsidR="004811C4" w:rsidRPr="00B84270">
        <w:rPr>
          <w:rFonts w:ascii="Arial" w:hAnsi="Arial" w:cs="Arial"/>
          <w:sz w:val="24"/>
          <w:szCs w:val="24"/>
          <w:lang w:val="en-US"/>
        </w:rPr>
        <w:t>-</w:t>
      </w:r>
      <w:r w:rsidR="001B1CFB" w:rsidRPr="00B84270">
        <w:rPr>
          <w:rFonts w:ascii="Arial" w:hAnsi="Arial" w:cs="Arial"/>
          <w:sz w:val="24"/>
          <w:szCs w:val="24"/>
          <w:lang w:val="en-US"/>
        </w:rPr>
        <w:t xml:space="preserve">supplementation studies </w:t>
      </w:r>
      <w:r w:rsidR="00963802" w:rsidRPr="00B84270">
        <w:rPr>
          <w:rFonts w:ascii="Arial" w:hAnsi="Arial" w:cs="Arial"/>
          <w:sz w:val="24"/>
          <w:szCs w:val="24"/>
          <w:lang w:val="en-US"/>
        </w:rPr>
        <w:t>(supplementary data</w:t>
      </w:r>
      <w:r w:rsidR="001B1CFB" w:rsidRPr="00B84270">
        <w:rPr>
          <w:rFonts w:ascii="Arial" w:hAnsi="Arial" w:cs="Arial"/>
          <w:sz w:val="24"/>
          <w:szCs w:val="24"/>
          <w:lang w:val="en-US"/>
        </w:rPr>
        <w:t>-2</w:t>
      </w:r>
      <w:r w:rsidR="00963802" w:rsidRPr="00B84270">
        <w:rPr>
          <w:rFonts w:ascii="Arial" w:hAnsi="Arial" w:cs="Arial"/>
          <w:sz w:val="24"/>
          <w:szCs w:val="24"/>
          <w:lang w:val="en-US"/>
        </w:rPr>
        <w:t xml:space="preserve"> and</w:t>
      </w:r>
      <w:r w:rsidR="007A5965" w:rsidRPr="00B84270">
        <w:rPr>
          <w:rFonts w:ascii="Arial" w:hAnsi="Arial" w:cs="Arial"/>
          <w:sz w:val="24"/>
          <w:szCs w:val="24"/>
          <w:lang w:val="en-US"/>
        </w:rPr>
        <w:t xml:space="preserve"> </w:t>
      </w:r>
      <w:r w:rsidR="00963802" w:rsidRPr="00B84270">
        <w:rPr>
          <w:rFonts w:ascii="Arial" w:hAnsi="Arial" w:cs="Arial"/>
          <w:sz w:val="24"/>
          <w:szCs w:val="24"/>
          <w:lang w:val="en-US"/>
        </w:rPr>
        <w:t>supplementary</w:t>
      </w:r>
      <w:r w:rsidR="0083476E" w:rsidRPr="00B84270">
        <w:rPr>
          <w:rFonts w:ascii="Arial" w:hAnsi="Arial" w:cs="Arial"/>
          <w:sz w:val="24"/>
          <w:szCs w:val="24"/>
          <w:lang w:val="en-US"/>
        </w:rPr>
        <w:t xml:space="preserve"> f</w:t>
      </w:r>
      <w:r w:rsidR="004811C4" w:rsidRPr="00B84270">
        <w:rPr>
          <w:rFonts w:ascii="Arial" w:hAnsi="Arial" w:cs="Arial"/>
          <w:sz w:val="24"/>
          <w:szCs w:val="24"/>
          <w:lang w:val="en-US"/>
        </w:rPr>
        <w:t>igures</w:t>
      </w:r>
      <w:r w:rsidR="00432B94" w:rsidRPr="00B84270">
        <w:rPr>
          <w:rFonts w:ascii="Arial" w:hAnsi="Arial" w:cs="Arial"/>
          <w:sz w:val="24"/>
          <w:szCs w:val="24"/>
          <w:lang w:val="en-US"/>
        </w:rPr>
        <w:t xml:space="preserve"> (2A</w:t>
      </w:r>
      <w:r w:rsidR="00176D6A" w:rsidRPr="00B84270">
        <w:rPr>
          <w:rFonts w:ascii="Arial" w:hAnsi="Arial" w:cs="Arial"/>
          <w:sz w:val="24"/>
          <w:szCs w:val="24"/>
          <w:lang w:val="en-US"/>
        </w:rPr>
        <w:t>-</w:t>
      </w:r>
      <w:r w:rsidR="00432B94" w:rsidRPr="00B84270">
        <w:rPr>
          <w:rFonts w:ascii="Arial" w:hAnsi="Arial" w:cs="Arial"/>
          <w:sz w:val="24"/>
          <w:szCs w:val="24"/>
          <w:lang w:val="en-US"/>
        </w:rPr>
        <w:t>2</w:t>
      </w:r>
      <w:r w:rsidR="00963802" w:rsidRPr="00B84270">
        <w:rPr>
          <w:rFonts w:ascii="Arial" w:hAnsi="Arial" w:cs="Arial"/>
          <w:sz w:val="24"/>
          <w:szCs w:val="24"/>
          <w:lang w:val="en-US"/>
        </w:rPr>
        <w:t>C</w:t>
      </w:r>
      <w:r w:rsidR="003F1D92" w:rsidRPr="00B84270">
        <w:rPr>
          <w:rFonts w:ascii="Arial" w:hAnsi="Arial" w:cs="Arial"/>
          <w:sz w:val="24"/>
          <w:szCs w:val="24"/>
          <w:lang w:val="en-US"/>
        </w:rPr>
        <w:t xml:space="preserve">). </w:t>
      </w:r>
    </w:p>
    <w:p w:rsidR="00DE1471" w:rsidRPr="00B84270" w:rsidRDefault="00DE1471" w:rsidP="005510CB">
      <w:pPr>
        <w:spacing w:after="0" w:line="360" w:lineRule="auto"/>
        <w:rPr>
          <w:rFonts w:ascii="Arial" w:hAnsi="Arial" w:cs="Arial"/>
          <w:b/>
          <w:sz w:val="24"/>
          <w:szCs w:val="24"/>
          <w:lang w:val="en-US"/>
        </w:rPr>
      </w:pPr>
    </w:p>
    <w:p w:rsidR="00B94A88" w:rsidRPr="00B84270" w:rsidRDefault="00B94A88" w:rsidP="005510CB">
      <w:pPr>
        <w:spacing w:after="0" w:line="360" w:lineRule="auto"/>
        <w:rPr>
          <w:rFonts w:ascii="Arial" w:hAnsi="Arial" w:cs="Arial"/>
          <w:sz w:val="24"/>
          <w:szCs w:val="24"/>
          <w:lang w:val="en-US"/>
        </w:rPr>
      </w:pPr>
      <w:r w:rsidRPr="00B84270">
        <w:rPr>
          <w:rFonts w:ascii="Arial" w:hAnsi="Arial" w:cs="Arial"/>
          <w:b/>
          <w:sz w:val="24"/>
          <w:szCs w:val="24"/>
          <w:lang w:val="en-US"/>
        </w:rPr>
        <w:t xml:space="preserve">Holo-Tf supplementation </w:t>
      </w:r>
    </w:p>
    <w:p w:rsidR="003402C3" w:rsidRPr="00B84270" w:rsidRDefault="003402C3" w:rsidP="005510CB">
      <w:pPr>
        <w:spacing w:after="0" w:line="360" w:lineRule="auto"/>
        <w:rPr>
          <w:rFonts w:ascii="Arial" w:hAnsi="Arial" w:cs="Arial"/>
          <w:sz w:val="24"/>
          <w:szCs w:val="24"/>
          <w:lang w:val="en-US"/>
        </w:rPr>
      </w:pPr>
      <w:r w:rsidRPr="00B84270">
        <w:rPr>
          <w:rFonts w:ascii="Arial" w:hAnsi="Arial" w:cs="Arial"/>
          <w:sz w:val="24"/>
          <w:szCs w:val="24"/>
          <w:lang w:val="en-US"/>
        </w:rPr>
        <w:t xml:space="preserve">The iron saturation of holo-Tf and the iron content of the treatment medium </w:t>
      </w:r>
    </w:p>
    <w:p w:rsidR="00B94A88" w:rsidRPr="00B84270" w:rsidRDefault="003402C3" w:rsidP="005510CB">
      <w:pPr>
        <w:spacing w:after="0" w:line="360" w:lineRule="auto"/>
        <w:rPr>
          <w:rFonts w:ascii="Arial" w:hAnsi="Arial" w:cs="Arial"/>
          <w:sz w:val="24"/>
          <w:szCs w:val="24"/>
          <w:lang w:val="en-US"/>
        </w:rPr>
      </w:pPr>
      <w:r w:rsidRPr="00B84270">
        <w:rPr>
          <w:rFonts w:ascii="Arial" w:hAnsi="Arial" w:cs="Arial"/>
          <w:sz w:val="24"/>
          <w:szCs w:val="24"/>
          <w:lang w:val="en-US"/>
        </w:rPr>
        <w:t>were assessed</w:t>
      </w:r>
      <w:r w:rsidR="001F390A" w:rsidRPr="00B84270">
        <w:rPr>
          <w:rFonts w:ascii="Arial" w:hAnsi="Arial" w:cs="Arial"/>
          <w:sz w:val="24"/>
          <w:szCs w:val="24"/>
          <w:lang w:val="en-US"/>
        </w:rPr>
        <w:t xml:space="preserve"> (supplementary </w:t>
      </w:r>
      <w:r w:rsidR="0067560E" w:rsidRPr="00B84270">
        <w:rPr>
          <w:rFonts w:ascii="Arial" w:hAnsi="Arial" w:cs="Arial"/>
          <w:sz w:val="24"/>
          <w:szCs w:val="24"/>
          <w:lang w:val="en-US"/>
        </w:rPr>
        <w:t xml:space="preserve">data-3 and supplementary </w:t>
      </w:r>
      <w:r w:rsidR="0083476E" w:rsidRPr="00B84270">
        <w:rPr>
          <w:rFonts w:ascii="Arial" w:hAnsi="Arial" w:cs="Arial"/>
          <w:sz w:val="24"/>
          <w:szCs w:val="24"/>
          <w:lang w:val="en-US"/>
        </w:rPr>
        <w:t>f</w:t>
      </w:r>
      <w:r w:rsidR="00F13AFB" w:rsidRPr="00B84270">
        <w:rPr>
          <w:rFonts w:ascii="Arial" w:hAnsi="Arial" w:cs="Arial"/>
          <w:sz w:val="24"/>
          <w:szCs w:val="24"/>
          <w:lang w:val="en-US"/>
        </w:rPr>
        <w:t>igures 3A-3</w:t>
      </w:r>
      <w:r w:rsidR="00B97457" w:rsidRPr="00B84270">
        <w:rPr>
          <w:rFonts w:ascii="Arial" w:hAnsi="Arial" w:cs="Arial"/>
          <w:sz w:val="24"/>
          <w:szCs w:val="24"/>
          <w:lang w:val="en-US"/>
        </w:rPr>
        <w:t>B</w:t>
      </w:r>
      <w:r w:rsidRPr="00B84270">
        <w:rPr>
          <w:rFonts w:ascii="Arial" w:hAnsi="Arial" w:cs="Arial"/>
          <w:sz w:val="24"/>
          <w:szCs w:val="24"/>
          <w:lang w:val="en-US"/>
        </w:rPr>
        <w:t xml:space="preserve">). </w:t>
      </w:r>
      <w:r w:rsidR="00524C59" w:rsidRPr="00B84270">
        <w:rPr>
          <w:rFonts w:ascii="Arial" w:hAnsi="Arial" w:cs="Arial"/>
          <w:sz w:val="24"/>
          <w:szCs w:val="24"/>
          <w:lang w:val="en-US"/>
        </w:rPr>
        <w:t>C</w:t>
      </w:r>
      <w:r w:rsidR="00B94A88" w:rsidRPr="00B84270">
        <w:rPr>
          <w:rFonts w:ascii="Arial" w:hAnsi="Arial" w:cs="Arial"/>
          <w:sz w:val="24"/>
          <w:szCs w:val="24"/>
          <w:lang w:val="en-US"/>
        </w:rPr>
        <w:t>ells were seeded at a density of 5 X 10</w:t>
      </w:r>
      <w:r w:rsidR="00B94A88" w:rsidRPr="00B84270">
        <w:rPr>
          <w:rFonts w:ascii="Arial" w:hAnsi="Arial" w:cs="Arial"/>
          <w:sz w:val="24"/>
          <w:szCs w:val="24"/>
          <w:vertAlign w:val="superscript"/>
          <w:lang w:val="en-US"/>
        </w:rPr>
        <w:t xml:space="preserve">5 </w:t>
      </w:r>
      <w:r w:rsidR="00B94A88" w:rsidRPr="00B84270">
        <w:rPr>
          <w:rFonts w:ascii="Arial" w:hAnsi="Arial" w:cs="Arial"/>
          <w:sz w:val="24"/>
          <w:szCs w:val="24"/>
          <w:lang w:val="en-US"/>
        </w:rPr>
        <w:t xml:space="preserve">per well in a 6-well plate in maintenance medium (with </w:t>
      </w:r>
      <w:r w:rsidR="00B94A88" w:rsidRPr="00B84270">
        <w:rPr>
          <w:rFonts w:ascii="Arial" w:hAnsi="Arial" w:cs="Arial"/>
          <w:sz w:val="24"/>
          <w:szCs w:val="24"/>
          <w:lang w:val="en-US"/>
        </w:rPr>
        <w:lastRenderedPageBreak/>
        <w:t xml:space="preserve">and without hygromycin B for rec-TfR1 HepG2 cells and Wt </w:t>
      </w:r>
      <w:r w:rsidR="00FD4846" w:rsidRPr="00B84270">
        <w:rPr>
          <w:rFonts w:ascii="Arial" w:hAnsi="Arial" w:cs="Arial"/>
          <w:sz w:val="24"/>
          <w:szCs w:val="24"/>
          <w:lang w:val="en-US"/>
        </w:rPr>
        <w:t>c</w:t>
      </w:r>
      <w:r w:rsidR="00B94A88" w:rsidRPr="00B84270">
        <w:rPr>
          <w:rFonts w:ascii="Arial" w:hAnsi="Arial" w:cs="Arial"/>
          <w:sz w:val="24"/>
          <w:szCs w:val="24"/>
          <w:lang w:val="en-US"/>
        </w:rPr>
        <w:t>ells, respectively) for 72 h. For the next 24 h, all cells were incubated in fresh hygromycin-free maintenance medium. Then, the cells were treated with 5 g/L holo-Tf prepared in</w:t>
      </w:r>
      <w:r w:rsidR="00121389" w:rsidRPr="00B84270">
        <w:rPr>
          <w:rFonts w:ascii="Arial" w:hAnsi="Arial" w:cs="Arial"/>
          <w:sz w:val="24"/>
          <w:szCs w:val="24"/>
          <w:lang w:val="en-US"/>
        </w:rPr>
        <w:t xml:space="preserve"> serum-free EMEM (</w:t>
      </w:r>
      <w:r w:rsidR="00B94A88" w:rsidRPr="00B84270">
        <w:rPr>
          <w:rFonts w:ascii="Arial" w:hAnsi="Arial" w:cs="Arial"/>
          <w:sz w:val="24"/>
          <w:szCs w:val="24"/>
          <w:lang w:val="en-US"/>
        </w:rPr>
        <w:t xml:space="preserve">0 g/L) for the desired </w:t>
      </w:r>
      <w:r w:rsidR="002A614C" w:rsidRPr="00B84270">
        <w:rPr>
          <w:rFonts w:ascii="Arial" w:hAnsi="Arial" w:cs="Arial"/>
          <w:sz w:val="24"/>
          <w:szCs w:val="24"/>
          <w:lang w:val="en-US"/>
        </w:rPr>
        <w:t>period</w:t>
      </w:r>
      <w:r w:rsidR="00B94A88" w:rsidRPr="00B84270">
        <w:rPr>
          <w:rFonts w:ascii="Arial" w:hAnsi="Arial" w:cs="Arial"/>
          <w:sz w:val="24"/>
          <w:szCs w:val="24"/>
          <w:lang w:val="en-US"/>
        </w:rPr>
        <w:t xml:space="preserve"> and assessed for various p</w:t>
      </w:r>
      <w:r w:rsidR="004D4B63" w:rsidRPr="00B84270">
        <w:rPr>
          <w:rFonts w:ascii="Arial" w:hAnsi="Arial" w:cs="Arial"/>
          <w:sz w:val="24"/>
          <w:szCs w:val="24"/>
          <w:lang w:val="en-US"/>
        </w:rPr>
        <w:t>arameters</w:t>
      </w:r>
      <w:r w:rsidR="00B94A88" w:rsidRPr="00B84270">
        <w:rPr>
          <w:rFonts w:ascii="Arial" w:hAnsi="Arial" w:cs="Arial"/>
          <w:sz w:val="24"/>
          <w:szCs w:val="24"/>
          <w:lang w:val="en-US"/>
        </w:rPr>
        <w:t xml:space="preserve">.  </w:t>
      </w:r>
    </w:p>
    <w:p w:rsidR="00B94A88" w:rsidRPr="00B84270" w:rsidRDefault="00B94A88" w:rsidP="005510CB">
      <w:pPr>
        <w:spacing w:after="0" w:line="360" w:lineRule="auto"/>
        <w:rPr>
          <w:rFonts w:ascii="Arial" w:hAnsi="Arial" w:cs="Arial"/>
          <w:b/>
          <w:sz w:val="24"/>
          <w:szCs w:val="24"/>
          <w:lang w:val="en-US"/>
        </w:rPr>
      </w:pPr>
    </w:p>
    <w:p w:rsidR="00B94A88" w:rsidRPr="00B84270" w:rsidRDefault="00B94A88" w:rsidP="005510CB">
      <w:pPr>
        <w:spacing w:after="0" w:line="360" w:lineRule="auto"/>
        <w:rPr>
          <w:rFonts w:ascii="Arial" w:hAnsi="Arial" w:cs="Arial"/>
          <w:sz w:val="24"/>
          <w:szCs w:val="24"/>
          <w:lang w:val="en-US"/>
        </w:rPr>
      </w:pPr>
      <w:r w:rsidRPr="00B84270">
        <w:rPr>
          <w:rFonts w:ascii="Arial" w:hAnsi="Arial" w:cs="Arial"/>
          <w:b/>
          <w:sz w:val="24"/>
          <w:szCs w:val="24"/>
          <w:lang w:val="en-US"/>
        </w:rPr>
        <w:t>Determination of intracellular iron content and assessment of mitochondrial activity</w:t>
      </w:r>
    </w:p>
    <w:p w:rsidR="007A0042" w:rsidRPr="00B84270" w:rsidRDefault="00115B0A" w:rsidP="007A0042">
      <w:pPr>
        <w:spacing w:after="0" w:line="360" w:lineRule="auto"/>
        <w:rPr>
          <w:rFonts w:ascii="Arial" w:hAnsi="Arial" w:cs="Arial"/>
          <w:sz w:val="24"/>
          <w:szCs w:val="24"/>
          <w:lang w:val="en-US"/>
        </w:rPr>
      </w:pPr>
      <w:r w:rsidRPr="00B84270">
        <w:rPr>
          <w:rFonts w:ascii="Arial" w:hAnsi="Arial" w:cs="Arial"/>
          <w:sz w:val="24"/>
          <w:szCs w:val="24"/>
          <w:lang w:val="en-US"/>
        </w:rPr>
        <w:t xml:space="preserve">Cellular iron content </w:t>
      </w:r>
      <w:r w:rsidR="00B94A88" w:rsidRPr="00B84270">
        <w:rPr>
          <w:rFonts w:ascii="Arial" w:hAnsi="Arial" w:cs="Arial"/>
          <w:sz w:val="24"/>
          <w:szCs w:val="24"/>
          <w:lang w:val="en-US"/>
        </w:rPr>
        <w:t xml:space="preserve">determined by the ferrozine assay </w:t>
      </w:r>
      <w:r w:rsidR="00614C46" w:rsidRPr="00B84270">
        <w:rPr>
          <w:rFonts w:ascii="Arial" w:hAnsi="Arial" w:cs="Arial"/>
          <w:sz w:val="24"/>
          <w:szCs w:val="24"/>
          <w:lang w:val="en-US"/>
        </w:rPr>
        <w:fldChar w:fldCharType="begin"/>
      </w:r>
      <w:r w:rsidR="00B656A9" w:rsidRPr="00B84270">
        <w:rPr>
          <w:rFonts w:ascii="Arial" w:hAnsi="Arial" w:cs="Arial"/>
          <w:sz w:val="24"/>
          <w:szCs w:val="24"/>
          <w:lang w:val="en-US"/>
        </w:rPr>
        <w:instrText xml:space="preserve"> ADDIN ZOTERO_ITEM CSL_CITATION {"citationID":"27v0ovrh0s","properties":{"formattedCitation":"(25)","plainCitation":"(25)"},"citationItems":[{"id":107,"uris":["http://zotero.org/users/2804724/items/WNE7E5AK"],"uri":["http://zotero.org/users/2804724/items/WNE7E5AK"],"itemData":{"id":107,"type":"article-journal","title":"Colorimetric ferrozine-based assay for the quantitation of iron in cultured cells","container-title":"Analytical Biochemistry","page":"370-375","volume":"331","issue":"2","source":"PubMed","abstract":"The ferrozine-based colorimetric assay described here permits the quantitation of iron in cultured cells in amounts ranging between 0.2 and 30 nmol. Ferrous and ferric iron were detected equally well by the assay and the accuracy was unaffected by other divalent metal cations. This colorimetric assay was used to study iron accumulation in brain astrocytes that had been cultured in 24-well dishes. Iron complexed to cellular proteins was made accessible to ferrozine by treatment of cell lysates with acidic KMnO(4) solution. The basal amounts of iron in untreated astrocyte cultures were approximately 10 nmol iron per mg protein. Incubation of the cells with ferric ammonium citrate caused the total cellular iron content to increase in a concentration-dependent manner. The estimates of cellular iron content that were obtained with the ferrozine-based assay did not differ from those determined by atomic absorption spectroscopy. The colorimetric assay described here provides a sensitive, cheap, and reliable method for the quantitation of intracellular iron and for the investigation of iron accumulation in cultured cells.","DOI":"10.1016/j.ab.2004.03.049","ISSN":"0003-2697","note":"PMID: 15265744","journalAbbreviation":"Anal. Biochem.","language":"eng","author":[{"family":"Riemer","given":"Jan"},{"family":"Hoepken","given":"Hans Hermann"},{"family":"Czerwinska","given":"Hania"},{"family":"Robinson","given":"Stephen R."},{"family":"Dringen","given":"Ralf"}],"issued":{"date-parts":[["2004",8,15]]},"PMID":"15265744"}}],"schema":"https://github.com/citation-style-language/schema/raw/master/csl-citation.json"} </w:instrText>
      </w:r>
      <w:r w:rsidR="00614C46" w:rsidRPr="00B84270">
        <w:rPr>
          <w:rFonts w:ascii="Arial" w:hAnsi="Arial" w:cs="Arial"/>
          <w:sz w:val="24"/>
          <w:szCs w:val="24"/>
          <w:lang w:val="en-US"/>
        </w:rPr>
        <w:fldChar w:fldCharType="separate"/>
      </w:r>
      <w:r w:rsidR="000A09BE" w:rsidRPr="00B84270">
        <w:rPr>
          <w:rFonts w:ascii="Arial" w:hAnsi="Arial" w:cs="Arial"/>
          <w:sz w:val="24"/>
        </w:rPr>
        <w:t>(25)</w:t>
      </w:r>
      <w:r w:rsidR="00614C46" w:rsidRPr="00B84270">
        <w:rPr>
          <w:rFonts w:ascii="Arial" w:hAnsi="Arial" w:cs="Arial"/>
          <w:sz w:val="24"/>
          <w:szCs w:val="24"/>
          <w:lang w:val="en-US"/>
        </w:rPr>
        <w:fldChar w:fldCharType="end"/>
      </w:r>
      <w:r w:rsidR="00B656A9" w:rsidRPr="00B84270">
        <w:rPr>
          <w:rFonts w:ascii="Arial" w:hAnsi="Arial" w:cs="Arial"/>
          <w:sz w:val="24"/>
          <w:szCs w:val="24"/>
          <w:lang w:val="en-US"/>
        </w:rPr>
        <w:t xml:space="preserve"> </w:t>
      </w:r>
      <w:r w:rsidR="00B94A88" w:rsidRPr="00B84270">
        <w:rPr>
          <w:rFonts w:ascii="Arial" w:hAnsi="Arial" w:cs="Arial"/>
          <w:sz w:val="24"/>
          <w:szCs w:val="24"/>
          <w:lang w:val="en-US"/>
        </w:rPr>
        <w:t xml:space="preserve">was expressed as </w:t>
      </w:r>
      <w:proofErr w:type="spellStart"/>
      <w:r w:rsidR="00B94A88" w:rsidRPr="00B84270">
        <w:rPr>
          <w:rFonts w:ascii="Arial" w:hAnsi="Arial" w:cs="Arial"/>
          <w:sz w:val="24"/>
          <w:szCs w:val="24"/>
          <w:lang w:val="en-US"/>
        </w:rPr>
        <w:t>nmoles</w:t>
      </w:r>
      <w:proofErr w:type="spellEnd"/>
      <w:r w:rsidR="00B94A88" w:rsidRPr="00B84270">
        <w:rPr>
          <w:rFonts w:ascii="Arial" w:hAnsi="Arial" w:cs="Arial"/>
          <w:sz w:val="24"/>
          <w:szCs w:val="24"/>
          <w:lang w:val="en-US"/>
        </w:rPr>
        <w:t xml:space="preserve"> of iron per mg of protein, as quantified by the Bradford method.</w:t>
      </w:r>
      <w:r w:rsidR="0081300C" w:rsidRPr="00B84270">
        <w:rPr>
          <w:rFonts w:ascii="Arial" w:hAnsi="Arial" w:cs="Arial"/>
          <w:sz w:val="24"/>
          <w:szCs w:val="24"/>
          <w:lang w:val="en-US"/>
        </w:rPr>
        <w:t xml:space="preserve"> </w:t>
      </w:r>
      <w:r w:rsidR="00B94A88" w:rsidRPr="00B84270">
        <w:rPr>
          <w:rFonts w:ascii="Arial" w:hAnsi="Arial" w:cs="Arial"/>
          <w:sz w:val="24"/>
          <w:szCs w:val="24"/>
          <w:lang w:val="en-US"/>
        </w:rPr>
        <w:t>Mitochondrial activity was assessed by using the MTT assay</w:t>
      </w:r>
      <w:r w:rsidR="00E872F4" w:rsidRPr="00B84270">
        <w:rPr>
          <w:rFonts w:ascii="Arial" w:hAnsi="Arial" w:cs="Arial"/>
          <w:sz w:val="24"/>
          <w:szCs w:val="24"/>
          <w:lang w:val="en-US"/>
        </w:rPr>
        <w:t xml:space="preserve"> </w:t>
      </w:r>
      <w:r w:rsidR="00614C46" w:rsidRPr="00B84270">
        <w:rPr>
          <w:rFonts w:ascii="Arial" w:hAnsi="Arial" w:cs="Arial"/>
          <w:sz w:val="24"/>
          <w:szCs w:val="24"/>
          <w:lang w:val="en-US"/>
        </w:rPr>
        <w:fldChar w:fldCharType="begin"/>
      </w:r>
      <w:r w:rsidR="00B656A9" w:rsidRPr="00B84270">
        <w:rPr>
          <w:rFonts w:ascii="Arial" w:hAnsi="Arial" w:cs="Arial"/>
          <w:sz w:val="24"/>
          <w:szCs w:val="24"/>
          <w:lang w:val="en-US"/>
        </w:rPr>
        <w:instrText xml:space="preserve"> ADDIN ZOTERO_ITEM CSL_CITATION {"citationID":"1udigukbsp","properties":{"formattedCitation":"(26)","plainCitation":"(26)"},"citationItems":[{"id":176,"uris":["http://zotero.org/users/2804724/items/AD6MMZZ8"],"uri":["http://zotero.org/users/2804724/items/AD6MMZZ8"],"itemData":{"id":176,"type":"article-journal","title":"Rapid colorimetric assay for cellular growth and survival: application to proliferation and cytotoxicity assays","container-title":"Journal of Immunological Methods","page":"55-63","volume":"65","issue":"1-2","source":"PubMed","abstract":"A tetrazolium salt has been used to develop a quantitative colorimetric assay for mammalian cell survival and proliferation. The assay detects living, but not dead cells and the signal generated is dependent on the degree of activation of the cells. This method can therefore be used to measure cytotoxicity, proliferation or activation. The results can be read on a multiwell scanning spectrophotometer (ELISA reader) and show a high degree of precision. No washing steps are used in the assay. The main advantages of the colorimetric assay are its rapidity and precision, and the lack of any radioisotope. We have used the assay to measure proliferative lymphokines, mitogen stimulations and complement-mediated lysis.","ISSN":"0022-1759","note":"PMID: 6606682","shortTitle":"Rapid colorimetric assay for cellular growth and survival","journalAbbreviation":"J. Immunol. Methods","language":"eng","author":[{"family":"Mosmann","given":"T."}],"issued":{"date-parts":[["1983",12,16]]},"PMID":"6606682"}}],"schema":"https://github.com/citation-style-language/schema/raw/master/csl-citation.json"} </w:instrText>
      </w:r>
      <w:r w:rsidR="00614C46" w:rsidRPr="00B84270">
        <w:rPr>
          <w:rFonts w:ascii="Arial" w:hAnsi="Arial" w:cs="Arial"/>
          <w:sz w:val="24"/>
          <w:szCs w:val="24"/>
          <w:lang w:val="en-US"/>
        </w:rPr>
        <w:fldChar w:fldCharType="separate"/>
      </w:r>
      <w:r w:rsidR="000A09BE" w:rsidRPr="00B84270">
        <w:rPr>
          <w:rFonts w:ascii="Arial" w:hAnsi="Arial" w:cs="Arial"/>
          <w:sz w:val="24"/>
        </w:rPr>
        <w:t>(26)</w:t>
      </w:r>
      <w:r w:rsidR="00614C46" w:rsidRPr="00B84270">
        <w:rPr>
          <w:rFonts w:ascii="Arial" w:hAnsi="Arial" w:cs="Arial"/>
          <w:sz w:val="24"/>
          <w:szCs w:val="24"/>
          <w:lang w:val="en-US"/>
        </w:rPr>
        <w:fldChar w:fldCharType="end"/>
      </w:r>
      <w:r w:rsidR="00B656A9" w:rsidRPr="00B84270">
        <w:rPr>
          <w:rFonts w:ascii="Arial" w:hAnsi="Arial" w:cs="Arial"/>
          <w:sz w:val="24"/>
          <w:szCs w:val="24"/>
          <w:lang w:val="en-US"/>
        </w:rPr>
        <w:t>.</w:t>
      </w:r>
      <w:r w:rsidR="00A03053" w:rsidRPr="00B84270">
        <w:rPr>
          <w:rFonts w:ascii="Arial" w:hAnsi="Arial" w:cs="Arial"/>
          <w:sz w:val="24"/>
          <w:szCs w:val="24"/>
          <w:lang w:val="en-US"/>
        </w:rPr>
        <w:t xml:space="preserve"> </w:t>
      </w:r>
      <w:r w:rsidR="007A0042" w:rsidRPr="00B84270">
        <w:rPr>
          <w:rFonts w:ascii="Arial" w:eastAsia="SimSun" w:hAnsi="Arial" w:cs="Arial"/>
          <w:sz w:val="24"/>
          <w:szCs w:val="24"/>
          <w:lang w:val="en-US"/>
        </w:rPr>
        <w:t>To compare the mitochondrial activity of cells in between different treatments, 2.5 X 10</w:t>
      </w:r>
      <w:r w:rsidR="007A0042" w:rsidRPr="00B84270">
        <w:rPr>
          <w:rFonts w:ascii="Arial" w:eastAsia="SimSun" w:hAnsi="Arial" w:cs="Arial"/>
          <w:sz w:val="24"/>
          <w:szCs w:val="24"/>
          <w:vertAlign w:val="superscript"/>
          <w:lang w:val="en-US"/>
        </w:rPr>
        <w:t xml:space="preserve">4 </w:t>
      </w:r>
      <w:r w:rsidR="007A0042" w:rsidRPr="00B84270">
        <w:rPr>
          <w:rFonts w:ascii="Arial" w:eastAsia="SimSun" w:hAnsi="Arial" w:cs="Arial"/>
          <w:sz w:val="24"/>
          <w:szCs w:val="24"/>
          <w:lang w:val="en-US"/>
        </w:rPr>
        <w:t>cells were seeded per well of a 96 well plate in maintenance medium. The plate was incubated overnight at 37 ºC in a humidified atmosphere with 5 % CO</w:t>
      </w:r>
      <w:r w:rsidR="007A0042" w:rsidRPr="00B84270">
        <w:rPr>
          <w:rFonts w:ascii="Arial" w:eastAsia="SimSun" w:hAnsi="Arial" w:cs="Arial"/>
          <w:sz w:val="24"/>
          <w:szCs w:val="24"/>
          <w:vertAlign w:val="subscript"/>
          <w:lang w:val="en-US"/>
        </w:rPr>
        <w:t>2</w:t>
      </w:r>
      <w:r w:rsidR="007A0042" w:rsidRPr="00B84270">
        <w:rPr>
          <w:rFonts w:ascii="Arial" w:eastAsia="SimSun" w:hAnsi="Arial" w:cs="Arial"/>
          <w:sz w:val="24"/>
          <w:szCs w:val="24"/>
          <w:lang w:val="en-US"/>
        </w:rPr>
        <w:t xml:space="preserve">. The following day, the maintenance medium was </w:t>
      </w:r>
      <w:proofErr w:type="gramStart"/>
      <w:r w:rsidR="007A0042" w:rsidRPr="00B84270">
        <w:rPr>
          <w:rFonts w:ascii="Arial" w:eastAsia="SimSun" w:hAnsi="Arial" w:cs="Arial"/>
          <w:sz w:val="24"/>
          <w:szCs w:val="24"/>
          <w:lang w:val="en-US"/>
        </w:rPr>
        <w:t>removed</w:t>
      </w:r>
      <w:proofErr w:type="gramEnd"/>
      <w:r w:rsidR="007A0042" w:rsidRPr="00B84270">
        <w:rPr>
          <w:rFonts w:ascii="Arial" w:eastAsia="SimSun" w:hAnsi="Arial" w:cs="Arial"/>
          <w:sz w:val="24"/>
          <w:szCs w:val="24"/>
          <w:lang w:val="en-US"/>
        </w:rPr>
        <w:t xml:space="preserve"> and the cells were washed twice with warm PBS to remove traces of the maintenance medium. Treatment media were then added to each well and the plates were again incubated at 37 ºC in a humidified atmosphere with 5 % CO</w:t>
      </w:r>
      <w:r w:rsidR="007A0042" w:rsidRPr="00B84270">
        <w:rPr>
          <w:rFonts w:ascii="Arial" w:eastAsia="SimSun" w:hAnsi="Arial" w:cs="Arial"/>
          <w:sz w:val="24"/>
          <w:szCs w:val="24"/>
          <w:vertAlign w:val="subscript"/>
          <w:lang w:val="en-US"/>
        </w:rPr>
        <w:t xml:space="preserve">2. </w:t>
      </w:r>
      <w:r w:rsidR="007A0042" w:rsidRPr="00B84270">
        <w:rPr>
          <w:rFonts w:ascii="Arial" w:eastAsia="SimSun" w:hAnsi="Arial" w:cs="Arial"/>
          <w:sz w:val="24"/>
          <w:szCs w:val="24"/>
          <w:lang w:val="en-US"/>
        </w:rPr>
        <w:t>On completion of the treatment exposure period, the old media were replaced with 200 µL of fresh media per well. This was followed by addition of 5 µL per well of 5 mg/mL of MTT prepared in PBS. The plates were incubated at 37 °C for 2 h, the media were removed and 100 µL DMSO was added to each well. Plates were incubated at RT for 15 min, vortexed for 30 sec and absorbance was read at 550 nm using a spectrophotometer. The absorbance values of blanks (medium only) were subtracted from controls and treated samples.</w:t>
      </w:r>
      <w:r w:rsidR="00D2470E" w:rsidRPr="00B84270">
        <w:rPr>
          <w:rFonts w:ascii="Arial" w:eastAsia="SimSun" w:hAnsi="Arial" w:cs="Arial"/>
          <w:sz w:val="24"/>
          <w:szCs w:val="24"/>
          <w:lang w:val="en-US"/>
        </w:rPr>
        <w:t xml:space="preserve"> </w:t>
      </w:r>
      <w:r w:rsidR="007A0042" w:rsidRPr="00B84270">
        <w:rPr>
          <w:rFonts w:ascii="Arial" w:hAnsi="Arial" w:cs="Arial"/>
          <w:sz w:val="24"/>
          <w:szCs w:val="24"/>
          <w:lang w:val="en-US"/>
        </w:rPr>
        <w:t xml:space="preserve">This assay was appropriate for our study because it measures the mitochondrial activity </w:t>
      </w:r>
      <w:r w:rsidR="00614C46" w:rsidRPr="00B84270">
        <w:rPr>
          <w:rFonts w:ascii="Arial" w:hAnsi="Arial" w:cs="Arial"/>
          <w:sz w:val="24"/>
          <w:szCs w:val="24"/>
          <w:lang w:val="en-US"/>
        </w:rPr>
        <w:fldChar w:fldCharType="begin"/>
      </w:r>
      <w:r w:rsidR="000A09BE" w:rsidRPr="00B84270">
        <w:rPr>
          <w:rFonts w:ascii="Arial" w:hAnsi="Arial" w:cs="Arial"/>
          <w:sz w:val="24"/>
          <w:szCs w:val="24"/>
          <w:lang w:val="en-US"/>
        </w:rPr>
        <w:instrText xml:space="preserve"> ADDIN ZOTERO_ITEM CSL_CITATION {"citationID":"24oi3vdva","properties":{"formattedCitation":"(26)","plainCitation":"(26)"},"citationItems":[{"id":176,"uris":["http://zotero.org/users/2804724/items/AD6MMZZ8"],"uri":["http://zotero.org/users/2804724/items/AD6MMZZ8"],"itemData":{"id":176,"type":"article-journal","title":"Rapid colorimetric assay for cellular growth and survival: application to proliferation and cytotoxicity assays","container-title":"Journal of Immunological Methods","page":"55-63","volume":"65","issue":"1-2","source":"PubMed","abstract":"A tetrazolium salt has been used to develop a quantitative colorimetric assay for mammalian cell survival and proliferation. The assay detects living, but not dead cells and the signal generated is dependent on the degree of activation of the cells. This method can therefore be used to measure cytotoxicity, proliferation or activation. The results can be read on a multiwell scanning spectrophotometer (ELISA reader) and show a high degree of precision. No washing steps are used in the assay. The main advantages of the colorimetric assay are its rapidity and precision, and the lack of any radioisotope. We have used the assay to measure proliferative lymphokines, mitogen stimulations and complement-mediated lysis.","ISSN":"0022-1759","note":"PMID: 6606682","shortTitle":"Rapid colorimetric assay for cellular growth and survival","journalAbbreviation":"J. Immunol. Methods","language":"eng","author":[{"family":"Mosmann","given":"T."}],"issued":{"date-parts":[["1983",12,16]]},"PMID":"6606682"}}],"schema":"https://github.com/citation-style-language/schema/raw/master/csl-citation.json"} </w:instrText>
      </w:r>
      <w:r w:rsidR="00614C46" w:rsidRPr="00B84270">
        <w:rPr>
          <w:rFonts w:ascii="Arial" w:hAnsi="Arial" w:cs="Arial"/>
          <w:sz w:val="24"/>
          <w:szCs w:val="24"/>
          <w:lang w:val="en-US"/>
        </w:rPr>
        <w:fldChar w:fldCharType="separate"/>
      </w:r>
      <w:r w:rsidR="000A09BE" w:rsidRPr="00B84270">
        <w:rPr>
          <w:rFonts w:ascii="Arial" w:hAnsi="Arial" w:cs="Arial"/>
          <w:sz w:val="24"/>
        </w:rPr>
        <w:t>(26)</w:t>
      </w:r>
      <w:r w:rsidR="00614C46" w:rsidRPr="00B84270">
        <w:rPr>
          <w:rFonts w:ascii="Arial" w:hAnsi="Arial" w:cs="Arial"/>
          <w:sz w:val="24"/>
          <w:szCs w:val="24"/>
          <w:lang w:val="en-US"/>
        </w:rPr>
        <w:fldChar w:fldCharType="end"/>
      </w:r>
      <w:r w:rsidR="007A0042" w:rsidRPr="00B84270">
        <w:rPr>
          <w:rFonts w:ascii="Arial" w:hAnsi="Arial" w:cs="Arial"/>
          <w:sz w:val="24"/>
          <w:szCs w:val="24"/>
          <w:lang w:val="en-US"/>
        </w:rPr>
        <w:t xml:space="preserve"> and the mitochondrion is a major organelle for ROS production</w:t>
      </w:r>
      <w:r w:rsidR="00D2470E" w:rsidRPr="00B84270">
        <w:rPr>
          <w:rFonts w:ascii="Arial" w:hAnsi="Arial" w:cs="Arial"/>
          <w:sz w:val="24"/>
          <w:szCs w:val="24"/>
          <w:lang w:val="en-US"/>
        </w:rPr>
        <w:t xml:space="preserve"> </w:t>
      </w:r>
      <w:r w:rsidR="00614C46" w:rsidRPr="00B84270">
        <w:rPr>
          <w:rFonts w:ascii="Arial" w:hAnsi="Arial" w:cs="Arial"/>
          <w:sz w:val="24"/>
          <w:szCs w:val="24"/>
          <w:lang w:val="en-US"/>
        </w:rPr>
        <w:fldChar w:fldCharType="begin"/>
      </w:r>
      <w:r w:rsidR="000A09BE" w:rsidRPr="00B84270">
        <w:rPr>
          <w:rFonts w:ascii="Arial" w:hAnsi="Arial" w:cs="Arial"/>
          <w:sz w:val="24"/>
          <w:szCs w:val="24"/>
          <w:lang w:val="en-US"/>
        </w:rPr>
        <w:instrText xml:space="preserve"> ADDIN ZOTERO_ITEM CSL_CITATION {"citationID":"21uasi0npg","properties":{"formattedCitation":"(27)","plainCitation":"(27)"},"citationItems":[{"id":178,"uris":["http://zotero.org/users/2804724/items/W2QWIQPQ"],"uri":["http://zotero.org/users/2804724/items/W2QWIQPQ"],"itemData":{"id":178,"type":"article-journal","title":"How mitochondria produce reactive oxygen species","container-title":"Biochemical Journal","page":"1-13","volume":"417","issue":"Pt 1","source":"PubMed Central","abstract":"The production of ROS (reactive oxygen species) by mammalian mitochondria is important because it underlies oxidative damage in many pathologies and contributes to retrograde redox signalling from the organelle to the cytosol and nucleus. Superoxide (O2•−) is the proximal mitochondrial ROS, and in the present review I outline the principles that govern O2•− production within the matrix of mammalian mitochondria. The flux of O2•− is related to the concentration of potential electron donors, the local concentration of O2 and the second-order rate constants for the reactions between them. Two modes of operation by isolated mitochondria result in significant O2•− production, predominantly from complex I: (i) when the mitochondria are not making ATP and consequently have a high Δp (protonmotive force) and a reduced CoQ (coenzyme Q) pool; and (ii) when there is a high NADH/NAD+ ratio in the mitochondrial matrix. For mitochondria that are actively making ATP, and consequently have a lower Δp and NADH/NAD+ ratio, the extent of O2•− production is far lower. The generation of O2•− within the mitochondrial matrix depends critically on Δp, the NADH/NAD+ and CoQH2/CoQ ratios and the local O2 concentration, which are all highly variable and difficult to measure in vivo. Consequently, it is not possible to estimate O2•− generation by mitochondria in vivo from O2•−-production rates by isolated mitochondria, and such extrapolations in the literature are misleading. Even so, the description outlined here facilitates the understanding of factors that favour mitochondrial ROS production. There is a clear need to develop better methods to measure mitochondrial O2•− and H2O2 formation in vivo, as uncertainty about these values hampers studies on the role of mitochondrial ROS in pathological oxidative damage and redox signalling.","DOI":"10.1042/BJ20081386","ISSN":"0264-6021","note":"PMID: 19061483\nPMCID: PMC2605959","journalAbbreviation":"Biochem J","author":[{"family":"Murphy","given":"Michael P."}],"issued":{"date-parts":[["2009",1,1]]},"PMID":"19061483","PMCID":"PMC2605959"}}],"schema":"https://github.com/citation-style-language/schema/raw/master/csl-citation.json"} </w:instrText>
      </w:r>
      <w:r w:rsidR="00614C46" w:rsidRPr="00B84270">
        <w:rPr>
          <w:rFonts w:ascii="Arial" w:hAnsi="Arial" w:cs="Arial"/>
          <w:sz w:val="24"/>
          <w:szCs w:val="24"/>
          <w:lang w:val="en-US"/>
        </w:rPr>
        <w:fldChar w:fldCharType="separate"/>
      </w:r>
      <w:r w:rsidR="000A09BE" w:rsidRPr="00B84270">
        <w:rPr>
          <w:rFonts w:ascii="Arial" w:hAnsi="Arial" w:cs="Arial"/>
          <w:sz w:val="24"/>
        </w:rPr>
        <w:t>(27)</w:t>
      </w:r>
      <w:r w:rsidR="00614C46" w:rsidRPr="00B84270">
        <w:rPr>
          <w:rFonts w:ascii="Arial" w:hAnsi="Arial" w:cs="Arial"/>
          <w:sz w:val="24"/>
          <w:szCs w:val="24"/>
          <w:lang w:val="en-US"/>
        </w:rPr>
        <w:fldChar w:fldCharType="end"/>
      </w:r>
      <w:r w:rsidR="007A0042" w:rsidRPr="00B84270">
        <w:rPr>
          <w:rFonts w:ascii="Arial" w:hAnsi="Arial" w:cs="Arial"/>
          <w:sz w:val="24"/>
          <w:szCs w:val="24"/>
          <w:lang w:val="en-US"/>
        </w:rPr>
        <w:t>, especially under excess iron conditions</w:t>
      </w:r>
      <w:r w:rsidR="000B1C23" w:rsidRPr="00B84270">
        <w:rPr>
          <w:rFonts w:ascii="Arial" w:hAnsi="Arial" w:cs="Arial"/>
          <w:sz w:val="24"/>
          <w:szCs w:val="24"/>
          <w:lang w:val="en-US"/>
        </w:rPr>
        <w:t xml:space="preserve"> </w:t>
      </w:r>
      <w:r w:rsidR="00614C46" w:rsidRPr="00B84270">
        <w:rPr>
          <w:rFonts w:ascii="Arial" w:hAnsi="Arial" w:cs="Arial"/>
          <w:sz w:val="24"/>
          <w:szCs w:val="24"/>
          <w:lang w:val="en-US"/>
        </w:rPr>
        <w:fldChar w:fldCharType="begin"/>
      </w:r>
      <w:r w:rsidR="000A09BE" w:rsidRPr="00B84270">
        <w:rPr>
          <w:rFonts w:ascii="Arial" w:hAnsi="Arial" w:cs="Arial"/>
          <w:sz w:val="24"/>
          <w:szCs w:val="24"/>
          <w:lang w:val="en-US"/>
        </w:rPr>
        <w:instrText xml:space="preserve"> ADDIN ZOTERO_ITEM CSL_CITATION {"citationID":"zlWpOeyr","properties":{"formattedCitation":"(28,29)","plainCitation":"(28,29)"},"citationItems":[{"id":181,"uris":["http://zotero.org/users/2804724/items/MSVM9IN8"],"uri":["http://zotero.org/users/2804724/items/MSVM9IN8"],"itemData":{"id":181,"type":"article-journal","title":"Mitochondrial DNA Damage in Iron  Overload","container-title":"The Journal of Biological Chemistry","page":"4767-4775","volume":"284","issue":"8","source":"PubMed Central","abstract":"Chronic iron overload has slow and insidious effects on heart, liver, and\n other organs. Because iron-driven oxidation of most biologic materials (such\n as lipids and proteins) is readily repaired, this slow progression of organ\n damage implies some kind of biological “memory.” We hypothesized\n that cumulative iron-catalyzed oxidant damage to mtDNA might occur in iron\n overload, perhaps explaining the often lethal cardiac dysfunction. Real time\n PCR was used to examine the “intactness” of mttDNA in cultured\n H9c2 rat cardiac myocytes. After 3–5 days exposure to high iron, these\n cells exhibited damage to mtDNA reflected by diminished amounts of near\n full-length 15.9-kb PCR product with no change in the amounts of a 16.1-kb\n product from a nuclear gene. With the loss of intact mtDNA, cellular\n respiration declined and mRNAs for three electron transport chain subunits and\n 16 S rRNA encoded by mtDNA decreased, whereas no decrements were found in four\n subunits encoded by nuclear DNA. To examine the importance of the interactions\n of iron with metabolically generated reactive oxygen species, we compared the\n toxic effects of iron in wild-type and rhoo cells. In wild-type\n cells, elevated iron caused increased production of reactive oxygen species,\n cytostasis, and cell death, whereas the rhoo cells were unaffected.\n We conclude that long-term damage to cells and organs in iron-overload\n disorders involves interactions between iron and mitochondrial reactive oxygen\n species resulting in cumulative damage to mtDNA, impaired synthesis of\n respiratory chain subunits, and respiratory dysfunction.","DOI":"10.1074/jbc.M806235200","ISSN":"0021-9258","note":"PMID: 19095657\nPMCID: PMC2643512","journalAbbreviation":"J Biol Chem","author":[{"family":"Gao","given":"Xueshan"},{"family":"Campian","given":"Jian Li"},{"family":"Qian","given":"Mingwei"},{"family":"Sun","given":"Xiao-Feng"},{"family":"Eaton","given":"John W."}],"issued":{"date-parts":[["2009",2,20]]},"PMID":"19095657","PMCID":"PMC2643512"}},{"id":183,"uris":["http://zotero.org/users/2804724/items/UIWQ56JC"],"uri":["http://zotero.org/users/2804724/items/UIWQ56JC"],"itemData":{"id":183,"type":"article-journal","title":"Effect of excess iron on oxidative stress and gluconeogenesis through hepcidin during mitochondrial dysfunction","container-title":"The Journal of Nutritional Biochemistry","page":"1414-1423","volume":"26","issue":"12","source":"PubMed","abstract":"Excessive tissue iron levels are a risk factor for insulin resistance and type 2 diabetes, which are associated with alterations in iron metabolism. However, the mechanisms underlying this association are not well understood. This study used human liver SK-HEP-1 cells to examine how excess iron induces mitochondrial dysfunction and how hepcidin controls gluconeogenesis. Excess levels of reactive oxygen species (ROS) and accumulated iron due to iron overload induced mitochondrial dysfunction, leading to a decrease in cellular adenosine triphosphate content and cytochrome c oxidase III expression, with an associated increase in gluconeogenesis. Disturbances in mitochondrial function caused excess iron deposition and unbalanced expression of iron metabolism-related proteins such as hepcidin, ferritin H and ferroportin during the activation of p38 mitogen-activated protein kinase (MAPK) and CCAAT/enhancer-binding protein alpha (C/EBPα), which are responsible for increased phosphoenolpyruvate carboxykinase expression. Desferoxamine and n-acetylcysteine ameliorated these deteriorations by inhibiting p38 MAPK and C/EBPα activity through iron chelation and ROS scavenging activity. Based on experiments using hepcidin shRNA and hepcidin overexpression, the activation of hepcidin affects ROS generation and iron deposition, which disturbs mitochondrial function and causes an imbalance in iron metabolism and increased gluconeogenesis. Repression of hepcidin activity can reverse these changes. Our results demonstrate that iron overload is associated with mitochondrial dysfunction and that together they can cause abnormal hepatic gluconeogenesis. Hepcidin expression may modulate this disorder by regulating ROS generation and iron deposition.","DOI":"10.1016/j.jnutbio.2015.07.008","ISSN":"1873-4847","note":"PMID: 26383538","journalAbbreviation":"J. Nutr. Biochem.","language":"eng","author":[{"family":"Lee","given":"Hyo Jung"},{"family":"Choi","given":"Joo Sun"},{"family":"Lee","given":"Hye Ja"},{"family":"Kim","given":"Won-Ho"},{"family":"Park","given":"Sang Ick"},{"family":"Song","given":"Jihyun"}],"issued":{"date-parts":[["2015",12]]},"PMID":"26383538"}}],"schema":"https://github.com/citation-style-language/schema/raw/master/csl-citation.json"} </w:instrText>
      </w:r>
      <w:r w:rsidR="00614C46" w:rsidRPr="00B84270">
        <w:rPr>
          <w:rFonts w:ascii="Arial" w:hAnsi="Arial" w:cs="Arial"/>
          <w:sz w:val="24"/>
          <w:szCs w:val="24"/>
          <w:lang w:val="en-US"/>
        </w:rPr>
        <w:fldChar w:fldCharType="separate"/>
      </w:r>
      <w:r w:rsidR="000A09BE" w:rsidRPr="00B84270">
        <w:rPr>
          <w:rFonts w:ascii="Arial" w:hAnsi="Arial" w:cs="Arial"/>
          <w:sz w:val="24"/>
        </w:rPr>
        <w:t>(28,29)</w:t>
      </w:r>
      <w:r w:rsidR="00614C46" w:rsidRPr="00B84270">
        <w:rPr>
          <w:rFonts w:ascii="Arial" w:hAnsi="Arial" w:cs="Arial"/>
          <w:sz w:val="24"/>
          <w:szCs w:val="24"/>
          <w:lang w:val="en-US"/>
        </w:rPr>
        <w:fldChar w:fldCharType="end"/>
      </w:r>
      <w:r w:rsidR="007A0042" w:rsidRPr="00B84270">
        <w:rPr>
          <w:rFonts w:ascii="Arial" w:hAnsi="Arial" w:cs="Arial"/>
          <w:sz w:val="24"/>
          <w:szCs w:val="24"/>
          <w:lang w:val="en-US"/>
        </w:rPr>
        <w:t>. Thus, mitochondrial activity was chosen as a marker of cell/mitochondrial health over other markers</w:t>
      </w:r>
      <w:r w:rsidR="000B4B7D" w:rsidRPr="00B84270">
        <w:rPr>
          <w:rFonts w:ascii="Arial" w:hAnsi="Arial" w:cs="Arial"/>
          <w:sz w:val="24"/>
          <w:szCs w:val="24"/>
          <w:lang w:val="en-US"/>
        </w:rPr>
        <w:t>.</w:t>
      </w:r>
    </w:p>
    <w:p w:rsidR="00B94A88" w:rsidRPr="00B84270" w:rsidRDefault="00B94A88" w:rsidP="005510CB">
      <w:pPr>
        <w:spacing w:after="0" w:line="360" w:lineRule="auto"/>
        <w:rPr>
          <w:rFonts w:ascii="Arial" w:hAnsi="Arial" w:cs="Arial"/>
          <w:sz w:val="24"/>
          <w:szCs w:val="24"/>
          <w:lang w:val="en-US"/>
        </w:rPr>
      </w:pPr>
    </w:p>
    <w:p w:rsidR="00B94A88" w:rsidRPr="00B84270" w:rsidRDefault="00B94A88" w:rsidP="005510CB">
      <w:pPr>
        <w:spacing w:after="0" w:line="360" w:lineRule="auto"/>
        <w:rPr>
          <w:rFonts w:ascii="Arial" w:hAnsi="Arial" w:cs="Arial"/>
          <w:b/>
          <w:sz w:val="24"/>
          <w:szCs w:val="24"/>
          <w:lang w:val="en-US"/>
        </w:rPr>
      </w:pPr>
      <w:r w:rsidRPr="00B84270">
        <w:rPr>
          <w:rFonts w:ascii="Arial" w:hAnsi="Arial" w:cs="Arial"/>
          <w:b/>
          <w:sz w:val="24"/>
          <w:szCs w:val="24"/>
          <w:lang w:val="en-US"/>
        </w:rPr>
        <w:t>Cell-surface TfR1 expression</w:t>
      </w:r>
    </w:p>
    <w:p w:rsidR="00B77F20" w:rsidRPr="00B84270" w:rsidRDefault="00B94A88" w:rsidP="00B77F20">
      <w:pPr>
        <w:spacing w:after="0" w:line="360" w:lineRule="auto"/>
        <w:rPr>
          <w:rFonts w:ascii="Arial" w:hAnsi="Arial" w:cs="Arial"/>
          <w:sz w:val="24"/>
          <w:szCs w:val="24"/>
          <w:lang w:val="en-US"/>
        </w:rPr>
      </w:pPr>
      <w:r w:rsidRPr="00B84270">
        <w:rPr>
          <w:rFonts w:ascii="Arial" w:hAnsi="Arial" w:cs="Arial"/>
          <w:sz w:val="24"/>
          <w:szCs w:val="24"/>
          <w:lang w:val="en-US"/>
        </w:rPr>
        <w:t xml:space="preserve">Cells were harvested using </w:t>
      </w:r>
      <w:proofErr w:type="spellStart"/>
      <w:r w:rsidRPr="00B84270">
        <w:rPr>
          <w:rFonts w:ascii="Arial" w:hAnsi="Arial" w:cs="Arial"/>
          <w:sz w:val="24"/>
          <w:szCs w:val="24"/>
          <w:lang w:val="en-US"/>
        </w:rPr>
        <w:t>TrypLE</w:t>
      </w:r>
      <w:proofErr w:type="spellEnd"/>
      <w:r w:rsidRPr="00B84270">
        <w:rPr>
          <w:rFonts w:ascii="Arial" w:hAnsi="Arial" w:cs="Arial"/>
          <w:sz w:val="24"/>
          <w:szCs w:val="24"/>
          <w:lang w:val="en-US"/>
        </w:rPr>
        <w:t xml:space="preserve"> Express (</w:t>
      </w:r>
      <w:proofErr w:type="spellStart"/>
      <w:r w:rsidRPr="00B84270">
        <w:rPr>
          <w:rFonts w:ascii="Arial" w:hAnsi="Arial" w:cs="Arial"/>
          <w:sz w:val="24"/>
          <w:szCs w:val="24"/>
          <w:lang w:val="en-US"/>
        </w:rPr>
        <w:t>ThermoFisher</w:t>
      </w:r>
      <w:proofErr w:type="spellEnd"/>
      <w:r w:rsidRPr="00B84270">
        <w:rPr>
          <w:rFonts w:ascii="Arial" w:hAnsi="Arial" w:cs="Arial"/>
          <w:sz w:val="24"/>
          <w:szCs w:val="24"/>
          <w:lang w:val="en-US"/>
        </w:rPr>
        <w:t xml:space="preserve"> Scientific, UK), followed by centrifugation for 4 min at 89 x </w:t>
      </w:r>
      <w:r w:rsidRPr="00B84270">
        <w:rPr>
          <w:rFonts w:ascii="Arial" w:hAnsi="Arial" w:cs="Arial"/>
          <w:i/>
          <w:sz w:val="24"/>
          <w:szCs w:val="24"/>
          <w:lang w:val="en-US"/>
        </w:rPr>
        <w:t>g</w:t>
      </w:r>
      <w:r w:rsidRPr="00B84270">
        <w:rPr>
          <w:rFonts w:ascii="Arial" w:hAnsi="Arial" w:cs="Arial"/>
          <w:sz w:val="24"/>
          <w:szCs w:val="24"/>
          <w:lang w:val="en-US"/>
        </w:rPr>
        <w:t xml:space="preserve">. Cells were suspended in PBC (PBS containing 0.15 % BSA and 1 </w:t>
      </w:r>
      <w:proofErr w:type="spellStart"/>
      <w:r w:rsidRPr="00B84270">
        <w:rPr>
          <w:rFonts w:ascii="Arial" w:hAnsi="Arial" w:cs="Arial"/>
          <w:sz w:val="24"/>
          <w:szCs w:val="24"/>
          <w:lang w:val="en-US"/>
        </w:rPr>
        <w:t>mM</w:t>
      </w:r>
      <w:proofErr w:type="spellEnd"/>
      <w:r w:rsidRPr="00B84270">
        <w:rPr>
          <w:rFonts w:ascii="Arial" w:hAnsi="Arial" w:cs="Arial"/>
          <w:sz w:val="24"/>
          <w:szCs w:val="24"/>
          <w:lang w:val="en-US"/>
        </w:rPr>
        <w:t xml:space="preserve"> calcium chloride) and transferred to a 96-well plate (2 X 10</w:t>
      </w:r>
      <w:r w:rsidRPr="00B84270">
        <w:rPr>
          <w:rFonts w:ascii="Arial" w:hAnsi="Arial" w:cs="Arial"/>
          <w:sz w:val="24"/>
          <w:szCs w:val="24"/>
          <w:vertAlign w:val="superscript"/>
          <w:lang w:val="en-US"/>
        </w:rPr>
        <w:t>5</w:t>
      </w:r>
      <w:r w:rsidRPr="00B84270">
        <w:rPr>
          <w:rFonts w:ascii="Arial" w:hAnsi="Arial" w:cs="Arial"/>
          <w:sz w:val="24"/>
          <w:szCs w:val="24"/>
          <w:lang w:val="en-US"/>
        </w:rPr>
        <w:t xml:space="preserve"> cells per well) and centrifuged at 1,260 x </w:t>
      </w:r>
      <w:r w:rsidRPr="00B84270">
        <w:rPr>
          <w:rFonts w:ascii="Arial" w:hAnsi="Arial" w:cs="Arial"/>
          <w:i/>
          <w:sz w:val="24"/>
          <w:szCs w:val="24"/>
          <w:lang w:val="en-US"/>
        </w:rPr>
        <w:t>g</w:t>
      </w:r>
      <w:r w:rsidRPr="00B84270">
        <w:rPr>
          <w:rFonts w:ascii="Arial" w:hAnsi="Arial" w:cs="Arial"/>
          <w:sz w:val="24"/>
          <w:szCs w:val="24"/>
          <w:lang w:val="en-US"/>
        </w:rPr>
        <w:t xml:space="preserve"> for 30 sec. To each well, 20 µL of 16 mg/mL blocking IgG </w:t>
      </w:r>
      <w:r w:rsidRPr="00B84270">
        <w:rPr>
          <w:rFonts w:ascii="Arial" w:hAnsi="Arial" w:cs="Arial"/>
          <w:kern w:val="36"/>
          <w:sz w:val="24"/>
          <w:szCs w:val="24"/>
          <w:lang w:val="en-US"/>
        </w:rPr>
        <w:t>was added</w:t>
      </w:r>
      <w:r w:rsidRPr="00B84270">
        <w:rPr>
          <w:rFonts w:ascii="Arial" w:hAnsi="Arial" w:cs="Arial"/>
          <w:sz w:val="24"/>
          <w:szCs w:val="24"/>
          <w:lang w:val="en-US"/>
        </w:rPr>
        <w:t xml:space="preserve">. Human </w:t>
      </w:r>
      <w:r w:rsidR="00CA24FE" w:rsidRPr="00B84270">
        <w:rPr>
          <w:rFonts w:ascii="Arial" w:hAnsi="Arial" w:cs="Arial"/>
          <w:kern w:val="36"/>
          <w:sz w:val="24"/>
          <w:szCs w:val="24"/>
          <w:lang w:val="en-US"/>
        </w:rPr>
        <w:t xml:space="preserve">TfR1 </w:t>
      </w:r>
      <w:r w:rsidRPr="00B84270">
        <w:rPr>
          <w:rFonts w:ascii="Arial" w:hAnsi="Arial" w:cs="Arial"/>
          <w:kern w:val="36"/>
          <w:sz w:val="24"/>
          <w:szCs w:val="24"/>
          <w:lang w:val="en-US"/>
        </w:rPr>
        <w:t xml:space="preserve">antibody </w:t>
      </w:r>
      <w:r w:rsidRPr="00B84270">
        <w:rPr>
          <w:rFonts w:ascii="Arial" w:hAnsi="Arial" w:cs="Arial"/>
          <w:sz w:val="24"/>
          <w:szCs w:val="24"/>
          <w:lang w:val="en-US"/>
        </w:rPr>
        <w:t>(Abcam, UK)</w:t>
      </w:r>
      <w:r w:rsidRPr="00B84270">
        <w:rPr>
          <w:rFonts w:ascii="Arial" w:hAnsi="Arial" w:cs="Arial"/>
          <w:kern w:val="36"/>
          <w:sz w:val="24"/>
          <w:szCs w:val="24"/>
          <w:lang w:val="en-US"/>
        </w:rPr>
        <w:t xml:space="preserve"> [</w:t>
      </w:r>
      <w:r w:rsidRPr="00B84270">
        <w:rPr>
          <w:rFonts w:ascii="Arial" w:hAnsi="Arial" w:cs="Arial"/>
          <w:sz w:val="24"/>
          <w:szCs w:val="24"/>
          <w:lang w:val="en-US"/>
        </w:rPr>
        <w:t xml:space="preserve">5 µg/mL in </w:t>
      </w:r>
      <w:r w:rsidRPr="00B84270">
        <w:rPr>
          <w:rFonts w:ascii="Arial" w:hAnsi="Arial" w:cs="Arial"/>
          <w:sz w:val="24"/>
          <w:szCs w:val="24"/>
          <w:lang w:val="en-US"/>
        </w:rPr>
        <w:lastRenderedPageBreak/>
        <w:t>PBC)] was added to each test well and PBC was added to the control wells. Cells were incubated for 45 min on ice. Following washing, the cells were incuba</w:t>
      </w:r>
      <w:r w:rsidR="00187C07" w:rsidRPr="00B84270">
        <w:rPr>
          <w:rFonts w:ascii="Arial" w:hAnsi="Arial" w:cs="Arial"/>
          <w:sz w:val="24"/>
          <w:szCs w:val="24"/>
          <w:lang w:val="en-US"/>
        </w:rPr>
        <w:t>ted with 10 µg/mL of FITC-label</w:t>
      </w:r>
      <w:r w:rsidRPr="00B84270">
        <w:rPr>
          <w:rFonts w:ascii="Arial" w:hAnsi="Arial" w:cs="Arial"/>
          <w:sz w:val="24"/>
          <w:szCs w:val="24"/>
          <w:lang w:val="en-US"/>
        </w:rPr>
        <w:t>ed secondary antibody STAR9B rabbit F (ab')</w:t>
      </w:r>
      <w:r w:rsidR="008579AE" w:rsidRPr="00B84270">
        <w:rPr>
          <w:rFonts w:ascii="Arial" w:hAnsi="Arial" w:cs="Arial"/>
          <w:sz w:val="24"/>
          <w:szCs w:val="24"/>
          <w:lang w:val="en-US"/>
        </w:rPr>
        <w:t xml:space="preserve"> </w:t>
      </w:r>
      <w:r w:rsidRPr="00B84270">
        <w:rPr>
          <w:rFonts w:ascii="Arial" w:hAnsi="Arial" w:cs="Arial"/>
          <w:sz w:val="24"/>
          <w:szCs w:val="24"/>
          <w:lang w:val="en-US"/>
        </w:rPr>
        <w:t xml:space="preserve">2 anti-mouse IgG (ABD </w:t>
      </w:r>
      <w:proofErr w:type="spellStart"/>
      <w:r w:rsidRPr="00B84270">
        <w:rPr>
          <w:rFonts w:ascii="Arial" w:hAnsi="Arial" w:cs="Arial"/>
          <w:sz w:val="24"/>
          <w:szCs w:val="24"/>
          <w:lang w:val="en-US"/>
        </w:rPr>
        <w:t>Serotec</w:t>
      </w:r>
      <w:proofErr w:type="spellEnd"/>
      <w:r w:rsidRPr="00B84270">
        <w:rPr>
          <w:rFonts w:ascii="Arial" w:hAnsi="Arial" w:cs="Arial"/>
          <w:sz w:val="24"/>
          <w:szCs w:val="24"/>
          <w:lang w:val="en-US"/>
        </w:rPr>
        <w:t xml:space="preserve">, UK). After incubation for 30 min on ice, cells were washed with PBC again. Cell layer at the bottom of each well was suspended in 400 µL of PBS and TfR1 expression was </w:t>
      </w:r>
      <w:r w:rsidR="00187C07" w:rsidRPr="00B84270">
        <w:rPr>
          <w:rFonts w:ascii="Arial" w:hAnsi="Arial" w:cs="Arial"/>
          <w:sz w:val="24"/>
          <w:szCs w:val="24"/>
          <w:lang w:val="en-US"/>
        </w:rPr>
        <w:t>analyzed</w:t>
      </w:r>
      <w:r w:rsidRPr="00B84270">
        <w:rPr>
          <w:rFonts w:ascii="Arial" w:hAnsi="Arial" w:cs="Arial"/>
          <w:sz w:val="24"/>
          <w:szCs w:val="24"/>
          <w:lang w:val="en-US"/>
        </w:rPr>
        <w:t xml:space="preserve"> by flow cytometry</w:t>
      </w:r>
      <w:r w:rsidR="00A83EB8" w:rsidRPr="00B84270">
        <w:rPr>
          <w:rFonts w:ascii="Arial" w:hAnsi="Arial" w:cs="Arial"/>
          <w:sz w:val="24"/>
          <w:szCs w:val="24"/>
          <w:lang w:val="en-US"/>
        </w:rPr>
        <w:t xml:space="preserve"> </w:t>
      </w:r>
      <w:r w:rsidR="00614C46" w:rsidRPr="00B84270">
        <w:rPr>
          <w:rFonts w:ascii="Arial" w:hAnsi="Arial" w:cs="Arial"/>
          <w:sz w:val="24"/>
          <w:szCs w:val="24"/>
          <w:lang w:val="en-US"/>
        </w:rPr>
        <w:fldChar w:fldCharType="begin"/>
      </w:r>
      <w:r w:rsidR="000A09BE" w:rsidRPr="00B84270">
        <w:rPr>
          <w:rFonts w:ascii="Arial" w:hAnsi="Arial" w:cs="Arial"/>
          <w:sz w:val="24"/>
          <w:szCs w:val="24"/>
          <w:lang w:val="en-US"/>
        </w:rPr>
        <w:instrText xml:space="preserve"> ADDIN ZOTERO_ITEM CSL_CITATION {"citationID":"i0dl9fk23","properties":{"formattedCitation":"(30)","plainCitation":"(30)"},"citationItems":[{"id":234,"uris":["http://zotero.org/users/2804724/items/4M5KGR6R"],"uri":["http://zotero.org/users/2804724/items/4M5KGR6R"],"itemData":{"id":234,"type":"article-journal","title":"Programmed death (PD)-1 molecule and its ligand PD-L1 distribution among memory CD4 and CD8 T cell subsets in human immunodeficiency virus-1-infected individuals","container-title":"Clinical and Experimental Immunology","page":"90-97","volume":"157","issue":"1","source":"PubMed","abstract":"Human immunodeficiency virus (HIV)-1 causes T cell anergy and affects T cell maturation. Various mechanisms are responsible for impaired anti-HIV-1-specific responses: programmed death (PD)-1 molecule and its ligand PD-L1 are negative regulators of T cell activity and their expression is increased during HIV-1 infection. This study examines correlations between T cell maturation, expression of PD-1 and PD-L1, and the effects of their blockade. Peripheral blood mononuclear cells (PBMC) from 24 HIV-1(+) and 17 uninfected individuals were phenotyped for PD-1 and PD-L1 expression on CD4(+) and CD8(+) T cell subsets. The effect of PD-1 and PD-L1 blockade on proliferation and interferon (IFN)-gamma production was tested on eight HIV-1(+) patients. Naive (CCR7(+)CD45RA(+)) CD8(+) T cells were reduced in HIV-1 aviraemic (P = 0.0065) and viraemic patients (P = 0.0130); CD8 T effector memory subsets [CCR7(-)CD45RA(-)(T(EM))] were increased in HIV-1(+) aviraemic (P = 0.0122) and viraemic (P = 0.0023) individuals versus controls. PD-1 expression was increased in CD4 naive (P = 0.0496), central memory [CCR7(+)CD45RA(-) (T(CM)); P = 0.0116], T(EM) (P = 0.0037) and CD8 naive T cells (P = 0.0133) of aviraemic HIV-1(+) versus controls. PD-L1 was increased in CD4 T(EMRA) (CCR7(-)CD45RA(+), P = 0.0119), CD8 T(EM) (P = 0.0494) and CD8 T(EMRA) (P = 0.0282) of aviraemic HIV-1(+)versus controls. PD-1 blockade increased HIV-1-specific proliferative responses in one of eight patients, whereas PD-L1 blockade restored responses in four of eight patients, but did not increase IFN-gamma-production. Alteration of T cell subsets, accompanied by increased PD-1 and PD-L1 expression in HIV-1 infection contributes to anergy and impaired anti-HIV-1-specific responses which are not rescued when PD-1 is blocked, in contrast to when PD-L1 is blocked, due possibly to an ability to bind to receptors other than PD-1.","DOI":"10.1111/j.1365-2249.2009.03960.x","ISSN":"1365-2249","note":"PMID: 19659774\nPMCID: PMC2710596","journalAbbreviation":"Clin. Exp. Immunol.","language":"eng","author":[{"family":"Rosignoli","given":"G."},{"family":"Lim","given":"C. H."},{"family":"Bower","given":"M."},{"family":"Gotch","given":"F."},{"family":"Imami","given":"N."}],"issued":{"date-parts":[["2009",7]]},"PMID":"19659774","PMCID":"PMC2710596"}}],"schema":"https://github.com/citation-style-language/schema/raw/master/csl-citation.json"} </w:instrText>
      </w:r>
      <w:r w:rsidR="00614C46" w:rsidRPr="00B84270">
        <w:rPr>
          <w:rFonts w:ascii="Arial" w:hAnsi="Arial" w:cs="Arial"/>
          <w:sz w:val="24"/>
          <w:szCs w:val="24"/>
          <w:lang w:val="en-US"/>
        </w:rPr>
        <w:fldChar w:fldCharType="separate"/>
      </w:r>
      <w:r w:rsidR="000A09BE" w:rsidRPr="00B84270">
        <w:rPr>
          <w:rFonts w:ascii="Arial" w:hAnsi="Arial" w:cs="Arial"/>
          <w:sz w:val="24"/>
        </w:rPr>
        <w:t>(30)</w:t>
      </w:r>
      <w:r w:rsidR="00614C46" w:rsidRPr="00B84270">
        <w:rPr>
          <w:rFonts w:ascii="Arial" w:hAnsi="Arial" w:cs="Arial"/>
          <w:sz w:val="24"/>
          <w:szCs w:val="24"/>
          <w:lang w:val="en-US"/>
        </w:rPr>
        <w:fldChar w:fldCharType="end"/>
      </w:r>
      <w:r w:rsidRPr="00B84270">
        <w:rPr>
          <w:rFonts w:ascii="Arial" w:hAnsi="Arial" w:cs="Arial"/>
          <w:sz w:val="24"/>
          <w:szCs w:val="24"/>
          <w:lang w:val="en-US"/>
        </w:rPr>
        <w:t>.</w:t>
      </w:r>
      <w:r w:rsidR="00D2470E" w:rsidRPr="00B84270">
        <w:rPr>
          <w:rFonts w:ascii="Arial" w:hAnsi="Arial" w:cs="Arial"/>
          <w:sz w:val="24"/>
          <w:szCs w:val="24"/>
          <w:lang w:val="en-US"/>
        </w:rPr>
        <w:t xml:space="preserve"> </w:t>
      </w:r>
      <w:r w:rsidR="00B77F20" w:rsidRPr="00B84270">
        <w:rPr>
          <w:rFonts w:ascii="Arial" w:hAnsi="Arial" w:cs="Arial"/>
          <w:sz w:val="24"/>
          <w:szCs w:val="24"/>
          <w:lang w:val="en-US"/>
        </w:rPr>
        <w:t>For the gating of cells for flow cytometry, first, live cells were selected based on the forward and side scatter. On the selected cell population, the positive threshold was determined based on the staining results obtained in the absence of the TfR1 antibody (cells treated with secondary antibody only). This selected a cell population of TfR1</w:t>
      </w:r>
      <w:r w:rsidR="00E723C1" w:rsidRPr="00B84270">
        <w:rPr>
          <w:rFonts w:ascii="Arial" w:hAnsi="Arial" w:cs="Arial"/>
          <w:sz w:val="24"/>
          <w:szCs w:val="24"/>
          <w:lang w:val="en-US"/>
        </w:rPr>
        <w:t xml:space="preserve"> positive</w:t>
      </w:r>
      <w:r w:rsidR="00B77F20" w:rsidRPr="00B84270">
        <w:rPr>
          <w:rFonts w:ascii="Arial" w:hAnsi="Arial" w:cs="Arial"/>
          <w:sz w:val="24"/>
          <w:szCs w:val="24"/>
          <w:lang w:val="en-US"/>
        </w:rPr>
        <w:t xml:space="preserve"> cells. Then, the position of the gate was kept fixed while assessing samples from Wt and rec-TfR1 HepG2 cells and samples from different treatment conditions for both the cell lines. This enabled relative comparisons between the cell types and in between treatments. </w:t>
      </w:r>
    </w:p>
    <w:p w:rsidR="0070402F" w:rsidRPr="00B84270" w:rsidRDefault="0070402F" w:rsidP="005510CB">
      <w:pPr>
        <w:spacing w:after="0" w:line="360" w:lineRule="auto"/>
        <w:rPr>
          <w:rFonts w:ascii="Arial" w:hAnsi="Arial" w:cs="Arial"/>
          <w:b/>
          <w:sz w:val="24"/>
          <w:szCs w:val="24"/>
          <w:lang w:val="en-US"/>
        </w:rPr>
      </w:pPr>
    </w:p>
    <w:p w:rsidR="00B94A88" w:rsidRPr="00B84270" w:rsidRDefault="00B94A88" w:rsidP="005510CB">
      <w:pPr>
        <w:spacing w:after="0" w:line="360" w:lineRule="auto"/>
        <w:rPr>
          <w:rFonts w:ascii="Arial" w:hAnsi="Arial" w:cs="Arial"/>
          <w:sz w:val="24"/>
          <w:szCs w:val="24"/>
          <w:lang w:val="en-US"/>
        </w:rPr>
      </w:pPr>
      <w:r w:rsidRPr="00B84270">
        <w:rPr>
          <w:rFonts w:ascii="Arial" w:hAnsi="Arial" w:cs="Arial"/>
          <w:b/>
          <w:sz w:val="24"/>
          <w:szCs w:val="24"/>
          <w:lang w:val="en-US"/>
        </w:rPr>
        <w:t>Gene expression analysis</w:t>
      </w:r>
    </w:p>
    <w:p w:rsidR="00B94A88" w:rsidRPr="00B84270" w:rsidRDefault="00B94A88" w:rsidP="005510CB">
      <w:pPr>
        <w:spacing w:after="0" w:line="360" w:lineRule="auto"/>
        <w:rPr>
          <w:rFonts w:ascii="Arial" w:hAnsi="Arial" w:cs="Arial"/>
          <w:sz w:val="24"/>
          <w:szCs w:val="24"/>
          <w:lang w:val="en-US"/>
        </w:rPr>
      </w:pPr>
      <w:r w:rsidRPr="00B84270">
        <w:rPr>
          <w:rFonts w:ascii="Arial" w:hAnsi="Arial" w:cs="Arial"/>
          <w:sz w:val="24"/>
          <w:szCs w:val="24"/>
          <w:lang w:val="en-US"/>
        </w:rPr>
        <w:t xml:space="preserve">Primers (Invitrogen, UK) for expression analyses of the genes </w:t>
      </w:r>
      <w:r w:rsidRPr="00B84270">
        <w:rPr>
          <w:rFonts w:ascii="Arial" w:hAnsi="Arial" w:cs="Arial"/>
          <w:i/>
          <w:sz w:val="24"/>
          <w:szCs w:val="24"/>
          <w:lang w:val="en-US"/>
        </w:rPr>
        <w:t>TFRC</w:t>
      </w:r>
      <w:r w:rsidRPr="00B84270">
        <w:rPr>
          <w:rFonts w:ascii="Arial" w:hAnsi="Arial" w:cs="Arial"/>
          <w:sz w:val="24"/>
          <w:szCs w:val="24"/>
          <w:lang w:val="en-US"/>
        </w:rPr>
        <w:t xml:space="preserve"> (NCBI accession no.</w:t>
      </w:r>
      <w:hyperlink r:id="rId10" w:tooltip="Show report for NM_001128148.1" w:history="1">
        <w:r w:rsidRPr="00B84270">
          <w:rPr>
            <w:rStyle w:val="Hyperlink"/>
            <w:rFonts w:ascii="Arial" w:eastAsia="SimSun" w:hAnsi="Arial" w:cs="Arial"/>
            <w:color w:val="auto"/>
            <w:sz w:val="24"/>
            <w:szCs w:val="24"/>
            <w:u w:val="none"/>
            <w:lang w:val="en-US"/>
          </w:rPr>
          <w:t>NM_001128148.1</w:t>
        </w:r>
      </w:hyperlink>
      <w:r w:rsidRPr="00B84270">
        <w:rPr>
          <w:rFonts w:ascii="Arial" w:hAnsi="Arial" w:cs="Arial"/>
          <w:sz w:val="24"/>
          <w:szCs w:val="24"/>
          <w:lang w:val="en-US"/>
        </w:rPr>
        <w:t xml:space="preserve">), </w:t>
      </w:r>
      <w:r w:rsidRPr="00B84270">
        <w:rPr>
          <w:rFonts w:ascii="Arial" w:hAnsi="Arial" w:cs="Arial"/>
          <w:i/>
          <w:sz w:val="24"/>
          <w:szCs w:val="24"/>
          <w:lang w:val="en-US"/>
        </w:rPr>
        <w:t>HAMP</w:t>
      </w:r>
      <w:r w:rsidRPr="00B84270">
        <w:rPr>
          <w:rFonts w:ascii="Arial" w:hAnsi="Arial" w:cs="Arial"/>
          <w:sz w:val="24"/>
          <w:szCs w:val="24"/>
          <w:lang w:val="en-US"/>
        </w:rPr>
        <w:t xml:space="preserve"> (NCBI accession no.AF309489.1) and </w:t>
      </w:r>
      <w:r w:rsidRPr="00B84270">
        <w:rPr>
          <w:rFonts w:ascii="Arial" w:hAnsi="Arial" w:cs="Arial"/>
          <w:i/>
          <w:sz w:val="24"/>
          <w:szCs w:val="24"/>
          <w:lang w:val="en-US"/>
        </w:rPr>
        <w:t>GAPDH</w:t>
      </w:r>
      <w:r w:rsidRPr="00B84270">
        <w:rPr>
          <w:rFonts w:ascii="Arial" w:hAnsi="Arial" w:cs="Arial"/>
          <w:sz w:val="24"/>
          <w:szCs w:val="24"/>
          <w:lang w:val="en-US"/>
        </w:rPr>
        <w:t xml:space="preserve"> (NCBI accession no. NM_002046.4) were designed</w:t>
      </w:r>
      <w:r w:rsidR="00D75410" w:rsidRPr="00B84270">
        <w:rPr>
          <w:rFonts w:ascii="Arial" w:hAnsi="Arial" w:cs="Arial"/>
          <w:sz w:val="24"/>
          <w:szCs w:val="24"/>
          <w:lang w:val="en-US"/>
        </w:rPr>
        <w:t xml:space="preserve"> [</w:t>
      </w:r>
      <w:r w:rsidRPr="00B84270">
        <w:rPr>
          <w:rFonts w:ascii="Arial" w:hAnsi="Arial" w:cs="Arial"/>
          <w:i/>
          <w:sz w:val="24"/>
          <w:szCs w:val="24"/>
          <w:lang w:val="en-US"/>
        </w:rPr>
        <w:t xml:space="preserve">Primer 3 </w:t>
      </w:r>
      <w:r w:rsidRPr="00B84270">
        <w:rPr>
          <w:rFonts w:ascii="Arial" w:hAnsi="Arial" w:cs="Arial"/>
          <w:sz w:val="24"/>
          <w:szCs w:val="24"/>
          <w:lang w:val="en-US"/>
        </w:rPr>
        <w:t>(</w:t>
      </w:r>
      <w:hyperlink r:id="rId11" w:history="1">
        <w:r w:rsidR="0090293E" w:rsidRPr="00B84270">
          <w:rPr>
            <w:rStyle w:val="Hyperlink"/>
            <w:rFonts w:ascii="Arial" w:hAnsi="Arial" w:cs="Arial"/>
            <w:i/>
            <w:color w:val="auto"/>
            <w:sz w:val="24"/>
            <w:szCs w:val="24"/>
            <w:u w:val="none"/>
            <w:lang w:val="en-US"/>
          </w:rPr>
          <w:t>http://frodo.wi.mit.edu/)</w:t>
        </w:r>
      </w:hyperlink>
      <w:r w:rsidR="00D75410" w:rsidRPr="00B84270">
        <w:rPr>
          <w:rFonts w:ascii="Arial" w:hAnsi="Arial" w:cs="Arial"/>
          <w:sz w:val="24"/>
          <w:szCs w:val="24"/>
          <w:lang w:val="en-US"/>
        </w:rPr>
        <w:t>]</w:t>
      </w:r>
      <w:r w:rsidR="0090293E" w:rsidRPr="00B84270">
        <w:rPr>
          <w:rFonts w:ascii="Arial" w:hAnsi="Arial" w:cs="Arial"/>
          <w:sz w:val="24"/>
          <w:szCs w:val="24"/>
          <w:lang w:val="en-US"/>
        </w:rPr>
        <w:t xml:space="preserve"> (supplementary data</w:t>
      </w:r>
      <w:r w:rsidR="00CD436F" w:rsidRPr="00B84270">
        <w:rPr>
          <w:rFonts w:ascii="Arial" w:hAnsi="Arial" w:cs="Arial"/>
          <w:sz w:val="24"/>
          <w:szCs w:val="24"/>
          <w:lang w:val="en-US"/>
        </w:rPr>
        <w:t>-4</w:t>
      </w:r>
      <w:r w:rsidR="0090293E" w:rsidRPr="00B84270">
        <w:rPr>
          <w:rFonts w:ascii="Arial" w:hAnsi="Arial" w:cs="Arial"/>
          <w:sz w:val="24"/>
          <w:szCs w:val="24"/>
          <w:lang w:val="en-US"/>
        </w:rPr>
        <w:t xml:space="preserve">). </w:t>
      </w:r>
      <w:r w:rsidRPr="00B84270">
        <w:rPr>
          <w:rFonts w:ascii="Arial" w:hAnsi="Arial" w:cs="Arial"/>
          <w:sz w:val="24"/>
          <w:szCs w:val="24"/>
          <w:lang w:val="en-US"/>
        </w:rPr>
        <w:t xml:space="preserve">RNA was extracted using TRI reagent (Sigma-Aldrich, UK) and converted to cDNA using </w:t>
      </w:r>
      <w:proofErr w:type="spellStart"/>
      <w:r w:rsidRPr="00B84270">
        <w:rPr>
          <w:rFonts w:ascii="Arial" w:hAnsi="Arial" w:cs="Arial"/>
          <w:sz w:val="24"/>
          <w:szCs w:val="24"/>
          <w:lang w:val="en-US"/>
        </w:rPr>
        <w:t>QuantiTect</w:t>
      </w:r>
      <w:proofErr w:type="spellEnd"/>
      <w:r w:rsidRPr="00B84270">
        <w:rPr>
          <w:rFonts w:ascii="Arial" w:hAnsi="Arial" w:cs="Arial"/>
          <w:sz w:val="24"/>
          <w:szCs w:val="24"/>
          <w:lang w:val="en-US"/>
        </w:rPr>
        <w:t xml:space="preserve"> reverse transcription kit (Qiagen, UK), as per manufacturer’s protocol. Gene expression was </w:t>
      </w:r>
      <w:r w:rsidR="0077601B" w:rsidRPr="00B84270">
        <w:rPr>
          <w:rFonts w:ascii="Arial" w:hAnsi="Arial" w:cs="Arial"/>
          <w:sz w:val="24"/>
          <w:szCs w:val="24"/>
          <w:lang w:val="en-US"/>
        </w:rPr>
        <w:t>analyzed</w:t>
      </w:r>
      <w:r w:rsidRPr="00B84270">
        <w:rPr>
          <w:rFonts w:ascii="Arial" w:hAnsi="Arial" w:cs="Arial"/>
          <w:sz w:val="24"/>
          <w:szCs w:val="24"/>
          <w:lang w:val="en-US"/>
        </w:rPr>
        <w:t xml:space="preserve"> through real-time PCR by using </w:t>
      </w:r>
      <w:proofErr w:type="spellStart"/>
      <w:r w:rsidRPr="00B84270">
        <w:rPr>
          <w:rFonts w:ascii="Arial" w:hAnsi="Arial" w:cs="Arial"/>
          <w:sz w:val="24"/>
          <w:szCs w:val="24"/>
          <w:lang w:val="en-US"/>
        </w:rPr>
        <w:t>Quantifast</w:t>
      </w:r>
      <w:proofErr w:type="spellEnd"/>
      <w:r w:rsidRPr="00B84270">
        <w:rPr>
          <w:rFonts w:ascii="Arial" w:hAnsi="Arial" w:cs="Arial"/>
          <w:sz w:val="24"/>
          <w:szCs w:val="24"/>
          <w:lang w:val="en-US"/>
        </w:rPr>
        <w:t xml:space="preserve"> SYBR green kit (Qiagen, UK) according to the manufacturer’s protocol. Real-time PCRs were carried out in the Rotor-gene Q machine (Qiagen, UK) and the results were </w:t>
      </w:r>
      <w:r w:rsidR="00113527" w:rsidRPr="00B84270">
        <w:rPr>
          <w:rFonts w:ascii="Arial" w:hAnsi="Arial" w:cs="Arial"/>
          <w:sz w:val="24"/>
          <w:szCs w:val="24"/>
          <w:lang w:val="en-US"/>
        </w:rPr>
        <w:t>analyzed</w:t>
      </w:r>
      <w:r w:rsidRPr="00B84270">
        <w:rPr>
          <w:rFonts w:ascii="Arial" w:hAnsi="Arial" w:cs="Arial"/>
          <w:sz w:val="24"/>
          <w:szCs w:val="24"/>
          <w:lang w:val="en-US"/>
        </w:rPr>
        <w:t xml:space="preserve"> through Rotor-gene software series 1.7.Data was </w:t>
      </w:r>
      <w:r w:rsidR="0077601B" w:rsidRPr="00B84270">
        <w:rPr>
          <w:rFonts w:ascii="Arial" w:hAnsi="Arial" w:cs="Arial"/>
          <w:sz w:val="24"/>
          <w:szCs w:val="24"/>
          <w:lang w:val="en-US"/>
        </w:rPr>
        <w:t>analyzed</w:t>
      </w:r>
      <w:r w:rsidRPr="00B84270">
        <w:rPr>
          <w:rFonts w:ascii="Arial" w:hAnsi="Arial" w:cs="Arial"/>
          <w:sz w:val="24"/>
          <w:szCs w:val="24"/>
          <w:lang w:val="en-US"/>
        </w:rPr>
        <w:t xml:space="preserve"> by the relative quantification method, Delta-Delta C</w:t>
      </w:r>
      <w:r w:rsidRPr="00B84270">
        <w:rPr>
          <w:rFonts w:ascii="Arial" w:hAnsi="Arial" w:cs="Arial"/>
          <w:sz w:val="24"/>
          <w:szCs w:val="24"/>
          <w:vertAlign w:val="subscript"/>
          <w:lang w:val="en-US"/>
        </w:rPr>
        <w:t>t</w:t>
      </w:r>
      <w:r w:rsidRPr="00B84270">
        <w:rPr>
          <w:rFonts w:ascii="Arial" w:hAnsi="Arial" w:cs="Arial"/>
          <w:sz w:val="24"/>
          <w:szCs w:val="24"/>
          <w:lang w:val="en-US"/>
        </w:rPr>
        <w:t xml:space="preserve"> (∆∆Ct) and expressed as 2 </w:t>
      </w:r>
      <w:r w:rsidRPr="00B84270">
        <w:rPr>
          <w:rFonts w:ascii="Arial" w:hAnsi="Arial" w:cs="Arial"/>
          <w:sz w:val="24"/>
          <w:szCs w:val="24"/>
          <w:vertAlign w:val="superscript"/>
          <w:lang w:val="en-US"/>
        </w:rPr>
        <w:t>-∆∆Ct</w:t>
      </w:r>
      <w:r w:rsidR="008E639D" w:rsidRPr="00B84270">
        <w:rPr>
          <w:rFonts w:ascii="Arial" w:hAnsi="Arial" w:cs="Arial"/>
          <w:sz w:val="24"/>
          <w:szCs w:val="24"/>
          <w:vertAlign w:val="superscript"/>
          <w:lang w:val="en-US"/>
        </w:rPr>
        <w:t xml:space="preserve"> </w:t>
      </w:r>
      <w:r w:rsidR="00614C46" w:rsidRPr="00B84270">
        <w:rPr>
          <w:rFonts w:ascii="Arial" w:hAnsi="Arial" w:cs="Arial"/>
          <w:sz w:val="24"/>
          <w:szCs w:val="24"/>
          <w:vertAlign w:val="superscript"/>
          <w:lang w:val="en-US"/>
        </w:rPr>
        <w:fldChar w:fldCharType="begin"/>
      </w:r>
      <w:r w:rsidR="000A09BE" w:rsidRPr="00B84270">
        <w:rPr>
          <w:rFonts w:ascii="Arial" w:hAnsi="Arial" w:cs="Arial"/>
          <w:sz w:val="24"/>
          <w:szCs w:val="24"/>
          <w:vertAlign w:val="superscript"/>
          <w:lang w:val="en-US"/>
        </w:rPr>
        <w:instrText xml:space="preserve"> ADDIN ZOTERO_ITEM CSL_CITATION {"citationID":"2ht0sk282a","properties":{"formattedCitation":"(31)","plainCitation":"(31)"},"citationItems":[{"id":100,"uris":["http://zotero.org/users/2804724/items/RS54T2WS"],"uri":["http://zotero.org/users/2804724/items/RS54T2WS"],"itemData":{"id":100,"type":"article-journal","title":"Analysis of relative gene expression data using real-time quantitative PCR and the 2(-Delta Delta C(T)) Method","container-title":"Methods (San Diego, Calif.)","page":"402-408","volume":"25","issue":"4","source":"PubMed","abstract":"The two most commonly used methods to analyze data from real-time, quantitative PCR experiments are absolute quantification and relative quantification. Absolute quantification determines the input copy number, usually by relating the PCR signal to a standard curve. Relative quantification relates the PCR signal of the target transcript in a treatment group to that of another sample such as an untreated control. The 2(-Delta Delta C(T)) method is a convenient way to analyze the relative changes in gene expression from real-time quantitative PCR experiments. The purpose of this report is to present the derivation, assumptions, and applications of the 2(-Delta Delta C(T)) method. In addition, we present the derivation and applications of two variations of the 2(-Delta Delta C(T)) method that may be useful in the analysis of real-time, quantitative PCR data.","DOI":"10.1006/meth.2001.1262","ISSN":"1046-2023","note":"PMID: 11846609","journalAbbreviation":"Methods","language":"eng","author":[{"family":"Livak","given":"K. J."},{"family":"Schmittgen","given":"T. D."}],"issued":{"date-parts":[["2001",12]]},"PMID":"11846609"}}],"schema":"https://github.com/citation-style-language/schema/raw/master/csl-citation.json"} </w:instrText>
      </w:r>
      <w:r w:rsidR="00614C46" w:rsidRPr="00B84270">
        <w:rPr>
          <w:rFonts w:ascii="Arial" w:hAnsi="Arial" w:cs="Arial"/>
          <w:sz w:val="24"/>
          <w:szCs w:val="24"/>
          <w:vertAlign w:val="superscript"/>
          <w:lang w:val="en-US"/>
        </w:rPr>
        <w:fldChar w:fldCharType="separate"/>
      </w:r>
      <w:r w:rsidR="000A09BE" w:rsidRPr="00B84270">
        <w:rPr>
          <w:rFonts w:ascii="Arial" w:hAnsi="Arial" w:cs="Arial"/>
          <w:sz w:val="24"/>
        </w:rPr>
        <w:t>(31)</w:t>
      </w:r>
      <w:r w:rsidR="00614C46" w:rsidRPr="00B84270">
        <w:rPr>
          <w:rFonts w:ascii="Arial" w:hAnsi="Arial" w:cs="Arial"/>
          <w:sz w:val="24"/>
          <w:szCs w:val="24"/>
          <w:vertAlign w:val="superscript"/>
          <w:lang w:val="en-US"/>
        </w:rPr>
        <w:fldChar w:fldCharType="end"/>
      </w:r>
      <w:r w:rsidRPr="00B84270">
        <w:rPr>
          <w:rFonts w:ascii="Arial" w:hAnsi="Arial" w:cs="Arial"/>
          <w:sz w:val="24"/>
          <w:szCs w:val="24"/>
          <w:lang w:val="en-US"/>
        </w:rPr>
        <w:t>.</w:t>
      </w:r>
    </w:p>
    <w:p w:rsidR="008028EF" w:rsidRPr="00B84270" w:rsidRDefault="008028EF" w:rsidP="005510CB">
      <w:pPr>
        <w:spacing w:after="0" w:line="360" w:lineRule="auto"/>
        <w:rPr>
          <w:rFonts w:ascii="Arial" w:hAnsi="Arial" w:cs="Arial"/>
          <w:sz w:val="24"/>
          <w:szCs w:val="24"/>
          <w:lang w:val="en-US"/>
        </w:rPr>
      </w:pPr>
    </w:p>
    <w:p w:rsidR="00B94A88" w:rsidRPr="00B84270" w:rsidRDefault="00B94A88" w:rsidP="005510CB">
      <w:pPr>
        <w:spacing w:after="0" w:line="360" w:lineRule="auto"/>
        <w:rPr>
          <w:rFonts w:ascii="Arial" w:hAnsi="Arial" w:cs="Arial"/>
          <w:sz w:val="24"/>
          <w:szCs w:val="24"/>
          <w:lang w:val="en-US"/>
        </w:rPr>
      </w:pPr>
      <w:r w:rsidRPr="00B84270">
        <w:rPr>
          <w:rFonts w:ascii="Arial" w:hAnsi="Arial" w:cs="Arial"/>
          <w:b/>
          <w:sz w:val="24"/>
          <w:szCs w:val="24"/>
          <w:lang w:val="en-US"/>
        </w:rPr>
        <w:t>Hepcidin peptide levels</w:t>
      </w:r>
    </w:p>
    <w:p w:rsidR="00B94A88" w:rsidRPr="00B84270" w:rsidRDefault="00B94A88" w:rsidP="005510CB">
      <w:pPr>
        <w:spacing w:after="0" w:line="360" w:lineRule="auto"/>
        <w:rPr>
          <w:rFonts w:ascii="Arial" w:hAnsi="Arial" w:cs="Arial"/>
          <w:sz w:val="24"/>
          <w:szCs w:val="24"/>
          <w:lang w:val="en-US"/>
        </w:rPr>
      </w:pPr>
      <w:r w:rsidRPr="00B84270">
        <w:rPr>
          <w:rFonts w:ascii="Arial" w:hAnsi="Arial" w:cs="Arial"/>
          <w:sz w:val="24"/>
          <w:szCs w:val="24"/>
          <w:lang w:val="en-US"/>
        </w:rPr>
        <w:t xml:space="preserve">The concentration of hepcidin peptide secreted in the cell media was measured </w:t>
      </w:r>
      <w:r w:rsidR="00F77DF1" w:rsidRPr="00B84270">
        <w:rPr>
          <w:rFonts w:ascii="Arial" w:hAnsi="Arial" w:cs="Arial"/>
          <w:sz w:val="24"/>
          <w:szCs w:val="24"/>
          <w:lang w:val="en-US"/>
        </w:rPr>
        <w:t xml:space="preserve">by </w:t>
      </w:r>
      <w:r w:rsidRPr="00B84270">
        <w:rPr>
          <w:rFonts w:ascii="Arial" w:hAnsi="Arial" w:cs="Arial"/>
          <w:sz w:val="24"/>
          <w:szCs w:val="24"/>
          <w:lang w:val="en-US"/>
        </w:rPr>
        <w:t>using a previously well-described immunoassay</w:t>
      </w:r>
      <w:r w:rsidR="00F77DF1" w:rsidRPr="00B84270">
        <w:rPr>
          <w:rFonts w:ascii="Arial" w:hAnsi="Arial" w:cs="Arial"/>
          <w:sz w:val="24"/>
          <w:szCs w:val="24"/>
          <w:lang w:val="en-US"/>
        </w:rPr>
        <w:t xml:space="preserve"> by Busbridge et al.</w:t>
      </w:r>
      <w:r w:rsidR="006C5496" w:rsidRPr="00B84270">
        <w:rPr>
          <w:rFonts w:ascii="Arial" w:hAnsi="Arial" w:cs="Arial"/>
          <w:sz w:val="24"/>
          <w:szCs w:val="24"/>
          <w:lang w:val="en-US"/>
        </w:rPr>
        <w:t xml:space="preserve"> </w:t>
      </w:r>
      <w:r w:rsidR="00614C46" w:rsidRPr="00B84270">
        <w:rPr>
          <w:rFonts w:ascii="Arial" w:hAnsi="Arial" w:cs="Arial"/>
          <w:sz w:val="24"/>
          <w:szCs w:val="24"/>
          <w:lang w:val="en-US"/>
        </w:rPr>
        <w:fldChar w:fldCharType="begin"/>
      </w:r>
      <w:r w:rsidR="000A09BE" w:rsidRPr="00B84270">
        <w:rPr>
          <w:rFonts w:ascii="Arial" w:hAnsi="Arial" w:cs="Arial"/>
          <w:sz w:val="24"/>
          <w:szCs w:val="24"/>
          <w:lang w:val="en-US"/>
        </w:rPr>
        <w:instrText xml:space="preserve"> ADDIN ZOTERO_ITEM CSL_CITATION {"citationID":"1oss77cupu","properties":{"formattedCitation":"(32)","plainCitation":"(32)"},"citationItems":[{"id":238,"uris":["http://zotero.org/users/2804724/items/K48CJ7FM"],"uri":["http://zotero.org/users/2804724/items/K48CJ7FM"],"itemData":{"id":238,"type":"article-journal","title":"Development of a novel immunoassay for the iron regulatory peptide hepcidin","container-title":"British Journal of Biomedical Science","page":"150-157","volume":"66","issue":"3","source":"PubMed","abstract":"To date there have been few published immunoassays for the important iron regulator hepcidin. This study describes a novel competitive radioimmunoassay (RIA) for the bioactive hepcidin peptide. A rabbit anti-hepcidin polyclonal antibody was produced using synthetic hepcidin radiolabelled with 125I to produce a competitive RIA. Normal patient (n=47) samples were collected and assayed for hepcidin to determine a reference range. Other patient groups collected were ulcerative colitis (UC; n=40), iron deficiency anaemia (IDA; n=15), chronic kidney disease not requiring dialysis (CKD; n=45) and chronic kidney disease requiring dialysis (HCKD; n=94). Detection limit of the assay was determined as 0.6 ng/mL. Intra-assay precision was 5 ng/mL (7.2%) and 50 ng/mL (5.8%), interassay precision was 5 ng/mL (7.6%) and 50 ng/mL (6.7%). Analytical recovery was 98% (5 ng/mL), 94% (10 ng/mL) and 97% (50 ng/mL). The assay was linear up to 200 ng/mL. No demonstrable cross-reactivity with human insulin, glucagon I, angiotensinogen I, beta-defensin 1-4, alpha-defensin-1 and plectasin was observed. There was significant correlation (r=0.96, P &lt; or = 0.0001) between the hepcidin RIA and an established hepcidin SELDI-TOF-MS method. Analysis of the normal human samples gave a reference range of 1.1-55 ng/mL for hepcidin. Further statistical evaluation revealed a significant difference between male and female hepcidin levels. There was significant correlation between hepcidin and ferritin in the control group (r=0.6, P &lt; or = 0.0001). There was also a significant difference between the normal and disease groups (P &lt; or = 0.0001). Healthy volunteers (n=10) showed a diurnal increase in plasma hepcidin at 4.00 pm compared to 8.00 am. A robust and optimised immunoassay for bioactive hepcidin has been produced and the patient sample results obtained further validates the important role of hepcidin in iron regulation, and will allow further investigation of this important peptide and its role in iron homeostasis.","ISSN":"0967-4845","note":"PMID: 19839227","journalAbbreviation":"Br. J. Biomed. Sci.","language":"eng","author":[{"family":"Busbridge","given":"M."},{"family":"Griffiths","given":"C."},{"family":"Ashby","given":"D."},{"family":"Gale","given":"D."},{"family":"Jayantha","given":"A."},{"family":"Sanwaiya","given":"A."},{"family":"Chapman","given":"R. S."}],"issued":{"date-parts":[["2009"]]},"PMID":"19839227"}}],"schema":"https://github.com/citation-style-language/schema/raw/master/csl-citation.json"} </w:instrText>
      </w:r>
      <w:r w:rsidR="00614C46" w:rsidRPr="00B84270">
        <w:rPr>
          <w:rFonts w:ascii="Arial" w:hAnsi="Arial" w:cs="Arial"/>
          <w:sz w:val="24"/>
          <w:szCs w:val="24"/>
          <w:lang w:val="en-US"/>
        </w:rPr>
        <w:fldChar w:fldCharType="separate"/>
      </w:r>
      <w:r w:rsidR="000A09BE" w:rsidRPr="00B84270">
        <w:rPr>
          <w:rFonts w:ascii="Arial" w:hAnsi="Arial" w:cs="Arial"/>
          <w:sz w:val="24"/>
        </w:rPr>
        <w:t>(32)</w:t>
      </w:r>
      <w:r w:rsidR="00614C46" w:rsidRPr="00B84270">
        <w:rPr>
          <w:rFonts w:ascii="Arial" w:hAnsi="Arial" w:cs="Arial"/>
          <w:sz w:val="24"/>
          <w:szCs w:val="24"/>
          <w:lang w:val="en-US"/>
        </w:rPr>
        <w:fldChar w:fldCharType="end"/>
      </w:r>
      <w:r w:rsidR="006C5496" w:rsidRPr="00B84270">
        <w:rPr>
          <w:rFonts w:ascii="Arial" w:hAnsi="Arial" w:cs="Arial"/>
          <w:sz w:val="24"/>
          <w:szCs w:val="24"/>
          <w:lang w:val="en-US"/>
        </w:rPr>
        <w:t>.</w:t>
      </w:r>
      <w:r w:rsidRPr="00B84270">
        <w:rPr>
          <w:rFonts w:ascii="Arial" w:hAnsi="Arial" w:cs="Arial"/>
          <w:sz w:val="24"/>
          <w:szCs w:val="24"/>
          <w:lang w:val="en-US"/>
        </w:rPr>
        <w:t xml:space="preserve"> </w:t>
      </w:r>
    </w:p>
    <w:p w:rsidR="00AA5015" w:rsidRPr="00B84270" w:rsidRDefault="00AA5015" w:rsidP="005510CB">
      <w:pPr>
        <w:spacing w:after="0" w:line="360" w:lineRule="auto"/>
        <w:rPr>
          <w:rFonts w:ascii="Arial" w:hAnsi="Arial" w:cs="Arial"/>
          <w:b/>
          <w:sz w:val="24"/>
          <w:szCs w:val="24"/>
          <w:lang w:val="en-US"/>
        </w:rPr>
      </w:pPr>
    </w:p>
    <w:p w:rsidR="00AA5015" w:rsidRPr="00B84270" w:rsidRDefault="00AA5015" w:rsidP="005510CB">
      <w:pPr>
        <w:spacing w:after="0" w:line="360" w:lineRule="auto"/>
        <w:rPr>
          <w:rFonts w:ascii="Arial" w:hAnsi="Arial" w:cs="Arial"/>
          <w:b/>
          <w:sz w:val="24"/>
          <w:szCs w:val="24"/>
          <w:lang w:val="en-US"/>
        </w:rPr>
      </w:pPr>
    </w:p>
    <w:p w:rsidR="00AA5015" w:rsidRPr="00B84270" w:rsidRDefault="00AA5015" w:rsidP="005510CB">
      <w:pPr>
        <w:spacing w:after="0" w:line="360" w:lineRule="auto"/>
        <w:rPr>
          <w:rFonts w:ascii="Arial" w:hAnsi="Arial" w:cs="Arial"/>
          <w:b/>
          <w:sz w:val="24"/>
          <w:szCs w:val="24"/>
          <w:lang w:val="en-US"/>
        </w:rPr>
      </w:pPr>
    </w:p>
    <w:p w:rsidR="00AA5015" w:rsidRPr="00B84270" w:rsidRDefault="00AA5015" w:rsidP="005510CB">
      <w:pPr>
        <w:spacing w:after="0" w:line="360" w:lineRule="auto"/>
        <w:rPr>
          <w:rFonts w:ascii="Arial" w:hAnsi="Arial" w:cs="Arial"/>
          <w:b/>
          <w:sz w:val="24"/>
          <w:szCs w:val="24"/>
          <w:lang w:val="en-US"/>
        </w:rPr>
      </w:pPr>
    </w:p>
    <w:p w:rsidR="00B94A88" w:rsidRPr="00B84270" w:rsidRDefault="00B94A88" w:rsidP="005510CB">
      <w:pPr>
        <w:spacing w:after="0" w:line="360" w:lineRule="auto"/>
        <w:rPr>
          <w:rFonts w:ascii="Arial" w:hAnsi="Arial" w:cs="Arial"/>
          <w:i/>
          <w:sz w:val="24"/>
          <w:szCs w:val="24"/>
          <w:lang w:val="en-US"/>
        </w:rPr>
      </w:pPr>
      <w:r w:rsidRPr="00B84270">
        <w:rPr>
          <w:rFonts w:ascii="Arial" w:hAnsi="Arial" w:cs="Arial"/>
          <w:b/>
          <w:sz w:val="24"/>
          <w:szCs w:val="24"/>
          <w:lang w:val="en-US"/>
        </w:rPr>
        <w:t>Statistical analysis</w:t>
      </w:r>
    </w:p>
    <w:p w:rsidR="00B94A88" w:rsidRPr="00B84270" w:rsidRDefault="00B94A88" w:rsidP="005510CB">
      <w:pPr>
        <w:spacing w:after="0" w:line="360" w:lineRule="auto"/>
        <w:rPr>
          <w:rFonts w:ascii="Arial" w:hAnsi="Arial" w:cs="Arial"/>
          <w:sz w:val="24"/>
          <w:szCs w:val="24"/>
          <w:lang w:val="en-US"/>
        </w:rPr>
      </w:pPr>
      <w:r w:rsidRPr="00B84270">
        <w:rPr>
          <w:rFonts w:ascii="Arial" w:hAnsi="Arial" w:cs="Arial"/>
          <w:sz w:val="24"/>
          <w:szCs w:val="24"/>
          <w:lang w:val="en-US"/>
        </w:rPr>
        <w:t>Data analysis was performed using one-way or two-way ANOVA, with post-hoc analysis by Tukey’s test using the software SPSS, version 22. The level of significance was set at p&lt;0.05. Data was presented as mean ± SEM.</w:t>
      </w:r>
    </w:p>
    <w:p w:rsidR="001E2A74" w:rsidRPr="00B84270" w:rsidRDefault="001E2A74" w:rsidP="005510CB">
      <w:pPr>
        <w:spacing w:after="0" w:line="360" w:lineRule="auto"/>
        <w:rPr>
          <w:rFonts w:ascii="Arial" w:hAnsi="Arial" w:cs="Arial"/>
          <w:b/>
          <w:sz w:val="24"/>
          <w:szCs w:val="24"/>
          <w:lang w:val="en-US"/>
        </w:rPr>
      </w:pPr>
    </w:p>
    <w:p w:rsidR="00525C2B" w:rsidRPr="00B84270" w:rsidRDefault="001F152B" w:rsidP="005510CB">
      <w:pPr>
        <w:spacing w:after="0" w:line="360" w:lineRule="auto"/>
        <w:rPr>
          <w:rFonts w:ascii="Arial" w:hAnsi="Arial" w:cs="Arial"/>
          <w:b/>
          <w:sz w:val="24"/>
          <w:szCs w:val="24"/>
          <w:lang w:val="en-US"/>
        </w:rPr>
      </w:pPr>
      <w:r w:rsidRPr="00B84270">
        <w:rPr>
          <w:rFonts w:ascii="Arial" w:hAnsi="Arial" w:cs="Arial"/>
          <w:b/>
          <w:sz w:val="24"/>
          <w:szCs w:val="24"/>
          <w:lang w:val="en-US"/>
        </w:rPr>
        <w:t xml:space="preserve">Results </w:t>
      </w:r>
    </w:p>
    <w:p w:rsidR="003C42F8" w:rsidRPr="00B84270" w:rsidRDefault="002F4B9E" w:rsidP="005510CB">
      <w:pPr>
        <w:spacing w:after="0" w:line="360" w:lineRule="auto"/>
        <w:rPr>
          <w:rFonts w:ascii="Arial" w:hAnsi="Arial" w:cs="Arial"/>
          <w:b/>
          <w:sz w:val="24"/>
          <w:szCs w:val="24"/>
          <w:lang w:val="en-US"/>
        </w:rPr>
      </w:pPr>
      <w:r w:rsidRPr="00B84270">
        <w:rPr>
          <w:rFonts w:ascii="Arial" w:hAnsi="Arial" w:cs="Arial"/>
          <w:b/>
          <w:sz w:val="24"/>
          <w:szCs w:val="24"/>
          <w:lang w:val="en-US"/>
        </w:rPr>
        <w:t>Characterization of novel rec-TfR1-HepG2 cells in b</w:t>
      </w:r>
      <w:r w:rsidR="003C42F8" w:rsidRPr="00B84270">
        <w:rPr>
          <w:rFonts w:ascii="Arial" w:hAnsi="Arial" w:cs="Arial"/>
          <w:b/>
          <w:sz w:val="24"/>
          <w:szCs w:val="24"/>
          <w:lang w:val="en-US"/>
        </w:rPr>
        <w:t xml:space="preserve">asal conditions </w:t>
      </w:r>
    </w:p>
    <w:p w:rsidR="00325AE4" w:rsidRPr="00B84270" w:rsidRDefault="003C42F8" w:rsidP="005510CB">
      <w:pPr>
        <w:spacing w:after="0" w:line="360" w:lineRule="auto"/>
        <w:rPr>
          <w:rFonts w:ascii="Arial" w:hAnsi="Arial" w:cs="Arial"/>
          <w:sz w:val="24"/>
          <w:szCs w:val="24"/>
          <w:lang w:val="en-US"/>
        </w:rPr>
      </w:pPr>
      <w:r w:rsidRPr="00B84270">
        <w:rPr>
          <w:rFonts w:ascii="Arial" w:hAnsi="Arial" w:cs="Arial"/>
          <w:sz w:val="24"/>
          <w:szCs w:val="24"/>
          <w:lang w:val="en-US"/>
        </w:rPr>
        <w:t>T</w:t>
      </w:r>
      <w:r w:rsidR="00D4251D" w:rsidRPr="00B84270">
        <w:rPr>
          <w:rFonts w:ascii="Arial" w:hAnsi="Arial" w:cs="Arial"/>
          <w:sz w:val="24"/>
          <w:szCs w:val="24"/>
          <w:lang w:val="en-US"/>
        </w:rPr>
        <w:t xml:space="preserve">he rec-TfR1 HepG2 cells showed </w:t>
      </w:r>
      <w:r w:rsidR="00325AE4" w:rsidRPr="00B84270">
        <w:rPr>
          <w:rFonts w:ascii="Arial" w:hAnsi="Arial" w:cs="Arial"/>
          <w:sz w:val="24"/>
          <w:szCs w:val="24"/>
          <w:lang w:val="en-US"/>
        </w:rPr>
        <w:t xml:space="preserve">significantly higher </w:t>
      </w:r>
      <w:r w:rsidR="00B969CC" w:rsidRPr="00B84270">
        <w:rPr>
          <w:rFonts w:ascii="Arial" w:hAnsi="Arial" w:cs="Arial"/>
          <w:i/>
          <w:sz w:val="24"/>
          <w:szCs w:val="24"/>
          <w:lang w:val="en-US"/>
        </w:rPr>
        <w:t>TFRC</w:t>
      </w:r>
      <w:r w:rsidR="00B969CC" w:rsidRPr="00B84270">
        <w:rPr>
          <w:rFonts w:ascii="Arial" w:hAnsi="Arial" w:cs="Arial"/>
          <w:sz w:val="24"/>
          <w:szCs w:val="24"/>
          <w:lang w:val="en-US"/>
        </w:rPr>
        <w:t xml:space="preserve"> mRNA expression</w:t>
      </w:r>
      <w:r w:rsidR="002F4B9E" w:rsidRPr="00B84270">
        <w:rPr>
          <w:rFonts w:ascii="Arial" w:hAnsi="Arial" w:cs="Arial"/>
          <w:sz w:val="24"/>
          <w:szCs w:val="24"/>
          <w:lang w:val="en-US"/>
        </w:rPr>
        <w:t xml:space="preserve"> (2.2-fold; p&lt;0.0</w:t>
      </w:r>
      <w:r w:rsidR="0051472A" w:rsidRPr="00B84270">
        <w:rPr>
          <w:rFonts w:ascii="Arial" w:hAnsi="Arial" w:cs="Arial"/>
          <w:sz w:val="24"/>
          <w:szCs w:val="24"/>
          <w:lang w:val="en-US"/>
        </w:rPr>
        <w:t>3</w:t>
      </w:r>
      <w:r w:rsidR="002F4B9E" w:rsidRPr="00B84270">
        <w:rPr>
          <w:rFonts w:ascii="Arial" w:hAnsi="Arial" w:cs="Arial"/>
          <w:sz w:val="24"/>
          <w:szCs w:val="24"/>
          <w:lang w:val="en-US"/>
        </w:rPr>
        <w:t>)</w:t>
      </w:r>
      <w:r w:rsidR="009F1189" w:rsidRPr="00B84270">
        <w:rPr>
          <w:rFonts w:ascii="Arial" w:hAnsi="Arial" w:cs="Arial"/>
          <w:sz w:val="24"/>
          <w:szCs w:val="24"/>
          <w:lang w:val="en-US"/>
        </w:rPr>
        <w:t xml:space="preserve"> </w:t>
      </w:r>
      <w:r w:rsidR="002F4B9E" w:rsidRPr="00B84270">
        <w:rPr>
          <w:rFonts w:ascii="Arial" w:hAnsi="Arial" w:cs="Arial"/>
          <w:sz w:val="24"/>
          <w:szCs w:val="24"/>
          <w:lang w:val="en-US"/>
        </w:rPr>
        <w:t xml:space="preserve">and </w:t>
      </w:r>
      <w:r w:rsidR="00005882" w:rsidRPr="00B84270">
        <w:rPr>
          <w:rFonts w:ascii="Arial" w:hAnsi="Arial" w:cs="Arial"/>
          <w:sz w:val="24"/>
          <w:szCs w:val="24"/>
          <w:lang w:val="en-US"/>
        </w:rPr>
        <w:t xml:space="preserve">iron content </w:t>
      </w:r>
      <w:r w:rsidR="00325AE4" w:rsidRPr="00B84270">
        <w:rPr>
          <w:rFonts w:ascii="Arial" w:hAnsi="Arial" w:cs="Arial"/>
          <w:sz w:val="24"/>
          <w:szCs w:val="24"/>
          <w:lang w:val="en-US"/>
        </w:rPr>
        <w:t xml:space="preserve">than </w:t>
      </w:r>
      <w:r w:rsidR="004A51EF" w:rsidRPr="00B84270">
        <w:rPr>
          <w:rFonts w:ascii="Arial" w:hAnsi="Arial" w:cs="Arial"/>
          <w:sz w:val="24"/>
          <w:szCs w:val="24"/>
          <w:lang w:val="en-US"/>
        </w:rPr>
        <w:t>Wt</w:t>
      </w:r>
      <w:r w:rsidR="009F1189" w:rsidRPr="00B84270">
        <w:rPr>
          <w:rFonts w:ascii="Arial" w:hAnsi="Arial" w:cs="Arial"/>
          <w:sz w:val="24"/>
          <w:szCs w:val="24"/>
          <w:lang w:val="en-US"/>
        </w:rPr>
        <w:t xml:space="preserve"> </w:t>
      </w:r>
      <w:r w:rsidR="00325AE4" w:rsidRPr="00B84270">
        <w:rPr>
          <w:rFonts w:ascii="Arial" w:hAnsi="Arial" w:cs="Arial"/>
          <w:sz w:val="24"/>
          <w:szCs w:val="24"/>
          <w:lang w:val="en-US"/>
        </w:rPr>
        <w:t>cells</w:t>
      </w:r>
      <w:r w:rsidR="009F1189" w:rsidRPr="00B84270">
        <w:rPr>
          <w:rFonts w:ascii="Arial" w:hAnsi="Arial" w:cs="Arial"/>
          <w:sz w:val="24"/>
          <w:szCs w:val="24"/>
          <w:lang w:val="en-US"/>
        </w:rPr>
        <w:t xml:space="preserve"> </w:t>
      </w:r>
      <w:r w:rsidR="00005882" w:rsidRPr="00B84270">
        <w:rPr>
          <w:rFonts w:ascii="Arial" w:hAnsi="Arial" w:cs="Arial"/>
          <w:sz w:val="24"/>
          <w:szCs w:val="24"/>
          <w:lang w:val="en-US"/>
        </w:rPr>
        <w:t xml:space="preserve">(3-fold; p&lt;0.03) </w:t>
      </w:r>
      <w:r w:rsidR="00325AE4" w:rsidRPr="00B84270">
        <w:rPr>
          <w:rFonts w:ascii="Arial" w:hAnsi="Arial" w:cs="Arial"/>
          <w:sz w:val="24"/>
          <w:szCs w:val="24"/>
          <w:lang w:val="en-US"/>
        </w:rPr>
        <w:t>(</w:t>
      </w:r>
      <w:r w:rsidR="001846DE" w:rsidRPr="00B84270">
        <w:rPr>
          <w:rFonts w:ascii="Arial" w:hAnsi="Arial" w:cs="Arial"/>
          <w:sz w:val="24"/>
          <w:szCs w:val="24"/>
          <w:lang w:val="en-US"/>
        </w:rPr>
        <w:t>Fig.1A and 1B</w:t>
      </w:r>
      <w:r w:rsidR="002F4B9E" w:rsidRPr="00B84270">
        <w:rPr>
          <w:rFonts w:ascii="Arial" w:hAnsi="Arial" w:cs="Arial"/>
          <w:sz w:val="24"/>
          <w:szCs w:val="24"/>
          <w:lang w:val="en-US"/>
        </w:rPr>
        <w:t>). However,</w:t>
      </w:r>
      <w:r w:rsidR="009F1189" w:rsidRPr="00B84270">
        <w:rPr>
          <w:rFonts w:ascii="Arial" w:hAnsi="Arial" w:cs="Arial"/>
          <w:sz w:val="24"/>
          <w:szCs w:val="24"/>
          <w:lang w:val="en-US"/>
        </w:rPr>
        <w:t xml:space="preserve"> </w:t>
      </w:r>
      <w:r w:rsidR="00B172C3" w:rsidRPr="00B84270">
        <w:rPr>
          <w:rFonts w:ascii="Arial" w:hAnsi="Arial" w:cs="Arial"/>
          <w:sz w:val="24"/>
          <w:szCs w:val="24"/>
          <w:lang w:val="en-US"/>
        </w:rPr>
        <w:t>hepcidin secretion levels</w:t>
      </w:r>
      <w:r w:rsidR="0051472A" w:rsidRPr="00B84270">
        <w:rPr>
          <w:rFonts w:ascii="Arial" w:hAnsi="Arial" w:cs="Arial"/>
          <w:sz w:val="24"/>
          <w:szCs w:val="24"/>
          <w:lang w:val="en-US"/>
        </w:rPr>
        <w:t xml:space="preserve"> were </w:t>
      </w:r>
      <w:proofErr w:type="gramStart"/>
      <w:r w:rsidR="0051472A" w:rsidRPr="00B84270">
        <w:rPr>
          <w:rFonts w:ascii="Arial" w:hAnsi="Arial" w:cs="Arial"/>
          <w:sz w:val="24"/>
          <w:szCs w:val="24"/>
          <w:lang w:val="en-US"/>
        </w:rPr>
        <w:t>similar to</w:t>
      </w:r>
      <w:proofErr w:type="gramEnd"/>
      <w:r w:rsidR="0051472A" w:rsidRPr="00B84270">
        <w:rPr>
          <w:rFonts w:ascii="Arial" w:hAnsi="Arial" w:cs="Arial"/>
          <w:sz w:val="24"/>
          <w:szCs w:val="24"/>
          <w:lang w:val="en-US"/>
        </w:rPr>
        <w:t xml:space="preserve"> the Wt cells</w:t>
      </w:r>
      <w:r w:rsidR="009F1189" w:rsidRPr="00B84270">
        <w:rPr>
          <w:rFonts w:ascii="Arial" w:hAnsi="Arial" w:cs="Arial"/>
          <w:sz w:val="24"/>
          <w:szCs w:val="24"/>
          <w:lang w:val="en-US"/>
        </w:rPr>
        <w:t xml:space="preserve"> </w:t>
      </w:r>
      <w:r w:rsidR="00325AE4" w:rsidRPr="00B84270">
        <w:rPr>
          <w:rFonts w:ascii="Arial" w:hAnsi="Arial" w:cs="Arial"/>
          <w:sz w:val="24"/>
          <w:szCs w:val="24"/>
          <w:lang w:val="en-US"/>
        </w:rPr>
        <w:t>(</w:t>
      </w:r>
      <w:r w:rsidR="00176D6A" w:rsidRPr="00B84270">
        <w:rPr>
          <w:rFonts w:ascii="Arial" w:hAnsi="Arial" w:cs="Arial"/>
          <w:sz w:val="24"/>
          <w:szCs w:val="24"/>
          <w:lang w:val="en-US"/>
        </w:rPr>
        <w:t>Fig.1</w:t>
      </w:r>
      <w:r w:rsidR="001846DE" w:rsidRPr="00B84270">
        <w:rPr>
          <w:rFonts w:ascii="Arial" w:hAnsi="Arial" w:cs="Arial"/>
          <w:sz w:val="24"/>
          <w:szCs w:val="24"/>
          <w:lang w:val="en-US"/>
        </w:rPr>
        <w:t>C</w:t>
      </w:r>
      <w:r w:rsidR="00325AE4" w:rsidRPr="00B84270">
        <w:rPr>
          <w:rFonts w:ascii="Arial" w:hAnsi="Arial" w:cs="Arial"/>
          <w:sz w:val="24"/>
          <w:szCs w:val="24"/>
          <w:lang w:val="en-US"/>
        </w:rPr>
        <w:t>)</w:t>
      </w:r>
      <w:r w:rsidR="00D04CD8" w:rsidRPr="00B84270">
        <w:rPr>
          <w:rFonts w:ascii="Arial" w:hAnsi="Arial" w:cs="Arial"/>
          <w:sz w:val="24"/>
          <w:szCs w:val="24"/>
          <w:lang w:val="en-US"/>
        </w:rPr>
        <w:t xml:space="preserve">. </w:t>
      </w:r>
      <w:r w:rsidR="004E027D" w:rsidRPr="00B84270">
        <w:rPr>
          <w:rFonts w:ascii="Arial" w:hAnsi="Arial" w:cs="Arial"/>
          <w:sz w:val="24"/>
          <w:szCs w:val="24"/>
          <w:lang w:val="en-US"/>
        </w:rPr>
        <w:t xml:space="preserve">These cells </w:t>
      </w:r>
      <w:r w:rsidR="004E027D" w:rsidRPr="00B84270">
        <w:rPr>
          <w:rFonts w:ascii="Arial" w:eastAsia="SimSun" w:hAnsi="Arial" w:cs="Arial"/>
          <w:sz w:val="24"/>
          <w:szCs w:val="24"/>
          <w:lang w:val="en-US" w:eastAsia="zh-CN"/>
        </w:rPr>
        <w:t xml:space="preserve">expressed substantially </w:t>
      </w:r>
      <w:r w:rsidR="00325AE4" w:rsidRPr="00B84270">
        <w:rPr>
          <w:rFonts w:ascii="Arial" w:eastAsia="SimSun" w:hAnsi="Arial" w:cs="Arial"/>
          <w:sz w:val="24"/>
          <w:szCs w:val="24"/>
          <w:lang w:val="en-US" w:eastAsia="zh-CN"/>
        </w:rPr>
        <w:t xml:space="preserve">higher </w:t>
      </w:r>
      <w:r w:rsidR="00EE2020" w:rsidRPr="00B84270">
        <w:rPr>
          <w:rFonts w:ascii="Arial" w:eastAsia="SimSun" w:hAnsi="Arial" w:cs="Arial"/>
          <w:sz w:val="24"/>
          <w:szCs w:val="24"/>
          <w:lang w:val="en-US" w:eastAsia="zh-CN"/>
        </w:rPr>
        <w:t xml:space="preserve">levels </w:t>
      </w:r>
      <w:r w:rsidR="00325AE4" w:rsidRPr="00B84270">
        <w:rPr>
          <w:rFonts w:ascii="Arial" w:eastAsia="SimSun" w:hAnsi="Arial" w:cs="Arial"/>
          <w:sz w:val="24"/>
          <w:szCs w:val="24"/>
          <w:lang w:val="en-US" w:eastAsia="zh-CN"/>
        </w:rPr>
        <w:t>of</w:t>
      </w:r>
      <w:r w:rsidR="00325AE4" w:rsidRPr="00B84270">
        <w:rPr>
          <w:rFonts w:ascii="Arial" w:eastAsia="SimSun" w:hAnsi="Arial" w:cs="Arial"/>
          <w:i/>
          <w:sz w:val="24"/>
          <w:szCs w:val="24"/>
          <w:lang w:val="en-US" w:eastAsia="zh-CN"/>
        </w:rPr>
        <w:t xml:space="preserve"> SLC40A1</w:t>
      </w:r>
      <w:r w:rsidR="009F1189" w:rsidRPr="00B84270">
        <w:rPr>
          <w:rFonts w:ascii="Arial" w:eastAsia="SimSun" w:hAnsi="Arial" w:cs="Arial"/>
          <w:i/>
          <w:sz w:val="24"/>
          <w:szCs w:val="24"/>
          <w:lang w:val="en-US" w:eastAsia="zh-CN"/>
        </w:rPr>
        <w:t xml:space="preserve"> </w:t>
      </w:r>
      <w:r w:rsidR="00325AE4" w:rsidRPr="00B84270">
        <w:rPr>
          <w:rFonts w:ascii="Arial" w:hAnsi="Arial" w:cs="Arial"/>
          <w:sz w:val="24"/>
          <w:szCs w:val="24"/>
          <w:lang w:val="en-US"/>
        </w:rPr>
        <w:t>(8</w:t>
      </w:r>
      <w:r w:rsidR="00AE67D5" w:rsidRPr="00B84270">
        <w:rPr>
          <w:rFonts w:ascii="Arial" w:hAnsi="Arial" w:cs="Arial"/>
          <w:sz w:val="24"/>
          <w:szCs w:val="24"/>
          <w:lang w:val="en-US"/>
        </w:rPr>
        <w:t>.8</w:t>
      </w:r>
      <w:r w:rsidR="00325AE4" w:rsidRPr="00B84270">
        <w:rPr>
          <w:rFonts w:ascii="Arial" w:hAnsi="Arial" w:cs="Arial"/>
          <w:sz w:val="24"/>
          <w:szCs w:val="24"/>
          <w:lang w:val="en-US"/>
        </w:rPr>
        <w:t>-fold; p&lt;0.05</w:t>
      </w:r>
      <w:proofErr w:type="gramStart"/>
      <w:r w:rsidR="00325AE4" w:rsidRPr="00B84270">
        <w:rPr>
          <w:rFonts w:ascii="Arial" w:hAnsi="Arial" w:cs="Arial"/>
          <w:sz w:val="24"/>
          <w:szCs w:val="24"/>
          <w:lang w:val="en-US"/>
        </w:rPr>
        <w:t>)</w:t>
      </w:r>
      <w:r w:rsidR="004E027D" w:rsidRPr="00B84270">
        <w:rPr>
          <w:rFonts w:ascii="Arial" w:hAnsi="Arial" w:cs="Arial"/>
          <w:sz w:val="24"/>
          <w:szCs w:val="24"/>
          <w:lang w:val="en-US"/>
        </w:rPr>
        <w:t xml:space="preserve">, </w:t>
      </w:r>
      <w:r w:rsidR="00EE2020" w:rsidRPr="00B84270">
        <w:rPr>
          <w:rFonts w:ascii="Arial" w:hAnsi="Arial" w:cs="Arial"/>
          <w:sz w:val="24"/>
          <w:szCs w:val="24"/>
          <w:lang w:val="en-US"/>
        </w:rPr>
        <w:t>but</w:t>
      </w:r>
      <w:proofErr w:type="gramEnd"/>
      <w:r w:rsidR="00EE2020" w:rsidRPr="00B84270">
        <w:rPr>
          <w:rFonts w:ascii="Arial" w:hAnsi="Arial" w:cs="Arial"/>
          <w:sz w:val="24"/>
          <w:szCs w:val="24"/>
          <w:lang w:val="en-US"/>
        </w:rPr>
        <w:t xml:space="preserve"> </w:t>
      </w:r>
      <w:r w:rsidR="00923FB6" w:rsidRPr="00B84270">
        <w:rPr>
          <w:rFonts w:ascii="Arial" w:hAnsi="Arial" w:cs="Arial"/>
          <w:sz w:val="24"/>
          <w:szCs w:val="24"/>
          <w:lang w:val="en-US"/>
        </w:rPr>
        <w:t>did</w:t>
      </w:r>
      <w:r w:rsidR="000F7D0F" w:rsidRPr="00B84270">
        <w:rPr>
          <w:rFonts w:ascii="Arial" w:hAnsi="Arial" w:cs="Arial"/>
          <w:sz w:val="24"/>
          <w:szCs w:val="24"/>
          <w:lang w:val="en-US"/>
        </w:rPr>
        <w:t xml:space="preserve"> not significantly differ from the Wt HepG2 cells in mRNA expression</w:t>
      </w:r>
      <w:r w:rsidR="00F4202F" w:rsidRPr="00B84270">
        <w:rPr>
          <w:rFonts w:ascii="Arial" w:hAnsi="Arial" w:cs="Arial"/>
          <w:sz w:val="24"/>
          <w:szCs w:val="24"/>
          <w:lang w:val="en-US"/>
        </w:rPr>
        <w:t>s</w:t>
      </w:r>
      <w:r w:rsidR="000F7D0F" w:rsidRPr="00B84270">
        <w:rPr>
          <w:rFonts w:ascii="Arial" w:hAnsi="Arial" w:cs="Arial"/>
          <w:sz w:val="24"/>
          <w:szCs w:val="24"/>
          <w:lang w:val="en-US"/>
        </w:rPr>
        <w:t xml:space="preserve"> of </w:t>
      </w:r>
      <w:r w:rsidR="00EB47EA" w:rsidRPr="00B84270">
        <w:rPr>
          <w:rFonts w:ascii="Arial" w:eastAsia="SimSun" w:hAnsi="Arial" w:cs="Arial"/>
          <w:i/>
          <w:sz w:val="24"/>
          <w:szCs w:val="24"/>
          <w:lang w:val="en-US" w:eastAsia="zh-CN"/>
        </w:rPr>
        <w:t xml:space="preserve">HAMP, </w:t>
      </w:r>
      <w:r w:rsidR="00B172C3" w:rsidRPr="00B84270">
        <w:rPr>
          <w:rFonts w:ascii="Arial" w:hAnsi="Arial" w:cs="Arial"/>
          <w:i/>
          <w:sz w:val="24"/>
          <w:szCs w:val="24"/>
          <w:lang w:val="en-US"/>
        </w:rPr>
        <w:t>HFE</w:t>
      </w:r>
      <w:r w:rsidR="00B172C3" w:rsidRPr="00B84270">
        <w:rPr>
          <w:rFonts w:ascii="Arial" w:hAnsi="Arial" w:cs="Arial"/>
          <w:sz w:val="24"/>
          <w:szCs w:val="24"/>
          <w:lang w:val="en-US"/>
        </w:rPr>
        <w:t xml:space="preserve"> and </w:t>
      </w:r>
      <w:r w:rsidR="00EB47EA" w:rsidRPr="00B84270">
        <w:rPr>
          <w:rFonts w:ascii="Arial" w:hAnsi="Arial" w:cs="Arial"/>
          <w:i/>
          <w:sz w:val="24"/>
          <w:szCs w:val="24"/>
          <w:lang w:val="en-US"/>
        </w:rPr>
        <w:t xml:space="preserve">TFR2 </w:t>
      </w:r>
      <w:r w:rsidR="00EB47EA" w:rsidRPr="00B84270">
        <w:rPr>
          <w:rFonts w:ascii="Arial" w:hAnsi="Arial" w:cs="Arial"/>
          <w:sz w:val="24"/>
          <w:szCs w:val="24"/>
          <w:lang w:val="en-US"/>
        </w:rPr>
        <w:t>(</w:t>
      </w:r>
      <w:r w:rsidR="00176D6A" w:rsidRPr="00B84270">
        <w:rPr>
          <w:rFonts w:ascii="Arial" w:hAnsi="Arial" w:cs="Arial"/>
          <w:sz w:val="24"/>
          <w:szCs w:val="24"/>
          <w:lang w:val="en-US"/>
        </w:rPr>
        <w:t>Fig.1</w:t>
      </w:r>
      <w:r w:rsidR="00CD05E7" w:rsidRPr="00B84270">
        <w:rPr>
          <w:rFonts w:ascii="Arial" w:hAnsi="Arial" w:cs="Arial"/>
          <w:sz w:val="24"/>
          <w:szCs w:val="24"/>
          <w:lang w:val="en-US"/>
        </w:rPr>
        <w:t>D)</w:t>
      </w:r>
      <w:r w:rsidR="004E027D" w:rsidRPr="00B84270">
        <w:rPr>
          <w:rFonts w:ascii="Arial" w:eastAsia="SimSun" w:hAnsi="Arial" w:cs="Arial"/>
          <w:sz w:val="24"/>
          <w:szCs w:val="24"/>
          <w:lang w:val="en-US" w:eastAsia="zh-CN"/>
        </w:rPr>
        <w:t>, whil</w:t>
      </w:r>
      <w:r w:rsidR="00F42E1A" w:rsidRPr="00B84270">
        <w:rPr>
          <w:rFonts w:ascii="Arial" w:eastAsia="SimSun" w:hAnsi="Arial" w:cs="Arial"/>
          <w:sz w:val="24"/>
          <w:szCs w:val="24"/>
          <w:lang w:val="en-US" w:eastAsia="zh-CN"/>
        </w:rPr>
        <w:t>st</w:t>
      </w:r>
      <w:r w:rsidR="004E027D" w:rsidRPr="00B84270">
        <w:rPr>
          <w:rFonts w:ascii="Arial" w:hAnsi="Arial" w:cs="Arial"/>
          <w:sz w:val="24"/>
          <w:szCs w:val="24"/>
          <w:lang w:val="en-US"/>
        </w:rPr>
        <w:t xml:space="preserve"> mitochondrial activity </w:t>
      </w:r>
      <w:r w:rsidR="00F42E1A" w:rsidRPr="00B84270">
        <w:rPr>
          <w:rFonts w:ascii="Arial" w:hAnsi="Arial" w:cs="Arial"/>
          <w:sz w:val="24"/>
          <w:szCs w:val="24"/>
          <w:lang w:val="en-US"/>
        </w:rPr>
        <w:t>increased</w:t>
      </w:r>
      <w:r w:rsidR="00F4202F" w:rsidRPr="00B84270">
        <w:rPr>
          <w:rFonts w:ascii="Arial" w:hAnsi="Arial" w:cs="Arial"/>
          <w:sz w:val="24"/>
          <w:szCs w:val="24"/>
          <w:lang w:val="en-US"/>
        </w:rPr>
        <w:t xml:space="preserve"> by </w:t>
      </w:r>
      <w:r w:rsidR="000F7D0F" w:rsidRPr="00B84270">
        <w:rPr>
          <w:rFonts w:ascii="Arial" w:hAnsi="Arial" w:cs="Arial"/>
          <w:sz w:val="24"/>
          <w:szCs w:val="24"/>
          <w:lang w:val="en-US"/>
        </w:rPr>
        <w:t xml:space="preserve">30 % </w:t>
      </w:r>
      <w:r w:rsidR="00F4202F" w:rsidRPr="00B84270">
        <w:rPr>
          <w:rFonts w:ascii="Arial" w:hAnsi="Arial" w:cs="Arial"/>
          <w:sz w:val="24"/>
          <w:szCs w:val="24"/>
          <w:lang w:val="en-US"/>
        </w:rPr>
        <w:t xml:space="preserve">(p&lt;0.05) </w:t>
      </w:r>
      <w:r w:rsidR="000F7D0F" w:rsidRPr="00B84270">
        <w:rPr>
          <w:rFonts w:ascii="Arial" w:hAnsi="Arial" w:cs="Arial"/>
          <w:sz w:val="24"/>
          <w:szCs w:val="24"/>
          <w:lang w:val="en-US"/>
        </w:rPr>
        <w:t>(Fig.1E)</w:t>
      </w:r>
      <w:r w:rsidR="00613B92" w:rsidRPr="00B84270">
        <w:rPr>
          <w:rFonts w:ascii="Arial" w:hAnsi="Arial" w:cs="Arial"/>
          <w:sz w:val="24"/>
          <w:szCs w:val="24"/>
          <w:lang w:val="en-US"/>
        </w:rPr>
        <w:t xml:space="preserve">. </w:t>
      </w:r>
      <w:r w:rsidR="00DD4384" w:rsidRPr="00B84270">
        <w:rPr>
          <w:rFonts w:ascii="Arial" w:hAnsi="Arial" w:cs="Arial"/>
          <w:sz w:val="24"/>
          <w:szCs w:val="24"/>
          <w:lang w:val="en-US"/>
        </w:rPr>
        <w:t>U</w:t>
      </w:r>
      <w:r w:rsidR="00DD4384" w:rsidRPr="00B84270">
        <w:rPr>
          <w:rFonts w:ascii="Arial" w:eastAsia="SimSun" w:hAnsi="Arial" w:cs="Arial"/>
          <w:sz w:val="24"/>
          <w:szCs w:val="24"/>
          <w:lang w:val="en-US" w:eastAsia="zh-CN"/>
        </w:rPr>
        <w:t xml:space="preserve">nder basal conditions, the rec-TfR1 HepG2 cells </w:t>
      </w:r>
      <w:r w:rsidR="00DD4384" w:rsidRPr="00B84270">
        <w:rPr>
          <w:rFonts w:ascii="Arial" w:hAnsi="Arial" w:cs="Arial"/>
          <w:sz w:val="24"/>
          <w:szCs w:val="24"/>
          <w:lang w:val="en-US"/>
        </w:rPr>
        <w:t>displayed signif</w:t>
      </w:r>
      <w:r w:rsidR="004E027D" w:rsidRPr="00B84270">
        <w:rPr>
          <w:rFonts w:ascii="Arial" w:hAnsi="Arial" w:cs="Arial"/>
          <w:sz w:val="24"/>
          <w:szCs w:val="24"/>
          <w:lang w:val="en-US"/>
        </w:rPr>
        <w:t xml:space="preserve">icantly higher cell-surface TfR1 </w:t>
      </w:r>
      <w:r w:rsidR="00DD4384" w:rsidRPr="00B84270">
        <w:rPr>
          <w:rFonts w:ascii="Arial" w:hAnsi="Arial" w:cs="Arial"/>
          <w:sz w:val="24"/>
          <w:szCs w:val="24"/>
          <w:lang w:val="en-US"/>
        </w:rPr>
        <w:t xml:space="preserve">levels than Wt </w:t>
      </w:r>
      <w:r w:rsidR="005544DD" w:rsidRPr="00B84270">
        <w:rPr>
          <w:rFonts w:ascii="Arial" w:hAnsi="Arial" w:cs="Arial"/>
          <w:sz w:val="24"/>
          <w:szCs w:val="24"/>
          <w:lang w:val="en-US"/>
        </w:rPr>
        <w:t>cells (2.8-fold; p&lt;0.03) (Fig.2</w:t>
      </w:r>
      <w:r w:rsidR="00DD4384" w:rsidRPr="00B84270">
        <w:rPr>
          <w:rFonts w:ascii="Arial" w:hAnsi="Arial" w:cs="Arial"/>
          <w:sz w:val="24"/>
          <w:szCs w:val="24"/>
          <w:lang w:val="en-US"/>
        </w:rPr>
        <w:t>).</w:t>
      </w:r>
    </w:p>
    <w:p w:rsidR="006D2E94" w:rsidRPr="00B84270" w:rsidRDefault="006D2E94" w:rsidP="005510CB">
      <w:pPr>
        <w:spacing w:after="0" w:line="360" w:lineRule="auto"/>
        <w:rPr>
          <w:rFonts w:ascii="Arial" w:hAnsi="Arial" w:cs="Arial"/>
          <w:b/>
          <w:bCs/>
          <w:sz w:val="24"/>
          <w:szCs w:val="24"/>
          <w:lang w:val="en-US"/>
        </w:rPr>
      </w:pPr>
    </w:p>
    <w:p w:rsidR="00525C2B" w:rsidRPr="00B84270" w:rsidRDefault="00484926" w:rsidP="005510CB">
      <w:pPr>
        <w:spacing w:after="0" w:line="360" w:lineRule="auto"/>
        <w:rPr>
          <w:rFonts w:ascii="Arial" w:hAnsi="Arial" w:cs="Arial"/>
          <w:b/>
          <w:bCs/>
          <w:sz w:val="24"/>
          <w:szCs w:val="24"/>
          <w:lang w:val="en-US"/>
        </w:rPr>
      </w:pPr>
      <w:r w:rsidRPr="00B84270">
        <w:rPr>
          <w:rFonts w:ascii="Arial" w:hAnsi="Arial" w:cs="Arial"/>
          <w:b/>
          <w:sz w:val="24"/>
          <w:szCs w:val="24"/>
          <w:lang w:val="en-US"/>
        </w:rPr>
        <w:t>Rec-TfR1-HepG2 cells under h</w:t>
      </w:r>
      <w:r w:rsidR="00B22DC4" w:rsidRPr="00B84270">
        <w:rPr>
          <w:rFonts w:ascii="Arial" w:hAnsi="Arial" w:cs="Arial"/>
          <w:b/>
          <w:bCs/>
          <w:sz w:val="24"/>
          <w:szCs w:val="24"/>
          <w:lang w:val="en-US"/>
        </w:rPr>
        <w:t>olo</w:t>
      </w:r>
      <w:r w:rsidR="00601B36" w:rsidRPr="00B84270">
        <w:rPr>
          <w:rFonts w:ascii="Arial" w:hAnsi="Arial" w:cs="Arial"/>
          <w:b/>
          <w:bCs/>
          <w:sz w:val="24"/>
          <w:szCs w:val="24"/>
          <w:lang w:val="en-US"/>
        </w:rPr>
        <w:t>-Tf</w:t>
      </w:r>
      <w:r w:rsidR="00B22DC4" w:rsidRPr="00B84270">
        <w:rPr>
          <w:rFonts w:ascii="Arial" w:hAnsi="Arial" w:cs="Arial"/>
          <w:b/>
          <w:bCs/>
          <w:sz w:val="24"/>
          <w:szCs w:val="24"/>
          <w:lang w:val="en-US"/>
        </w:rPr>
        <w:t xml:space="preserve">-supplemented conditions </w:t>
      </w:r>
    </w:p>
    <w:p w:rsidR="00643A25" w:rsidRPr="00B84270" w:rsidRDefault="00643A25" w:rsidP="00643A25">
      <w:pPr>
        <w:spacing w:after="0" w:line="360" w:lineRule="auto"/>
        <w:rPr>
          <w:rFonts w:ascii="Arial" w:hAnsi="Arial" w:cs="Arial"/>
          <w:b/>
          <w:sz w:val="24"/>
          <w:szCs w:val="24"/>
          <w:lang w:val="en-US"/>
        </w:rPr>
      </w:pPr>
    </w:p>
    <w:p w:rsidR="004523C7" w:rsidRPr="00B84270" w:rsidRDefault="00643A25" w:rsidP="00643A25">
      <w:pPr>
        <w:spacing w:after="0" w:line="360" w:lineRule="auto"/>
        <w:rPr>
          <w:rFonts w:ascii="Arial" w:hAnsi="Arial" w:cs="Arial"/>
          <w:sz w:val="24"/>
          <w:szCs w:val="24"/>
          <w:lang w:val="en-US"/>
        </w:rPr>
      </w:pPr>
      <w:r w:rsidRPr="00B84270">
        <w:rPr>
          <w:rFonts w:ascii="Arial" w:hAnsi="Arial" w:cs="Arial"/>
          <w:b/>
          <w:sz w:val="24"/>
          <w:szCs w:val="24"/>
          <w:lang w:val="en-US"/>
        </w:rPr>
        <w:t>C</w:t>
      </w:r>
      <w:r w:rsidR="00525C2B" w:rsidRPr="00B84270">
        <w:rPr>
          <w:rFonts w:ascii="Arial" w:hAnsi="Arial" w:cs="Arial"/>
          <w:b/>
          <w:sz w:val="24"/>
          <w:szCs w:val="24"/>
          <w:lang w:val="en-US"/>
        </w:rPr>
        <w:t xml:space="preserve">ell-surface </w:t>
      </w:r>
      <w:r w:rsidR="0072491C" w:rsidRPr="00B84270">
        <w:rPr>
          <w:rFonts w:ascii="Arial" w:hAnsi="Arial" w:cs="Arial"/>
          <w:b/>
          <w:sz w:val="24"/>
          <w:szCs w:val="24"/>
          <w:lang w:val="en-US"/>
        </w:rPr>
        <w:t>TfR1</w:t>
      </w:r>
      <w:r w:rsidR="007355A5" w:rsidRPr="00B84270">
        <w:rPr>
          <w:rFonts w:ascii="Arial" w:hAnsi="Arial" w:cs="Arial"/>
          <w:b/>
          <w:sz w:val="24"/>
          <w:szCs w:val="24"/>
          <w:lang w:val="en-US"/>
        </w:rPr>
        <w:t xml:space="preserve"> and </w:t>
      </w:r>
      <w:r w:rsidR="007355A5" w:rsidRPr="00B84270">
        <w:rPr>
          <w:rFonts w:ascii="Arial" w:hAnsi="Arial" w:cs="Arial"/>
          <w:b/>
          <w:i/>
          <w:sz w:val="24"/>
          <w:szCs w:val="24"/>
          <w:lang w:val="en-US"/>
        </w:rPr>
        <w:t>TFRC</w:t>
      </w:r>
      <w:r w:rsidR="007355A5" w:rsidRPr="00B84270">
        <w:rPr>
          <w:rFonts w:ascii="Arial" w:hAnsi="Arial" w:cs="Arial"/>
          <w:b/>
          <w:sz w:val="24"/>
          <w:szCs w:val="24"/>
          <w:lang w:val="en-US"/>
        </w:rPr>
        <w:t xml:space="preserve"> mRNA expression</w:t>
      </w:r>
      <w:r w:rsidR="00433B94" w:rsidRPr="00B84270">
        <w:rPr>
          <w:rFonts w:ascii="Arial" w:hAnsi="Arial" w:cs="Arial"/>
          <w:b/>
          <w:sz w:val="24"/>
          <w:szCs w:val="24"/>
          <w:lang w:val="en-US"/>
        </w:rPr>
        <w:t xml:space="preserve">: </w:t>
      </w:r>
      <w:r w:rsidR="00525C2B" w:rsidRPr="00B84270">
        <w:rPr>
          <w:rFonts w:ascii="Arial" w:hAnsi="Arial" w:cs="Arial"/>
          <w:sz w:val="24"/>
          <w:szCs w:val="24"/>
          <w:lang w:val="en-US"/>
        </w:rPr>
        <w:t xml:space="preserve">Following holo-Tf treatment, the </w:t>
      </w:r>
      <w:r w:rsidR="004A51EF" w:rsidRPr="00B84270">
        <w:rPr>
          <w:rFonts w:ascii="Arial" w:hAnsi="Arial" w:cs="Arial"/>
          <w:sz w:val="24"/>
          <w:szCs w:val="24"/>
          <w:lang w:val="en-US"/>
        </w:rPr>
        <w:t>Wt cells</w:t>
      </w:r>
      <w:r w:rsidR="003F6AE9" w:rsidRPr="00B84270">
        <w:rPr>
          <w:rFonts w:ascii="Arial" w:hAnsi="Arial" w:cs="Arial"/>
          <w:sz w:val="24"/>
          <w:szCs w:val="24"/>
          <w:lang w:val="en-US"/>
        </w:rPr>
        <w:t xml:space="preserve"> </w:t>
      </w:r>
      <w:r w:rsidR="00525C2B" w:rsidRPr="00B84270">
        <w:rPr>
          <w:rFonts w:ascii="Arial" w:hAnsi="Arial" w:cs="Arial"/>
          <w:sz w:val="24"/>
          <w:szCs w:val="24"/>
          <w:lang w:val="en-US"/>
        </w:rPr>
        <w:t xml:space="preserve">displayed a significant decrease in cell-surface </w:t>
      </w:r>
      <w:r w:rsidR="0072491C" w:rsidRPr="00B84270">
        <w:rPr>
          <w:rFonts w:ascii="Arial" w:hAnsi="Arial" w:cs="Arial"/>
          <w:sz w:val="24"/>
          <w:szCs w:val="24"/>
          <w:lang w:val="en-US"/>
        </w:rPr>
        <w:t>TfR1</w:t>
      </w:r>
      <w:r w:rsidR="00525C2B" w:rsidRPr="00B84270">
        <w:rPr>
          <w:rFonts w:ascii="Arial" w:hAnsi="Arial" w:cs="Arial"/>
          <w:sz w:val="24"/>
          <w:szCs w:val="24"/>
          <w:lang w:val="en-US"/>
        </w:rPr>
        <w:t xml:space="preserve"> over time at 24 h (p&lt;0.04), which further declined at 48 h (p&lt;0.01)</w:t>
      </w:r>
      <w:r w:rsidR="003F6AE9" w:rsidRPr="00B84270">
        <w:rPr>
          <w:rFonts w:ascii="Arial" w:hAnsi="Arial" w:cs="Arial"/>
          <w:sz w:val="24"/>
          <w:szCs w:val="24"/>
          <w:lang w:val="en-US"/>
        </w:rPr>
        <w:t xml:space="preserve"> </w:t>
      </w:r>
      <w:r w:rsidR="00693F63" w:rsidRPr="00B84270">
        <w:rPr>
          <w:rFonts w:ascii="Arial" w:hAnsi="Arial" w:cs="Arial"/>
          <w:sz w:val="24"/>
          <w:szCs w:val="24"/>
          <w:lang w:val="en-US"/>
        </w:rPr>
        <w:t>(</w:t>
      </w:r>
      <w:r w:rsidR="00165E27" w:rsidRPr="00B84270">
        <w:rPr>
          <w:rFonts w:ascii="Arial" w:hAnsi="Arial" w:cs="Arial"/>
          <w:sz w:val="24"/>
          <w:szCs w:val="24"/>
          <w:lang w:val="en-US"/>
        </w:rPr>
        <w:t>Fig.2</w:t>
      </w:r>
      <w:r w:rsidR="000B22C2" w:rsidRPr="00B84270">
        <w:rPr>
          <w:rFonts w:ascii="Arial" w:hAnsi="Arial" w:cs="Arial"/>
          <w:sz w:val="24"/>
          <w:szCs w:val="24"/>
          <w:lang w:val="en-US"/>
        </w:rPr>
        <w:t xml:space="preserve"> and supplementary Fig.4)</w:t>
      </w:r>
      <w:r w:rsidR="00693F63" w:rsidRPr="00B84270">
        <w:rPr>
          <w:rFonts w:ascii="Arial" w:hAnsi="Arial" w:cs="Arial"/>
          <w:sz w:val="24"/>
          <w:szCs w:val="24"/>
          <w:lang w:val="en-US"/>
        </w:rPr>
        <w:t>.</w:t>
      </w:r>
      <w:r w:rsidR="0085212E" w:rsidRPr="00B84270">
        <w:rPr>
          <w:rFonts w:ascii="Arial" w:hAnsi="Arial" w:cs="Arial"/>
          <w:sz w:val="24"/>
          <w:szCs w:val="24"/>
          <w:lang w:val="en-US"/>
        </w:rPr>
        <w:t xml:space="preserve"> Conversely</w:t>
      </w:r>
      <w:r w:rsidR="00525C2B" w:rsidRPr="00B84270">
        <w:rPr>
          <w:rFonts w:ascii="Arial" w:hAnsi="Arial" w:cs="Arial"/>
          <w:sz w:val="24"/>
          <w:szCs w:val="24"/>
          <w:lang w:val="en-US"/>
        </w:rPr>
        <w:t xml:space="preserve">, the rec-TfR1 HepG2 cells </w:t>
      </w:r>
      <w:r w:rsidR="00527BDB" w:rsidRPr="00B84270">
        <w:rPr>
          <w:rFonts w:ascii="Arial" w:hAnsi="Arial" w:cs="Arial"/>
          <w:sz w:val="24"/>
          <w:szCs w:val="24"/>
          <w:lang w:val="en-US"/>
        </w:rPr>
        <w:t xml:space="preserve">maintained high levels following 24 h and 48 h of holo-Tf treatment and </w:t>
      </w:r>
      <w:r w:rsidR="00525C2B" w:rsidRPr="00B84270">
        <w:rPr>
          <w:rFonts w:ascii="Arial" w:hAnsi="Arial" w:cs="Arial"/>
          <w:sz w:val="24"/>
          <w:szCs w:val="24"/>
          <w:lang w:val="en-US"/>
        </w:rPr>
        <w:t xml:space="preserve">showed </w:t>
      </w:r>
      <w:r w:rsidR="006B51F2" w:rsidRPr="00B84270">
        <w:rPr>
          <w:rFonts w:ascii="Arial" w:hAnsi="Arial" w:cs="Arial"/>
          <w:sz w:val="24"/>
          <w:szCs w:val="24"/>
          <w:lang w:val="en-US"/>
        </w:rPr>
        <w:t xml:space="preserve">significantly </w:t>
      </w:r>
      <w:r w:rsidR="00525C2B" w:rsidRPr="00B84270">
        <w:rPr>
          <w:rFonts w:ascii="Arial" w:hAnsi="Arial" w:cs="Arial"/>
          <w:sz w:val="24"/>
          <w:szCs w:val="24"/>
          <w:lang w:val="en-US"/>
        </w:rPr>
        <w:t xml:space="preserve">higher levels than </w:t>
      </w:r>
      <w:r w:rsidR="004A51EF" w:rsidRPr="00B84270">
        <w:rPr>
          <w:rFonts w:ascii="Arial" w:hAnsi="Arial" w:cs="Arial"/>
          <w:sz w:val="24"/>
          <w:szCs w:val="24"/>
          <w:lang w:val="en-US"/>
        </w:rPr>
        <w:t>Wt cells</w:t>
      </w:r>
      <w:r w:rsidR="003F6AE9" w:rsidRPr="00B84270">
        <w:rPr>
          <w:rFonts w:ascii="Arial" w:hAnsi="Arial" w:cs="Arial"/>
          <w:sz w:val="24"/>
          <w:szCs w:val="24"/>
          <w:lang w:val="en-US"/>
        </w:rPr>
        <w:t xml:space="preserve"> </w:t>
      </w:r>
      <w:r w:rsidR="00525C2B" w:rsidRPr="00B84270">
        <w:rPr>
          <w:rFonts w:ascii="Arial" w:hAnsi="Arial" w:cs="Arial"/>
          <w:sz w:val="24"/>
          <w:szCs w:val="24"/>
          <w:lang w:val="en-US"/>
        </w:rPr>
        <w:t xml:space="preserve">at </w:t>
      </w:r>
      <w:r w:rsidR="00622F01" w:rsidRPr="00B84270">
        <w:rPr>
          <w:rFonts w:ascii="Arial" w:hAnsi="Arial" w:cs="Arial"/>
          <w:sz w:val="24"/>
          <w:szCs w:val="24"/>
          <w:lang w:val="en-US"/>
        </w:rPr>
        <w:t xml:space="preserve">these times </w:t>
      </w:r>
      <w:r w:rsidR="00525C2B" w:rsidRPr="00B84270">
        <w:rPr>
          <w:rFonts w:ascii="Arial" w:hAnsi="Arial" w:cs="Arial"/>
          <w:sz w:val="24"/>
          <w:szCs w:val="24"/>
          <w:lang w:val="en-US"/>
        </w:rPr>
        <w:t>(</w:t>
      </w:r>
      <w:r w:rsidR="00374B0F" w:rsidRPr="00B84270">
        <w:rPr>
          <w:rFonts w:ascii="Arial" w:hAnsi="Arial" w:cs="Arial"/>
          <w:sz w:val="24"/>
          <w:szCs w:val="24"/>
          <w:lang w:val="en-US"/>
        </w:rPr>
        <w:t>p&lt;0.01</w:t>
      </w:r>
      <w:r w:rsidR="00F83886" w:rsidRPr="00B84270">
        <w:rPr>
          <w:rFonts w:ascii="Arial" w:hAnsi="Arial" w:cs="Arial"/>
          <w:sz w:val="24"/>
          <w:szCs w:val="24"/>
          <w:lang w:val="en-US"/>
        </w:rPr>
        <w:t xml:space="preserve">) </w:t>
      </w:r>
      <w:r w:rsidR="000B22C2" w:rsidRPr="00B84270">
        <w:rPr>
          <w:rFonts w:ascii="Arial" w:hAnsi="Arial" w:cs="Arial"/>
          <w:sz w:val="24"/>
          <w:szCs w:val="24"/>
          <w:lang w:val="en-US"/>
        </w:rPr>
        <w:t xml:space="preserve">(Fig.2 and supplementary Fig.4). </w:t>
      </w:r>
      <w:r w:rsidR="00A03053" w:rsidRPr="00B84270">
        <w:rPr>
          <w:rFonts w:ascii="Arial" w:hAnsi="Arial" w:cs="Arial"/>
          <w:sz w:val="24"/>
          <w:szCs w:val="24"/>
          <w:lang w:val="en-US"/>
        </w:rPr>
        <w:t>The rec-TfR1 HepG2 cells showed no statistically significant difference in TfR1 levels under holo-Tf-treated and basal conditions</w:t>
      </w:r>
      <w:r w:rsidR="00461951" w:rsidRPr="00B84270">
        <w:rPr>
          <w:rFonts w:ascii="Arial" w:hAnsi="Arial" w:cs="Arial"/>
          <w:sz w:val="24"/>
          <w:szCs w:val="24"/>
          <w:lang w:val="en-US"/>
        </w:rPr>
        <w:t xml:space="preserve"> (Fig.2)</w:t>
      </w:r>
      <w:r w:rsidR="00A03053" w:rsidRPr="00B84270">
        <w:rPr>
          <w:rFonts w:ascii="Arial" w:hAnsi="Arial" w:cs="Arial"/>
          <w:sz w:val="24"/>
          <w:szCs w:val="24"/>
          <w:lang w:val="en-US"/>
        </w:rPr>
        <w:t xml:space="preserve">. </w:t>
      </w:r>
      <w:r w:rsidR="007355A5" w:rsidRPr="00B84270">
        <w:rPr>
          <w:rFonts w:ascii="Arial" w:hAnsi="Arial" w:cs="Arial"/>
          <w:sz w:val="24"/>
          <w:szCs w:val="24"/>
          <w:lang w:val="en-US"/>
        </w:rPr>
        <w:t xml:space="preserve">In addition, </w:t>
      </w:r>
      <w:r w:rsidR="007355A5" w:rsidRPr="00B84270">
        <w:rPr>
          <w:rFonts w:ascii="Arial" w:hAnsi="Arial" w:cs="Arial"/>
          <w:i/>
          <w:sz w:val="24"/>
          <w:szCs w:val="24"/>
          <w:lang w:val="en-US"/>
        </w:rPr>
        <w:t>TFRC</w:t>
      </w:r>
      <w:r w:rsidR="007355A5" w:rsidRPr="00B84270">
        <w:rPr>
          <w:rFonts w:ascii="Arial" w:hAnsi="Arial" w:cs="Arial"/>
          <w:sz w:val="24"/>
          <w:szCs w:val="24"/>
          <w:lang w:val="en-US"/>
        </w:rPr>
        <w:t xml:space="preserve"> mRNA expression was assessed and compared to respective untreated (0 g/L) cells at each corresponding time-point. The Wt cells showed significantly decreased </w:t>
      </w:r>
      <w:r w:rsidR="007355A5" w:rsidRPr="00B84270">
        <w:rPr>
          <w:rFonts w:ascii="Arial" w:hAnsi="Arial" w:cs="Arial"/>
          <w:i/>
          <w:sz w:val="24"/>
          <w:szCs w:val="24"/>
          <w:lang w:val="en-US"/>
        </w:rPr>
        <w:t xml:space="preserve">TFRC </w:t>
      </w:r>
      <w:r w:rsidR="007355A5" w:rsidRPr="00B84270">
        <w:rPr>
          <w:rFonts w:ascii="Arial" w:hAnsi="Arial" w:cs="Arial"/>
          <w:sz w:val="24"/>
          <w:szCs w:val="24"/>
          <w:lang w:val="en-US"/>
        </w:rPr>
        <w:t>mRNA expression at 2 h (p&lt;0.05), 4 h (</w:t>
      </w:r>
      <w:r w:rsidR="00294158" w:rsidRPr="00B84270">
        <w:rPr>
          <w:rFonts w:ascii="Arial" w:hAnsi="Arial" w:cs="Arial"/>
          <w:sz w:val="24"/>
          <w:szCs w:val="24"/>
          <w:lang w:val="en-US"/>
        </w:rPr>
        <w:t>p&lt;0.05) and 24 h (p&lt;0.05) (Fig.3</w:t>
      </w:r>
      <w:r w:rsidR="007355A5" w:rsidRPr="00B84270">
        <w:rPr>
          <w:rFonts w:ascii="Arial" w:hAnsi="Arial" w:cs="Arial"/>
          <w:sz w:val="24"/>
          <w:szCs w:val="24"/>
          <w:lang w:val="en-US"/>
        </w:rPr>
        <w:t xml:space="preserve">). </w:t>
      </w:r>
      <w:r w:rsidR="007662FF" w:rsidRPr="00B84270">
        <w:rPr>
          <w:rFonts w:ascii="Arial" w:hAnsi="Arial" w:cs="Arial"/>
          <w:sz w:val="24"/>
          <w:szCs w:val="24"/>
          <w:lang w:val="en-US"/>
        </w:rPr>
        <w:t>In contrast</w:t>
      </w:r>
      <w:r w:rsidR="007355A5" w:rsidRPr="00B84270">
        <w:rPr>
          <w:rFonts w:ascii="Arial" w:hAnsi="Arial" w:cs="Arial"/>
          <w:sz w:val="24"/>
          <w:szCs w:val="24"/>
          <w:lang w:val="en-US"/>
        </w:rPr>
        <w:t xml:space="preserve">, rec-TfR1 HepG2 cells showed significant 3-fold elevations in </w:t>
      </w:r>
      <w:r w:rsidR="007355A5" w:rsidRPr="00B84270">
        <w:rPr>
          <w:rFonts w:ascii="Arial" w:hAnsi="Arial" w:cs="Arial"/>
          <w:i/>
          <w:sz w:val="24"/>
          <w:szCs w:val="24"/>
          <w:lang w:val="en-US"/>
        </w:rPr>
        <w:t xml:space="preserve">TFRC </w:t>
      </w:r>
      <w:r w:rsidR="007355A5" w:rsidRPr="00B84270">
        <w:rPr>
          <w:rFonts w:ascii="Arial" w:hAnsi="Arial" w:cs="Arial"/>
          <w:sz w:val="24"/>
          <w:szCs w:val="24"/>
          <w:lang w:val="en-US"/>
        </w:rPr>
        <w:t>mRNA expression at 2 h (p&lt;0.05) and 24 h (p&lt;0.02) (Fig.3).</w:t>
      </w:r>
      <w:r w:rsidR="00A03053" w:rsidRPr="00B84270">
        <w:rPr>
          <w:rFonts w:ascii="Arial" w:hAnsi="Arial" w:cs="Arial"/>
          <w:sz w:val="24"/>
          <w:szCs w:val="24"/>
          <w:lang w:val="en-US"/>
        </w:rPr>
        <w:t xml:space="preserve"> In the Wt HepG2 cells, decreased </w:t>
      </w:r>
      <w:r w:rsidR="00967ADD" w:rsidRPr="00B84270">
        <w:rPr>
          <w:rFonts w:ascii="Arial" w:hAnsi="Arial" w:cs="Arial"/>
          <w:i/>
          <w:sz w:val="24"/>
          <w:szCs w:val="24"/>
          <w:lang w:val="en-US"/>
        </w:rPr>
        <w:t>TFRC</w:t>
      </w:r>
      <w:r w:rsidR="00967ADD" w:rsidRPr="00B84270">
        <w:rPr>
          <w:rFonts w:ascii="Arial" w:hAnsi="Arial" w:cs="Arial"/>
          <w:sz w:val="24"/>
          <w:szCs w:val="24"/>
          <w:lang w:val="en-US"/>
        </w:rPr>
        <w:t xml:space="preserve"> </w:t>
      </w:r>
      <w:r w:rsidR="00A03053" w:rsidRPr="00B84270">
        <w:rPr>
          <w:rFonts w:ascii="Arial" w:hAnsi="Arial" w:cs="Arial"/>
          <w:sz w:val="24"/>
          <w:szCs w:val="24"/>
          <w:lang w:val="en-US"/>
        </w:rPr>
        <w:t>mRNA expression following holo-Tf treatment for 24 h and 48 h (Fig.3) correlated with decreased cell-</w:t>
      </w:r>
      <w:r w:rsidR="00A03053" w:rsidRPr="00B84270">
        <w:rPr>
          <w:rFonts w:ascii="Arial" w:hAnsi="Arial" w:cs="Arial"/>
          <w:sz w:val="24"/>
          <w:szCs w:val="24"/>
          <w:lang w:val="en-US"/>
        </w:rPr>
        <w:lastRenderedPageBreak/>
        <w:t xml:space="preserve">surface TfR1 levels observed at these time-points (Fig.2). However, in rec-TfR1 HepG2 cells, the correlation was less clear. </w:t>
      </w:r>
    </w:p>
    <w:p w:rsidR="004523C7" w:rsidRPr="00B84270" w:rsidRDefault="004523C7" w:rsidP="00643A25">
      <w:pPr>
        <w:spacing w:after="0" w:line="360" w:lineRule="auto"/>
        <w:rPr>
          <w:rFonts w:ascii="Arial" w:hAnsi="Arial" w:cs="Arial"/>
          <w:sz w:val="24"/>
          <w:szCs w:val="24"/>
          <w:lang w:val="en-US"/>
        </w:rPr>
      </w:pPr>
    </w:p>
    <w:p w:rsidR="004369AE" w:rsidRPr="00B84270" w:rsidRDefault="00643A25" w:rsidP="00643A25">
      <w:pPr>
        <w:spacing w:after="0" w:line="360" w:lineRule="auto"/>
        <w:rPr>
          <w:rFonts w:ascii="Arial" w:hAnsi="Arial" w:cs="Arial"/>
          <w:sz w:val="24"/>
          <w:szCs w:val="24"/>
          <w:lang w:val="en-US"/>
        </w:rPr>
      </w:pPr>
      <w:r w:rsidRPr="00B84270">
        <w:rPr>
          <w:rFonts w:ascii="Arial" w:hAnsi="Arial" w:cs="Arial"/>
          <w:b/>
          <w:sz w:val="24"/>
          <w:szCs w:val="24"/>
          <w:lang w:val="en-US"/>
        </w:rPr>
        <w:t>I</w:t>
      </w:r>
      <w:r w:rsidR="00525C2B" w:rsidRPr="00B84270">
        <w:rPr>
          <w:rFonts w:ascii="Arial" w:hAnsi="Arial" w:cs="Arial"/>
          <w:b/>
          <w:sz w:val="24"/>
          <w:szCs w:val="24"/>
          <w:lang w:val="en-US"/>
        </w:rPr>
        <w:t>ntracellular iron levels</w:t>
      </w:r>
      <w:r w:rsidR="00433B94" w:rsidRPr="00B84270">
        <w:rPr>
          <w:rFonts w:ascii="Arial" w:hAnsi="Arial" w:cs="Arial"/>
          <w:b/>
          <w:sz w:val="24"/>
          <w:szCs w:val="24"/>
          <w:lang w:val="en-US"/>
        </w:rPr>
        <w:t xml:space="preserve">: </w:t>
      </w:r>
      <w:r w:rsidR="00A37F26" w:rsidRPr="00B84270">
        <w:rPr>
          <w:rFonts w:ascii="Arial" w:hAnsi="Arial" w:cs="Arial"/>
          <w:sz w:val="24"/>
          <w:szCs w:val="24"/>
          <w:lang w:val="en-US"/>
        </w:rPr>
        <w:t>U</w:t>
      </w:r>
      <w:r w:rsidR="0003455C" w:rsidRPr="00B84270">
        <w:rPr>
          <w:rFonts w:ascii="Arial" w:hAnsi="Arial" w:cs="Arial"/>
          <w:sz w:val="24"/>
          <w:szCs w:val="24"/>
          <w:lang w:val="en-US"/>
        </w:rPr>
        <w:t xml:space="preserve">pon holo-Tf treatment, the rec-TfR1 HepG2 cells showed higher intracellular iron content than </w:t>
      </w:r>
      <w:r w:rsidR="00FD4846" w:rsidRPr="00B84270">
        <w:rPr>
          <w:rFonts w:ascii="Arial" w:hAnsi="Arial" w:cs="Arial"/>
          <w:sz w:val="24"/>
          <w:szCs w:val="24"/>
          <w:lang w:val="en-US"/>
        </w:rPr>
        <w:t>Wt cells</w:t>
      </w:r>
      <w:r w:rsidR="004523C7" w:rsidRPr="00B84270">
        <w:rPr>
          <w:rFonts w:ascii="Arial" w:hAnsi="Arial" w:cs="Arial"/>
          <w:sz w:val="24"/>
          <w:szCs w:val="24"/>
          <w:lang w:val="en-US"/>
        </w:rPr>
        <w:t xml:space="preserve"> </w:t>
      </w:r>
      <w:r w:rsidR="00C22890" w:rsidRPr="00B84270">
        <w:rPr>
          <w:rFonts w:ascii="Arial" w:hAnsi="Arial" w:cs="Arial"/>
          <w:sz w:val="24"/>
          <w:szCs w:val="24"/>
          <w:lang w:val="en-US"/>
        </w:rPr>
        <w:t xml:space="preserve">at </w:t>
      </w:r>
      <w:r w:rsidR="0003455C" w:rsidRPr="00B84270">
        <w:rPr>
          <w:rFonts w:ascii="Arial" w:hAnsi="Arial" w:cs="Arial"/>
          <w:sz w:val="24"/>
          <w:szCs w:val="24"/>
          <w:lang w:val="en-US"/>
        </w:rPr>
        <w:t>30 min (</w:t>
      </w:r>
      <w:r w:rsidR="00374B0F" w:rsidRPr="00B84270">
        <w:rPr>
          <w:rFonts w:ascii="Arial" w:hAnsi="Arial" w:cs="Arial"/>
          <w:sz w:val="24"/>
          <w:szCs w:val="24"/>
          <w:lang w:val="en-US"/>
        </w:rPr>
        <w:t>3.3-fold, p&lt;0.03), 2 h (3.7-fold, p&lt;0.01), 4 h (6.6-fold, p&lt;0.01), 24 h (5.7-fold, p&lt;0.01) and 48 h (2.2-fold</w:t>
      </w:r>
      <w:r w:rsidR="0003455C" w:rsidRPr="00B84270">
        <w:rPr>
          <w:rFonts w:ascii="Arial" w:hAnsi="Arial" w:cs="Arial"/>
          <w:sz w:val="24"/>
          <w:szCs w:val="24"/>
          <w:lang w:val="en-US"/>
        </w:rPr>
        <w:t>, p&lt;0.01)</w:t>
      </w:r>
      <w:r w:rsidR="00F90887" w:rsidRPr="00B84270">
        <w:rPr>
          <w:rFonts w:ascii="Arial" w:hAnsi="Arial" w:cs="Arial"/>
          <w:sz w:val="24"/>
          <w:szCs w:val="24"/>
          <w:lang w:val="en-US"/>
        </w:rPr>
        <w:t xml:space="preserve"> (</w:t>
      </w:r>
      <w:r w:rsidR="00535414" w:rsidRPr="00B84270">
        <w:rPr>
          <w:rFonts w:ascii="Arial" w:hAnsi="Arial" w:cs="Arial"/>
          <w:sz w:val="24"/>
          <w:szCs w:val="24"/>
          <w:lang w:val="en-US"/>
        </w:rPr>
        <w:t>Fig.4</w:t>
      </w:r>
      <w:r w:rsidR="00F90887" w:rsidRPr="00B84270">
        <w:rPr>
          <w:rFonts w:ascii="Arial" w:hAnsi="Arial" w:cs="Arial"/>
          <w:sz w:val="24"/>
          <w:szCs w:val="24"/>
          <w:lang w:val="en-US"/>
        </w:rPr>
        <w:t xml:space="preserve">). </w:t>
      </w:r>
      <w:r w:rsidR="001D4DE5" w:rsidRPr="00B84270">
        <w:rPr>
          <w:rFonts w:ascii="Arial" w:hAnsi="Arial" w:cs="Arial"/>
          <w:sz w:val="24"/>
          <w:szCs w:val="24"/>
          <w:lang w:val="en-US"/>
        </w:rPr>
        <w:t xml:space="preserve">Even </w:t>
      </w:r>
      <w:r w:rsidR="0003455C" w:rsidRPr="00B84270">
        <w:rPr>
          <w:rFonts w:ascii="Arial" w:hAnsi="Arial" w:cs="Arial"/>
          <w:sz w:val="24"/>
          <w:szCs w:val="24"/>
          <w:lang w:val="en-US"/>
        </w:rPr>
        <w:t>u</w:t>
      </w:r>
      <w:r w:rsidR="00525C2B" w:rsidRPr="00B84270">
        <w:rPr>
          <w:rFonts w:ascii="Arial" w:hAnsi="Arial" w:cs="Arial"/>
          <w:sz w:val="24"/>
          <w:szCs w:val="24"/>
          <w:lang w:val="en-US"/>
        </w:rPr>
        <w:t>nder holo-Tf deprivation (0 g/L), the rec-TfR1 HepG2 cells showed higher intracellular ir</w:t>
      </w:r>
      <w:r w:rsidR="008C2F30" w:rsidRPr="00B84270">
        <w:rPr>
          <w:rFonts w:ascii="Arial" w:hAnsi="Arial" w:cs="Arial"/>
          <w:sz w:val="24"/>
          <w:szCs w:val="24"/>
          <w:lang w:val="en-US"/>
        </w:rPr>
        <w:t xml:space="preserve">on content than </w:t>
      </w:r>
      <w:r w:rsidR="004A51EF" w:rsidRPr="00B84270">
        <w:rPr>
          <w:rFonts w:ascii="Arial" w:hAnsi="Arial" w:cs="Arial"/>
          <w:sz w:val="24"/>
          <w:szCs w:val="24"/>
          <w:lang w:val="en-US"/>
        </w:rPr>
        <w:t>Wt</w:t>
      </w:r>
      <w:r w:rsidR="0081300C" w:rsidRPr="00B84270">
        <w:rPr>
          <w:rFonts w:ascii="Arial" w:hAnsi="Arial" w:cs="Arial"/>
          <w:sz w:val="24"/>
          <w:szCs w:val="24"/>
          <w:lang w:val="en-US"/>
        </w:rPr>
        <w:t xml:space="preserve"> </w:t>
      </w:r>
      <w:r w:rsidR="00A81A73" w:rsidRPr="00B84270">
        <w:rPr>
          <w:rFonts w:ascii="Arial" w:hAnsi="Arial" w:cs="Arial"/>
          <w:sz w:val="24"/>
          <w:szCs w:val="24"/>
          <w:lang w:val="en-US"/>
        </w:rPr>
        <w:t xml:space="preserve">cells </w:t>
      </w:r>
      <w:r w:rsidR="00374B0F" w:rsidRPr="00B84270">
        <w:rPr>
          <w:rFonts w:ascii="Arial" w:hAnsi="Arial" w:cs="Arial"/>
          <w:sz w:val="24"/>
          <w:szCs w:val="24"/>
          <w:lang w:val="en-US"/>
        </w:rPr>
        <w:t>at 30 min (3.6-fold, p&lt;0.01), 2 h (3.2-fold, p&lt;0.01), 4 h (2.8-fold, p&lt;0.01), 24 h (2.5-fold, p&lt;0.01) and 48 h (1.9-fold</w:t>
      </w:r>
      <w:r w:rsidR="00C27982" w:rsidRPr="00B84270">
        <w:rPr>
          <w:rFonts w:ascii="Arial" w:hAnsi="Arial" w:cs="Arial"/>
          <w:sz w:val="24"/>
          <w:szCs w:val="24"/>
          <w:lang w:val="en-US"/>
        </w:rPr>
        <w:t>, p&lt;0.03) (</w:t>
      </w:r>
      <w:r w:rsidR="00535414" w:rsidRPr="00B84270">
        <w:rPr>
          <w:rFonts w:ascii="Arial" w:hAnsi="Arial" w:cs="Arial"/>
          <w:sz w:val="24"/>
          <w:szCs w:val="24"/>
          <w:lang w:val="en-US"/>
        </w:rPr>
        <w:t>Fig.4</w:t>
      </w:r>
      <w:r w:rsidR="00525C2B" w:rsidRPr="00B84270">
        <w:rPr>
          <w:rFonts w:ascii="Arial" w:hAnsi="Arial" w:cs="Arial"/>
          <w:sz w:val="24"/>
          <w:szCs w:val="24"/>
          <w:lang w:val="en-US"/>
        </w:rPr>
        <w:t>).</w:t>
      </w:r>
    </w:p>
    <w:p w:rsidR="00777545" w:rsidRPr="00B84270" w:rsidRDefault="008C2F30" w:rsidP="005510CB">
      <w:pPr>
        <w:spacing w:after="0" w:line="360" w:lineRule="auto"/>
        <w:ind w:firstLine="720"/>
        <w:rPr>
          <w:rFonts w:ascii="Arial" w:hAnsi="Arial" w:cs="Arial"/>
          <w:sz w:val="24"/>
          <w:szCs w:val="24"/>
          <w:lang w:val="en-US"/>
        </w:rPr>
      </w:pPr>
      <w:r w:rsidRPr="00B84270">
        <w:rPr>
          <w:rFonts w:ascii="Arial" w:hAnsi="Arial" w:cs="Arial"/>
          <w:sz w:val="24"/>
          <w:szCs w:val="24"/>
          <w:lang w:val="en-US"/>
        </w:rPr>
        <w:t>Over time, t</w:t>
      </w:r>
      <w:r w:rsidR="00525C2B" w:rsidRPr="00B84270">
        <w:rPr>
          <w:rFonts w:ascii="Arial" w:hAnsi="Arial" w:cs="Arial"/>
          <w:sz w:val="24"/>
          <w:szCs w:val="24"/>
          <w:lang w:val="en-US"/>
        </w:rPr>
        <w:t xml:space="preserve">he </w:t>
      </w:r>
      <w:r w:rsidR="004A51EF" w:rsidRPr="00B84270">
        <w:rPr>
          <w:rFonts w:ascii="Arial" w:hAnsi="Arial" w:cs="Arial"/>
          <w:sz w:val="24"/>
          <w:szCs w:val="24"/>
          <w:lang w:val="en-US"/>
        </w:rPr>
        <w:t>Wt cells</w:t>
      </w:r>
      <w:r w:rsidR="0081300C" w:rsidRPr="00B84270">
        <w:rPr>
          <w:rFonts w:ascii="Arial" w:hAnsi="Arial" w:cs="Arial"/>
          <w:sz w:val="24"/>
          <w:szCs w:val="24"/>
          <w:lang w:val="en-US"/>
        </w:rPr>
        <w:t xml:space="preserve"> </w:t>
      </w:r>
      <w:r w:rsidR="00525C2B" w:rsidRPr="00B84270">
        <w:rPr>
          <w:rFonts w:ascii="Arial" w:hAnsi="Arial" w:cs="Arial"/>
          <w:sz w:val="24"/>
          <w:szCs w:val="24"/>
          <w:lang w:val="en-US"/>
        </w:rPr>
        <w:t xml:space="preserve">showed no major variation in intracellular iron content upon holo-Tf </w:t>
      </w:r>
      <w:r w:rsidR="00621F12" w:rsidRPr="00B84270">
        <w:rPr>
          <w:rFonts w:ascii="Arial" w:hAnsi="Arial" w:cs="Arial"/>
          <w:sz w:val="24"/>
          <w:szCs w:val="24"/>
          <w:lang w:val="en-US"/>
        </w:rPr>
        <w:t>deprivation and treatment (</w:t>
      </w:r>
      <w:r w:rsidR="00535414" w:rsidRPr="00B84270">
        <w:rPr>
          <w:rFonts w:ascii="Arial" w:hAnsi="Arial" w:cs="Arial"/>
          <w:sz w:val="24"/>
          <w:szCs w:val="24"/>
          <w:lang w:val="en-US"/>
        </w:rPr>
        <w:t>Fig.4</w:t>
      </w:r>
      <w:r w:rsidR="00B01577" w:rsidRPr="00B84270">
        <w:rPr>
          <w:rFonts w:ascii="Arial" w:hAnsi="Arial" w:cs="Arial"/>
          <w:sz w:val="24"/>
          <w:szCs w:val="24"/>
          <w:lang w:val="en-US"/>
        </w:rPr>
        <w:t xml:space="preserve">). </w:t>
      </w:r>
      <w:r w:rsidR="007662FF" w:rsidRPr="00B84270">
        <w:rPr>
          <w:rFonts w:ascii="Arial" w:hAnsi="Arial" w:cs="Arial"/>
          <w:sz w:val="24"/>
          <w:szCs w:val="24"/>
          <w:lang w:val="en-US"/>
        </w:rPr>
        <w:t>In contrast</w:t>
      </w:r>
      <w:r w:rsidR="00B01577" w:rsidRPr="00B84270">
        <w:rPr>
          <w:rFonts w:ascii="Arial" w:hAnsi="Arial" w:cs="Arial"/>
          <w:sz w:val="24"/>
          <w:szCs w:val="24"/>
          <w:lang w:val="en-US"/>
        </w:rPr>
        <w:t xml:space="preserve">, </w:t>
      </w:r>
      <w:r w:rsidR="00DC0954" w:rsidRPr="00B84270">
        <w:rPr>
          <w:rFonts w:ascii="Arial" w:hAnsi="Arial" w:cs="Arial"/>
          <w:sz w:val="24"/>
          <w:szCs w:val="24"/>
          <w:lang w:val="en-US"/>
        </w:rPr>
        <w:t xml:space="preserve">during short-term treatment, </w:t>
      </w:r>
      <w:r w:rsidR="00525C2B" w:rsidRPr="00B84270">
        <w:rPr>
          <w:rFonts w:ascii="Arial" w:hAnsi="Arial" w:cs="Arial"/>
          <w:sz w:val="24"/>
          <w:szCs w:val="24"/>
          <w:lang w:val="en-US"/>
        </w:rPr>
        <w:t xml:space="preserve">the rec-TfR1 HepG2 cells showed a pattern of increasing </w:t>
      </w:r>
      <w:r w:rsidR="009C5EEA" w:rsidRPr="00B84270">
        <w:rPr>
          <w:rFonts w:ascii="Arial" w:hAnsi="Arial" w:cs="Arial"/>
          <w:sz w:val="24"/>
          <w:szCs w:val="24"/>
          <w:lang w:val="en-US"/>
        </w:rPr>
        <w:t>iron-uptake</w:t>
      </w:r>
      <w:r w:rsidR="00525C2B" w:rsidRPr="00B84270">
        <w:rPr>
          <w:rFonts w:ascii="Arial" w:hAnsi="Arial" w:cs="Arial"/>
          <w:sz w:val="24"/>
          <w:szCs w:val="24"/>
          <w:lang w:val="en-US"/>
        </w:rPr>
        <w:t xml:space="preserve"> compared to respective untreated (0 g/L) cells at the same time-point i.e. no significant uptake at 30 min, a </w:t>
      </w:r>
      <w:r w:rsidR="00965823" w:rsidRPr="00B84270">
        <w:rPr>
          <w:rFonts w:ascii="Arial" w:hAnsi="Arial" w:cs="Arial"/>
          <w:sz w:val="24"/>
          <w:szCs w:val="24"/>
          <w:lang w:val="en-US"/>
        </w:rPr>
        <w:t xml:space="preserve">1.4-fold </w:t>
      </w:r>
      <w:r w:rsidR="00525C2B" w:rsidRPr="00B84270">
        <w:rPr>
          <w:rFonts w:ascii="Arial" w:hAnsi="Arial" w:cs="Arial"/>
          <w:sz w:val="24"/>
          <w:szCs w:val="24"/>
          <w:lang w:val="en-US"/>
        </w:rPr>
        <w:t xml:space="preserve">increase at 2 h (p&lt;0.02) and a </w:t>
      </w:r>
      <w:r w:rsidR="00965823" w:rsidRPr="00B84270">
        <w:rPr>
          <w:rFonts w:ascii="Arial" w:hAnsi="Arial" w:cs="Arial"/>
          <w:sz w:val="24"/>
          <w:szCs w:val="24"/>
          <w:lang w:val="en-US"/>
        </w:rPr>
        <w:t xml:space="preserve">3.1-fold </w:t>
      </w:r>
      <w:r w:rsidR="00C27982" w:rsidRPr="00B84270">
        <w:rPr>
          <w:rFonts w:ascii="Arial" w:hAnsi="Arial" w:cs="Arial"/>
          <w:sz w:val="24"/>
          <w:szCs w:val="24"/>
          <w:lang w:val="en-US"/>
        </w:rPr>
        <w:t xml:space="preserve">increase at 4 h </w:t>
      </w:r>
      <w:r w:rsidR="00275DDE" w:rsidRPr="00B84270">
        <w:rPr>
          <w:rFonts w:ascii="Arial" w:hAnsi="Arial" w:cs="Arial"/>
          <w:sz w:val="24"/>
          <w:szCs w:val="24"/>
          <w:lang w:val="en-US"/>
        </w:rPr>
        <w:t>(p&lt;0.01) (</w:t>
      </w:r>
      <w:r w:rsidR="00535414" w:rsidRPr="00B84270">
        <w:rPr>
          <w:rFonts w:ascii="Arial" w:hAnsi="Arial" w:cs="Arial"/>
          <w:sz w:val="24"/>
          <w:szCs w:val="24"/>
          <w:lang w:val="en-US"/>
        </w:rPr>
        <w:t>Fig.4</w:t>
      </w:r>
      <w:r w:rsidR="00B01577" w:rsidRPr="00B84270">
        <w:rPr>
          <w:rFonts w:ascii="Arial" w:hAnsi="Arial" w:cs="Arial"/>
          <w:sz w:val="24"/>
          <w:szCs w:val="24"/>
          <w:lang w:val="en-US"/>
        </w:rPr>
        <w:t>)</w:t>
      </w:r>
      <w:r w:rsidR="00DC0954" w:rsidRPr="00B84270">
        <w:rPr>
          <w:rFonts w:ascii="Arial" w:hAnsi="Arial" w:cs="Arial"/>
          <w:sz w:val="24"/>
          <w:szCs w:val="24"/>
          <w:lang w:val="en-US"/>
        </w:rPr>
        <w:t xml:space="preserve">. Also, </w:t>
      </w:r>
      <w:r w:rsidR="00B01577" w:rsidRPr="00B84270">
        <w:rPr>
          <w:rFonts w:ascii="Arial" w:hAnsi="Arial" w:cs="Arial"/>
          <w:sz w:val="24"/>
          <w:szCs w:val="24"/>
          <w:lang w:val="en-US"/>
        </w:rPr>
        <w:t>a 2.4-fold increase</w:t>
      </w:r>
      <w:r w:rsidR="0081300C" w:rsidRPr="00B84270">
        <w:rPr>
          <w:rFonts w:ascii="Arial" w:hAnsi="Arial" w:cs="Arial"/>
          <w:sz w:val="24"/>
          <w:szCs w:val="24"/>
          <w:lang w:val="en-US"/>
        </w:rPr>
        <w:t xml:space="preserve"> </w:t>
      </w:r>
      <w:r w:rsidR="003F55C8" w:rsidRPr="00B84270">
        <w:rPr>
          <w:rFonts w:ascii="Arial" w:hAnsi="Arial" w:cs="Arial"/>
          <w:sz w:val="24"/>
          <w:szCs w:val="24"/>
          <w:lang w:val="en-US"/>
        </w:rPr>
        <w:t xml:space="preserve">(p&lt;0.01) in iron-uptake was observed </w:t>
      </w:r>
      <w:r w:rsidR="00B01577" w:rsidRPr="00B84270">
        <w:rPr>
          <w:rFonts w:ascii="Arial" w:hAnsi="Arial" w:cs="Arial"/>
          <w:sz w:val="24"/>
          <w:szCs w:val="24"/>
          <w:lang w:val="en-US"/>
        </w:rPr>
        <w:t xml:space="preserve">at </w:t>
      </w:r>
      <w:r w:rsidR="009E603D" w:rsidRPr="00B84270">
        <w:rPr>
          <w:rFonts w:ascii="Arial" w:hAnsi="Arial" w:cs="Arial"/>
          <w:sz w:val="24"/>
          <w:szCs w:val="24"/>
          <w:lang w:val="en-US"/>
        </w:rPr>
        <w:t xml:space="preserve">24 h of </w:t>
      </w:r>
      <w:r w:rsidR="009D2A2F" w:rsidRPr="00B84270">
        <w:rPr>
          <w:rFonts w:ascii="Arial" w:hAnsi="Arial" w:cs="Arial"/>
          <w:sz w:val="24"/>
          <w:szCs w:val="24"/>
          <w:lang w:val="en-US"/>
        </w:rPr>
        <w:t>holo-Tf</w:t>
      </w:r>
      <w:r w:rsidR="00CA24FE" w:rsidRPr="00B84270">
        <w:rPr>
          <w:rFonts w:ascii="Arial" w:hAnsi="Arial" w:cs="Arial"/>
          <w:sz w:val="24"/>
          <w:szCs w:val="24"/>
          <w:lang w:val="en-US"/>
        </w:rPr>
        <w:t xml:space="preserve"> </w:t>
      </w:r>
      <w:r w:rsidR="00B01577" w:rsidRPr="00B84270">
        <w:rPr>
          <w:rFonts w:ascii="Arial" w:hAnsi="Arial" w:cs="Arial"/>
          <w:sz w:val="24"/>
          <w:szCs w:val="24"/>
          <w:lang w:val="en-US"/>
        </w:rPr>
        <w:t xml:space="preserve">treatment </w:t>
      </w:r>
      <w:r w:rsidR="00275DDE" w:rsidRPr="00B84270">
        <w:rPr>
          <w:rFonts w:ascii="Arial" w:hAnsi="Arial" w:cs="Arial"/>
          <w:sz w:val="24"/>
          <w:szCs w:val="24"/>
          <w:lang w:val="en-US"/>
        </w:rPr>
        <w:t>(</w:t>
      </w:r>
      <w:r w:rsidR="00535414" w:rsidRPr="00B84270">
        <w:rPr>
          <w:rFonts w:ascii="Arial" w:hAnsi="Arial" w:cs="Arial"/>
          <w:sz w:val="24"/>
          <w:szCs w:val="24"/>
          <w:lang w:val="en-US"/>
        </w:rPr>
        <w:t>Fig.4</w:t>
      </w:r>
      <w:r w:rsidR="009E603D" w:rsidRPr="00B84270">
        <w:rPr>
          <w:rFonts w:ascii="Arial" w:hAnsi="Arial" w:cs="Arial"/>
          <w:sz w:val="24"/>
          <w:szCs w:val="24"/>
          <w:lang w:val="en-US"/>
        </w:rPr>
        <w:t xml:space="preserve">).   </w:t>
      </w:r>
    </w:p>
    <w:p w:rsidR="00DC0954" w:rsidRPr="00B84270" w:rsidRDefault="00DC0954" w:rsidP="005510CB">
      <w:pPr>
        <w:spacing w:after="0" w:line="360" w:lineRule="auto"/>
        <w:ind w:firstLine="720"/>
        <w:rPr>
          <w:rFonts w:ascii="Arial" w:hAnsi="Arial" w:cs="Arial"/>
          <w:sz w:val="24"/>
          <w:szCs w:val="24"/>
          <w:lang w:val="en-US"/>
        </w:rPr>
      </w:pPr>
    </w:p>
    <w:p w:rsidR="006B51F2" w:rsidRPr="00B84270" w:rsidRDefault="00643A25" w:rsidP="00643A25">
      <w:pPr>
        <w:spacing w:after="0" w:line="360" w:lineRule="auto"/>
        <w:rPr>
          <w:rFonts w:ascii="Arial" w:eastAsia="SimSun" w:hAnsi="Arial" w:cs="Arial"/>
          <w:sz w:val="24"/>
          <w:szCs w:val="24"/>
          <w:lang w:val="en-US"/>
        </w:rPr>
      </w:pPr>
      <w:r w:rsidRPr="00B84270">
        <w:rPr>
          <w:rFonts w:ascii="Arial" w:hAnsi="Arial" w:cs="Arial"/>
          <w:b/>
          <w:sz w:val="24"/>
          <w:szCs w:val="24"/>
          <w:lang w:val="en-US"/>
        </w:rPr>
        <w:t>H</w:t>
      </w:r>
      <w:r w:rsidR="00525C2B" w:rsidRPr="00B84270">
        <w:rPr>
          <w:rFonts w:ascii="Arial" w:hAnsi="Arial" w:cs="Arial"/>
          <w:b/>
          <w:sz w:val="24"/>
          <w:szCs w:val="24"/>
          <w:lang w:val="en-US"/>
        </w:rPr>
        <w:t>epcidin peptide levels</w:t>
      </w:r>
      <w:r w:rsidR="00433B94" w:rsidRPr="00B84270">
        <w:rPr>
          <w:rFonts w:ascii="Arial" w:hAnsi="Arial" w:cs="Arial"/>
          <w:b/>
          <w:sz w:val="24"/>
          <w:szCs w:val="24"/>
          <w:lang w:val="en-US"/>
        </w:rPr>
        <w:t xml:space="preserve">: </w:t>
      </w:r>
      <w:r w:rsidR="00CA152F" w:rsidRPr="00B84270">
        <w:rPr>
          <w:rFonts w:ascii="Arial" w:eastAsia="SimSun" w:hAnsi="Arial" w:cs="Arial"/>
          <w:sz w:val="24"/>
          <w:szCs w:val="24"/>
          <w:lang w:val="en-US"/>
        </w:rPr>
        <w:t>Despite the substantially higher intracellular iron content in rec-TfR1 HepG2 cells (</w:t>
      </w:r>
      <w:r w:rsidR="00535414" w:rsidRPr="00B84270">
        <w:rPr>
          <w:rFonts w:ascii="Arial" w:eastAsia="SimSun" w:hAnsi="Arial" w:cs="Arial"/>
          <w:sz w:val="24"/>
          <w:szCs w:val="24"/>
          <w:lang w:val="en-US"/>
        </w:rPr>
        <w:t>Fig.4</w:t>
      </w:r>
      <w:r w:rsidR="00CA152F" w:rsidRPr="00B84270">
        <w:rPr>
          <w:rFonts w:ascii="Arial" w:eastAsia="SimSun" w:hAnsi="Arial" w:cs="Arial"/>
          <w:sz w:val="24"/>
          <w:szCs w:val="24"/>
          <w:lang w:val="en-US"/>
        </w:rPr>
        <w:t xml:space="preserve">), hepcidin secretion in these cells was </w:t>
      </w:r>
      <w:r w:rsidR="00F50A09" w:rsidRPr="00B84270">
        <w:rPr>
          <w:rFonts w:ascii="Arial" w:eastAsia="SimSun" w:hAnsi="Arial" w:cs="Arial"/>
          <w:sz w:val="24"/>
          <w:szCs w:val="24"/>
          <w:lang w:val="en-US"/>
        </w:rPr>
        <w:t xml:space="preserve">not higher than </w:t>
      </w:r>
      <w:r w:rsidR="004A51EF" w:rsidRPr="00B84270">
        <w:rPr>
          <w:rFonts w:ascii="Arial" w:eastAsia="SimSun" w:hAnsi="Arial" w:cs="Arial"/>
          <w:sz w:val="24"/>
          <w:szCs w:val="24"/>
          <w:lang w:val="en-US"/>
        </w:rPr>
        <w:t>Wt</w:t>
      </w:r>
      <w:r w:rsidR="0006336B" w:rsidRPr="00B84270">
        <w:rPr>
          <w:rFonts w:ascii="Arial" w:eastAsia="SimSun" w:hAnsi="Arial" w:cs="Arial"/>
          <w:sz w:val="24"/>
          <w:szCs w:val="24"/>
          <w:lang w:val="en-US"/>
        </w:rPr>
        <w:t xml:space="preserve"> </w:t>
      </w:r>
      <w:r w:rsidR="00F90887" w:rsidRPr="00B84270">
        <w:rPr>
          <w:rFonts w:ascii="Arial" w:eastAsia="SimSun" w:hAnsi="Arial" w:cs="Arial"/>
          <w:sz w:val="24"/>
          <w:szCs w:val="24"/>
          <w:lang w:val="en-US"/>
        </w:rPr>
        <w:t xml:space="preserve">cells </w:t>
      </w:r>
      <w:r w:rsidR="002C6BD6" w:rsidRPr="00B84270">
        <w:rPr>
          <w:rFonts w:ascii="Arial" w:eastAsia="SimSun" w:hAnsi="Arial" w:cs="Arial"/>
          <w:sz w:val="24"/>
          <w:szCs w:val="24"/>
          <w:lang w:val="en-US"/>
        </w:rPr>
        <w:t>(</w:t>
      </w:r>
      <w:r w:rsidR="00535414" w:rsidRPr="00B84270">
        <w:rPr>
          <w:rFonts w:ascii="Arial" w:eastAsia="SimSun" w:hAnsi="Arial" w:cs="Arial"/>
          <w:sz w:val="24"/>
          <w:szCs w:val="24"/>
          <w:lang w:val="en-US"/>
        </w:rPr>
        <w:t>Fig.5</w:t>
      </w:r>
      <w:r w:rsidR="0006336B" w:rsidRPr="00B84270">
        <w:rPr>
          <w:rFonts w:ascii="Arial" w:eastAsia="SimSun" w:hAnsi="Arial" w:cs="Arial"/>
          <w:sz w:val="24"/>
          <w:szCs w:val="24"/>
          <w:lang w:val="en-US"/>
        </w:rPr>
        <w:t>A and Fig.5B</w:t>
      </w:r>
      <w:r w:rsidR="00F90887" w:rsidRPr="00B84270">
        <w:rPr>
          <w:rFonts w:ascii="Arial" w:eastAsia="SimSun" w:hAnsi="Arial" w:cs="Arial"/>
          <w:sz w:val="24"/>
          <w:szCs w:val="24"/>
          <w:lang w:val="en-US"/>
        </w:rPr>
        <w:t xml:space="preserve">). </w:t>
      </w:r>
      <w:r w:rsidR="00D81913" w:rsidRPr="00B84270">
        <w:rPr>
          <w:rFonts w:ascii="Arial" w:eastAsia="SimSun" w:hAnsi="Arial" w:cs="Arial"/>
          <w:sz w:val="24"/>
          <w:szCs w:val="24"/>
          <w:lang w:val="en-US"/>
        </w:rPr>
        <w:t>However, b</w:t>
      </w:r>
      <w:r w:rsidR="00CA152F" w:rsidRPr="00B84270">
        <w:rPr>
          <w:rFonts w:ascii="Arial" w:eastAsia="SimSun" w:hAnsi="Arial" w:cs="Arial"/>
          <w:sz w:val="24"/>
          <w:szCs w:val="24"/>
          <w:lang w:val="en-US"/>
        </w:rPr>
        <w:t xml:space="preserve">oth, </w:t>
      </w:r>
      <w:r w:rsidR="004A51EF" w:rsidRPr="00B84270">
        <w:rPr>
          <w:rFonts w:ascii="Arial" w:eastAsia="SimSun" w:hAnsi="Arial" w:cs="Arial"/>
          <w:sz w:val="24"/>
          <w:szCs w:val="24"/>
          <w:lang w:val="en-US"/>
        </w:rPr>
        <w:t>Wt</w:t>
      </w:r>
      <w:r w:rsidR="00F20618" w:rsidRPr="00B84270">
        <w:rPr>
          <w:rFonts w:ascii="Arial" w:eastAsia="SimSun" w:hAnsi="Arial" w:cs="Arial"/>
          <w:sz w:val="24"/>
          <w:szCs w:val="24"/>
          <w:lang w:val="en-US"/>
        </w:rPr>
        <w:t xml:space="preserve"> and rec-TfR1 </w:t>
      </w:r>
      <w:r w:rsidR="00CA152F" w:rsidRPr="00B84270">
        <w:rPr>
          <w:rFonts w:ascii="Arial" w:eastAsia="SimSun" w:hAnsi="Arial" w:cs="Arial"/>
          <w:sz w:val="24"/>
          <w:szCs w:val="24"/>
          <w:lang w:val="en-US"/>
        </w:rPr>
        <w:t xml:space="preserve">HepG2 cells secreted significantly higher levels of hepcidin </w:t>
      </w:r>
      <w:r w:rsidR="00F50A09" w:rsidRPr="00B84270">
        <w:rPr>
          <w:rFonts w:ascii="Arial" w:eastAsia="SimSun" w:hAnsi="Arial" w:cs="Arial"/>
          <w:sz w:val="24"/>
          <w:szCs w:val="24"/>
          <w:lang w:val="en-US"/>
        </w:rPr>
        <w:t xml:space="preserve">upon holo-Tf supplementation in comparison </w:t>
      </w:r>
      <w:r w:rsidR="00CA152F" w:rsidRPr="00B84270">
        <w:rPr>
          <w:rFonts w:ascii="Arial" w:eastAsia="SimSun" w:hAnsi="Arial" w:cs="Arial"/>
          <w:sz w:val="24"/>
          <w:szCs w:val="24"/>
          <w:lang w:val="en-US"/>
        </w:rPr>
        <w:t>to their respecti</w:t>
      </w:r>
      <w:r w:rsidR="00BC5A60" w:rsidRPr="00B84270">
        <w:rPr>
          <w:rFonts w:ascii="Arial" w:eastAsia="SimSun" w:hAnsi="Arial" w:cs="Arial"/>
          <w:sz w:val="24"/>
          <w:szCs w:val="24"/>
          <w:lang w:val="en-US"/>
        </w:rPr>
        <w:t>ve untreated (0 g/L) cells (</w:t>
      </w:r>
      <w:r w:rsidR="00535414" w:rsidRPr="00B84270">
        <w:rPr>
          <w:rFonts w:ascii="Arial" w:eastAsia="SimSun" w:hAnsi="Arial" w:cs="Arial"/>
          <w:sz w:val="24"/>
          <w:szCs w:val="24"/>
          <w:lang w:val="en-US"/>
        </w:rPr>
        <w:t>Fig.5</w:t>
      </w:r>
      <w:r w:rsidR="009D4889" w:rsidRPr="00B84270">
        <w:rPr>
          <w:rFonts w:ascii="Arial" w:eastAsia="SimSun" w:hAnsi="Arial" w:cs="Arial"/>
          <w:sz w:val="24"/>
          <w:szCs w:val="24"/>
          <w:lang w:val="en-US"/>
        </w:rPr>
        <w:t>)</w:t>
      </w:r>
      <w:r w:rsidR="00CA152F" w:rsidRPr="00B84270">
        <w:rPr>
          <w:rFonts w:ascii="Arial" w:eastAsia="SimSun" w:hAnsi="Arial" w:cs="Arial"/>
          <w:sz w:val="24"/>
          <w:szCs w:val="24"/>
          <w:lang w:val="en-US"/>
        </w:rPr>
        <w:t>.</w:t>
      </w:r>
      <w:r w:rsidR="0006336B" w:rsidRPr="00B84270">
        <w:rPr>
          <w:rFonts w:ascii="Arial" w:eastAsia="SimSun" w:hAnsi="Arial" w:cs="Arial"/>
          <w:sz w:val="24"/>
          <w:szCs w:val="24"/>
          <w:lang w:val="en-US"/>
        </w:rPr>
        <w:t xml:space="preserve"> For example, the Wt </w:t>
      </w:r>
      <w:r w:rsidR="00E24D9D" w:rsidRPr="00B84270">
        <w:rPr>
          <w:rFonts w:ascii="Arial" w:eastAsia="SimSun" w:hAnsi="Arial" w:cs="Arial"/>
          <w:sz w:val="24"/>
          <w:szCs w:val="24"/>
          <w:lang w:val="en-US"/>
        </w:rPr>
        <w:t>H</w:t>
      </w:r>
      <w:r w:rsidR="0006336B" w:rsidRPr="00B84270">
        <w:rPr>
          <w:rFonts w:ascii="Arial" w:eastAsia="SimSun" w:hAnsi="Arial" w:cs="Arial"/>
          <w:sz w:val="24"/>
          <w:szCs w:val="24"/>
          <w:lang w:val="en-US"/>
        </w:rPr>
        <w:t xml:space="preserve">epG2 cells </w:t>
      </w:r>
    </w:p>
    <w:p w:rsidR="009337AF" w:rsidRPr="00B84270" w:rsidRDefault="009337AF" w:rsidP="009337AF">
      <w:pPr>
        <w:spacing w:after="0" w:line="360" w:lineRule="auto"/>
        <w:rPr>
          <w:rFonts w:ascii="Arial" w:eastAsia="SimSun" w:hAnsi="Arial" w:cs="Arial"/>
          <w:sz w:val="24"/>
          <w:szCs w:val="24"/>
          <w:lang w:val="en-US"/>
        </w:rPr>
      </w:pPr>
      <w:r w:rsidRPr="00B84270">
        <w:rPr>
          <w:rFonts w:ascii="Arial" w:eastAsia="SimSun" w:hAnsi="Arial" w:cs="Arial"/>
          <w:sz w:val="24"/>
          <w:szCs w:val="24"/>
          <w:lang w:val="en-US"/>
        </w:rPr>
        <w:t>showed significantly elevated hepcidin secretion at 2 h (p&lt;0.02), 4 h (p&lt;0.02), 24 h (p</w:t>
      </w:r>
      <w:r w:rsidR="00E723C1" w:rsidRPr="00B84270">
        <w:rPr>
          <w:rFonts w:ascii="Arial" w:eastAsia="SimSun" w:hAnsi="Arial" w:cs="Arial"/>
          <w:sz w:val="24"/>
          <w:szCs w:val="24"/>
          <w:lang w:val="en-US"/>
        </w:rPr>
        <w:t>&lt;0.02) and 48 h (p&lt;0.02) (Fig.5A</w:t>
      </w:r>
      <w:r w:rsidRPr="00B84270">
        <w:rPr>
          <w:rFonts w:ascii="Arial" w:eastAsia="SimSun" w:hAnsi="Arial" w:cs="Arial"/>
          <w:sz w:val="24"/>
          <w:szCs w:val="24"/>
          <w:lang w:val="en-US"/>
        </w:rPr>
        <w:t xml:space="preserve">). Likewise, the rec-TfR1 HepG2 cells showed elevated hepcidin secretion at 30 min (p&lt;0.05), 2 h (p&lt;0.02), 4 h (p&lt;0.02), 24 h (p&lt;0.02) </w:t>
      </w:r>
      <w:r w:rsidR="001C6505" w:rsidRPr="00B84270">
        <w:rPr>
          <w:rFonts w:ascii="Arial" w:eastAsia="SimSun" w:hAnsi="Arial" w:cs="Arial"/>
          <w:sz w:val="24"/>
          <w:szCs w:val="24"/>
          <w:lang w:val="en-US"/>
        </w:rPr>
        <w:t>and 48 h (p&lt;0.02) (Fig.</w:t>
      </w:r>
      <w:r w:rsidRPr="00B84270">
        <w:rPr>
          <w:rFonts w:ascii="Arial" w:eastAsia="SimSun" w:hAnsi="Arial" w:cs="Arial"/>
          <w:sz w:val="24"/>
          <w:szCs w:val="24"/>
          <w:lang w:val="en-US"/>
        </w:rPr>
        <w:t xml:space="preserve">5B). </w:t>
      </w:r>
    </w:p>
    <w:p w:rsidR="00BA73AD" w:rsidRPr="00B84270" w:rsidRDefault="00525C2B" w:rsidP="006B51F2">
      <w:pPr>
        <w:spacing w:after="0" w:line="360" w:lineRule="auto"/>
        <w:ind w:firstLine="720"/>
        <w:rPr>
          <w:rFonts w:ascii="Arial" w:eastAsia="SimSun" w:hAnsi="Arial" w:cs="Arial"/>
          <w:sz w:val="24"/>
          <w:szCs w:val="24"/>
          <w:lang w:val="en-US" w:eastAsia="zh-CN"/>
        </w:rPr>
      </w:pPr>
      <w:r w:rsidRPr="00B84270">
        <w:rPr>
          <w:rFonts w:ascii="Arial" w:eastAsia="SimSun" w:hAnsi="Arial" w:cs="Arial"/>
          <w:sz w:val="24"/>
          <w:szCs w:val="24"/>
          <w:lang w:val="en-US" w:eastAsia="zh-CN"/>
        </w:rPr>
        <w:t xml:space="preserve">Upon </w:t>
      </w:r>
      <w:r w:rsidRPr="00B84270">
        <w:rPr>
          <w:rFonts w:ascii="Arial" w:hAnsi="Arial" w:cs="Arial"/>
          <w:sz w:val="24"/>
          <w:szCs w:val="24"/>
          <w:lang w:val="en-US"/>
        </w:rPr>
        <w:t xml:space="preserve">holo-Tf deprivation </w:t>
      </w:r>
      <w:r w:rsidRPr="00B84270">
        <w:rPr>
          <w:rFonts w:ascii="Arial" w:eastAsia="SimSun" w:hAnsi="Arial" w:cs="Arial"/>
          <w:sz w:val="24"/>
          <w:szCs w:val="24"/>
          <w:lang w:val="en-US" w:eastAsia="zh-CN"/>
        </w:rPr>
        <w:t>(0 g/L), hepcidin peptide secretion gradually decreased over time in bot</w:t>
      </w:r>
      <w:r w:rsidR="00184289" w:rsidRPr="00B84270">
        <w:rPr>
          <w:rFonts w:ascii="Arial" w:eastAsia="SimSun" w:hAnsi="Arial" w:cs="Arial"/>
          <w:sz w:val="24"/>
          <w:szCs w:val="24"/>
          <w:lang w:val="en-US" w:eastAsia="zh-CN"/>
        </w:rPr>
        <w:t xml:space="preserve">h, </w:t>
      </w:r>
      <w:r w:rsidR="004A51EF" w:rsidRPr="00B84270">
        <w:rPr>
          <w:rFonts w:ascii="Arial" w:eastAsia="SimSun" w:hAnsi="Arial" w:cs="Arial"/>
          <w:sz w:val="24"/>
          <w:szCs w:val="24"/>
          <w:lang w:val="en-US" w:eastAsia="zh-CN"/>
        </w:rPr>
        <w:t>Wt</w:t>
      </w:r>
      <w:r w:rsidR="00184289" w:rsidRPr="00B84270">
        <w:rPr>
          <w:rFonts w:ascii="Arial" w:eastAsia="SimSun" w:hAnsi="Arial" w:cs="Arial"/>
          <w:sz w:val="24"/>
          <w:szCs w:val="24"/>
          <w:lang w:val="en-US" w:eastAsia="zh-CN"/>
        </w:rPr>
        <w:t xml:space="preserve"> and rec-TfR1 HepG2 cells </w:t>
      </w:r>
      <w:r w:rsidR="0003455C" w:rsidRPr="00B84270">
        <w:rPr>
          <w:rFonts w:ascii="Arial" w:eastAsia="SimSun" w:hAnsi="Arial" w:cs="Arial"/>
          <w:sz w:val="24"/>
          <w:szCs w:val="24"/>
          <w:lang w:val="en-US" w:eastAsia="zh-CN"/>
        </w:rPr>
        <w:t>(</w:t>
      </w:r>
      <w:r w:rsidR="00535414" w:rsidRPr="00B84270">
        <w:rPr>
          <w:rFonts w:ascii="Arial" w:eastAsia="SimSun" w:hAnsi="Arial" w:cs="Arial"/>
          <w:sz w:val="24"/>
          <w:szCs w:val="24"/>
          <w:lang w:val="en-US" w:eastAsia="zh-CN"/>
        </w:rPr>
        <w:t>Fig.5</w:t>
      </w:r>
      <w:r w:rsidR="00BA73AD" w:rsidRPr="00B84270">
        <w:rPr>
          <w:rFonts w:ascii="Arial" w:eastAsia="SimSun" w:hAnsi="Arial" w:cs="Arial"/>
          <w:sz w:val="24"/>
          <w:szCs w:val="24"/>
          <w:lang w:val="en-US" w:eastAsia="zh-CN"/>
        </w:rPr>
        <w:t xml:space="preserve">); </w:t>
      </w:r>
      <w:r w:rsidRPr="00B84270">
        <w:rPr>
          <w:rFonts w:ascii="Arial" w:eastAsia="SimSun" w:hAnsi="Arial" w:cs="Arial"/>
          <w:sz w:val="24"/>
          <w:szCs w:val="24"/>
          <w:lang w:val="en-US" w:eastAsia="zh-CN"/>
        </w:rPr>
        <w:t>from 2 h to 24 h (</w:t>
      </w:r>
      <w:r w:rsidR="00360894" w:rsidRPr="00B84270">
        <w:rPr>
          <w:rFonts w:ascii="Arial" w:eastAsia="SimSun" w:hAnsi="Arial" w:cs="Arial"/>
          <w:sz w:val="24"/>
          <w:szCs w:val="24"/>
          <w:lang w:val="en-US" w:eastAsia="zh-CN"/>
        </w:rPr>
        <w:t>1.6-fold</w:t>
      </w:r>
      <w:r w:rsidRPr="00B84270">
        <w:rPr>
          <w:rFonts w:ascii="Arial" w:eastAsia="SimSun" w:hAnsi="Arial" w:cs="Arial"/>
          <w:sz w:val="24"/>
          <w:szCs w:val="24"/>
          <w:lang w:val="en-US" w:eastAsia="zh-CN"/>
        </w:rPr>
        <w:t>; p&lt;0.05)</w:t>
      </w:r>
      <w:r w:rsidR="00F20618" w:rsidRPr="00B84270">
        <w:rPr>
          <w:rFonts w:ascii="Arial" w:eastAsia="SimSun" w:hAnsi="Arial" w:cs="Arial"/>
          <w:sz w:val="24"/>
          <w:szCs w:val="24"/>
          <w:lang w:val="en-US" w:eastAsia="zh-CN"/>
        </w:rPr>
        <w:t>,</w:t>
      </w:r>
      <w:r w:rsidRPr="00B84270">
        <w:rPr>
          <w:rFonts w:ascii="Arial" w:eastAsia="SimSun" w:hAnsi="Arial" w:cs="Arial"/>
          <w:sz w:val="24"/>
          <w:szCs w:val="24"/>
          <w:lang w:val="en-US" w:eastAsia="zh-CN"/>
        </w:rPr>
        <w:t xml:space="preserve"> and further de</w:t>
      </w:r>
      <w:r w:rsidR="00BA73AD" w:rsidRPr="00B84270">
        <w:rPr>
          <w:rFonts w:ascii="Arial" w:eastAsia="SimSun" w:hAnsi="Arial" w:cs="Arial"/>
          <w:sz w:val="24"/>
          <w:szCs w:val="24"/>
          <w:lang w:val="en-US" w:eastAsia="zh-CN"/>
        </w:rPr>
        <w:t xml:space="preserve">creased </w:t>
      </w:r>
      <w:r w:rsidR="00360894" w:rsidRPr="00B84270">
        <w:rPr>
          <w:rFonts w:ascii="Arial" w:eastAsia="SimSun" w:hAnsi="Arial" w:cs="Arial"/>
          <w:sz w:val="24"/>
          <w:szCs w:val="24"/>
          <w:lang w:val="en-US" w:eastAsia="zh-CN"/>
        </w:rPr>
        <w:t>at 48 h (2.2-fold</w:t>
      </w:r>
      <w:r w:rsidR="00B34FAA" w:rsidRPr="00B84270">
        <w:rPr>
          <w:rFonts w:ascii="Arial" w:eastAsia="SimSun" w:hAnsi="Arial" w:cs="Arial"/>
          <w:sz w:val="24"/>
          <w:szCs w:val="24"/>
          <w:lang w:val="en-US" w:eastAsia="zh-CN"/>
        </w:rPr>
        <w:t>; p&lt;0.02)</w:t>
      </w:r>
      <w:r w:rsidR="00BA73AD" w:rsidRPr="00B84270">
        <w:rPr>
          <w:rFonts w:ascii="Arial" w:eastAsia="SimSun" w:hAnsi="Arial" w:cs="Arial"/>
          <w:sz w:val="24"/>
          <w:szCs w:val="24"/>
          <w:lang w:val="en-US" w:eastAsia="zh-CN"/>
        </w:rPr>
        <w:t xml:space="preserve"> in </w:t>
      </w:r>
      <w:proofErr w:type="spellStart"/>
      <w:r w:rsidR="00BA73AD" w:rsidRPr="00B84270">
        <w:rPr>
          <w:rFonts w:ascii="Arial" w:eastAsia="SimSun" w:hAnsi="Arial" w:cs="Arial"/>
          <w:sz w:val="24"/>
          <w:szCs w:val="24"/>
          <w:lang w:val="en-US" w:eastAsia="zh-CN"/>
        </w:rPr>
        <w:t>Wt</w:t>
      </w:r>
      <w:proofErr w:type="spellEnd"/>
      <w:r w:rsidR="00BA73AD" w:rsidRPr="00B84270">
        <w:rPr>
          <w:rFonts w:ascii="Arial" w:eastAsia="SimSun" w:hAnsi="Arial" w:cs="Arial"/>
          <w:sz w:val="24"/>
          <w:szCs w:val="24"/>
          <w:lang w:val="en-US" w:eastAsia="zh-CN"/>
        </w:rPr>
        <w:t xml:space="preserve"> cells </w:t>
      </w:r>
      <w:r w:rsidR="00E723C1" w:rsidRPr="00B84270">
        <w:rPr>
          <w:rFonts w:ascii="Arial" w:eastAsia="SimSun" w:hAnsi="Arial" w:cs="Arial"/>
          <w:sz w:val="24"/>
          <w:szCs w:val="24"/>
          <w:lang w:val="en-US" w:eastAsia="zh-CN"/>
        </w:rPr>
        <w:t xml:space="preserve">(Fig.5A) </w:t>
      </w:r>
      <w:r w:rsidR="00BA73AD" w:rsidRPr="00B84270">
        <w:rPr>
          <w:rFonts w:ascii="Arial" w:eastAsia="SimSun" w:hAnsi="Arial" w:cs="Arial"/>
          <w:sz w:val="24"/>
          <w:szCs w:val="24"/>
          <w:lang w:val="en-US" w:eastAsia="zh-CN"/>
        </w:rPr>
        <w:t>and from 30 min to 24 h (3.1-fold; p&lt;0.04)</w:t>
      </w:r>
      <w:r w:rsidR="00F20618" w:rsidRPr="00B84270">
        <w:rPr>
          <w:rFonts w:ascii="Arial" w:eastAsia="SimSun" w:hAnsi="Arial" w:cs="Arial"/>
          <w:sz w:val="24"/>
          <w:szCs w:val="24"/>
          <w:lang w:val="en-US" w:eastAsia="zh-CN"/>
        </w:rPr>
        <w:t>,</w:t>
      </w:r>
      <w:r w:rsidR="00BA73AD" w:rsidRPr="00B84270">
        <w:rPr>
          <w:rFonts w:ascii="Arial" w:eastAsia="SimSun" w:hAnsi="Arial" w:cs="Arial"/>
          <w:sz w:val="24"/>
          <w:szCs w:val="24"/>
          <w:lang w:val="en-US" w:eastAsia="zh-CN"/>
        </w:rPr>
        <w:t xml:space="preserve">and further decreased at 48 h (3.4-fold; p&lt;0.03) in </w:t>
      </w:r>
      <w:r w:rsidR="00FF5648" w:rsidRPr="00B84270">
        <w:rPr>
          <w:rFonts w:ascii="Arial" w:eastAsia="SimSun" w:hAnsi="Arial" w:cs="Arial"/>
          <w:sz w:val="24"/>
          <w:szCs w:val="24"/>
          <w:lang w:val="en-US" w:eastAsia="zh-CN"/>
        </w:rPr>
        <w:t xml:space="preserve">recombinant </w:t>
      </w:r>
      <w:r w:rsidR="00BA73AD" w:rsidRPr="00B84270">
        <w:rPr>
          <w:rFonts w:ascii="Arial" w:eastAsia="SimSun" w:hAnsi="Arial" w:cs="Arial"/>
          <w:sz w:val="24"/>
          <w:szCs w:val="24"/>
          <w:lang w:val="en-US" w:eastAsia="zh-CN"/>
        </w:rPr>
        <w:t>cells</w:t>
      </w:r>
      <w:r w:rsidR="00E723C1" w:rsidRPr="00B84270">
        <w:rPr>
          <w:rFonts w:ascii="Arial" w:eastAsia="SimSun" w:hAnsi="Arial" w:cs="Arial"/>
          <w:sz w:val="24"/>
          <w:szCs w:val="24"/>
          <w:lang w:val="en-US" w:eastAsia="zh-CN"/>
        </w:rPr>
        <w:t xml:space="preserve"> (Fig. 5B)</w:t>
      </w:r>
      <w:r w:rsidR="00BA73AD" w:rsidRPr="00B84270">
        <w:rPr>
          <w:rFonts w:ascii="Arial" w:eastAsia="SimSun" w:hAnsi="Arial" w:cs="Arial"/>
          <w:sz w:val="24"/>
          <w:szCs w:val="24"/>
          <w:lang w:val="en-US" w:eastAsia="zh-CN"/>
        </w:rPr>
        <w:t xml:space="preserve">. </w:t>
      </w:r>
    </w:p>
    <w:p w:rsidR="001C6505" w:rsidRPr="00B84270" w:rsidRDefault="001C6505" w:rsidP="006B51F2">
      <w:pPr>
        <w:spacing w:after="0" w:line="360" w:lineRule="auto"/>
        <w:ind w:firstLine="720"/>
        <w:rPr>
          <w:rFonts w:ascii="Arial" w:eastAsia="SimSun" w:hAnsi="Arial" w:cs="Arial"/>
          <w:sz w:val="24"/>
          <w:szCs w:val="24"/>
          <w:lang w:val="en-US"/>
        </w:rPr>
      </w:pPr>
    </w:p>
    <w:p w:rsidR="00525C2B" w:rsidRPr="00B84270" w:rsidRDefault="00525C2B" w:rsidP="00643A25">
      <w:pPr>
        <w:spacing w:after="0" w:line="360" w:lineRule="auto"/>
        <w:rPr>
          <w:rFonts w:ascii="Arial" w:hAnsi="Arial" w:cs="Arial"/>
          <w:sz w:val="24"/>
          <w:szCs w:val="24"/>
          <w:lang w:val="en-US"/>
        </w:rPr>
      </w:pPr>
      <w:r w:rsidRPr="00B84270">
        <w:rPr>
          <w:rFonts w:ascii="Arial" w:hAnsi="Arial" w:cs="Arial"/>
          <w:b/>
          <w:sz w:val="24"/>
          <w:szCs w:val="24"/>
          <w:lang w:val="en-US"/>
        </w:rPr>
        <w:lastRenderedPageBreak/>
        <w:t>Gene expression analyses</w:t>
      </w:r>
      <w:r w:rsidR="00433B94" w:rsidRPr="00B84270">
        <w:rPr>
          <w:rFonts w:ascii="Arial" w:hAnsi="Arial" w:cs="Arial"/>
          <w:b/>
          <w:sz w:val="24"/>
          <w:szCs w:val="24"/>
          <w:lang w:val="en-US"/>
        </w:rPr>
        <w:t xml:space="preserve">: </w:t>
      </w:r>
      <w:r w:rsidR="00457D15" w:rsidRPr="00B84270">
        <w:rPr>
          <w:rFonts w:ascii="Arial" w:hAnsi="Arial" w:cs="Arial"/>
          <w:sz w:val="24"/>
          <w:szCs w:val="24"/>
          <w:lang w:val="en-US"/>
        </w:rPr>
        <w:t xml:space="preserve">The </w:t>
      </w:r>
      <w:r w:rsidR="00033A2F" w:rsidRPr="00B84270">
        <w:rPr>
          <w:rFonts w:ascii="Arial" w:hAnsi="Arial" w:cs="Arial"/>
          <w:sz w:val="24"/>
          <w:szCs w:val="24"/>
          <w:lang w:val="en-US"/>
        </w:rPr>
        <w:t xml:space="preserve">mRNA expression of core </w:t>
      </w:r>
      <w:r w:rsidR="00E27C94" w:rsidRPr="00B84270">
        <w:rPr>
          <w:rFonts w:ascii="Arial" w:hAnsi="Arial" w:cs="Arial"/>
          <w:sz w:val="24"/>
          <w:szCs w:val="24"/>
          <w:lang w:val="en-US"/>
        </w:rPr>
        <w:t xml:space="preserve">iron-related genes </w:t>
      </w:r>
      <w:proofErr w:type="gramStart"/>
      <w:r w:rsidR="00E27C94" w:rsidRPr="00B84270">
        <w:rPr>
          <w:rFonts w:ascii="Arial" w:hAnsi="Arial" w:cs="Arial"/>
          <w:sz w:val="24"/>
          <w:szCs w:val="24"/>
          <w:lang w:val="en-US"/>
        </w:rPr>
        <w:t>were</w:t>
      </w:r>
      <w:proofErr w:type="gramEnd"/>
      <w:r w:rsidR="00E27C94" w:rsidRPr="00B84270">
        <w:rPr>
          <w:rFonts w:ascii="Arial" w:hAnsi="Arial" w:cs="Arial"/>
          <w:sz w:val="24"/>
          <w:szCs w:val="24"/>
          <w:lang w:val="en-US"/>
        </w:rPr>
        <w:t xml:space="preserve"> </w:t>
      </w:r>
      <w:r w:rsidRPr="00B84270">
        <w:rPr>
          <w:rFonts w:ascii="Arial" w:hAnsi="Arial" w:cs="Arial"/>
          <w:sz w:val="24"/>
          <w:szCs w:val="24"/>
          <w:lang w:val="en-US"/>
        </w:rPr>
        <w:t xml:space="preserve">assessed and compared to respective untreated (0 g/L) cells at </w:t>
      </w:r>
      <w:r w:rsidR="00A678E0" w:rsidRPr="00B84270">
        <w:rPr>
          <w:rFonts w:ascii="Arial" w:hAnsi="Arial" w:cs="Arial"/>
          <w:sz w:val="24"/>
          <w:szCs w:val="24"/>
          <w:lang w:val="en-US"/>
        </w:rPr>
        <w:t xml:space="preserve">each corresponding </w:t>
      </w:r>
      <w:r w:rsidRPr="00B84270">
        <w:rPr>
          <w:rFonts w:ascii="Arial" w:hAnsi="Arial" w:cs="Arial"/>
          <w:sz w:val="24"/>
          <w:szCs w:val="24"/>
          <w:lang w:val="en-US"/>
        </w:rPr>
        <w:t>time-point</w:t>
      </w:r>
      <w:r w:rsidR="00E27C94" w:rsidRPr="00B84270">
        <w:rPr>
          <w:rFonts w:ascii="Arial" w:hAnsi="Arial" w:cs="Arial"/>
          <w:sz w:val="24"/>
          <w:szCs w:val="24"/>
          <w:lang w:val="en-US"/>
        </w:rPr>
        <w:t>.</w:t>
      </w:r>
      <w:r w:rsidR="008579AE" w:rsidRPr="00B84270">
        <w:rPr>
          <w:rFonts w:ascii="Arial" w:hAnsi="Arial" w:cs="Arial"/>
          <w:sz w:val="24"/>
          <w:szCs w:val="24"/>
          <w:lang w:val="en-US"/>
        </w:rPr>
        <w:t xml:space="preserve"> </w:t>
      </w:r>
      <w:r w:rsidR="0032139D" w:rsidRPr="00B84270">
        <w:rPr>
          <w:rFonts w:ascii="Arial" w:hAnsi="Arial" w:cs="Arial"/>
          <w:sz w:val="24"/>
          <w:szCs w:val="24"/>
          <w:lang w:val="en-US"/>
        </w:rPr>
        <w:t xml:space="preserve">In </w:t>
      </w:r>
      <w:r w:rsidR="004A51EF" w:rsidRPr="00B84270">
        <w:rPr>
          <w:rFonts w:ascii="Arial" w:hAnsi="Arial" w:cs="Arial"/>
          <w:sz w:val="24"/>
          <w:szCs w:val="24"/>
          <w:lang w:val="en-US"/>
        </w:rPr>
        <w:t>Wt</w:t>
      </w:r>
      <w:r w:rsidRPr="00B84270">
        <w:rPr>
          <w:rFonts w:ascii="Arial" w:hAnsi="Arial" w:cs="Arial"/>
          <w:sz w:val="24"/>
          <w:szCs w:val="24"/>
          <w:lang w:val="en-US"/>
        </w:rPr>
        <w:t xml:space="preserve"> cells, </w:t>
      </w:r>
      <w:r w:rsidRPr="00B84270">
        <w:rPr>
          <w:rFonts w:ascii="Arial" w:hAnsi="Arial" w:cs="Arial"/>
          <w:i/>
          <w:sz w:val="24"/>
          <w:szCs w:val="24"/>
          <w:lang w:val="en-US"/>
        </w:rPr>
        <w:t>HAMP</w:t>
      </w:r>
      <w:r w:rsidRPr="00B84270">
        <w:rPr>
          <w:rFonts w:ascii="Arial" w:hAnsi="Arial" w:cs="Arial"/>
          <w:sz w:val="24"/>
          <w:szCs w:val="24"/>
          <w:lang w:val="en-US"/>
        </w:rPr>
        <w:t xml:space="preserve"> mRNA expression significantly </w:t>
      </w:r>
      <w:r w:rsidR="008F64D5" w:rsidRPr="00B84270">
        <w:rPr>
          <w:rFonts w:ascii="Arial" w:hAnsi="Arial" w:cs="Arial"/>
          <w:sz w:val="24"/>
          <w:szCs w:val="24"/>
          <w:lang w:val="en-US"/>
        </w:rPr>
        <w:t xml:space="preserve">increased </w:t>
      </w:r>
      <w:r w:rsidRPr="00B84270">
        <w:rPr>
          <w:rFonts w:ascii="Arial" w:hAnsi="Arial" w:cs="Arial"/>
          <w:sz w:val="24"/>
          <w:szCs w:val="24"/>
          <w:lang w:val="en-US"/>
        </w:rPr>
        <w:t xml:space="preserve">at 4 h (2.2 fold; p&lt;0.05) and 24 h (1.6 fold; p&lt;0.02), whereas </w:t>
      </w:r>
      <w:r w:rsidR="00F20618" w:rsidRPr="00B84270">
        <w:rPr>
          <w:rFonts w:ascii="Arial" w:hAnsi="Arial" w:cs="Arial"/>
          <w:sz w:val="24"/>
          <w:szCs w:val="24"/>
          <w:lang w:val="en-US"/>
        </w:rPr>
        <w:t xml:space="preserve">in rec-TfR1 HepG2 cells, it </w:t>
      </w:r>
      <w:r w:rsidRPr="00B84270">
        <w:rPr>
          <w:rFonts w:ascii="Arial" w:hAnsi="Arial" w:cs="Arial"/>
          <w:sz w:val="24"/>
          <w:szCs w:val="24"/>
          <w:lang w:val="en-US"/>
        </w:rPr>
        <w:t>significant</w:t>
      </w:r>
      <w:r w:rsidR="00F20618" w:rsidRPr="00B84270">
        <w:rPr>
          <w:rFonts w:ascii="Arial" w:hAnsi="Arial" w:cs="Arial"/>
          <w:sz w:val="24"/>
          <w:szCs w:val="24"/>
          <w:lang w:val="en-US"/>
        </w:rPr>
        <w:t>ly</w:t>
      </w:r>
      <w:r w:rsidR="008579AE" w:rsidRPr="00B84270">
        <w:rPr>
          <w:rFonts w:ascii="Arial" w:hAnsi="Arial" w:cs="Arial"/>
          <w:sz w:val="24"/>
          <w:szCs w:val="24"/>
          <w:lang w:val="en-US"/>
        </w:rPr>
        <w:t xml:space="preserve"> </w:t>
      </w:r>
      <w:r w:rsidRPr="00B84270">
        <w:rPr>
          <w:rFonts w:ascii="Arial" w:hAnsi="Arial" w:cs="Arial"/>
          <w:sz w:val="24"/>
          <w:szCs w:val="24"/>
          <w:lang w:val="en-US"/>
        </w:rPr>
        <w:t>increase</w:t>
      </w:r>
      <w:r w:rsidR="00F20618" w:rsidRPr="00B84270">
        <w:rPr>
          <w:rFonts w:ascii="Arial" w:hAnsi="Arial" w:cs="Arial"/>
          <w:sz w:val="24"/>
          <w:szCs w:val="24"/>
          <w:lang w:val="en-US"/>
        </w:rPr>
        <w:t>d</w:t>
      </w:r>
      <w:r w:rsidRPr="00B84270">
        <w:rPr>
          <w:rFonts w:ascii="Arial" w:hAnsi="Arial" w:cs="Arial"/>
          <w:sz w:val="24"/>
          <w:szCs w:val="24"/>
          <w:lang w:val="en-US"/>
        </w:rPr>
        <w:t xml:space="preserve"> only at 2 h (1.5-fold; p&lt;0.02) (</w:t>
      </w:r>
      <w:r w:rsidR="00535414" w:rsidRPr="00B84270">
        <w:rPr>
          <w:rFonts w:ascii="Arial" w:hAnsi="Arial" w:cs="Arial"/>
          <w:sz w:val="24"/>
          <w:szCs w:val="24"/>
          <w:lang w:val="en-US"/>
        </w:rPr>
        <w:t>Fig.</w:t>
      </w:r>
      <w:r w:rsidR="00027E0E" w:rsidRPr="00B84270">
        <w:rPr>
          <w:rFonts w:ascii="Arial" w:hAnsi="Arial" w:cs="Arial"/>
          <w:sz w:val="24"/>
          <w:szCs w:val="24"/>
          <w:lang w:val="en-US"/>
        </w:rPr>
        <w:t>6</w:t>
      </w:r>
      <w:r w:rsidR="00535414" w:rsidRPr="00B84270">
        <w:rPr>
          <w:rFonts w:ascii="Arial" w:hAnsi="Arial" w:cs="Arial"/>
          <w:sz w:val="24"/>
          <w:szCs w:val="24"/>
          <w:lang w:val="en-US"/>
        </w:rPr>
        <w:t>A</w:t>
      </w:r>
      <w:r w:rsidRPr="00B84270">
        <w:rPr>
          <w:rFonts w:ascii="Arial" w:hAnsi="Arial" w:cs="Arial"/>
          <w:sz w:val="24"/>
          <w:szCs w:val="24"/>
          <w:lang w:val="en-US"/>
        </w:rPr>
        <w:t>).</w:t>
      </w:r>
      <w:r w:rsidR="00E723C1" w:rsidRPr="00B84270">
        <w:rPr>
          <w:rFonts w:ascii="Arial" w:hAnsi="Arial" w:cs="Arial"/>
          <w:sz w:val="24"/>
          <w:szCs w:val="24"/>
          <w:lang w:val="en-US"/>
        </w:rPr>
        <w:t xml:space="preserve"> </w:t>
      </w:r>
      <w:r w:rsidR="007355A5" w:rsidRPr="00B84270">
        <w:rPr>
          <w:rFonts w:ascii="Arial" w:hAnsi="Arial" w:cs="Arial"/>
          <w:sz w:val="24"/>
          <w:szCs w:val="24"/>
          <w:lang w:val="en-US"/>
        </w:rPr>
        <w:t xml:space="preserve">While </w:t>
      </w:r>
      <w:r w:rsidRPr="00B84270">
        <w:rPr>
          <w:rFonts w:ascii="Arial" w:hAnsi="Arial" w:cs="Arial"/>
          <w:i/>
          <w:sz w:val="24"/>
          <w:szCs w:val="24"/>
          <w:lang w:val="en-US"/>
        </w:rPr>
        <w:t>SLC40A1</w:t>
      </w:r>
      <w:r w:rsidRPr="00B84270">
        <w:rPr>
          <w:rFonts w:ascii="Arial" w:hAnsi="Arial" w:cs="Arial"/>
          <w:sz w:val="24"/>
          <w:szCs w:val="24"/>
          <w:lang w:val="en-US"/>
        </w:rPr>
        <w:t xml:space="preserve"> mRNA </w:t>
      </w:r>
      <w:r w:rsidR="00E27C94" w:rsidRPr="00B84270">
        <w:rPr>
          <w:rFonts w:ascii="Arial" w:hAnsi="Arial" w:cs="Arial"/>
          <w:sz w:val="24"/>
          <w:szCs w:val="24"/>
          <w:lang w:val="en-US"/>
        </w:rPr>
        <w:t>expression</w:t>
      </w:r>
      <w:r w:rsidR="008579AE" w:rsidRPr="00B84270">
        <w:rPr>
          <w:rFonts w:ascii="Arial" w:hAnsi="Arial" w:cs="Arial"/>
          <w:sz w:val="24"/>
          <w:szCs w:val="24"/>
          <w:lang w:val="en-US"/>
        </w:rPr>
        <w:t xml:space="preserve"> </w:t>
      </w:r>
      <w:r w:rsidRPr="00B84270">
        <w:rPr>
          <w:rFonts w:ascii="Arial" w:hAnsi="Arial" w:cs="Arial"/>
          <w:sz w:val="24"/>
          <w:szCs w:val="24"/>
          <w:lang w:val="en-US"/>
        </w:rPr>
        <w:t xml:space="preserve">remained unaltered </w:t>
      </w:r>
      <w:r w:rsidR="007355A5" w:rsidRPr="00B84270">
        <w:rPr>
          <w:rFonts w:ascii="Arial" w:hAnsi="Arial" w:cs="Arial"/>
          <w:sz w:val="24"/>
          <w:szCs w:val="24"/>
          <w:lang w:val="en-US"/>
        </w:rPr>
        <w:t xml:space="preserve">in Wt cells </w:t>
      </w:r>
      <w:r w:rsidRPr="00B84270">
        <w:rPr>
          <w:rFonts w:ascii="Arial" w:hAnsi="Arial" w:cs="Arial"/>
          <w:sz w:val="24"/>
          <w:szCs w:val="24"/>
          <w:lang w:val="en-US"/>
        </w:rPr>
        <w:t>(</w:t>
      </w:r>
      <w:r w:rsidR="00535414" w:rsidRPr="00B84270">
        <w:rPr>
          <w:rFonts w:ascii="Arial" w:hAnsi="Arial" w:cs="Arial"/>
          <w:sz w:val="24"/>
          <w:szCs w:val="24"/>
          <w:lang w:val="en-US"/>
        </w:rPr>
        <w:t>Fig.</w:t>
      </w:r>
      <w:r w:rsidR="00915939" w:rsidRPr="00B84270">
        <w:rPr>
          <w:rFonts w:ascii="Arial" w:hAnsi="Arial" w:cs="Arial"/>
          <w:sz w:val="24"/>
          <w:szCs w:val="24"/>
          <w:lang w:val="en-US"/>
        </w:rPr>
        <w:t>6</w:t>
      </w:r>
      <w:r w:rsidR="00535414" w:rsidRPr="00B84270">
        <w:rPr>
          <w:rFonts w:ascii="Arial" w:hAnsi="Arial" w:cs="Arial"/>
          <w:sz w:val="24"/>
          <w:szCs w:val="24"/>
          <w:lang w:val="en-US"/>
        </w:rPr>
        <w:t>B</w:t>
      </w:r>
      <w:r w:rsidR="007355A5" w:rsidRPr="00B84270">
        <w:rPr>
          <w:rFonts w:ascii="Arial" w:hAnsi="Arial" w:cs="Arial"/>
          <w:sz w:val="24"/>
          <w:szCs w:val="24"/>
          <w:lang w:val="en-US"/>
        </w:rPr>
        <w:t xml:space="preserve">), </w:t>
      </w:r>
      <w:r w:rsidR="00A41105" w:rsidRPr="00B84270">
        <w:rPr>
          <w:rFonts w:ascii="Arial" w:hAnsi="Arial" w:cs="Arial"/>
          <w:sz w:val="24"/>
          <w:szCs w:val="24"/>
          <w:lang w:val="en-US"/>
        </w:rPr>
        <w:t xml:space="preserve">in </w:t>
      </w:r>
      <w:r w:rsidRPr="00B84270">
        <w:rPr>
          <w:rFonts w:ascii="Arial" w:hAnsi="Arial" w:cs="Arial"/>
          <w:sz w:val="24"/>
          <w:szCs w:val="24"/>
          <w:lang w:val="en-US"/>
        </w:rPr>
        <w:t>rec-TfR1 HepG2 cells, an unaltered response at 30 min, a 1.8-fold increase at 2 h (p&lt;0.05) and a 3-fold increase at 4 h (p&lt;0.05)</w:t>
      </w:r>
      <w:r w:rsidR="008F64D5" w:rsidRPr="00B84270">
        <w:rPr>
          <w:rFonts w:ascii="Arial" w:hAnsi="Arial" w:cs="Arial"/>
          <w:sz w:val="24"/>
          <w:szCs w:val="24"/>
          <w:lang w:val="en-US"/>
        </w:rPr>
        <w:t xml:space="preserve"> was observed, followed by unchanged expression at </w:t>
      </w:r>
      <w:r w:rsidR="009B2F1D" w:rsidRPr="00B84270">
        <w:rPr>
          <w:rFonts w:ascii="Arial" w:hAnsi="Arial" w:cs="Arial"/>
          <w:sz w:val="24"/>
          <w:szCs w:val="24"/>
          <w:lang w:val="en-US"/>
        </w:rPr>
        <w:t xml:space="preserve">24 h and 48 h of holo-Tf treatment </w:t>
      </w:r>
      <w:r w:rsidRPr="00B84270">
        <w:rPr>
          <w:rFonts w:ascii="Arial" w:hAnsi="Arial" w:cs="Arial"/>
          <w:sz w:val="24"/>
          <w:szCs w:val="24"/>
          <w:lang w:val="en-US"/>
        </w:rPr>
        <w:t>(</w:t>
      </w:r>
      <w:r w:rsidR="00915939" w:rsidRPr="00B84270">
        <w:rPr>
          <w:rFonts w:ascii="Arial" w:hAnsi="Arial" w:cs="Arial"/>
          <w:sz w:val="24"/>
          <w:szCs w:val="24"/>
          <w:lang w:val="en-US"/>
        </w:rPr>
        <w:t>Fig.6</w:t>
      </w:r>
      <w:r w:rsidR="00535414" w:rsidRPr="00B84270">
        <w:rPr>
          <w:rFonts w:ascii="Arial" w:hAnsi="Arial" w:cs="Arial"/>
          <w:sz w:val="24"/>
          <w:szCs w:val="24"/>
          <w:lang w:val="en-US"/>
        </w:rPr>
        <w:t>B</w:t>
      </w:r>
      <w:r w:rsidRPr="00B84270">
        <w:rPr>
          <w:rFonts w:ascii="Arial" w:hAnsi="Arial" w:cs="Arial"/>
          <w:sz w:val="24"/>
          <w:szCs w:val="24"/>
          <w:lang w:val="en-US"/>
        </w:rPr>
        <w:t xml:space="preserve">). </w:t>
      </w:r>
    </w:p>
    <w:p w:rsidR="00E05315" w:rsidRPr="00B84270" w:rsidRDefault="00525C2B" w:rsidP="003F7400">
      <w:pPr>
        <w:spacing w:after="0" w:line="360" w:lineRule="auto"/>
        <w:ind w:firstLine="720"/>
        <w:rPr>
          <w:rFonts w:ascii="Arial" w:hAnsi="Arial" w:cs="Arial"/>
          <w:sz w:val="24"/>
          <w:szCs w:val="24"/>
          <w:lang w:val="en-US"/>
        </w:rPr>
      </w:pPr>
      <w:r w:rsidRPr="00B84270">
        <w:rPr>
          <w:rFonts w:ascii="Arial" w:hAnsi="Arial" w:cs="Arial"/>
          <w:sz w:val="24"/>
          <w:szCs w:val="24"/>
          <w:lang w:val="en-US"/>
        </w:rPr>
        <w:t>Both</w:t>
      </w:r>
      <w:r w:rsidR="00915A79" w:rsidRPr="00B84270">
        <w:rPr>
          <w:rFonts w:ascii="Arial" w:hAnsi="Arial" w:cs="Arial"/>
          <w:sz w:val="24"/>
          <w:szCs w:val="24"/>
          <w:lang w:val="en-US"/>
        </w:rPr>
        <w:t>,</w:t>
      </w:r>
      <w:r w:rsidR="00E24D9D" w:rsidRPr="00B84270">
        <w:rPr>
          <w:rFonts w:ascii="Arial" w:hAnsi="Arial" w:cs="Arial"/>
          <w:sz w:val="24"/>
          <w:szCs w:val="24"/>
          <w:lang w:val="en-US"/>
        </w:rPr>
        <w:t xml:space="preserve"> </w:t>
      </w:r>
      <w:proofErr w:type="spellStart"/>
      <w:r w:rsidR="004A51EF" w:rsidRPr="00B84270">
        <w:rPr>
          <w:rFonts w:ascii="Arial" w:hAnsi="Arial" w:cs="Arial"/>
          <w:sz w:val="24"/>
          <w:szCs w:val="24"/>
          <w:lang w:val="en-US"/>
        </w:rPr>
        <w:t>Wt</w:t>
      </w:r>
      <w:proofErr w:type="spellEnd"/>
      <w:r w:rsidRPr="00B84270">
        <w:rPr>
          <w:rFonts w:ascii="Arial" w:hAnsi="Arial" w:cs="Arial"/>
          <w:sz w:val="24"/>
          <w:szCs w:val="24"/>
          <w:lang w:val="en-US"/>
        </w:rPr>
        <w:t xml:space="preserve"> and rec-TfR1</w:t>
      </w:r>
      <w:r w:rsidR="00E723C1" w:rsidRPr="00B84270">
        <w:rPr>
          <w:rFonts w:ascii="Arial" w:hAnsi="Arial" w:cs="Arial"/>
          <w:sz w:val="24"/>
          <w:szCs w:val="24"/>
          <w:lang w:val="en-US"/>
        </w:rPr>
        <w:t xml:space="preserve"> </w:t>
      </w:r>
      <w:r w:rsidRPr="00B84270">
        <w:rPr>
          <w:rFonts w:ascii="Arial" w:hAnsi="Arial" w:cs="Arial"/>
          <w:sz w:val="24"/>
          <w:szCs w:val="24"/>
          <w:lang w:val="en-US"/>
        </w:rPr>
        <w:t xml:space="preserve">HepG2 cells showed no change in </w:t>
      </w:r>
      <w:r w:rsidRPr="00B84270">
        <w:rPr>
          <w:rFonts w:ascii="Arial" w:hAnsi="Arial" w:cs="Arial"/>
          <w:i/>
          <w:sz w:val="24"/>
          <w:szCs w:val="24"/>
          <w:lang w:val="en-US"/>
        </w:rPr>
        <w:t>HFE</w:t>
      </w:r>
      <w:r w:rsidR="00CB6934" w:rsidRPr="00B84270">
        <w:rPr>
          <w:rFonts w:ascii="Arial" w:hAnsi="Arial" w:cs="Arial"/>
          <w:sz w:val="24"/>
          <w:szCs w:val="24"/>
          <w:lang w:val="en-US"/>
        </w:rPr>
        <w:t xml:space="preserve"> mRNA expression during short-term treatment </w:t>
      </w:r>
      <w:r w:rsidRPr="00B84270">
        <w:rPr>
          <w:rFonts w:ascii="Arial" w:hAnsi="Arial" w:cs="Arial"/>
          <w:sz w:val="24"/>
          <w:szCs w:val="24"/>
          <w:lang w:val="en-US"/>
        </w:rPr>
        <w:t>(</w:t>
      </w:r>
      <w:r w:rsidR="00535414" w:rsidRPr="00B84270">
        <w:rPr>
          <w:rFonts w:ascii="Arial" w:hAnsi="Arial" w:cs="Arial"/>
          <w:sz w:val="24"/>
          <w:szCs w:val="24"/>
          <w:lang w:val="en-US"/>
        </w:rPr>
        <w:t>Fig.</w:t>
      </w:r>
      <w:r w:rsidR="00074F0C" w:rsidRPr="00B84270">
        <w:rPr>
          <w:rFonts w:ascii="Arial" w:hAnsi="Arial" w:cs="Arial"/>
          <w:sz w:val="24"/>
          <w:szCs w:val="24"/>
          <w:lang w:val="en-US"/>
        </w:rPr>
        <w:t>7A</w:t>
      </w:r>
      <w:r w:rsidRPr="00B84270">
        <w:rPr>
          <w:rFonts w:ascii="Arial" w:hAnsi="Arial" w:cs="Arial"/>
          <w:sz w:val="24"/>
          <w:szCs w:val="24"/>
          <w:lang w:val="en-US"/>
        </w:rPr>
        <w:t xml:space="preserve">). However, it was </w:t>
      </w:r>
      <w:r w:rsidR="0045089E" w:rsidRPr="00B84270">
        <w:rPr>
          <w:rFonts w:ascii="Arial" w:hAnsi="Arial" w:cs="Arial"/>
          <w:sz w:val="24"/>
          <w:szCs w:val="24"/>
          <w:lang w:val="en-US"/>
        </w:rPr>
        <w:t>down-regulat</w:t>
      </w:r>
      <w:r w:rsidRPr="00B84270">
        <w:rPr>
          <w:rFonts w:ascii="Arial" w:hAnsi="Arial" w:cs="Arial"/>
          <w:sz w:val="24"/>
          <w:szCs w:val="24"/>
          <w:lang w:val="en-US"/>
        </w:rPr>
        <w:t xml:space="preserve">ed </w:t>
      </w:r>
      <w:r w:rsidR="001367ED" w:rsidRPr="00B84270">
        <w:rPr>
          <w:rFonts w:ascii="Arial" w:hAnsi="Arial" w:cs="Arial"/>
          <w:sz w:val="24"/>
          <w:szCs w:val="24"/>
          <w:lang w:val="en-US"/>
        </w:rPr>
        <w:t>a</w:t>
      </w:r>
      <w:r w:rsidRPr="00B84270">
        <w:rPr>
          <w:rFonts w:ascii="Arial" w:hAnsi="Arial" w:cs="Arial"/>
          <w:sz w:val="24"/>
          <w:szCs w:val="24"/>
          <w:lang w:val="en-US"/>
        </w:rPr>
        <w:t>t 48 h (2.7-fold,</w:t>
      </w:r>
      <w:r w:rsidR="00F1020E" w:rsidRPr="00B84270">
        <w:rPr>
          <w:rFonts w:ascii="Arial" w:hAnsi="Arial" w:cs="Arial"/>
          <w:sz w:val="24"/>
          <w:szCs w:val="24"/>
          <w:lang w:val="en-US"/>
        </w:rPr>
        <w:t xml:space="preserve"> </w:t>
      </w:r>
      <w:r w:rsidR="00A41105" w:rsidRPr="00B84270">
        <w:rPr>
          <w:rFonts w:ascii="Arial" w:hAnsi="Arial" w:cs="Arial"/>
          <w:sz w:val="24"/>
          <w:szCs w:val="24"/>
          <w:lang w:val="en-US"/>
        </w:rPr>
        <w:t xml:space="preserve">p&lt;0.05) in </w:t>
      </w:r>
      <w:r w:rsidR="00FD4846" w:rsidRPr="00B84270">
        <w:rPr>
          <w:rFonts w:ascii="Arial" w:hAnsi="Arial" w:cs="Arial"/>
          <w:sz w:val="24"/>
          <w:szCs w:val="24"/>
          <w:lang w:val="en-US"/>
        </w:rPr>
        <w:t>Wt cells</w:t>
      </w:r>
      <w:r w:rsidR="0055790C" w:rsidRPr="00B84270">
        <w:rPr>
          <w:rFonts w:ascii="Arial" w:hAnsi="Arial" w:cs="Arial"/>
          <w:sz w:val="24"/>
          <w:szCs w:val="24"/>
          <w:lang w:val="en-US"/>
        </w:rPr>
        <w:t xml:space="preserve"> </w:t>
      </w:r>
      <w:r w:rsidRPr="00B84270">
        <w:rPr>
          <w:rFonts w:ascii="Arial" w:hAnsi="Arial" w:cs="Arial"/>
          <w:sz w:val="24"/>
          <w:szCs w:val="24"/>
          <w:lang w:val="en-US"/>
        </w:rPr>
        <w:t>and at</w:t>
      </w:r>
      <w:r w:rsidR="00A41105" w:rsidRPr="00B84270">
        <w:rPr>
          <w:rFonts w:ascii="Arial" w:hAnsi="Arial" w:cs="Arial"/>
          <w:sz w:val="24"/>
          <w:szCs w:val="24"/>
          <w:lang w:val="en-US"/>
        </w:rPr>
        <w:t xml:space="preserve"> 24 h (2.7-fold, p&lt;0.05) in </w:t>
      </w:r>
      <w:r w:rsidRPr="00B84270">
        <w:rPr>
          <w:rFonts w:ascii="Arial" w:hAnsi="Arial" w:cs="Arial"/>
          <w:sz w:val="24"/>
          <w:szCs w:val="24"/>
          <w:lang w:val="en-US"/>
        </w:rPr>
        <w:t>rec-TfR1 HepG2 cells</w:t>
      </w:r>
      <w:r w:rsidR="00EC39B6" w:rsidRPr="00B84270">
        <w:rPr>
          <w:rFonts w:ascii="Arial" w:hAnsi="Arial" w:cs="Arial"/>
          <w:sz w:val="24"/>
          <w:szCs w:val="24"/>
          <w:lang w:val="en-US"/>
        </w:rPr>
        <w:t xml:space="preserve"> (</w:t>
      </w:r>
      <w:r w:rsidR="00535414" w:rsidRPr="00B84270">
        <w:rPr>
          <w:rFonts w:ascii="Arial" w:hAnsi="Arial" w:cs="Arial"/>
          <w:sz w:val="24"/>
          <w:szCs w:val="24"/>
          <w:lang w:val="en-US"/>
        </w:rPr>
        <w:t>Fig.</w:t>
      </w:r>
      <w:r w:rsidR="00074F0C" w:rsidRPr="00B84270">
        <w:rPr>
          <w:rFonts w:ascii="Arial" w:hAnsi="Arial" w:cs="Arial"/>
          <w:sz w:val="24"/>
          <w:szCs w:val="24"/>
          <w:lang w:val="en-US"/>
        </w:rPr>
        <w:t>7A</w:t>
      </w:r>
      <w:r w:rsidR="00EC39B6" w:rsidRPr="00B84270">
        <w:rPr>
          <w:rFonts w:ascii="Arial" w:hAnsi="Arial" w:cs="Arial"/>
          <w:sz w:val="24"/>
          <w:szCs w:val="24"/>
          <w:lang w:val="en-US"/>
        </w:rPr>
        <w:t>).</w:t>
      </w:r>
      <w:r w:rsidR="0055790C" w:rsidRPr="00B84270">
        <w:rPr>
          <w:rFonts w:ascii="Arial" w:hAnsi="Arial" w:cs="Arial"/>
          <w:sz w:val="24"/>
          <w:szCs w:val="24"/>
          <w:lang w:val="en-US"/>
        </w:rPr>
        <w:t xml:space="preserve"> </w:t>
      </w:r>
      <w:r w:rsidR="007662FF" w:rsidRPr="00B84270">
        <w:rPr>
          <w:rFonts w:ascii="Arial" w:hAnsi="Arial" w:cs="Arial"/>
          <w:sz w:val="24"/>
          <w:szCs w:val="24"/>
          <w:lang w:val="en-US"/>
        </w:rPr>
        <w:t>In contrast</w:t>
      </w:r>
      <w:r w:rsidR="00A41105" w:rsidRPr="00B84270">
        <w:rPr>
          <w:rFonts w:ascii="Arial" w:hAnsi="Arial" w:cs="Arial"/>
          <w:sz w:val="24"/>
          <w:szCs w:val="24"/>
          <w:lang w:val="en-US"/>
        </w:rPr>
        <w:t xml:space="preserve">, </w:t>
      </w:r>
      <w:r w:rsidRPr="00B84270">
        <w:rPr>
          <w:rFonts w:ascii="Arial" w:hAnsi="Arial" w:cs="Arial"/>
          <w:i/>
          <w:sz w:val="24"/>
          <w:szCs w:val="24"/>
          <w:lang w:val="en-US"/>
        </w:rPr>
        <w:t>TFR2</w:t>
      </w:r>
      <w:r w:rsidRPr="00B84270">
        <w:rPr>
          <w:rFonts w:ascii="Arial" w:hAnsi="Arial" w:cs="Arial"/>
          <w:sz w:val="24"/>
          <w:szCs w:val="24"/>
          <w:lang w:val="en-US"/>
        </w:rPr>
        <w:t xml:space="preserve"> mRNA expression rema</w:t>
      </w:r>
      <w:r w:rsidR="009B2F1D" w:rsidRPr="00B84270">
        <w:rPr>
          <w:rFonts w:ascii="Arial" w:hAnsi="Arial" w:cs="Arial"/>
          <w:sz w:val="24"/>
          <w:szCs w:val="24"/>
          <w:lang w:val="en-US"/>
        </w:rPr>
        <w:t xml:space="preserve">ined unaltered </w:t>
      </w:r>
      <w:r w:rsidRPr="00B84270">
        <w:rPr>
          <w:rFonts w:ascii="Arial" w:hAnsi="Arial" w:cs="Arial"/>
          <w:sz w:val="24"/>
          <w:szCs w:val="24"/>
          <w:lang w:val="en-US"/>
        </w:rPr>
        <w:t>at 24</w:t>
      </w:r>
      <w:r w:rsidR="00CB6934" w:rsidRPr="00B84270">
        <w:rPr>
          <w:rFonts w:ascii="Arial" w:hAnsi="Arial" w:cs="Arial"/>
          <w:sz w:val="24"/>
          <w:szCs w:val="24"/>
          <w:lang w:val="en-US"/>
        </w:rPr>
        <w:t xml:space="preserve">h and 48 h and altered earlier during short-term treatment </w:t>
      </w:r>
      <w:r w:rsidRPr="00B84270">
        <w:rPr>
          <w:rFonts w:ascii="Arial" w:hAnsi="Arial" w:cs="Arial"/>
          <w:sz w:val="24"/>
          <w:szCs w:val="24"/>
          <w:lang w:val="en-US"/>
        </w:rPr>
        <w:t xml:space="preserve">in both, </w:t>
      </w:r>
      <w:r w:rsidR="004A51EF" w:rsidRPr="00B84270">
        <w:rPr>
          <w:rFonts w:ascii="Arial" w:hAnsi="Arial" w:cs="Arial"/>
          <w:sz w:val="24"/>
          <w:szCs w:val="24"/>
          <w:lang w:val="en-US"/>
        </w:rPr>
        <w:t>Wt</w:t>
      </w:r>
      <w:r w:rsidRPr="00B84270">
        <w:rPr>
          <w:rFonts w:ascii="Arial" w:hAnsi="Arial" w:cs="Arial"/>
          <w:sz w:val="24"/>
          <w:szCs w:val="24"/>
          <w:lang w:val="en-US"/>
        </w:rPr>
        <w:t xml:space="preserve"> and rec-TfR1 HepG2 cells (</w:t>
      </w:r>
      <w:r w:rsidR="00535414" w:rsidRPr="00B84270">
        <w:rPr>
          <w:rFonts w:ascii="Arial" w:hAnsi="Arial" w:cs="Arial"/>
          <w:sz w:val="24"/>
          <w:szCs w:val="24"/>
          <w:lang w:val="en-US"/>
        </w:rPr>
        <w:t>Fig.</w:t>
      </w:r>
      <w:r w:rsidR="00074F0C" w:rsidRPr="00B84270">
        <w:rPr>
          <w:rFonts w:ascii="Arial" w:hAnsi="Arial" w:cs="Arial"/>
          <w:sz w:val="24"/>
          <w:szCs w:val="24"/>
          <w:lang w:val="en-US"/>
        </w:rPr>
        <w:t>7B</w:t>
      </w:r>
      <w:r w:rsidRPr="00B84270">
        <w:rPr>
          <w:rFonts w:ascii="Arial" w:hAnsi="Arial" w:cs="Arial"/>
          <w:sz w:val="24"/>
          <w:szCs w:val="24"/>
          <w:lang w:val="en-US"/>
        </w:rPr>
        <w:t xml:space="preserve">). However, the two cell types </w:t>
      </w:r>
      <w:r w:rsidR="009B2F1D" w:rsidRPr="00B84270">
        <w:rPr>
          <w:rFonts w:ascii="Arial" w:hAnsi="Arial" w:cs="Arial"/>
          <w:sz w:val="24"/>
          <w:szCs w:val="24"/>
          <w:lang w:val="en-US"/>
        </w:rPr>
        <w:t xml:space="preserve">exhibited </w:t>
      </w:r>
      <w:r w:rsidRPr="00B84270">
        <w:rPr>
          <w:rFonts w:ascii="Arial" w:hAnsi="Arial" w:cs="Arial"/>
          <w:sz w:val="24"/>
          <w:szCs w:val="24"/>
          <w:lang w:val="en-US"/>
        </w:rPr>
        <w:t xml:space="preserve">different </w:t>
      </w:r>
      <w:r w:rsidRPr="00B84270">
        <w:rPr>
          <w:rFonts w:ascii="Arial" w:hAnsi="Arial" w:cs="Arial"/>
          <w:i/>
          <w:iCs/>
          <w:sz w:val="24"/>
          <w:szCs w:val="24"/>
          <w:lang w:val="en-US"/>
        </w:rPr>
        <w:t>TFR2</w:t>
      </w:r>
      <w:r w:rsidRPr="00B84270">
        <w:rPr>
          <w:rFonts w:ascii="Arial" w:hAnsi="Arial" w:cs="Arial"/>
          <w:sz w:val="24"/>
          <w:szCs w:val="24"/>
          <w:lang w:val="en-US"/>
        </w:rPr>
        <w:t xml:space="preserve"> mRNA responses</w:t>
      </w:r>
      <w:r w:rsidR="00CA152F" w:rsidRPr="00B84270">
        <w:rPr>
          <w:rFonts w:ascii="Arial" w:hAnsi="Arial" w:cs="Arial"/>
          <w:sz w:val="24"/>
          <w:szCs w:val="24"/>
          <w:lang w:val="en-US"/>
        </w:rPr>
        <w:t xml:space="preserve"> to treatment</w:t>
      </w:r>
      <w:r w:rsidR="0032139D" w:rsidRPr="00B84270">
        <w:rPr>
          <w:rFonts w:ascii="Arial" w:hAnsi="Arial" w:cs="Arial"/>
          <w:sz w:val="24"/>
          <w:szCs w:val="24"/>
          <w:lang w:val="en-US"/>
        </w:rPr>
        <w:t xml:space="preserve">. In </w:t>
      </w:r>
      <w:r w:rsidR="004A51EF" w:rsidRPr="00B84270">
        <w:rPr>
          <w:rFonts w:ascii="Arial" w:hAnsi="Arial" w:cs="Arial"/>
          <w:sz w:val="24"/>
          <w:szCs w:val="24"/>
          <w:lang w:val="en-US"/>
        </w:rPr>
        <w:t>Wt</w:t>
      </w:r>
      <w:r w:rsidRPr="00B84270">
        <w:rPr>
          <w:rFonts w:ascii="Arial" w:hAnsi="Arial" w:cs="Arial"/>
          <w:sz w:val="24"/>
          <w:szCs w:val="24"/>
          <w:lang w:val="en-US"/>
        </w:rPr>
        <w:t xml:space="preserve"> cells, </w:t>
      </w:r>
      <w:r w:rsidRPr="00B84270">
        <w:rPr>
          <w:rFonts w:ascii="Arial" w:hAnsi="Arial" w:cs="Arial"/>
          <w:i/>
          <w:sz w:val="24"/>
          <w:szCs w:val="24"/>
          <w:lang w:val="en-US"/>
        </w:rPr>
        <w:t>TFR2</w:t>
      </w:r>
      <w:r w:rsidRPr="00B84270">
        <w:rPr>
          <w:rFonts w:ascii="Arial" w:hAnsi="Arial" w:cs="Arial"/>
          <w:sz w:val="24"/>
          <w:szCs w:val="24"/>
          <w:lang w:val="en-US"/>
        </w:rPr>
        <w:t xml:space="preserve"> mRNA expression was up-regulated at 30 min (2.3-fold, p&lt;0.05), and later a</w:t>
      </w:r>
      <w:r w:rsidR="00726E93" w:rsidRPr="00B84270">
        <w:rPr>
          <w:rFonts w:ascii="Arial" w:hAnsi="Arial" w:cs="Arial"/>
          <w:sz w:val="24"/>
          <w:szCs w:val="24"/>
          <w:lang w:val="en-US"/>
        </w:rPr>
        <w:t xml:space="preserve">gain at 4 h (2.9-fold, p&lt;0.05), whereas in </w:t>
      </w:r>
      <w:r w:rsidRPr="00B84270">
        <w:rPr>
          <w:rFonts w:ascii="Arial" w:hAnsi="Arial" w:cs="Arial"/>
          <w:sz w:val="24"/>
          <w:szCs w:val="24"/>
          <w:lang w:val="en-US"/>
        </w:rPr>
        <w:t xml:space="preserve">rec-TfR1 HepG2 cells, </w:t>
      </w:r>
      <w:r w:rsidRPr="00B84270">
        <w:rPr>
          <w:rFonts w:ascii="Arial" w:hAnsi="Arial" w:cs="Arial"/>
          <w:i/>
          <w:sz w:val="24"/>
          <w:szCs w:val="24"/>
          <w:lang w:val="en-US"/>
        </w:rPr>
        <w:t>TFR2</w:t>
      </w:r>
      <w:r w:rsidRPr="00B84270">
        <w:rPr>
          <w:rFonts w:ascii="Arial" w:hAnsi="Arial" w:cs="Arial"/>
          <w:sz w:val="24"/>
          <w:szCs w:val="24"/>
          <w:lang w:val="en-US"/>
        </w:rPr>
        <w:t xml:space="preserve"> mRNA expression was significantly reduced at 4 h (p&lt;0.01), compared to untreated (0 g/L) cells</w:t>
      </w:r>
      <w:r w:rsidR="00F40FED" w:rsidRPr="00B84270">
        <w:rPr>
          <w:rFonts w:ascii="Arial" w:hAnsi="Arial" w:cs="Arial"/>
          <w:sz w:val="24"/>
          <w:szCs w:val="24"/>
          <w:lang w:val="en-US"/>
        </w:rPr>
        <w:t xml:space="preserve"> (</w:t>
      </w:r>
      <w:r w:rsidR="00535414" w:rsidRPr="00B84270">
        <w:rPr>
          <w:rFonts w:ascii="Arial" w:hAnsi="Arial" w:cs="Arial"/>
          <w:sz w:val="24"/>
          <w:szCs w:val="24"/>
          <w:lang w:val="en-US"/>
        </w:rPr>
        <w:t>Fig.</w:t>
      </w:r>
      <w:r w:rsidR="00074F0C" w:rsidRPr="00B84270">
        <w:rPr>
          <w:rFonts w:ascii="Arial" w:hAnsi="Arial" w:cs="Arial"/>
          <w:sz w:val="24"/>
          <w:szCs w:val="24"/>
          <w:lang w:val="en-US"/>
        </w:rPr>
        <w:t>7B</w:t>
      </w:r>
      <w:r w:rsidR="00F40FED" w:rsidRPr="00B84270">
        <w:rPr>
          <w:rFonts w:ascii="Arial" w:hAnsi="Arial" w:cs="Arial"/>
          <w:sz w:val="24"/>
          <w:szCs w:val="24"/>
          <w:lang w:val="en-US"/>
        </w:rPr>
        <w:t>).</w:t>
      </w:r>
      <w:r w:rsidR="00344359" w:rsidRPr="00B84270">
        <w:rPr>
          <w:rFonts w:ascii="Arial" w:hAnsi="Arial" w:cs="Arial"/>
          <w:sz w:val="24"/>
          <w:szCs w:val="24"/>
          <w:lang w:val="en-US"/>
        </w:rPr>
        <w:t xml:space="preserve"> </w:t>
      </w:r>
      <w:r w:rsidR="00074F0C" w:rsidRPr="00B84270">
        <w:rPr>
          <w:rFonts w:ascii="Arial" w:hAnsi="Arial" w:cs="Arial"/>
          <w:sz w:val="24"/>
          <w:szCs w:val="24"/>
          <w:lang w:val="en-US"/>
        </w:rPr>
        <w:t>Following 5 g/L treatment</w:t>
      </w:r>
      <w:r w:rsidR="00A249DA" w:rsidRPr="00B84270">
        <w:rPr>
          <w:rFonts w:ascii="Arial" w:hAnsi="Arial" w:cs="Arial"/>
          <w:sz w:val="24"/>
          <w:szCs w:val="24"/>
          <w:lang w:val="en-US"/>
        </w:rPr>
        <w:t>, there</w:t>
      </w:r>
      <w:r w:rsidR="00074F0C" w:rsidRPr="00B84270">
        <w:rPr>
          <w:rFonts w:ascii="Arial" w:hAnsi="Arial" w:cs="Arial"/>
          <w:sz w:val="24"/>
          <w:szCs w:val="24"/>
          <w:lang w:val="en-US"/>
        </w:rPr>
        <w:t xml:space="preserve"> was no major alteration in mitochondrial activity </w:t>
      </w:r>
      <w:r w:rsidR="003F7400" w:rsidRPr="00B84270">
        <w:rPr>
          <w:rFonts w:ascii="Arial" w:hAnsi="Arial" w:cs="Arial"/>
          <w:sz w:val="24"/>
          <w:szCs w:val="24"/>
          <w:lang w:val="en-US"/>
        </w:rPr>
        <w:t xml:space="preserve">except the 40 % increase in </w:t>
      </w:r>
      <w:r w:rsidR="00E05315" w:rsidRPr="00B84270">
        <w:rPr>
          <w:rFonts w:ascii="Arial" w:hAnsi="Arial" w:cs="Arial"/>
          <w:sz w:val="24"/>
          <w:szCs w:val="24"/>
          <w:lang w:val="en-US"/>
        </w:rPr>
        <w:t>Wt cells at 48 h (p&lt;0.05)</w:t>
      </w:r>
      <w:r w:rsidR="00947384" w:rsidRPr="00B84270">
        <w:rPr>
          <w:rFonts w:ascii="Arial" w:hAnsi="Arial" w:cs="Arial"/>
          <w:sz w:val="24"/>
          <w:szCs w:val="24"/>
          <w:lang w:val="en-US"/>
        </w:rPr>
        <w:t xml:space="preserve">, </w:t>
      </w:r>
      <w:r w:rsidR="003F7400" w:rsidRPr="00B84270">
        <w:rPr>
          <w:rFonts w:ascii="Arial" w:hAnsi="Arial" w:cs="Arial"/>
          <w:sz w:val="24"/>
          <w:szCs w:val="24"/>
          <w:lang w:val="en-US"/>
        </w:rPr>
        <w:t xml:space="preserve">compared to untreated (0 g/L) cells at the same time-point </w:t>
      </w:r>
      <w:r w:rsidR="00E05315" w:rsidRPr="00B84270">
        <w:rPr>
          <w:rFonts w:ascii="Arial" w:hAnsi="Arial" w:cs="Arial"/>
          <w:sz w:val="24"/>
          <w:szCs w:val="24"/>
          <w:lang w:val="en-US"/>
        </w:rPr>
        <w:t>(Fig.8)</w:t>
      </w:r>
      <w:r w:rsidR="003F7400" w:rsidRPr="00B84270">
        <w:rPr>
          <w:rFonts w:ascii="Arial" w:hAnsi="Arial" w:cs="Arial"/>
          <w:sz w:val="24"/>
          <w:szCs w:val="24"/>
          <w:lang w:val="en-US"/>
        </w:rPr>
        <w:t xml:space="preserve">. </w:t>
      </w:r>
    </w:p>
    <w:p w:rsidR="00E05315" w:rsidRPr="00B84270" w:rsidRDefault="00E05315" w:rsidP="005510CB">
      <w:pPr>
        <w:spacing w:after="0" w:line="360" w:lineRule="auto"/>
        <w:rPr>
          <w:rFonts w:ascii="Arial" w:hAnsi="Arial" w:cs="Arial"/>
          <w:b/>
          <w:sz w:val="24"/>
          <w:szCs w:val="24"/>
          <w:lang w:val="en-US"/>
        </w:rPr>
      </w:pPr>
    </w:p>
    <w:p w:rsidR="00525C2B" w:rsidRPr="00B84270" w:rsidRDefault="001F152B" w:rsidP="005510CB">
      <w:pPr>
        <w:spacing w:after="0" w:line="360" w:lineRule="auto"/>
        <w:rPr>
          <w:rFonts w:ascii="Arial" w:hAnsi="Arial" w:cs="Arial"/>
          <w:b/>
          <w:sz w:val="24"/>
          <w:szCs w:val="24"/>
          <w:lang w:val="en-US"/>
        </w:rPr>
      </w:pPr>
      <w:r w:rsidRPr="00B84270">
        <w:rPr>
          <w:rFonts w:ascii="Arial" w:hAnsi="Arial" w:cs="Arial"/>
          <w:b/>
          <w:sz w:val="24"/>
          <w:szCs w:val="24"/>
          <w:lang w:val="en-US"/>
        </w:rPr>
        <w:t>Discussion</w:t>
      </w:r>
    </w:p>
    <w:p w:rsidR="0085726B" w:rsidRPr="00B84270" w:rsidRDefault="002C2404" w:rsidP="005510CB">
      <w:pPr>
        <w:spacing w:after="0" w:line="360" w:lineRule="auto"/>
        <w:rPr>
          <w:rFonts w:ascii="Arial" w:hAnsi="Arial" w:cs="Arial"/>
          <w:sz w:val="24"/>
          <w:szCs w:val="24"/>
          <w:lang w:val="en-US"/>
        </w:rPr>
      </w:pPr>
      <w:r w:rsidRPr="00B84270">
        <w:rPr>
          <w:rFonts w:ascii="Arial" w:hAnsi="Arial" w:cs="Arial"/>
          <w:sz w:val="24"/>
          <w:szCs w:val="24"/>
          <w:lang w:val="en-US"/>
        </w:rPr>
        <w:t>The liver-secreted iron-</w:t>
      </w:r>
      <w:r w:rsidR="007D1DC2" w:rsidRPr="00B84270">
        <w:rPr>
          <w:rFonts w:ascii="Arial" w:hAnsi="Arial" w:cs="Arial"/>
          <w:sz w:val="24"/>
          <w:szCs w:val="24"/>
          <w:lang w:val="en-US"/>
        </w:rPr>
        <w:t>hormone hepcidin is the master regulator of systemic iron home</w:t>
      </w:r>
      <w:r w:rsidR="00F3265B" w:rsidRPr="00B84270">
        <w:rPr>
          <w:rFonts w:ascii="Arial" w:hAnsi="Arial" w:cs="Arial"/>
          <w:sz w:val="24"/>
          <w:szCs w:val="24"/>
          <w:lang w:val="en-US"/>
        </w:rPr>
        <w:t>ostasis</w:t>
      </w:r>
      <w:r w:rsidR="00414473" w:rsidRPr="00B84270">
        <w:rPr>
          <w:rFonts w:ascii="Arial" w:hAnsi="Arial" w:cs="Arial"/>
          <w:sz w:val="24"/>
          <w:szCs w:val="24"/>
          <w:lang w:val="en-US"/>
        </w:rPr>
        <w:t xml:space="preserve"> in the body</w:t>
      </w:r>
      <w:r w:rsidR="00F3265B" w:rsidRPr="00B84270">
        <w:rPr>
          <w:rFonts w:ascii="Arial" w:hAnsi="Arial" w:cs="Arial"/>
          <w:sz w:val="24"/>
          <w:szCs w:val="24"/>
          <w:lang w:val="en-US"/>
        </w:rPr>
        <w:t xml:space="preserve">. </w:t>
      </w:r>
      <w:r w:rsidR="00910088" w:rsidRPr="00B84270">
        <w:rPr>
          <w:rFonts w:ascii="Arial" w:hAnsi="Arial" w:cs="Arial"/>
          <w:sz w:val="24"/>
          <w:szCs w:val="24"/>
          <w:lang w:val="en-US"/>
        </w:rPr>
        <w:t xml:space="preserve">However, the </w:t>
      </w:r>
      <w:r w:rsidR="00CC7CC2" w:rsidRPr="00B84270">
        <w:rPr>
          <w:rFonts w:ascii="Arial" w:hAnsi="Arial" w:cs="Arial"/>
          <w:sz w:val="24"/>
          <w:szCs w:val="24"/>
          <w:lang w:val="en-US"/>
        </w:rPr>
        <w:t xml:space="preserve">iron-sensing </w:t>
      </w:r>
      <w:r w:rsidR="00910088" w:rsidRPr="00B84270">
        <w:rPr>
          <w:rFonts w:ascii="Arial" w:hAnsi="Arial" w:cs="Arial"/>
          <w:sz w:val="24"/>
          <w:szCs w:val="24"/>
          <w:lang w:val="en-US"/>
        </w:rPr>
        <w:t>mechanisms</w:t>
      </w:r>
      <w:r w:rsidRPr="00B84270">
        <w:rPr>
          <w:rFonts w:ascii="Arial" w:hAnsi="Arial" w:cs="Arial"/>
          <w:sz w:val="24"/>
          <w:szCs w:val="24"/>
          <w:lang w:val="en-US"/>
        </w:rPr>
        <w:t xml:space="preserve"> in the hepatocytes </w:t>
      </w:r>
      <w:r w:rsidR="00910088" w:rsidRPr="00B84270">
        <w:rPr>
          <w:rFonts w:ascii="Arial" w:hAnsi="Arial" w:cs="Arial"/>
          <w:sz w:val="24"/>
          <w:szCs w:val="24"/>
          <w:lang w:val="en-US"/>
        </w:rPr>
        <w:t>are not fully understood.</w:t>
      </w:r>
      <w:r w:rsidR="0055790C" w:rsidRPr="00B84270">
        <w:rPr>
          <w:rFonts w:ascii="Arial" w:hAnsi="Arial" w:cs="Arial"/>
          <w:sz w:val="24"/>
          <w:szCs w:val="24"/>
          <w:lang w:val="en-US"/>
        </w:rPr>
        <w:t xml:space="preserve"> </w:t>
      </w:r>
      <w:r w:rsidR="00463E71" w:rsidRPr="00B84270">
        <w:rPr>
          <w:rFonts w:ascii="Arial" w:hAnsi="Arial" w:cs="Arial"/>
          <w:sz w:val="24"/>
          <w:szCs w:val="24"/>
          <w:lang w:val="en-US"/>
        </w:rPr>
        <w:t xml:space="preserve">A role of intracellular iron in modulating hepcidin secretion </w:t>
      </w:r>
      <w:r w:rsidR="00614C46" w:rsidRPr="00B84270">
        <w:rPr>
          <w:rFonts w:ascii="Arial" w:hAnsi="Arial" w:cs="Arial"/>
          <w:sz w:val="24"/>
          <w:szCs w:val="24"/>
          <w:lang w:val="en-US"/>
        </w:rPr>
        <w:fldChar w:fldCharType="begin"/>
      </w:r>
      <w:r w:rsidR="00F1020E" w:rsidRPr="00B84270">
        <w:rPr>
          <w:rFonts w:ascii="Arial" w:hAnsi="Arial" w:cs="Arial"/>
          <w:sz w:val="24"/>
          <w:szCs w:val="24"/>
          <w:lang w:val="en-US"/>
        </w:rPr>
        <w:instrText xml:space="preserve"> ADDIN ZOTERO_ITEM CSL_CITATION {"citationID":"1n4r14gg4g","properties":{"formattedCitation":"(14)","plainCitation":"(14)"},"citationItems":[{"id":158,"uris":["http://zotero.org/users/2804724/items/HSW27J7Q"],"uri":["http://zotero.org/users/2804724/items/HSW27J7Q"],"itemData":{"id":158,"type":"article-journal","title":"Identification of an iron-hepcidin complex","container-title":"The Biochemical Journal","page":"553-557","volume":"413","issue":"3","source":"PubMed","abstract":"Following its identification as a liver-expressed antimicrobial peptide, the hepcidin peptide was later shown to be a key player in iron homoeostasis. It is now proposed to be the 'iron hormone' which, by interacting with the iron transporter ferroportin, prevents further iron import into the circulatory system. This conclusion was reached using the corresponding synthetic peptide, emphasizing the functional importance of the mature 25-mer peptide, but omitting the possible functionality of its maturation. From urine-purified native hepcidin, we recently demonstrated that a proportion of the purified hepcidin had formed iron-hepcidin complexes. This interaction was investigated further by computer modelling and, based on the sequence similarity of hepcidin with metallothionein, a three-dimensional model of hepcidin, containing one atom of iron, was constructed. To characterize these complexes further, the interaction with iron was analysed using different spectroscopic methods. Monoferric hepcidin was identified by MS, as were possibly other complexes containing two and three atoms of iron respectively, although these were present only in minor amounts. UV/visible absorbance and CD studies identified the iron-binding events which were facilitated at a physiological pH. EPR spectroscopy identified the ferric state of the bound metal, and indicated that the iron-hepcidin complex shares some similarities with the rubredoxin iron-sulfur complex, suggesting the presence of Fe(3+) in a tetrahedral sulfur co-ordination. The potential roles of iron binding for hepcidin are discussed, and we propose either a regulatory function in the maturation of pro-hepcidin into active hepcidin or as the necessary link in the interaction between hepcidin and ferroportin.","DOI":"10.1042/BJ20080406","ISSN":"1470-8728","note":"PMID: 18447830","journalAbbreviation":"Biochem. J.","language":"eng","author":[{"family":"Farnaud","given":"Sébastien"},{"family":"Rapisarda","given":"Chiara"},{"family":"Bui","given":"Tam"},{"family":"Drake","given":"Alex"},{"family":"Cammack","given":"Richard"},{"family":"Evans","given":"Robert W."}],"issued":{"date-parts":[["2008",8,1]]},"PMID":"18447830"}}],"schema":"https://github.com/citation-style-language/schema/raw/master/csl-citation.json"} </w:instrText>
      </w:r>
      <w:r w:rsidR="00614C46" w:rsidRPr="00B84270">
        <w:rPr>
          <w:rFonts w:ascii="Arial" w:hAnsi="Arial" w:cs="Arial"/>
          <w:sz w:val="24"/>
          <w:szCs w:val="24"/>
          <w:lang w:val="en-US"/>
        </w:rPr>
        <w:fldChar w:fldCharType="separate"/>
      </w:r>
      <w:r w:rsidR="000A09BE" w:rsidRPr="00B84270">
        <w:rPr>
          <w:rFonts w:ascii="Arial" w:hAnsi="Arial" w:cs="Arial"/>
          <w:sz w:val="24"/>
        </w:rPr>
        <w:t>(14)</w:t>
      </w:r>
      <w:r w:rsidR="00614C46" w:rsidRPr="00B84270">
        <w:rPr>
          <w:rFonts w:ascii="Arial" w:hAnsi="Arial" w:cs="Arial"/>
          <w:sz w:val="24"/>
          <w:szCs w:val="24"/>
          <w:lang w:val="en-US"/>
        </w:rPr>
        <w:fldChar w:fldCharType="end"/>
      </w:r>
      <w:r w:rsidR="00463E71" w:rsidRPr="00B84270">
        <w:rPr>
          <w:rFonts w:ascii="Arial" w:hAnsi="Arial" w:cs="Arial"/>
          <w:sz w:val="24"/>
          <w:szCs w:val="24"/>
          <w:lang w:val="en-US"/>
        </w:rPr>
        <w:t xml:space="preserve"> and </w:t>
      </w:r>
      <w:r w:rsidR="00463E71" w:rsidRPr="00B84270">
        <w:rPr>
          <w:rFonts w:ascii="Arial" w:hAnsi="Arial" w:cs="Arial"/>
          <w:i/>
          <w:sz w:val="24"/>
          <w:szCs w:val="24"/>
          <w:lang w:val="en-US"/>
        </w:rPr>
        <w:t>HAMP</w:t>
      </w:r>
      <w:r w:rsidR="00463E71" w:rsidRPr="00B84270">
        <w:rPr>
          <w:rFonts w:ascii="Arial" w:hAnsi="Arial" w:cs="Arial"/>
          <w:sz w:val="24"/>
          <w:szCs w:val="24"/>
          <w:lang w:val="en-US"/>
        </w:rPr>
        <w:t xml:space="preserve"> mRNA expression </w:t>
      </w:r>
      <w:r w:rsidR="00614C46" w:rsidRPr="00B84270">
        <w:rPr>
          <w:rFonts w:ascii="Arial" w:hAnsi="Arial" w:cs="Arial"/>
          <w:sz w:val="24"/>
          <w:szCs w:val="24"/>
          <w:lang w:val="en-US"/>
        </w:rPr>
        <w:fldChar w:fldCharType="begin"/>
      </w:r>
      <w:r w:rsidR="00F1020E" w:rsidRPr="00B84270">
        <w:rPr>
          <w:rFonts w:ascii="Arial" w:hAnsi="Arial" w:cs="Arial"/>
          <w:sz w:val="24"/>
          <w:szCs w:val="24"/>
          <w:lang w:val="en-US"/>
        </w:rPr>
        <w:instrText xml:space="preserve"> ADDIN ZOTERO_ITEM CSL_CITATION {"citationID":"azj7dNk3","properties":{"formattedCitation":"{\\rtf (11\\uc0\\u8211{}13)}","plainCitation":"(11–13)"},"citationItems":[{"id":206,"uris":["http://zotero.org/users/2804724/items/HPV3BE2I"],"uri":["http://zotero.org/users/2804724/items/HPV3BE2I"],"itemData":{"id":206,"type":"article-journal","title":"Evidence for distinct pathways of hepcidin regulation by acute and chronic iron loading in mice","container-title":"Hepatology (Baltimore, Md.)","page":"1333-1341","volume":"53","issue":"4","source":"PubMed","abstract":"In response to iron loading, hepcidin synthesis is homeostatically increased to limit further absorption of dietary iron and its release from stores. Mutations in HFE, transferrin receptor 2 (Tfr2), hemojuvelin (HJV), or bone morphogenetic protein 6 (BMP6) prevent appropriate hepcidin response to iron, allowing increased absorption of dietary iron, and eventually iron overload. To understand the role each of these proteins plays in hepcidin regulation by iron, we analyzed hepcidin messenger RNA (mRNA) responsiveness to short and long-term iron challenge in iron-depleted Hfe, Tfr2, Hjv, and Bmp6 mutant mice. After 1-day (acute) iron challenge, Hfe(-/-) mice showed a smaller hepcidin increase than their wild-type strain-matched controls, Bmp6(-/-) mice showed nearly no increase, and Tfr2 and Hjv mutant mice showed no increase in hepcidin expression, indicating that all four proteins participate in hepcidin regulation by acute iron changes. After a 21-day (chronic) iron challenge, Hfe and Tfr2 mutant mice increased hepcidin expression to nearly wild-type levels, but a blunted increase of hepcidin was seen in Bmp6(-/-) and Hjv(-/-) mice. BMP6, whose expression is also regulated by iron, may mediate hepcidin regulation by iron stores. None of the mutant strains (except Bmp6(-/-) mice) had impaired BMP6 mRNA response to chronic iron loading.\nCONCLUSION: TfR2, HJV, BMP6, and, to a lesser extent, HFE are required for the hepcidin response to acute iron loading, but are partially redundant for hepcidin regulation during chronic iron loading and are not involved in the regulation of BMP6 expression. Our findings support a model in which acute increases in holotransferrin concentrations transmitted through HFE, TfR2, and HJV augment BMP receptor sensitivity to BMPs. A distinct regulatory mechanism that senses hepatic iron may modulate hepcidin response to chronic iron loading.","DOI":"10.1002/hep.24178","ISSN":"1527-3350","note":"PMID: 21480335\nPMCID: PMC3074982","journalAbbreviation":"Hepatology","language":"eng","author":[{"family":"Ramos","given":"Emilio"},{"family":"Kautz","given":"Léon"},{"family":"Rodriguez","given":"Richard"},{"family":"Hansen","given":"Michael"},{"family":"Gabayan","given":"Victoria"},{"family":"Ginzburg","given":"Yelena"},{"family":"Roth","given":"Marie-Paule"},{"family":"Nemeth","given":"Elizabeta"},{"family":"Ganz","given":"Tomas"}],"issued":{"date-parts":[["2011",4]]},"PMID":"21480335","PMCID":"PMC3074982"}},{"id":210,"uris":["http://zotero.org/users/2804724/items/PXTF55CZ"],"uri":["http://zotero.org/users/2804724/items/PXTF55CZ"],"itemData":{"id":210,"type":"article-journal","title":"Liver iron modulates hepcidin expression during chronically elevated erythropoiesis in mice","container-title":"Hepatology (Baltimore, Md.)","page":"2122-2132","volume":"58","issue":"6","source":"PubMed","abstract":"The liver-derived peptide hepcidin controls the balance between iron demand and iron supply. By inhibiting the iron export activity of ferroportin, hepcidin modulates iron absorption and delivery from the body's stores. The regulation of hepcidin, however, is not completely understood and includes a variety of different signals. We studied iron metabolism and hepcidin expression in mice constitutively overexpressing erythropoietin (Epo) (Tg6 mice), which leads to excessive erythropoiesis. We observed a very strong down-regulation of hepcidin in Tg6 mice that was accompanied by a strong increase in duodenal expression of ferroportin and divalent metal tranporter-1, as well as enhanced duodenal iron absorption. Despite these compensatory mechanisms, Tg6 mice displayed marked circulating iron deficiency and low levels of iron in liver, spleen, and muscle. To elucidate the primary signal affecting hepcidin expression during chronically elevated erythropoiesis, we increased iron availability by either providing iron (thus further increasing the hematocrit) or reducing erythropoiesis-dependent iron consumption by means of splenectomy. Both treatments increased liver iron and up-regulated hepcidin expression and the BMP6/SMAD pathway despite continuously high plasma Epo levels and sustained erythropoiesis. This suggests that hepcidin expression is not controlled by erythropoietic signals directly in this setting. Rather, these results indicate that iron consumption for erythropoiesis modulates liver iron content, and ultimately BMP6 and hepcidin. Analysis of the BMP6/SMAD pathway targets showed that inhibitor of DNA binding 1 (ID1) and SMAD7, but not transmembrane serine protease 6 (TMPRSS6), were up-regulated by increased iron availability and thus may be involved in setting the upper limit of hepcidin.\nCONCLUSION: We provide evidence that under conditions of excessive and effective erythropoiesis, liver iron regulates hepcidin expression through the BMP6/SMAD pathway.","DOI":"10.1002/hep.26550","ISSN":"1527-3350","note":"PMID: 23744538","journalAbbreviation":"Hepatology","language":"eng","author":[{"family":"Díaz","given":"Víctor"},{"family":"Gammella","given":"Elena"},{"family":"Recalcati","given":"Stefania"},{"family":"Santambrogio","given":"Paolo"},{"family":"Naldi","given":"Arianne Monge"},{"family":"Vogel","given":"Johannes"},{"family":"Gassmann","given":"Max"},{"family":"Cairo","given":"Gaetano"}],"issued":{"date-parts":[["2013",12]]},"PMID":"23744538"}},{"id":212,"uris":["http://zotero.org/users/2804724/items/KF8ZA4ZM"],"uri":["http://zotero.org/users/2804724/items/KF8ZA4ZM"],"itemData":{"id":212,"type":"article-journal","title":"Low intracellular iron increases the stability of matriptase-2","container-title":"The Journal of Biological Chemistry","page":"4432-4446","volume":"290","issue":"7","source":"PubMed","abstract":"Matriptase-2 (MT2) is a type II transmembrane serine protease that is predominantly expressed in hepatocytes. It suppresses the expression of hepatic hepcidin, an iron regulatory hormone, by cleaving membrane hemojuvelin into an inactive form. Hemojuvelin is a bone morphogenetic protein (BMP) co-receptor. Here, we report that MT2 is up-regulated under iron deprivation. In HepG2 cells stably expressing the coding sequence of the MT2 gene, TMPRSS6, incubation with apo-transferrin or the membrane-impermeable iron chelator, deferoxamine mesylate salt, was able to increase MT2 levels. This increase did not result from the inhibition of MT2 shedding from the cells. Rather, studies using a membrane-permeable iron chelator, salicylaldehyde isonicotinoyl hydrazone, revealed that depletion of cellular iron was able to decrease the degradation of MT2 independently of internalization. We found that lack of the putative endocytosis motif in its cytoplasmic domain largely abolished the sensitivity of MT2 to iron depletion. Neither acute nor chronic iron deficiency was able to alter the association of Tmprss6 mRNA with polyribosomes in the liver of rats indicating a lack of translational regulation by low iron levels. Studies in mice showed that Tmprss6 mRNA was not regulated by iron nor the BMP-mediated signaling with no evident correlation with either Bmp6 mRNA or Id1 mRNA, a target of BMP signaling. These results suggest that regulation of MT2 occurs at the level of protein degradation rather than by changes in the rate of internalization and translational or transcriptional mechanisms and that the cytoplasmic domain of MT2 is necessary for its regulation.","DOI":"10.1074/jbc.M114.611913","ISSN":"1083-351X","note":"PMID: 25550162\nPMCID: PMC4326848","journalAbbreviation":"J. Biol. Chem.","language":"eng","author":[{"family":"Zhao","given":"Ningning"},{"family":"Nizzi","given":"Christopher P."},{"family":"Anderson","given":"Sheila A."},{"family":"Wang","given":"Jiaohong"},{"family":"Ueno","given":"Akiko"},{"family":"Tsukamoto","given":"Hidekazu"},{"family":"Eisenstein","given":"Richard S."},{"family":"Enns","given":"Caroline A."},{"family":"Zhang","given":"An-Sheng"}],"issued":{"date-parts":[["2015",2,13]]},"PMID":"25550162","PMCID":"PMC4326848"}}],"schema":"https://github.com/citation-style-language/schema/raw/master/csl-citation.json"} </w:instrText>
      </w:r>
      <w:r w:rsidR="00614C46" w:rsidRPr="00B84270">
        <w:rPr>
          <w:rFonts w:ascii="Arial" w:hAnsi="Arial" w:cs="Arial"/>
          <w:sz w:val="24"/>
          <w:szCs w:val="24"/>
          <w:lang w:val="en-US"/>
        </w:rPr>
        <w:fldChar w:fldCharType="separate"/>
      </w:r>
      <w:r w:rsidR="000A09BE" w:rsidRPr="00B84270">
        <w:rPr>
          <w:rFonts w:ascii="Arial" w:hAnsi="Arial" w:cs="Arial"/>
          <w:sz w:val="24"/>
          <w:szCs w:val="24"/>
        </w:rPr>
        <w:t>(11–13)</w:t>
      </w:r>
      <w:r w:rsidR="00614C46" w:rsidRPr="00B84270">
        <w:rPr>
          <w:rFonts w:ascii="Arial" w:hAnsi="Arial" w:cs="Arial"/>
          <w:sz w:val="24"/>
          <w:szCs w:val="24"/>
          <w:lang w:val="en-US"/>
        </w:rPr>
        <w:fldChar w:fldCharType="end"/>
      </w:r>
      <w:r w:rsidR="00F1020E" w:rsidRPr="00B84270">
        <w:rPr>
          <w:rFonts w:ascii="Arial" w:hAnsi="Arial" w:cs="Arial"/>
          <w:sz w:val="24"/>
          <w:szCs w:val="24"/>
          <w:lang w:val="en-US"/>
        </w:rPr>
        <w:t xml:space="preserve"> </w:t>
      </w:r>
      <w:r w:rsidR="00463E71" w:rsidRPr="00B84270">
        <w:rPr>
          <w:rFonts w:ascii="Arial" w:hAnsi="Arial" w:cs="Arial"/>
          <w:sz w:val="24"/>
          <w:szCs w:val="24"/>
          <w:lang w:val="en-US"/>
        </w:rPr>
        <w:t>was suggested, but not fully elucidated.</w:t>
      </w:r>
      <w:r w:rsidR="002F4AA0" w:rsidRPr="00B84270">
        <w:rPr>
          <w:rFonts w:ascii="Arial" w:hAnsi="Arial" w:cs="Arial"/>
          <w:sz w:val="24"/>
          <w:szCs w:val="24"/>
          <w:lang w:val="en-US"/>
        </w:rPr>
        <w:t xml:space="preserve"> Accordingly, here, </w:t>
      </w:r>
      <w:r w:rsidR="00D65788" w:rsidRPr="00B84270">
        <w:rPr>
          <w:rFonts w:ascii="Arial" w:hAnsi="Arial" w:cs="Arial"/>
          <w:sz w:val="24"/>
          <w:szCs w:val="24"/>
          <w:lang w:val="en-US"/>
        </w:rPr>
        <w:t xml:space="preserve">for the first time, novel rec-TfR1 HepG2 cells were created that expressed IRE-independent </w:t>
      </w:r>
      <w:r w:rsidR="00D65788" w:rsidRPr="00B84270">
        <w:rPr>
          <w:rFonts w:ascii="Arial" w:hAnsi="Arial" w:cs="Arial"/>
          <w:i/>
          <w:sz w:val="24"/>
          <w:szCs w:val="24"/>
          <w:lang w:val="en-US"/>
        </w:rPr>
        <w:t xml:space="preserve">TFRC </w:t>
      </w:r>
      <w:r w:rsidR="00D65788" w:rsidRPr="00B84270">
        <w:rPr>
          <w:rFonts w:ascii="Arial" w:hAnsi="Arial" w:cs="Arial"/>
          <w:sz w:val="24"/>
          <w:szCs w:val="24"/>
          <w:lang w:val="en-US"/>
        </w:rPr>
        <w:t xml:space="preserve">mRNA to diminish sensitivity towards high intracellular iron and to allow continuous </w:t>
      </w:r>
      <w:r w:rsidR="009C5EEA" w:rsidRPr="00B84270">
        <w:rPr>
          <w:rFonts w:ascii="Arial" w:hAnsi="Arial" w:cs="Arial"/>
          <w:sz w:val="24"/>
          <w:szCs w:val="24"/>
          <w:lang w:val="en-US"/>
        </w:rPr>
        <w:t>iron-uptake</w:t>
      </w:r>
      <w:r w:rsidR="00D65788" w:rsidRPr="00B84270">
        <w:rPr>
          <w:rFonts w:ascii="Arial" w:hAnsi="Arial" w:cs="Arial"/>
          <w:sz w:val="24"/>
          <w:szCs w:val="24"/>
          <w:lang w:val="en-US"/>
        </w:rPr>
        <w:t xml:space="preserve"> upon holo-Tf supplementation. In these cells, the combined effect of excess extracellular holo-Tf and the subsequently increased intracellular iron on hepcidin secretion was examined over time for the first time, in conjunction with mRNA expression studies of key iron-</w:t>
      </w:r>
      <w:r w:rsidR="00D65788" w:rsidRPr="00B84270">
        <w:rPr>
          <w:rFonts w:ascii="Arial" w:hAnsi="Arial" w:cs="Arial"/>
          <w:sz w:val="24"/>
          <w:szCs w:val="24"/>
          <w:lang w:val="en-US"/>
        </w:rPr>
        <w:lastRenderedPageBreak/>
        <w:t xml:space="preserve">related genes like </w:t>
      </w:r>
      <w:r w:rsidR="00D65788" w:rsidRPr="00B84270">
        <w:rPr>
          <w:rFonts w:ascii="Arial" w:hAnsi="Arial" w:cs="Arial"/>
          <w:i/>
          <w:sz w:val="24"/>
          <w:szCs w:val="24"/>
          <w:lang w:val="en-US"/>
        </w:rPr>
        <w:t>TFRC</w:t>
      </w:r>
      <w:r w:rsidR="00D65788" w:rsidRPr="00B84270">
        <w:rPr>
          <w:rFonts w:ascii="Arial" w:hAnsi="Arial" w:cs="Arial"/>
          <w:sz w:val="24"/>
          <w:szCs w:val="24"/>
          <w:lang w:val="en-US"/>
        </w:rPr>
        <w:t xml:space="preserve">, </w:t>
      </w:r>
      <w:r w:rsidR="00D65788" w:rsidRPr="00B84270">
        <w:rPr>
          <w:rFonts w:ascii="Arial" w:hAnsi="Arial" w:cs="Arial"/>
          <w:i/>
          <w:sz w:val="24"/>
          <w:szCs w:val="24"/>
          <w:lang w:val="en-US"/>
        </w:rPr>
        <w:t>HAMP</w:t>
      </w:r>
      <w:r w:rsidR="00D65788" w:rsidRPr="00B84270">
        <w:rPr>
          <w:rFonts w:ascii="Arial" w:hAnsi="Arial" w:cs="Arial"/>
          <w:sz w:val="24"/>
          <w:szCs w:val="24"/>
          <w:lang w:val="en-US"/>
        </w:rPr>
        <w:t xml:space="preserve">, </w:t>
      </w:r>
      <w:r w:rsidR="00D65788" w:rsidRPr="00B84270">
        <w:rPr>
          <w:rFonts w:ascii="Arial" w:hAnsi="Arial" w:cs="Arial"/>
          <w:i/>
          <w:sz w:val="24"/>
          <w:szCs w:val="24"/>
          <w:lang w:val="en-US"/>
        </w:rPr>
        <w:t>SLC40A1</w:t>
      </w:r>
      <w:r w:rsidR="00D65788" w:rsidRPr="00B84270">
        <w:rPr>
          <w:rFonts w:ascii="Arial" w:hAnsi="Arial" w:cs="Arial"/>
          <w:sz w:val="24"/>
          <w:szCs w:val="24"/>
          <w:lang w:val="en-US"/>
        </w:rPr>
        <w:t xml:space="preserve">, </w:t>
      </w:r>
      <w:r w:rsidR="00D65788" w:rsidRPr="00B84270">
        <w:rPr>
          <w:rFonts w:ascii="Arial" w:hAnsi="Arial" w:cs="Arial"/>
          <w:i/>
          <w:sz w:val="24"/>
          <w:szCs w:val="24"/>
          <w:lang w:val="en-US"/>
        </w:rPr>
        <w:t xml:space="preserve">HFE </w:t>
      </w:r>
      <w:r w:rsidR="00D65788" w:rsidRPr="00B84270">
        <w:rPr>
          <w:rFonts w:ascii="Arial" w:hAnsi="Arial" w:cs="Arial"/>
          <w:sz w:val="24"/>
          <w:szCs w:val="24"/>
          <w:lang w:val="en-US"/>
        </w:rPr>
        <w:t xml:space="preserve">and </w:t>
      </w:r>
      <w:r w:rsidR="00D65788" w:rsidRPr="00B84270">
        <w:rPr>
          <w:rFonts w:ascii="Arial" w:hAnsi="Arial" w:cs="Arial"/>
          <w:i/>
          <w:sz w:val="24"/>
          <w:szCs w:val="24"/>
          <w:lang w:val="en-US"/>
        </w:rPr>
        <w:t>TFR2</w:t>
      </w:r>
      <w:r w:rsidR="00D65788" w:rsidRPr="00B84270">
        <w:rPr>
          <w:rFonts w:ascii="Arial" w:hAnsi="Arial" w:cs="Arial"/>
          <w:sz w:val="24"/>
          <w:szCs w:val="24"/>
          <w:lang w:val="en-US"/>
        </w:rPr>
        <w:t xml:space="preserve">. The responses of this novel cell line were compared with those of the </w:t>
      </w:r>
      <w:r w:rsidR="00FD4846" w:rsidRPr="00B84270">
        <w:rPr>
          <w:rFonts w:ascii="Arial" w:hAnsi="Arial" w:cs="Arial"/>
          <w:sz w:val="24"/>
          <w:szCs w:val="24"/>
          <w:lang w:val="en-US"/>
        </w:rPr>
        <w:t>Wt cells</w:t>
      </w:r>
      <w:r w:rsidR="00D65788" w:rsidRPr="00B84270">
        <w:rPr>
          <w:rFonts w:ascii="Arial" w:hAnsi="Arial" w:cs="Arial"/>
          <w:sz w:val="24"/>
          <w:szCs w:val="24"/>
          <w:lang w:val="en-US"/>
        </w:rPr>
        <w:t xml:space="preserve">. </w:t>
      </w:r>
    </w:p>
    <w:p w:rsidR="004523C7" w:rsidRPr="00B84270" w:rsidRDefault="004523C7" w:rsidP="005510CB">
      <w:pPr>
        <w:spacing w:after="0" w:line="360" w:lineRule="auto"/>
        <w:rPr>
          <w:rFonts w:ascii="Arial" w:hAnsi="Arial" w:cs="Arial"/>
          <w:b/>
          <w:sz w:val="24"/>
          <w:szCs w:val="24"/>
          <w:lang w:val="en-US"/>
        </w:rPr>
      </w:pPr>
    </w:p>
    <w:p w:rsidR="00525C2B" w:rsidRPr="00B84270" w:rsidRDefault="00DE470D" w:rsidP="005510CB">
      <w:pPr>
        <w:spacing w:after="0" w:line="360" w:lineRule="auto"/>
        <w:rPr>
          <w:rFonts w:ascii="Arial" w:hAnsi="Arial" w:cs="Arial"/>
          <w:sz w:val="24"/>
          <w:szCs w:val="24"/>
          <w:lang w:val="en-US"/>
        </w:rPr>
      </w:pPr>
      <w:r w:rsidRPr="00B84270">
        <w:rPr>
          <w:rFonts w:ascii="Arial" w:hAnsi="Arial" w:cs="Arial"/>
          <w:b/>
          <w:sz w:val="24"/>
          <w:szCs w:val="24"/>
          <w:lang w:val="en-US"/>
        </w:rPr>
        <w:t>Deregulated</w:t>
      </w:r>
      <w:r w:rsidR="00037378" w:rsidRPr="00B84270">
        <w:rPr>
          <w:rFonts w:ascii="Arial" w:hAnsi="Arial" w:cs="Arial"/>
          <w:b/>
          <w:sz w:val="24"/>
          <w:szCs w:val="24"/>
          <w:lang w:val="en-US"/>
        </w:rPr>
        <w:t xml:space="preserve"> cell-surface </w:t>
      </w:r>
      <w:r w:rsidR="0072491C" w:rsidRPr="00B84270">
        <w:rPr>
          <w:rFonts w:ascii="Arial" w:hAnsi="Arial" w:cs="Arial"/>
          <w:b/>
          <w:sz w:val="24"/>
          <w:szCs w:val="24"/>
          <w:lang w:val="en-US"/>
        </w:rPr>
        <w:t>TfR1</w:t>
      </w:r>
      <w:r w:rsidR="00525C2B" w:rsidRPr="00B84270">
        <w:rPr>
          <w:rFonts w:ascii="Arial" w:hAnsi="Arial" w:cs="Arial"/>
          <w:b/>
          <w:sz w:val="24"/>
          <w:szCs w:val="24"/>
          <w:lang w:val="en-US"/>
        </w:rPr>
        <w:t xml:space="preserve"> and high iron content in recombinant cells </w:t>
      </w:r>
    </w:p>
    <w:p w:rsidR="00D65788" w:rsidRPr="00B84270" w:rsidRDefault="00EE4A38" w:rsidP="005510CB">
      <w:pPr>
        <w:spacing w:after="0" w:line="360" w:lineRule="auto"/>
        <w:rPr>
          <w:rFonts w:ascii="Arial" w:hAnsi="Arial" w:cs="Arial"/>
          <w:sz w:val="24"/>
          <w:szCs w:val="24"/>
          <w:lang w:val="en-US"/>
        </w:rPr>
      </w:pPr>
      <w:r w:rsidRPr="00B84270">
        <w:rPr>
          <w:rFonts w:ascii="Arial" w:hAnsi="Arial" w:cs="Arial"/>
          <w:sz w:val="24"/>
          <w:szCs w:val="24"/>
          <w:lang w:val="en-US"/>
        </w:rPr>
        <w:t>Upon holo-Tf treatment</w:t>
      </w:r>
      <w:r w:rsidR="002F4AA0" w:rsidRPr="00B84270">
        <w:rPr>
          <w:rFonts w:ascii="Arial" w:hAnsi="Arial" w:cs="Arial"/>
          <w:sz w:val="24"/>
          <w:szCs w:val="24"/>
          <w:lang w:val="en-US"/>
        </w:rPr>
        <w:t xml:space="preserve">, the </w:t>
      </w:r>
      <w:r w:rsidR="00FD4846" w:rsidRPr="00B84270">
        <w:rPr>
          <w:rFonts w:ascii="Arial" w:hAnsi="Arial" w:cs="Arial"/>
          <w:sz w:val="24"/>
          <w:szCs w:val="24"/>
          <w:lang w:val="en-US"/>
        </w:rPr>
        <w:t>Wt cells</w:t>
      </w:r>
      <w:r w:rsidR="002F4AA0" w:rsidRPr="00B84270">
        <w:rPr>
          <w:rFonts w:ascii="Arial" w:hAnsi="Arial" w:cs="Arial"/>
          <w:sz w:val="24"/>
          <w:szCs w:val="24"/>
          <w:lang w:val="en-US"/>
        </w:rPr>
        <w:t xml:space="preserve"> down-regulated </w:t>
      </w:r>
      <w:r w:rsidR="00D65788" w:rsidRPr="00B84270">
        <w:rPr>
          <w:rFonts w:ascii="Arial" w:hAnsi="Arial" w:cs="Arial"/>
          <w:sz w:val="24"/>
          <w:szCs w:val="24"/>
          <w:lang w:val="en-US"/>
        </w:rPr>
        <w:t xml:space="preserve">cell-surface TfR1 </w:t>
      </w:r>
      <w:r w:rsidR="002F4AA0" w:rsidRPr="00B84270">
        <w:rPr>
          <w:rFonts w:ascii="Arial" w:hAnsi="Arial" w:cs="Arial"/>
          <w:sz w:val="24"/>
          <w:szCs w:val="24"/>
          <w:lang w:val="en-US"/>
        </w:rPr>
        <w:t xml:space="preserve">levels </w:t>
      </w:r>
      <w:r w:rsidR="00D65788" w:rsidRPr="00B84270">
        <w:rPr>
          <w:rFonts w:ascii="Arial" w:hAnsi="Arial" w:cs="Arial"/>
          <w:sz w:val="24"/>
          <w:szCs w:val="24"/>
          <w:lang w:val="en-US"/>
        </w:rPr>
        <w:t>over time (</w:t>
      </w:r>
      <w:r w:rsidR="00165E27" w:rsidRPr="00B84270">
        <w:rPr>
          <w:rFonts w:ascii="Arial" w:hAnsi="Arial" w:cs="Arial"/>
          <w:sz w:val="24"/>
          <w:szCs w:val="24"/>
          <w:lang w:val="en-US"/>
        </w:rPr>
        <w:t>Fig.2</w:t>
      </w:r>
      <w:r w:rsidR="00D65788" w:rsidRPr="00B84270">
        <w:rPr>
          <w:rFonts w:ascii="Arial" w:hAnsi="Arial" w:cs="Arial"/>
          <w:sz w:val="24"/>
          <w:szCs w:val="24"/>
          <w:lang w:val="en-US"/>
        </w:rPr>
        <w:t xml:space="preserve">). This was an anticipated response because the IRE-replete </w:t>
      </w:r>
      <w:r w:rsidR="00D65788" w:rsidRPr="00B84270">
        <w:rPr>
          <w:rFonts w:ascii="Arial" w:hAnsi="Arial" w:cs="Arial"/>
          <w:i/>
          <w:sz w:val="24"/>
          <w:szCs w:val="24"/>
          <w:lang w:val="en-US"/>
        </w:rPr>
        <w:t>TFRC</w:t>
      </w:r>
      <w:r w:rsidR="00D65788" w:rsidRPr="00B84270">
        <w:rPr>
          <w:rFonts w:ascii="Arial" w:hAnsi="Arial" w:cs="Arial"/>
          <w:sz w:val="24"/>
          <w:szCs w:val="24"/>
          <w:lang w:val="en-US"/>
        </w:rPr>
        <w:t xml:space="preserve"> transcripts would sense increments in intracellular iron content via the IRE/IRP system and eventually decreas</w:t>
      </w:r>
      <w:r w:rsidRPr="00B84270">
        <w:rPr>
          <w:rFonts w:ascii="Arial" w:hAnsi="Arial" w:cs="Arial"/>
          <w:sz w:val="24"/>
          <w:szCs w:val="24"/>
          <w:lang w:val="en-US"/>
        </w:rPr>
        <w:t xml:space="preserve">e TfR1 protein expression on </w:t>
      </w:r>
      <w:r w:rsidR="00D65788" w:rsidRPr="00B84270">
        <w:rPr>
          <w:rFonts w:ascii="Arial" w:hAnsi="Arial" w:cs="Arial"/>
          <w:sz w:val="24"/>
          <w:szCs w:val="24"/>
          <w:lang w:val="en-US"/>
        </w:rPr>
        <w:t xml:space="preserve">cell-surface to prevent further </w:t>
      </w:r>
      <w:r w:rsidR="009C5EEA" w:rsidRPr="00B84270">
        <w:rPr>
          <w:rFonts w:ascii="Arial" w:hAnsi="Arial" w:cs="Arial"/>
          <w:sz w:val="24"/>
          <w:szCs w:val="24"/>
          <w:lang w:val="en-US"/>
        </w:rPr>
        <w:t>iron-uptake</w:t>
      </w:r>
      <w:r w:rsidR="000613CD" w:rsidRPr="00B84270">
        <w:rPr>
          <w:rFonts w:ascii="Arial" w:hAnsi="Arial" w:cs="Arial"/>
          <w:sz w:val="24"/>
          <w:szCs w:val="24"/>
          <w:lang w:val="en-US"/>
        </w:rPr>
        <w:t xml:space="preserve"> </w:t>
      </w:r>
      <w:r w:rsidR="00614C46" w:rsidRPr="00B84270">
        <w:rPr>
          <w:rFonts w:ascii="Arial" w:hAnsi="Arial" w:cs="Arial"/>
          <w:sz w:val="24"/>
          <w:szCs w:val="24"/>
          <w:lang w:val="en-US"/>
        </w:rPr>
        <w:fldChar w:fldCharType="begin"/>
      </w:r>
      <w:r w:rsidR="000A09BE" w:rsidRPr="00B84270">
        <w:rPr>
          <w:rFonts w:ascii="Arial" w:hAnsi="Arial" w:cs="Arial"/>
          <w:sz w:val="24"/>
          <w:szCs w:val="24"/>
          <w:lang w:val="en-US"/>
        </w:rPr>
        <w:instrText xml:space="preserve"> ADDIN ZOTERO_ITEM CSL_CITATION {"citationID":"1lnnh18l6p","properties":{"formattedCitation":"(33)","plainCitation":"(33)"},"citationItems":[{"id":240,"uris":["http://zotero.org/users/2804724/items/AKP799ED"],"uri":["http://zotero.org/users/2804724/items/AKP799ED"],"itemData":{"id":240,"type":"article-journal","title":"Iron-responsive elements: regulatory RNA sequences that control mRNA levels and translation","container-title":"Science (New York, N.Y.)","page":"924-928","volume":"240","issue":"4854","source":"PubMed","abstract":"The biosynthetic rates for both the transferrin receptor (TfR) and ferritin are regulated by iron. An iron-responsive element (IRE) in the 5' untranslated portion of the ferritin messenger RNA (mRNA) mediates iron-dependent control of its translation. In this report the 3' untranslated region of the mRNA for the human TfR was shown to be necessary and sufficient for iron-dependent control of mRNA levels. Deletion studies identified a 678-nucleotide fragment of the TfR complementary DNA that is critical for this iron regulation. Five potential stem-loops that resemble the ferritin IRE are contained within the region critical for TfR regulation. Each of two of the five TfR elements was independently inserted into the 5' untranslated region of an indicator gene transcript. In this location they conferred iron regulation of translation. Thus, an mRNA element has been implicated in the mediation of distinct regulatory phenomena dependent on the context of the element within the transcript.","ISSN":"0036-8075","note":"PMID: 2452485","shortTitle":"Iron-responsive elements","journalAbbreviation":"Science","language":"eng","author":[{"family":"Casey","given":"J. L."},{"family":"Hentze","given":"M. W."},{"family":"Koeller","given":"D. M."},{"family":"Caughman","given":"S. W."},{"family":"Rouault","given":"T. A."},{"family":"Klausner","given":"R. D."},{"family":"Harford","given":"J. B."}],"issued":{"date-parts":[["1988",5,13]]},"PMID":"2452485"}}],"schema":"https://github.com/citation-style-language/schema/raw/master/csl-citation.json"} </w:instrText>
      </w:r>
      <w:r w:rsidR="00614C46" w:rsidRPr="00B84270">
        <w:rPr>
          <w:rFonts w:ascii="Arial" w:hAnsi="Arial" w:cs="Arial"/>
          <w:sz w:val="24"/>
          <w:szCs w:val="24"/>
          <w:lang w:val="en-US"/>
        </w:rPr>
        <w:fldChar w:fldCharType="separate"/>
      </w:r>
      <w:r w:rsidR="000A09BE" w:rsidRPr="00B84270">
        <w:rPr>
          <w:rFonts w:ascii="Arial" w:hAnsi="Arial" w:cs="Arial"/>
          <w:sz w:val="24"/>
        </w:rPr>
        <w:t>(33)</w:t>
      </w:r>
      <w:r w:rsidR="00614C46" w:rsidRPr="00B84270">
        <w:rPr>
          <w:rFonts w:ascii="Arial" w:hAnsi="Arial" w:cs="Arial"/>
          <w:sz w:val="24"/>
          <w:szCs w:val="24"/>
          <w:lang w:val="en-US"/>
        </w:rPr>
        <w:fldChar w:fldCharType="end"/>
      </w:r>
      <w:r w:rsidR="00D65788" w:rsidRPr="00B84270">
        <w:rPr>
          <w:rFonts w:ascii="Arial" w:hAnsi="Arial" w:cs="Arial"/>
          <w:sz w:val="24"/>
          <w:szCs w:val="24"/>
          <w:lang w:val="en-US"/>
        </w:rPr>
        <w:t xml:space="preserve">. </w:t>
      </w:r>
      <w:r w:rsidR="00037378" w:rsidRPr="00B84270">
        <w:rPr>
          <w:rFonts w:ascii="Arial" w:hAnsi="Arial" w:cs="Arial"/>
          <w:sz w:val="24"/>
          <w:szCs w:val="24"/>
          <w:lang w:val="en-US"/>
        </w:rPr>
        <w:t>Accordingly</w:t>
      </w:r>
      <w:r w:rsidR="003C2A24" w:rsidRPr="00B84270">
        <w:rPr>
          <w:rFonts w:ascii="Arial" w:hAnsi="Arial" w:cs="Arial"/>
          <w:sz w:val="24"/>
          <w:szCs w:val="24"/>
          <w:lang w:val="en-US"/>
        </w:rPr>
        <w:t>,</w:t>
      </w:r>
      <w:r w:rsidR="00037378" w:rsidRPr="00B84270">
        <w:rPr>
          <w:rFonts w:ascii="Arial" w:hAnsi="Arial" w:cs="Arial"/>
          <w:sz w:val="24"/>
          <w:szCs w:val="24"/>
          <w:lang w:val="en-US"/>
        </w:rPr>
        <w:t xml:space="preserve"> and a</w:t>
      </w:r>
      <w:r w:rsidR="00D65788" w:rsidRPr="00B84270">
        <w:rPr>
          <w:rFonts w:ascii="Arial" w:hAnsi="Arial" w:cs="Arial"/>
          <w:sz w:val="24"/>
          <w:szCs w:val="24"/>
          <w:lang w:val="en-US"/>
        </w:rPr>
        <w:t xml:space="preserve">s expected, the </w:t>
      </w:r>
      <w:r w:rsidR="00FD4846" w:rsidRPr="00B84270">
        <w:rPr>
          <w:rFonts w:ascii="Arial" w:hAnsi="Arial" w:cs="Arial"/>
          <w:sz w:val="24"/>
          <w:szCs w:val="24"/>
          <w:lang w:val="en-US"/>
        </w:rPr>
        <w:t>Wt cells</w:t>
      </w:r>
      <w:r w:rsidR="00CA634F" w:rsidRPr="00B84270">
        <w:rPr>
          <w:rFonts w:ascii="Arial" w:hAnsi="Arial" w:cs="Arial"/>
          <w:sz w:val="24"/>
          <w:szCs w:val="24"/>
          <w:lang w:val="en-US"/>
        </w:rPr>
        <w:t xml:space="preserve"> </w:t>
      </w:r>
      <w:r w:rsidR="00D65788" w:rsidRPr="00B84270">
        <w:rPr>
          <w:rFonts w:ascii="Arial" w:hAnsi="Arial" w:cs="Arial"/>
          <w:sz w:val="24"/>
          <w:szCs w:val="24"/>
          <w:lang w:val="en-US"/>
        </w:rPr>
        <w:t>showed no major variation in i</w:t>
      </w:r>
      <w:r w:rsidR="00621F12" w:rsidRPr="00B84270">
        <w:rPr>
          <w:rFonts w:ascii="Arial" w:hAnsi="Arial" w:cs="Arial"/>
          <w:sz w:val="24"/>
          <w:szCs w:val="24"/>
          <w:lang w:val="en-US"/>
        </w:rPr>
        <w:t xml:space="preserve">ntracellular iron content </w:t>
      </w:r>
      <w:r w:rsidR="00037378" w:rsidRPr="00B84270">
        <w:rPr>
          <w:rFonts w:ascii="Arial" w:hAnsi="Arial" w:cs="Arial"/>
          <w:sz w:val="24"/>
          <w:szCs w:val="24"/>
          <w:lang w:val="en-US"/>
        </w:rPr>
        <w:t xml:space="preserve">following holo-Tf treatment </w:t>
      </w:r>
      <w:r w:rsidR="00621F12" w:rsidRPr="00B84270">
        <w:rPr>
          <w:rFonts w:ascii="Arial" w:hAnsi="Arial" w:cs="Arial"/>
          <w:sz w:val="24"/>
          <w:szCs w:val="24"/>
          <w:lang w:val="en-US"/>
        </w:rPr>
        <w:t>(</w:t>
      </w:r>
      <w:r w:rsidR="00535414" w:rsidRPr="00B84270">
        <w:rPr>
          <w:rFonts w:ascii="Arial" w:hAnsi="Arial" w:cs="Arial"/>
          <w:sz w:val="24"/>
          <w:szCs w:val="24"/>
          <w:lang w:val="en-US"/>
        </w:rPr>
        <w:t>Fig.4</w:t>
      </w:r>
      <w:r w:rsidR="00D65788" w:rsidRPr="00B84270">
        <w:rPr>
          <w:rFonts w:ascii="Arial" w:hAnsi="Arial" w:cs="Arial"/>
          <w:sz w:val="24"/>
          <w:szCs w:val="24"/>
          <w:lang w:val="en-US"/>
        </w:rPr>
        <w:t xml:space="preserve">), resembling physiological conditions and other studies where 4.5 g/L of holo-Tf treatment for 48 h </w:t>
      </w:r>
      <w:r w:rsidR="00B3083E" w:rsidRPr="00B84270">
        <w:rPr>
          <w:rFonts w:ascii="Arial" w:hAnsi="Arial" w:cs="Arial"/>
          <w:sz w:val="24"/>
          <w:szCs w:val="24"/>
          <w:lang w:val="en-US"/>
        </w:rPr>
        <w:t xml:space="preserve">did not </w:t>
      </w:r>
      <w:r w:rsidR="00D65788" w:rsidRPr="00B84270">
        <w:rPr>
          <w:rFonts w:ascii="Arial" w:hAnsi="Arial" w:cs="Arial"/>
          <w:sz w:val="24"/>
          <w:szCs w:val="24"/>
          <w:lang w:val="en-US"/>
        </w:rPr>
        <w:t>significant</w:t>
      </w:r>
      <w:r w:rsidR="00B3083E" w:rsidRPr="00B84270">
        <w:rPr>
          <w:rFonts w:ascii="Arial" w:hAnsi="Arial" w:cs="Arial"/>
          <w:sz w:val="24"/>
          <w:szCs w:val="24"/>
          <w:lang w:val="en-US"/>
        </w:rPr>
        <w:t>ly increase</w:t>
      </w:r>
      <w:r w:rsidR="00F56CB1" w:rsidRPr="00B84270">
        <w:rPr>
          <w:rFonts w:ascii="Arial" w:hAnsi="Arial" w:cs="Arial"/>
          <w:sz w:val="24"/>
          <w:szCs w:val="24"/>
          <w:lang w:val="en-US"/>
        </w:rPr>
        <w:t xml:space="preserve"> iron content</w:t>
      </w:r>
      <w:r w:rsidR="00F1020E" w:rsidRPr="00B84270">
        <w:rPr>
          <w:rFonts w:ascii="Arial" w:hAnsi="Arial" w:cs="Arial"/>
          <w:sz w:val="24"/>
          <w:szCs w:val="24"/>
          <w:lang w:val="en-US"/>
        </w:rPr>
        <w:t xml:space="preserve"> </w:t>
      </w:r>
      <w:r w:rsidR="00614C46" w:rsidRPr="00B84270">
        <w:rPr>
          <w:rFonts w:ascii="Arial" w:hAnsi="Arial" w:cs="Arial"/>
          <w:sz w:val="24"/>
          <w:szCs w:val="24"/>
          <w:lang w:val="en-US"/>
        </w:rPr>
        <w:fldChar w:fldCharType="begin"/>
      </w:r>
      <w:r w:rsidR="000A09BE" w:rsidRPr="00B84270">
        <w:rPr>
          <w:rFonts w:ascii="Arial" w:hAnsi="Arial" w:cs="Arial"/>
          <w:sz w:val="24"/>
          <w:szCs w:val="24"/>
          <w:lang w:val="en-US"/>
        </w:rPr>
        <w:instrText xml:space="preserve"> ADDIN ZOTERO_ITEM CSL_CITATION {"citationID":"rlm6fkip9","properties":{"formattedCitation":"(34)","plainCitation":"(34)"},"citationItems":[{"id":111,"uris":["http://zotero.org/users/2804724/items/MFEISGQW"],"uri":["http://zotero.org/users/2804724/items/MFEISGQW"],"itemData":{"id":111,"type":"article-journal","title":"Iron responses in hepatic, intestinal and macrophage/monocyte cell lines under different culture conditions","container-title":"Blood Cells, Molecules &amp; Diseases","page":"100-108","volume":"41","issue":"1","source":"PubMed","abstract":"Iron homeostasis is mainly controlled by the liver-produced hepcidin peptide, which induces the degradation of the ferroportin iron exporter and thus regulates serum iron level. Hepcidin transcription is clearly up-regulated by the pro-inflammatory cytokine IL-6 and down-regulated, in the case of iron depletion, at least via HIF transcription factors. In addition, in vivo iron overload up-regulates hepcidin, but this cannot be reproduced in cell culture or isolated hepatocytes. Here, we investigated the steady state mRNA levels of a series of genes involved in iron metabolism in hepatic HepG2, intestinal Caco-2, and monocyte/macrophage THP-1 cell lines under different iron and culture conditions. Our results showed that iron-saturated transferrin up-regulated hepcidin mRNA synthesis from HepG2 via cross-talk with macrophages or enterocyte cytokine-producing cells, whereas non-transferrin-bound iron down-regulated hepcidin, likely due to missing TfR-iron-transferrin uptake.","DOI":"10.1016/j.bcmd.2008.01.006","ISSN":"1096-0961","note":"PMID: 18321736","journalAbbreviation":"Blood Cells Mol. Dis.","language":"eng","author":[{"family":"Jacolot","given":"Sandrine"},{"family":"Férec","given":"Claude"},{"family":"Mura","given":"Catherine"}],"issued":{"date-parts":[["2008",8]]},"PMID":"18321736"}}],"schema":"https://github.com/citation-style-language/schema/raw/master/csl-citation.json"} </w:instrText>
      </w:r>
      <w:r w:rsidR="00614C46" w:rsidRPr="00B84270">
        <w:rPr>
          <w:rFonts w:ascii="Arial" w:hAnsi="Arial" w:cs="Arial"/>
          <w:sz w:val="24"/>
          <w:szCs w:val="24"/>
          <w:lang w:val="en-US"/>
        </w:rPr>
        <w:fldChar w:fldCharType="separate"/>
      </w:r>
      <w:r w:rsidR="000A09BE" w:rsidRPr="00B84270">
        <w:rPr>
          <w:rFonts w:ascii="Arial" w:hAnsi="Arial" w:cs="Arial"/>
          <w:sz w:val="24"/>
        </w:rPr>
        <w:t>(34)</w:t>
      </w:r>
      <w:r w:rsidR="00614C46" w:rsidRPr="00B84270">
        <w:rPr>
          <w:rFonts w:ascii="Arial" w:hAnsi="Arial" w:cs="Arial"/>
          <w:sz w:val="24"/>
          <w:szCs w:val="24"/>
          <w:lang w:val="en-US"/>
        </w:rPr>
        <w:fldChar w:fldCharType="end"/>
      </w:r>
      <w:r w:rsidR="00F1020E" w:rsidRPr="00B84270">
        <w:rPr>
          <w:rFonts w:ascii="Arial" w:hAnsi="Arial" w:cs="Arial"/>
          <w:sz w:val="24"/>
          <w:szCs w:val="24"/>
          <w:lang w:val="en-US"/>
        </w:rPr>
        <w:t xml:space="preserve">. </w:t>
      </w:r>
    </w:p>
    <w:p w:rsidR="00D65788" w:rsidRPr="00B84270" w:rsidRDefault="001C6505" w:rsidP="005510CB">
      <w:pPr>
        <w:spacing w:after="0" w:line="360" w:lineRule="auto"/>
        <w:ind w:firstLine="720"/>
        <w:rPr>
          <w:rFonts w:ascii="Arial" w:hAnsi="Arial" w:cs="Arial"/>
          <w:sz w:val="24"/>
          <w:szCs w:val="24"/>
          <w:lang w:val="en-US"/>
        </w:rPr>
      </w:pPr>
      <w:r w:rsidRPr="00B84270">
        <w:rPr>
          <w:rFonts w:ascii="Arial" w:hAnsi="Arial" w:cs="Arial"/>
          <w:sz w:val="24"/>
          <w:szCs w:val="24"/>
          <w:lang w:val="en-US"/>
        </w:rPr>
        <w:t>In contract</w:t>
      </w:r>
      <w:r w:rsidR="00CA634F" w:rsidRPr="00B84270">
        <w:rPr>
          <w:rFonts w:ascii="Arial" w:hAnsi="Arial" w:cs="Arial"/>
          <w:sz w:val="24"/>
          <w:szCs w:val="24"/>
          <w:lang w:val="en-US"/>
        </w:rPr>
        <w:t xml:space="preserve">, the </w:t>
      </w:r>
      <w:r w:rsidR="00D65788" w:rsidRPr="00B84270">
        <w:rPr>
          <w:rFonts w:ascii="Arial" w:hAnsi="Arial" w:cs="Arial"/>
          <w:sz w:val="24"/>
          <w:szCs w:val="24"/>
          <w:lang w:val="en-US"/>
        </w:rPr>
        <w:t xml:space="preserve">rec-TfR1 HepG2 cells displayed several fold higher cell-surface TfR1 than </w:t>
      </w:r>
      <w:r w:rsidR="00FD4846" w:rsidRPr="00B84270">
        <w:rPr>
          <w:rFonts w:ascii="Arial" w:hAnsi="Arial" w:cs="Arial"/>
          <w:sz w:val="24"/>
          <w:szCs w:val="24"/>
          <w:lang w:val="en-US"/>
        </w:rPr>
        <w:t>Wt cells</w:t>
      </w:r>
      <w:r w:rsidR="00C457BB" w:rsidRPr="00B84270">
        <w:rPr>
          <w:rFonts w:ascii="Arial" w:hAnsi="Arial" w:cs="Arial"/>
          <w:sz w:val="24"/>
          <w:szCs w:val="24"/>
          <w:lang w:val="en-US"/>
        </w:rPr>
        <w:t xml:space="preserve"> </w:t>
      </w:r>
      <w:r w:rsidR="00D65788" w:rsidRPr="00B84270">
        <w:rPr>
          <w:rFonts w:ascii="Arial" w:hAnsi="Arial" w:cs="Arial"/>
          <w:sz w:val="24"/>
          <w:szCs w:val="24"/>
          <w:lang w:val="en-US"/>
        </w:rPr>
        <w:t xml:space="preserve">under basal </w:t>
      </w:r>
      <w:r w:rsidR="001B48CB" w:rsidRPr="00B84270">
        <w:rPr>
          <w:rFonts w:ascii="Arial" w:hAnsi="Arial" w:cs="Arial"/>
          <w:sz w:val="24"/>
          <w:szCs w:val="24"/>
          <w:lang w:val="en-US"/>
        </w:rPr>
        <w:t xml:space="preserve">and </w:t>
      </w:r>
      <w:r w:rsidR="00D65788" w:rsidRPr="00B84270">
        <w:rPr>
          <w:rFonts w:ascii="Arial" w:hAnsi="Arial" w:cs="Arial"/>
          <w:sz w:val="24"/>
          <w:szCs w:val="24"/>
          <w:lang w:val="en-US"/>
        </w:rPr>
        <w:t xml:space="preserve">prolonged </w:t>
      </w:r>
      <w:r w:rsidR="00CA634F" w:rsidRPr="00B84270">
        <w:rPr>
          <w:rFonts w:ascii="Arial" w:hAnsi="Arial" w:cs="Arial"/>
          <w:sz w:val="24"/>
          <w:szCs w:val="24"/>
          <w:lang w:val="en-US"/>
        </w:rPr>
        <w:t xml:space="preserve">holo-Tf-supplemented conditions (Fig.2), despite their several </w:t>
      </w:r>
      <w:proofErr w:type="gramStart"/>
      <w:r w:rsidR="00CA634F" w:rsidRPr="00B84270">
        <w:rPr>
          <w:rFonts w:ascii="Arial" w:hAnsi="Arial" w:cs="Arial"/>
          <w:sz w:val="24"/>
          <w:szCs w:val="24"/>
          <w:lang w:val="en-US"/>
        </w:rPr>
        <w:t>fold</w:t>
      </w:r>
      <w:proofErr w:type="gramEnd"/>
      <w:r w:rsidR="00CA634F" w:rsidRPr="00B84270">
        <w:rPr>
          <w:rFonts w:ascii="Arial" w:hAnsi="Arial" w:cs="Arial"/>
          <w:sz w:val="24"/>
          <w:szCs w:val="24"/>
          <w:lang w:val="en-US"/>
        </w:rPr>
        <w:t xml:space="preserve"> higher intracellular iron content than Wt cells (Fig.1B and Fig.4). </w:t>
      </w:r>
      <w:r w:rsidR="00D65788" w:rsidRPr="00B84270">
        <w:rPr>
          <w:rFonts w:ascii="Arial" w:hAnsi="Arial" w:cs="Arial"/>
          <w:sz w:val="24"/>
          <w:szCs w:val="24"/>
          <w:lang w:val="en-US"/>
        </w:rPr>
        <w:t>Such</w:t>
      </w:r>
      <w:r w:rsidR="00CA634F" w:rsidRPr="00B84270">
        <w:rPr>
          <w:rFonts w:ascii="Arial" w:hAnsi="Arial" w:cs="Arial"/>
          <w:sz w:val="24"/>
          <w:szCs w:val="24"/>
          <w:lang w:val="en-US"/>
        </w:rPr>
        <w:t xml:space="preserve"> an unexpected response could be because </w:t>
      </w:r>
      <w:r w:rsidR="00D65788" w:rsidRPr="00B84270">
        <w:rPr>
          <w:rFonts w:ascii="Arial" w:hAnsi="Arial" w:cs="Arial"/>
          <w:sz w:val="24"/>
          <w:szCs w:val="24"/>
          <w:lang w:val="en-US"/>
        </w:rPr>
        <w:t xml:space="preserve">the recombinant </w:t>
      </w:r>
      <w:r w:rsidR="00D65788" w:rsidRPr="00B84270">
        <w:rPr>
          <w:rFonts w:ascii="Arial" w:hAnsi="Arial" w:cs="Arial"/>
          <w:i/>
          <w:sz w:val="24"/>
          <w:szCs w:val="24"/>
          <w:lang w:val="en-US"/>
        </w:rPr>
        <w:t xml:space="preserve">TFRC </w:t>
      </w:r>
      <w:r w:rsidR="004C5BF7" w:rsidRPr="00B84270">
        <w:rPr>
          <w:rFonts w:ascii="Arial" w:hAnsi="Arial" w:cs="Arial"/>
          <w:sz w:val="24"/>
          <w:szCs w:val="24"/>
          <w:lang w:val="en-US"/>
        </w:rPr>
        <w:t xml:space="preserve">construct in </w:t>
      </w:r>
      <w:r w:rsidR="00D65788" w:rsidRPr="00B84270">
        <w:rPr>
          <w:rFonts w:ascii="Arial" w:hAnsi="Arial" w:cs="Arial"/>
          <w:sz w:val="24"/>
          <w:szCs w:val="24"/>
          <w:lang w:val="en-US"/>
        </w:rPr>
        <w:t>rec-TfR1 HepG2 cells was devoid of the IRE region and therefore independent from the IRE-mediated iron-regulatory mechanisms</w:t>
      </w:r>
      <w:r w:rsidR="00E3379D" w:rsidRPr="00B84270">
        <w:rPr>
          <w:rFonts w:ascii="Arial" w:hAnsi="Arial" w:cs="Arial"/>
          <w:sz w:val="24"/>
          <w:szCs w:val="24"/>
          <w:lang w:val="en-US"/>
        </w:rPr>
        <w:t xml:space="preserve"> </w:t>
      </w:r>
      <w:r w:rsidR="00614C46" w:rsidRPr="00B84270">
        <w:rPr>
          <w:rFonts w:ascii="Arial" w:hAnsi="Arial" w:cs="Arial"/>
          <w:sz w:val="24"/>
          <w:szCs w:val="24"/>
          <w:lang w:val="en-US"/>
        </w:rPr>
        <w:fldChar w:fldCharType="begin"/>
      </w:r>
      <w:r w:rsidR="000A09BE" w:rsidRPr="00B84270">
        <w:rPr>
          <w:rFonts w:ascii="Arial" w:hAnsi="Arial" w:cs="Arial"/>
          <w:sz w:val="24"/>
          <w:szCs w:val="24"/>
          <w:lang w:val="en-US"/>
        </w:rPr>
        <w:instrText xml:space="preserve"> ADDIN ZOTERO_ITEM CSL_CITATION {"citationID":"27084qsgu2","properties":{"formattedCitation":"(35)","plainCitation":"(35)"},"citationItems":[{"id":245,"uris":["http://zotero.org/users/2804724/items/DB82EAFK"],"uri":["http://zotero.org/users/2804724/items/DB82EAFK"],"itemData":{"id":245,"type":"article-journal","title":"Iron metabolism and the IRE/IRP regulatory system: an update","container-title":"Annals of the New York Academy of Sciences","page":"1-13","volume":"1012","source":"PubMed","abstract":"Cellular iron homeostasis is accomplished by the coordinated regulated expression of the transferrin receptor and ferritin, which mediate iron uptake and storage, respectively. The mechanism is posttranscriptional and involves two cytoplasmic iron regulatory proteins, IRP1 and IRP2. Under conditions of iron starvation, IRPs stabilize the transferrin receptor and inhibit the translation of ferritin mRNAs by binding to \"iron responsive elements\" (IREs) within their untranslated regions. The IRE/IRP system also controls the expression of additional IRE-containing mRNAs, encoding proteins of iron and energy metabolism. The activities of IRP1 and IRP2 are regulated by distinct posttranslational mechanisms in response to cellular iron levels. Thus, in iron-replete cells, IRP1 assembles a cubane iron-sulfur cluster, which prevents IRE binding, while IRP2 undergoes proteasomal degradation. IRP1 and IRP2 also respond, albeit differentially, to iron-independent signals, such as hydrogen peroxide, hypoxia, or nitric oxide. Basic principles of the IRE/IRP system and recent advances in understanding the regulation and the function of IRP1 and IRP2 are discussed.","ISSN":"0077-8923","note":"PMID: 15105251","shortTitle":"Iron metabolism and the IRE/IRP regulatory system","journalAbbreviation":"Ann. N. Y. Acad. Sci.","language":"eng","author":[{"family":"Pantopoulos","given":"Kostas"}],"issued":{"date-parts":[["2004",3]]},"PMID":"15105251"}}],"schema":"https://github.com/citation-style-language/schema/raw/master/csl-citation.json"} </w:instrText>
      </w:r>
      <w:r w:rsidR="00614C46" w:rsidRPr="00B84270">
        <w:rPr>
          <w:rFonts w:ascii="Arial" w:hAnsi="Arial" w:cs="Arial"/>
          <w:sz w:val="24"/>
          <w:szCs w:val="24"/>
          <w:lang w:val="en-US"/>
        </w:rPr>
        <w:fldChar w:fldCharType="separate"/>
      </w:r>
      <w:r w:rsidR="000A09BE" w:rsidRPr="00B84270">
        <w:rPr>
          <w:rFonts w:ascii="Arial" w:hAnsi="Arial" w:cs="Arial"/>
          <w:sz w:val="24"/>
        </w:rPr>
        <w:t>(35)</w:t>
      </w:r>
      <w:r w:rsidR="00614C46" w:rsidRPr="00B84270">
        <w:rPr>
          <w:rFonts w:ascii="Arial" w:hAnsi="Arial" w:cs="Arial"/>
          <w:sz w:val="24"/>
          <w:szCs w:val="24"/>
          <w:lang w:val="en-US"/>
        </w:rPr>
        <w:fldChar w:fldCharType="end"/>
      </w:r>
      <w:r w:rsidR="00D65788" w:rsidRPr="00B84270">
        <w:rPr>
          <w:rFonts w:ascii="Arial" w:hAnsi="Arial" w:cs="Arial"/>
          <w:sz w:val="24"/>
          <w:szCs w:val="24"/>
          <w:lang w:val="en-US"/>
        </w:rPr>
        <w:t xml:space="preserve">. This iron-insensitive feature was also reflected through up-regulated </w:t>
      </w:r>
      <w:r w:rsidR="00D65788" w:rsidRPr="00B84270">
        <w:rPr>
          <w:rFonts w:ascii="Arial" w:hAnsi="Arial" w:cs="Arial"/>
          <w:i/>
          <w:sz w:val="24"/>
          <w:szCs w:val="24"/>
          <w:lang w:val="en-US"/>
        </w:rPr>
        <w:t>TFRC</w:t>
      </w:r>
      <w:r w:rsidR="00D65788" w:rsidRPr="00B84270">
        <w:rPr>
          <w:rFonts w:ascii="Arial" w:hAnsi="Arial" w:cs="Arial"/>
          <w:sz w:val="24"/>
          <w:szCs w:val="24"/>
          <w:lang w:val="en-US"/>
        </w:rPr>
        <w:t xml:space="preserve"> mRNA expression following holo-Tf treatment, unlike the </w:t>
      </w:r>
      <w:r w:rsidR="00FD4846" w:rsidRPr="00B84270">
        <w:rPr>
          <w:rFonts w:ascii="Arial" w:hAnsi="Arial" w:cs="Arial"/>
          <w:sz w:val="24"/>
          <w:szCs w:val="24"/>
          <w:lang w:val="en-US"/>
        </w:rPr>
        <w:t>Wt cells</w:t>
      </w:r>
      <w:r w:rsidR="0055790C" w:rsidRPr="00B84270">
        <w:rPr>
          <w:rFonts w:ascii="Arial" w:hAnsi="Arial" w:cs="Arial"/>
          <w:sz w:val="24"/>
          <w:szCs w:val="24"/>
          <w:lang w:val="en-US"/>
        </w:rPr>
        <w:t xml:space="preserve"> </w:t>
      </w:r>
      <w:r w:rsidR="00D65788" w:rsidRPr="00B84270">
        <w:rPr>
          <w:rFonts w:ascii="Arial" w:hAnsi="Arial" w:cs="Arial"/>
          <w:sz w:val="24"/>
          <w:szCs w:val="24"/>
          <w:lang w:val="en-US"/>
        </w:rPr>
        <w:t>that showed down-regulated expression (</w:t>
      </w:r>
      <w:r w:rsidR="001F40B3" w:rsidRPr="00B84270">
        <w:rPr>
          <w:rFonts w:ascii="Arial" w:hAnsi="Arial" w:cs="Arial"/>
          <w:sz w:val="24"/>
          <w:szCs w:val="24"/>
          <w:lang w:val="en-US"/>
        </w:rPr>
        <w:t>Fig.3</w:t>
      </w:r>
      <w:r w:rsidR="004C5BF7" w:rsidRPr="00B84270">
        <w:rPr>
          <w:rFonts w:ascii="Arial" w:hAnsi="Arial" w:cs="Arial"/>
          <w:sz w:val="24"/>
          <w:szCs w:val="24"/>
          <w:lang w:val="en-US"/>
        </w:rPr>
        <w:t xml:space="preserve">). In </w:t>
      </w:r>
      <w:r w:rsidR="00FD4846" w:rsidRPr="00B84270">
        <w:rPr>
          <w:rFonts w:ascii="Arial" w:hAnsi="Arial" w:cs="Arial"/>
          <w:sz w:val="24"/>
          <w:szCs w:val="24"/>
          <w:lang w:val="en-US"/>
        </w:rPr>
        <w:t>Wt cells</w:t>
      </w:r>
      <w:r w:rsidR="00D65788" w:rsidRPr="00B84270">
        <w:rPr>
          <w:rFonts w:ascii="Arial" w:hAnsi="Arial" w:cs="Arial"/>
          <w:sz w:val="24"/>
          <w:szCs w:val="24"/>
          <w:lang w:val="en-US"/>
        </w:rPr>
        <w:t xml:space="preserve">, the reduced </w:t>
      </w:r>
      <w:r w:rsidR="00D65788" w:rsidRPr="00B84270">
        <w:rPr>
          <w:rFonts w:ascii="Arial" w:hAnsi="Arial" w:cs="Arial"/>
          <w:i/>
          <w:sz w:val="24"/>
          <w:szCs w:val="24"/>
          <w:lang w:val="en-US"/>
        </w:rPr>
        <w:t>TFRC</w:t>
      </w:r>
      <w:r w:rsidR="00D65788" w:rsidRPr="00B84270">
        <w:rPr>
          <w:rFonts w:ascii="Arial" w:hAnsi="Arial" w:cs="Arial"/>
          <w:sz w:val="24"/>
          <w:szCs w:val="24"/>
          <w:lang w:val="en-US"/>
        </w:rPr>
        <w:t xml:space="preserve"> mRNA expression at 24 h (</w:t>
      </w:r>
      <w:r w:rsidR="001F40B3" w:rsidRPr="00B84270">
        <w:rPr>
          <w:rFonts w:ascii="Arial" w:hAnsi="Arial" w:cs="Arial"/>
          <w:sz w:val="24"/>
          <w:szCs w:val="24"/>
          <w:lang w:val="en-US"/>
        </w:rPr>
        <w:t>Fig.3</w:t>
      </w:r>
      <w:r w:rsidR="00D65788" w:rsidRPr="00B84270">
        <w:rPr>
          <w:rFonts w:ascii="Arial" w:hAnsi="Arial" w:cs="Arial"/>
          <w:sz w:val="24"/>
          <w:szCs w:val="24"/>
          <w:lang w:val="en-US"/>
        </w:rPr>
        <w:t>) is consistent with the previously observed decrease following 2.5 g/L of holo-Tf treatment for 24 h</w:t>
      </w:r>
      <w:r w:rsidR="001A74CF" w:rsidRPr="00B84270">
        <w:rPr>
          <w:rFonts w:ascii="Arial" w:hAnsi="Arial" w:cs="Arial"/>
          <w:sz w:val="24"/>
          <w:szCs w:val="24"/>
          <w:lang w:val="en-US"/>
        </w:rPr>
        <w:t xml:space="preserve"> </w:t>
      </w:r>
      <w:r w:rsidR="00614C46" w:rsidRPr="00B84270">
        <w:rPr>
          <w:rFonts w:ascii="Arial" w:hAnsi="Arial" w:cs="Arial"/>
          <w:sz w:val="24"/>
          <w:szCs w:val="24"/>
          <w:lang w:val="en-US"/>
        </w:rPr>
        <w:fldChar w:fldCharType="begin"/>
      </w:r>
      <w:r w:rsidR="001A74CF" w:rsidRPr="00B84270">
        <w:rPr>
          <w:rFonts w:ascii="Arial" w:hAnsi="Arial" w:cs="Arial"/>
          <w:sz w:val="24"/>
          <w:szCs w:val="24"/>
          <w:lang w:val="en-US"/>
        </w:rPr>
        <w:instrText xml:space="preserve"> ADDIN ZOTERO_ITEM CSL_CITATION {"citationID":"k6chned87","properties":{"formattedCitation":"(24)","plainCitation":"(24)"},"citationItems":[{"id":174,"uris":["http://zotero.org/users/2804724/items/F76247IC"],"uri":["http://zotero.org/users/2804724/items/F76247IC"],"itemData":{"id":174,"type":"article-journal","title":"Expression of hepcidin in hereditary hemochromatosis: evidence for a regulation in response to the serum transferrin saturation and to non-transferrin-bound iron","container-title":"Blood","page":"371-376","volume":"102","issue":"1","source":"PubMed","abstract":"Experimental data suggest the antimicrobial peptide hepcidin as a central regulator in iron homeostasis. In this study, we characterized the expression of human hepcidin in experimental and clinical iron overload conditions, including hereditary hemochromatosis. Using quantitative reverse transcriptase-polymerase chain reaction (RT-PCR), we determined expression of hepcidin and the most relevant iron-related genes in liver biopsies from patients with hemochromatosis and iron-stain-negative control subjects. Regulation of hepcidin mRNA expression in response to transferrin-bound iron, non-transferrin-bound iron, and deferoxamine was analyzed in HepG2 cells. Hepcidin expression correlated significantly with serum ferritin levels in controls, whereas no significant up-regulation was observed in patients with hemochromatosis despite iron-overload conditions and high serum ferritin levels. However, patients with hemochromatosis showed an inverse correlation between hepcidin transcript levels and the serum transferrin saturation. Moreover, we found a significant correlation between hepatic transcript levels of hepcidin and transferrin receptor-2 irrespective of the iron status. In vitro data indicated that hepcidin expression is down-regulated in response to non-transferrin-bound iron. In conclusion, the presented data suggest a close relationship between the transferrin saturation and hepatic hepcidin expression in hereditary hemochromatosis. Although the causality is not yet clear, this interaction might result from a down-regulation of hepcidin expression in response to significant levels of non-transferrin-bound iron.","DOI":"10.1182/blood-2002-11-3610","ISSN":"0006-4971","note":"PMID: 12637325","shortTitle":"Expression of hepcidin in hereditary hemochromatosis","journalAbbreviation":"Blood","language":"eng","author":[{"family":"Gehrke","given":"Sven G."},{"family":"Kulaksiz","given":"Hasan"},{"family":"Herrmann","given":"Thomas"},{"family":"Riedel","given":"Hans-Dieter"},{"family":"Bents","given":"Karin"},{"family":"Veltkamp","given":"Claudia"},{"family":"Stremmel","given":"Wolfgang"}],"issued":{"date-parts":[["2003",7,1]]},"PMID":"12637325"}}],"schema":"https://github.com/citation-style-language/schema/raw/master/csl-citation.json"} </w:instrText>
      </w:r>
      <w:r w:rsidR="00614C46" w:rsidRPr="00B84270">
        <w:rPr>
          <w:rFonts w:ascii="Arial" w:hAnsi="Arial" w:cs="Arial"/>
          <w:sz w:val="24"/>
          <w:szCs w:val="24"/>
          <w:lang w:val="en-US"/>
        </w:rPr>
        <w:fldChar w:fldCharType="separate"/>
      </w:r>
      <w:r w:rsidR="000A09BE" w:rsidRPr="00B84270">
        <w:rPr>
          <w:rFonts w:ascii="Arial" w:hAnsi="Arial" w:cs="Arial"/>
          <w:sz w:val="24"/>
        </w:rPr>
        <w:t>(24)</w:t>
      </w:r>
      <w:r w:rsidR="00614C46" w:rsidRPr="00B84270">
        <w:rPr>
          <w:rFonts w:ascii="Arial" w:hAnsi="Arial" w:cs="Arial"/>
          <w:sz w:val="24"/>
          <w:szCs w:val="24"/>
          <w:lang w:val="en-US"/>
        </w:rPr>
        <w:fldChar w:fldCharType="end"/>
      </w:r>
      <w:r w:rsidR="00130108" w:rsidRPr="00B84270">
        <w:rPr>
          <w:rFonts w:ascii="Arial" w:hAnsi="Arial" w:cs="Arial"/>
          <w:sz w:val="24"/>
          <w:szCs w:val="24"/>
          <w:lang w:val="en-US"/>
        </w:rPr>
        <w:t xml:space="preserve">. </w:t>
      </w:r>
      <w:r w:rsidR="00D65788" w:rsidRPr="00B84270">
        <w:rPr>
          <w:rFonts w:ascii="Arial" w:hAnsi="Arial" w:cs="Arial"/>
          <w:sz w:val="24"/>
          <w:szCs w:val="24"/>
          <w:lang w:val="en-US"/>
        </w:rPr>
        <w:t xml:space="preserve">Thus, contrasting the </w:t>
      </w:r>
      <w:r w:rsidR="00FD4846" w:rsidRPr="00B84270">
        <w:rPr>
          <w:rFonts w:ascii="Arial" w:hAnsi="Arial" w:cs="Arial"/>
          <w:sz w:val="24"/>
          <w:szCs w:val="24"/>
          <w:lang w:val="en-US"/>
        </w:rPr>
        <w:t>Wt cells</w:t>
      </w:r>
      <w:r w:rsidR="00186A1A" w:rsidRPr="00B84270">
        <w:rPr>
          <w:rFonts w:ascii="Arial" w:hAnsi="Arial" w:cs="Arial"/>
          <w:sz w:val="24"/>
          <w:szCs w:val="24"/>
          <w:lang w:val="en-US"/>
        </w:rPr>
        <w:t xml:space="preserve">, </w:t>
      </w:r>
      <w:r w:rsidR="00D65788" w:rsidRPr="00B84270">
        <w:rPr>
          <w:rFonts w:ascii="Arial" w:hAnsi="Arial" w:cs="Arial"/>
          <w:sz w:val="24"/>
          <w:szCs w:val="24"/>
          <w:lang w:val="en-US"/>
        </w:rPr>
        <w:t>rec-TfR1 HepG2 cells demonstrated constitutively elevated cell-surface TfR1regardless of excess extracellular holo-Tf and high intracellular iron content, as required for this study.</w:t>
      </w:r>
    </w:p>
    <w:p w:rsidR="00F81388" w:rsidRPr="00B84270" w:rsidRDefault="00F81388" w:rsidP="005510CB">
      <w:pPr>
        <w:spacing w:after="0" w:line="360" w:lineRule="auto"/>
        <w:rPr>
          <w:rFonts w:ascii="Arial" w:hAnsi="Arial" w:cs="Arial"/>
          <w:b/>
          <w:sz w:val="24"/>
          <w:szCs w:val="24"/>
          <w:lang w:val="en-US"/>
        </w:rPr>
      </w:pPr>
    </w:p>
    <w:p w:rsidR="0015224D" w:rsidRPr="00B84270" w:rsidRDefault="00904CF2" w:rsidP="0015224D">
      <w:pPr>
        <w:spacing w:after="0" w:line="360" w:lineRule="auto"/>
        <w:rPr>
          <w:rFonts w:ascii="Arial" w:hAnsi="Arial" w:cs="Arial"/>
          <w:sz w:val="24"/>
          <w:szCs w:val="24"/>
          <w:lang w:val="en-US"/>
        </w:rPr>
      </w:pPr>
      <w:r w:rsidRPr="00B84270">
        <w:rPr>
          <w:rFonts w:ascii="Arial" w:hAnsi="Arial" w:cs="Arial"/>
          <w:sz w:val="24"/>
          <w:szCs w:val="24"/>
          <w:lang w:val="en-US"/>
        </w:rPr>
        <w:t xml:space="preserve">Both, </w:t>
      </w:r>
      <w:r w:rsidR="005F0678" w:rsidRPr="00B84270">
        <w:rPr>
          <w:rFonts w:ascii="Arial" w:hAnsi="Arial" w:cs="Arial"/>
          <w:sz w:val="24"/>
          <w:szCs w:val="24"/>
          <w:lang w:val="en-US"/>
        </w:rPr>
        <w:t xml:space="preserve">Wt </w:t>
      </w:r>
      <w:r w:rsidRPr="00B84270">
        <w:rPr>
          <w:rFonts w:ascii="Arial" w:hAnsi="Arial" w:cs="Arial"/>
          <w:sz w:val="24"/>
          <w:szCs w:val="24"/>
          <w:lang w:val="en-US"/>
        </w:rPr>
        <w:t xml:space="preserve">and rec-TfR1 HepG2 cells exceeded basal levels of hepcidin secretion upon holo-Tf treatment and decreased hepcidin levels over time upon holo-Tf deprivation (0 g/L) (Fig.5 and Fig.1C). This is similar to the </w:t>
      </w:r>
      <w:r w:rsidR="005F0678" w:rsidRPr="00B84270">
        <w:rPr>
          <w:rFonts w:ascii="Arial" w:hAnsi="Arial" w:cs="Arial"/>
          <w:sz w:val="24"/>
          <w:szCs w:val="24"/>
          <w:lang w:val="en-US"/>
        </w:rPr>
        <w:t>human response where increased circulatory iron levels lead to increased circulatory hepcidin levels</w:t>
      </w:r>
      <w:r w:rsidR="003C4F50" w:rsidRPr="00B84270">
        <w:rPr>
          <w:rFonts w:ascii="Arial" w:hAnsi="Arial" w:cs="Arial"/>
          <w:sz w:val="24"/>
          <w:szCs w:val="24"/>
          <w:lang w:val="en-US"/>
        </w:rPr>
        <w:t xml:space="preserve"> </w:t>
      </w:r>
      <w:r w:rsidR="00614C46" w:rsidRPr="00B84270">
        <w:rPr>
          <w:rFonts w:ascii="Arial" w:hAnsi="Arial" w:cs="Arial"/>
          <w:sz w:val="24"/>
          <w:szCs w:val="24"/>
          <w:lang w:val="en-US"/>
        </w:rPr>
        <w:fldChar w:fldCharType="begin"/>
      </w:r>
      <w:r w:rsidR="000A09BE" w:rsidRPr="00B84270">
        <w:rPr>
          <w:rFonts w:ascii="Arial" w:hAnsi="Arial" w:cs="Arial"/>
          <w:sz w:val="24"/>
          <w:szCs w:val="24"/>
          <w:lang w:val="en-US"/>
        </w:rPr>
        <w:instrText xml:space="preserve"> ADDIN ZOTERO_ITEM CSL_CITATION {"citationID":"81vSQ2pf","properties":{"formattedCitation":"{\\rtf (1,36\\uc0\\u8211{}38)}","plainCitation":"(1,36–38)"},"citationItems":[{"id":186,"uris":["http://zotero.org/users/2804724/items/NZW4KK5W"],"uri":["http://zotero.org/users/2804724/items/NZW4KK5W"],"itemData":{"id":186,"type":"article-journal","title":"A new mouse liver-specific gene, encoding a protein homologous to human antimicrobial peptide hepcidin, is overexpressed during iron overload","container-title":"The Journal of Biological Chemistry","page":"7811-7819","volume":"276","issue":"11","source":"PubMed","abstract":"Considering that the development of hepatic lesions related to iron overload diseases might be a result of abnormally expressed hepatic genes, we searched for new genes up-regulated under the condition of iron excess. By suppressive subtractive hybridization performed between livers from carbonyl iron-overloaded and control mice, we isolated a 225-base pair cDNA. By Northern blot analysis, the corresponding mRNA was confirmed to be overexpressed in livers of experimentally (carbonyl iron and iron-dextran-treated mice) and spontaneously (beta(2)-microglobulin knockout mice) iron-overloaded mice. In addition, beta(2)-microglobulin knockout mice fed with a low iron content diet exhibited a decrease of hepatic mRNA expression. The murine full-length cDNA was isolated and was found to encode an 83-amino acid protein presenting a strong homology in its C-terminal region to the human antimicrobial peptide hepcidin. In addition, we cloned the corresponding rat and human orthologue cDNAs. Both mouse and human genes named HEPC are constituted of 3 exons and 2 introns and are located on chromosome 7 and 19, respectively, in close proximity to USF2 gene. In mouse and human, HEPC mRNA was predominantly expressed in the liver. During both in vivo and in vitro studies, HEPC mRNA expression was enhanced in mouse hepatocytes under the effect of lipopolysaccharide. Finally, to analyze the intracellular localization of the predicted protein, we used the green fluorescent protein chimera expression vectors. The murine green fluorescent protein-prohepcidin protein was exclusively localized in the nucleus. When the putative nuclear localization signal was deleted, the resulting protein was addressed to the cytoplasm. Taken together, our data strongly suggest that the product of the new liver-specific gene HEPC might play a specific role during iron overload and exhibit additional functions distinct from its antimicrobial activity.","DOI":"10.1074/jbc.M008923200","ISSN":"0021-9258","note":"PMID: 11113132","journalAbbreviation":"J. Biol. Chem.","language":"eng","author":[{"family":"Pigeon","given":"C."},{"family":"Ilyin","given":"G."},{"family":"Courselaud","given":"B."},{"family":"Leroyer","given":"P."},{"family":"Turlin","given":"B."},{"family":"Brissot","given":"P."},{"family":"Loréal","given":"O."}],"issued":{"date-parts":[["2001",3,16]]},"PMID":"11113132"}},{"id":247,"uris":["http://zotero.org/users/2804724/items/7BIRGZ2W"],"uri":["http://zotero.org/users/2804724/items/7BIRGZ2W"],"itemData":{"id":247,"type":"article-journal","title":"Iron transferrin regulates hepcidin synthesis in primary hepatocyte culture through hemojuvelin and BMP2/4","container-title":"Blood","page":"2182-2189","volume":"110","issue":"6","source":"PubMed","abstract":"The peptide hormone hepcidin is the principal regulator of systemic iron homeostasis. We examined the pathway by which iron stimulates the production of hepcidin. In humans who ingested 65 mg of iron, the increase in transferrin saturation preceded by hours the increase in urinary hepcidin excretion. Increases in urinary hepcidin concentrations were proportional to the increment in transferrin saturation. Paradoxically, in previous studies in primary hepatocytes and cell lines, hepcidin response to iron or iron transferrin was not observed. We now report that freshly isolated murine primary hepatocytes responded to holotransferrin but not apotransferrin by increasing hepcidin mRNA. Hepcidin increase was not due to contamination of the transferrin preparations by endotoxin, a potent pathologic stimulus of hepcidin synthesis. Using this culture system, we showed that holotransferrin concentrations regulate hepcidin mRNA concentrations through a hemojuvelin/BMP2/4-dependent pathway. Although BMP9 is known to be expressed in the liver and potently increased the basal concentrations of hepcidin mRNA, it did not interact with hemojuvelin, and interference with its signaling pathway did not affect iron regulation. Fresh primary hepatocytes constitute a sufficient system for the regulation of hepcidin by physiologic iron stimuli and will greatly facilitate studies of major disorders of iron homeostasis.","DOI":"10.1182/blood-2007-04-087593","ISSN":"0006-4971","note":"PMID: 17540841\nPMCID: PMC1976373","journalAbbreviation":"Blood","language":"eng","author":[{"family":"Lin","given":"Lan"},{"family":"Valore","given":"Erika V."},{"family":"Nemeth","given":"Elizabeta"},{"family":"Goodnough","given":"Julia B."},{"family":"Gabayan","given":"Victoria"},{"family":"Ganz","given":"Tomas"}],"issued":{"date-parts":[["2007",9,15]]},"PMID":"17540841","PMCID":"PMC1976373"}},{"id":249,"uris":["http://zotero.org/users/2804724/items/TUHSPQIG"],"uri":["http://zotero.org/users/2804724/items/TUHSPQIG"],"itemData":{"id":249,"type":"article-journal","title":"Immunoassay for human serum hepcidin","container-title":"Blood","page":"4292-4297","volume":"112","issue":"10","source":"PubMed","abstract":"We developed and validated the first serum enzyme-linked immunosorbent assay for hepcidin, the principal iron-regulatory hormone that has been very difficult to measure. In healthy volunteers, the 5% to 95% range of hepcidin concentrations was 29 to 254 ng/mL in men (n = 65) and 17 to 286 ng/mL in women (n = 49), with median concentrations 112 versus 65 (P &lt; .001). The lower limit of detection was 5 ng/mL. Serum hepcidin concentrations in 24 healthy subjects correlated well with their urinary hepcidin (r = 0.82). Serum hepcidin appropriately correlated with serum ferritin (r = 0.63), reflecting the regulation of both proteins by iron stores. Healthy volunteers showed a diurnal increase of serum hepcidin at noon and 8 pm compared with 8 am, and a transient rise of serum hepcidin in response to iron ingestion. Expected alterations in hepcidin levels were observed in a variety of clinical conditions associated with iron disturbances. Serum hepcidin concentrations were undetectable or low in patients with iron deficiency anemia (ferritin &lt; 10 ng/mL), iron-depleted HFE hemochromatosis, and juvenile hemochromatosis. Serum hepcidin concentrations were high in patients with inflammation (C-reactive protein &gt; 10 mg/dL), multiple myeloma, or chronic kidney disease. The new serum hepcidin enzyme-linked immunosorbent assay yields accurate and reproducible measurements that appropriately reflect physiologic, pathologic, and genetic influences, and is informative about the etiology of iron disorders.","DOI":"10.1182/blood-2008-02-139915","ISSN":"1528-0020","note":"PMID: 18689548","journalAbbreviation":"Blood","language":"eng","author":[{"family":"Ganz","given":"Tomas"},{"family":"Olbina","given":"Gordana"},{"family":"Girelli","given":"Domenico"},{"family":"Nemeth","given":"Elizabeta"},{"family":"Westerman","given":"Mark"}],"issued":{"date-parts":[["2008",11,15]]},"PMID":"18689548"}},{"id":251,"uris":["http://zotero.org/users/2804724/items/PZTKT96S"],"uri":["http://zotero.org/users/2804724/items/PZTKT96S"],"itemData":{"id":251,"type":"article-journal","title":"A time course of hepcidin response to iron challenge in patients with HFE and TFR2 hemochromatosis","container-title":"Haematologica","page":"500-506","volume":"96","issue":"4","source":"PubMed","abstract":"BACKGROUND: Inadequate hepcidin production leads to iron overload in nearly all types of hemochromatosis. We explored the acute response of hepcidin to iron challenge in 25 patients with HFE-hemochromatosis, in two with TFR2-hemochromatosis and in 13 controls. Sixteen patients (10 C282Y/C282Y homozygotes, 6 C282Y/H63D compound heterozygotes) had increased iron stores, while nine (6 C282Y/C282Y homozygotes, 3 C282Y/H63D compound heterozygotes) were studied after phlebotomy-induced normalization of iron stores.\nDESIGN AND METHODS: We analyzed serum iron, transferrin saturation, and serum hepcidin by both enzyme-linked immunosorbent assay and mass-spectrometry at baseline, and 4, 8, 12 and 24 hours after a single 65-mg dose of oral iron.\nRESULTS: Serum iron and transferrin saturation significantly increased at 4 hours and returned to baseline values at 8-12 hours in all groups, except in the iron-normalized patients who showed the highest and longest increase of both parameters. The level of hepcidin increased significantly at 4 hours and returned to baseline at 24 hours in controls and in the C282Y/H63D compound heterozygotes at diagnosis. The hepcidin response was smaller in C282Y-homozygotes than in controls, barely detectable in the patients with iron-depleted HFE-hemochromatosis and absent in those with TFR2-hemochromatosis. Conclusions Our results are consistent with a scenario in which TFR2 plays a prominent and HFE a contributory role in the hepcidin response to a dose of oral iron. In iron-normalized patients with HFE hemochromatosis, both the low baseline hepcidin level and the weak response to iron contribute to hyperabsorption of iron.","DOI":"10.3324/haematol.2010.033449","ISSN":"1592-8721","note":"PMID: 21173098\nPMCID: PMC3069225","journalAbbreviation":"Haematologica","language":"eng","author":[{"family":"Girelli","given":"Domenico"},{"family":"Trombini","given":"Paola"},{"family":"Busti","given":"Fabiana"},{"family":"Campostrini","given":"Natascia"},{"family":"Sandri","given":"Marco"},{"family":"Pelucchi","given":"Sara"},{"family":"Westerman","given":"Mark"},{"family":"Ganz","given":"Tomas"},{"family":"Nemeth","given":"Elizabeta"},{"family":"Piperno","given":"Alberto"},{"family":"Camaschella","given":"Clara"}],"issued":{"date-parts":[["2011",4]]},"PMID":"21173098","PMCID":"PMC3069225"}}],"schema":"https://github.com/citation-style-language/schema/raw/master/csl-citation.json"} </w:instrText>
      </w:r>
      <w:r w:rsidR="00614C46" w:rsidRPr="00B84270">
        <w:rPr>
          <w:rFonts w:ascii="Arial" w:hAnsi="Arial" w:cs="Arial"/>
          <w:sz w:val="24"/>
          <w:szCs w:val="24"/>
          <w:lang w:val="en-US"/>
        </w:rPr>
        <w:fldChar w:fldCharType="separate"/>
      </w:r>
      <w:r w:rsidR="000A09BE" w:rsidRPr="00B84270">
        <w:rPr>
          <w:rFonts w:ascii="Arial" w:hAnsi="Arial" w:cs="Arial"/>
          <w:sz w:val="24"/>
          <w:szCs w:val="24"/>
        </w:rPr>
        <w:t>(1,36–38)</w:t>
      </w:r>
      <w:r w:rsidR="00614C46" w:rsidRPr="00B84270">
        <w:rPr>
          <w:rFonts w:ascii="Arial" w:hAnsi="Arial" w:cs="Arial"/>
          <w:sz w:val="24"/>
          <w:szCs w:val="24"/>
          <w:lang w:val="en-US"/>
        </w:rPr>
        <w:fldChar w:fldCharType="end"/>
      </w:r>
      <w:r w:rsidR="002645A6" w:rsidRPr="00B84270">
        <w:rPr>
          <w:rFonts w:ascii="Arial" w:hAnsi="Arial" w:cs="Arial"/>
          <w:sz w:val="24"/>
          <w:szCs w:val="24"/>
          <w:lang w:val="en-US"/>
        </w:rPr>
        <w:t xml:space="preserve"> </w:t>
      </w:r>
      <w:r w:rsidR="005F0678" w:rsidRPr="00B84270">
        <w:rPr>
          <w:rFonts w:ascii="Arial" w:hAnsi="Arial" w:cs="Arial"/>
          <w:sz w:val="24"/>
          <w:szCs w:val="24"/>
          <w:lang w:val="en-US"/>
        </w:rPr>
        <w:t>and reduced hepcidin response prevails under iron deficiency</w:t>
      </w:r>
      <w:r w:rsidR="00483A1F" w:rsidRPr="00B84270">
        <w:rPr>
          <w:rFonts w:ascii="Arial" w:hAnsi="Arial" w:cs="Arial"/>
          <w:sz w:val="24"/>
          <w:szCs w:val="24"/>
          <w:lang w:val="en-US"/>
        </w:rPr>
        <w:t xml:space="preserve"> </w:t>
      </w:r>
      <w:r w:rsidR="00614C46" w:rsidRPr="00B84270">
        <w:rPr>
          <w:rFonts w:ascii="Arial" w:hAnsi="Arial" w:cs="Arial"/>
          <w:sz w:val="24"/>
          <w:szCs w:val="24"/>
          <w:lang w:val="en-US"/>
        </w:rPr>
        <w:fldChar w:fldCharType="begin"/>
      </w:r>
      <w:r w:rsidR="000A09BE" w:rsidRPr="00B84270">
        <w:rPr>
          <w:rFonts w:ascii="Arial" w:hAnsi="Arial" w:cs="Arial"/>
          <w:sz w:val="24"/>
          <w:szCs w:val="24"/>
          <w:lang w:val="en-US"/>
        </w:rPr>
        <w:instrText xml:space="preserve"> ADDIN ZOTERO_ITEM CSL_CITATION {"citationID":"jDg11eU2","properties":{"formattedCitation":"(37,39)","plainCitation":"(37,39)"},"citationItems":[{"id":249,"uris":["http://zotero.org/users/2804724/items/TUHSPQIG"],"uri":["http://zotero.org/users/2804724/items/TUHSPQIG"],"itemData":{"id":249,"type":"article-journal","title":"Immunoassay for human serum hepcidin","container-title":"Blood","page":"4292-4297","volume":"112","issue":"10","source":"PubMed","abstract":"We developed and validated the first serum enzyme-linked immunosorbent assay for hepcidin, the principal iron-regulatory hormone that has been very difficult to measure. In healthy volunteers, the 5% to 95% range of hepcidin concentrations was 29 to 254 ng/mL in men (n = 65) and 17 to 286 ng/mL in women (n = 49), with median concentrations 112 versus 65 (P &lt; .001). The lower limit of detection was 5 ng/mL. Serum hepcidin concentrations in 24 healthy subjects correlated well with their urinary hepcidin (r = 0.82). Serum hepcidin appropriately correlated with serum ferritin (r = 0.63), reflecting the regulation of both proteins by iron stores. Healthy volunteers showed a diurnal increase of serum hepcidin at noon and 8 pm compared with 8 am, and a transient rise of serum hepcidin in response to iron ingestion. Expected alterations in hepcidin levels were observed in a variety of clinical conditions associated with iron disturbances. Serum hepcidin concentrations were undetectable or low in patients with iron deficiency anemia (ferritin &lt; 10 ng/mL), iron-depleted HFE hemochromatosis, and juvenile hemochromatosis. Serum hepcidin concentrations were high in patients with inflammation (C-reactive protein &gt; 10 mg/dL), multiple myeloma, or chronic kidney disease. The new serum hepcidin enzyme-linked immunosorbent assay yields accurate and reproducible measurements that appropriately reflect physiologic, pathologic, and genetic influences, and is informative about the etiology of iron disorders.","DOI":"10.1182/blood-2008-02-139915","ISSN":"1528-0020","note":"PMID: 18689548","journalAbbreviation":"Blood","language":"eng","author":[{"family":"Ganz","given":"Tomas"},{"family":"Olbina","given":"Gordana"},{"family":"Girelli","given":"Domenico"},{"family":"Nemeth","given":"Elizabeta"},{"family":"Westerman","given":"Mark"}],"issued":{"date-parts":[["2008",11,15]]},"PMID":"18689548"}},{"id":253,"uris":["http://zotero.org/users/2804724/items/BAUPQEGN"],"uri":["http://zotero.org/users/2804724/items/BAUPQEGN"],"itemData":{"id":253,"type":"article-journal","title":"Serum hepcidin levels and iron parameters in children with iron deficiency","container-title":"The Korean Journal of Hematology","page":"286-292","volume":"47","issue":"4","source":"PubMed","abstract":"BACKGROUND: Iron deficiency (ID) and iron deficiency anemia (IDA) are common nutritional disorders in children. Hepcidin, a peptide hormone produced in the liver, is a central regulator of systemic iron metabolism. We evaluated whether serum hepcidin levels can diagnose ID in children.\nMETHODS: Sera from 59 children (23 males and 36 females; 5 months to 17 years) were analyzed for hepcidin-25 by ELISA. Patients were classified according to hemoglobin level and iron parameters as: IDA, (N=17), ID (N=18), and control (N=24).\nRESULTS: Serum hepcidin, ferritin, soluble transferrin receptor (sTfR), transferrin saturation, and hemoglobin levels differed significantly between groups (P&lt;0.0001). Serum hepcidin and ferritin levels (mean±SD) were 2.01±2.30 and 7.00±7.86, 7.72±8.03 and 29.35±24.01, 16.71±14.74 and 46.40±43.57 ng/mL in the IDA, ID, and control groups, respectively. The area under the receiver operating characteristic curve for serum hepcidin as a predictor of ID was 0.852 (95% CI, 0.755-0.950). Hepcidin ≤6.895 ng/mL had a sensitivity of 79.2% and specificity of 82.8% for the diagnosis of ID. Serum hepcidin levels were significantly correlated with ferritin, transferrin saturation, and hemoglobin levels and significantly negatively correlated with sTfR level and total iron binding capacity (P&lt;0.0001).\nCONCLUSION: Serum hepcidin levels are significantly associated with iron status and can be a useful indicator of ID. Further studies are necessary to validate these findings and determine a reliable cutoff value in children.","DOI":"10.5045/kjh.2012.47.4.286","ISSN":"1738-7949","note":"PMID: 23320008\nPMCID: PMC3538801","journalAbbreviation":"Korean J Hematol","language":"eng","author":[{"family":"Choi","given":"Hyoung Soo"},{"family":"Song","given":"Sang Hoon"},{"family":"Lee","given":"Jae Hee"},{"family":"Kim","given":"Hee-Jin"},{"family":"Yang","given":"Hye Ran"}],"issued":{"date-parts":[["2012",12]]},"PMID":"23320008","PMCID":"PMC3538801"}}],"schema":"https://github.com/citation-style-language/schema/raw/master/csl-citation.json"} </w:instrText>
      </w:r>
      <w:r w:rsidR="00614C46" w:rsidRPr="00B84270">
        <w:rPr>
          <w:rFonts w:ascii="Arial" w:hAnsi="Arial" w:cs="Arial"/>
          <w:sz w:val="24"/>
          <w:szCs w:val="24"/>
          <w:lang w:val="en-US"/>
        </w:rPr>
        <w:fldChar w:fldCharType="separate"/>
      </w:r>
      <w:r w:rsidR="000A09BE" w:rsidRPr="00B84270">
        <w:rPr>
          <w:rFonts w:ascii="Arial" w:hAnsi="Arial" w:cs="Arial"/>
          <w:sz w:val="24"/>
        </w:rPr>
        <w:t>(37,39)</w:t>
      </w:r>
      <w:r w:rsidR="00614C46" w:rsidRPr="00B84270">
        <w:rPr>
          <w:rFonts w:ascii="Arial" w:hAnsi="Arial" w:cs="Arial"/>
          <w:sz w:val="24"/>
          <w:szCs w:val="24"/>
          <w:lang w:val="en-US"/>
        </w:rPr>
        <w:fldChar w:fldCharType="end"/>
      </w:r>
      <w:r w:rsidR="005F0678" w:rsidRPr="00B84270">
        <w:rPr>
          <w:rFonts w:ascii="Arial" w:hAnsi="Arial" w:cs="Arial"/>
          <w:sz w:val="24"/>
          <w:szCs w:val="24"/>
          <w:lang w:val="en-US"/>
        </w:rPr>
        <w:t xml:space="preserve">. </w:t>
      </w:r>
      <w:r w:rsidR="006F191D" w:rsidRPr="00B84270">
        <w:rPr>
          <w:rFonts w:ascii="Arial" w:hAnsi="Arial" w:cs="Arial"/>
          <w:sz w:val="24"/>
          <w:szCs w:val="24"/>
        </w:rPr>
        <w:t>Interestingly, upon</w:t>
      </w:r>
      <w:r w:rsidR="006F191D" w:rsidRPr="00B84270">
        <w:rPr>
          <w:rFonts w:ascii="Arial" w:hAnsi="Arial" w:cs="Arial"/>
          <w:bCs/>
          <w:sz w:val="24"/>
          <w:szCs w:val="24"/>
        </w:rPr>
        <w:t xml:space="preserve"> holo-Tf treatment, the Wt cells exceeded the basal level by 1.7-fold at 4 h and markedly reduced hepcidin secretion at 24 h </w:t>
      </w:r>
      <w:r w:rsidR="006F191D" w:rsidRPr="00B84270">
        <w:rPr>
          <w:rFonts w:ascii="Arial" w:hAnsi="Arial" w:cs="Arial"/>
          <w:sz w:val="24"/>
          <w:szCs w:val="24"/>
        </w:rPr>
        <w:t xml:space="preserve">(Figs.1C and 5). </w:t>
      </w:r>
      <w:r w:rsidR="00643A25" w:rsidRPr="00B84270">
        <w:rPr>
          <w:rFonts w:ascii="Arial" w:hAnsi="Arial" w:cs="Arial"/>
          <w:sz w:val="24"/>
          <w:szCs w:val="24"/>
        </w:rPr>
        <w:t xml:space="preserve">A </w:t>
      </w:r>
      <w:r w:rsidR="006F191D" w:rsidRPr="00B84270">
        <w:rPr>
          <w:rFonts w:ascii="Arial" w:hAnsi="Arial" w:cs="Arial"/>
          <w:sz w:val="24"/>
          <w:szCs w:val="24"/>
        </w:rPr>
        <w:t xml:space="preserve">similar </w:t>
      </w:r>
      <w:r w:rsidR="00643A25" w:rsidRPr="00B84270">
        <w:rPr>
          <w:rFonts w:ascii="Arial" w:hAnsi="Arial" w:cs="Arial"/>
          <w:sz w:val="24"/>
          <w:szCs w:val="24"/>
        </w:rPr>
        <w:t xml:space="preserve">pattern has </w:t>
      </w:r>
      <w:r w:rsidR="00643A25" w:rsidRPr="00B84270">
        <w:rPr>
          <w:rFonts w:ascii="Arial" w:hAnsi="Arial" w:cs="Arial"/>
          <w:sz w:val="24"/>
          <w:szCs w:val="24"/>
        </w:rPr>
        <w:lastRenderedPageBreak/>
        <w:t xml:space="preserve">been reported in </w:t>
      </w:r>
      <w:r w:rsidR="006F191D" w:rsidRPr="00B84270">
        <w:rPr>
          <w:rFonts w:ascii="Arial" w:hAnsi="Arial" w:cs="Arial"/>
          <w:sz w:val="24"/>
          <w:szCs w:val="24"/>
        </w:rPr>
        <w:t>human</w:t>
      </w:r>
      <w:r w:rsidR="00643A25" w:rsidRPr="00B84270">
        <w:rPr>
          <w:rFonts w:ascii="Arial" w:hAnsi="Arial" w:cs="Arial"/>
          <w:sz w:val="24"/>
          <w:szCs w:val="24"/>
        </w:rPr>
        <w:t>s</w:t>
      </w:r>
      <w:r w:rsidR="006F191D" w:rsidRPr="00B84270">
        <w:rPr>
          <w:rFonts w:ascii="Arial" w:hAnsi="Arial" w:cs="Arial"/>
          <w:sz w:val="24"/>
          <w:szCs w:val="24"/>
        </w:rPr>
        <w:t xml:space="preserve"> where a</w:t>
      </w:r>
      <w:r w:rsidR="000B61E7" w:rsidRPr="00B84270">
        <w:rPr>
          <w:rFonts w:ascii="Arial" w:hAnsi="Arial" w:cs="Arial"/>
          <w:sz w:val="24"/>
          <w:szCs w:val="24"/>
        </w:rPr>
        <w:t xml:space="preserve">n oral </w:t>
      </w:r>
      <w:r w:rsidR="00E76DBE" w:rsidRPr="00B84270">
        <w:rPr>
          <w:rFonts w:ascii="Arial" w:hAnsi="Arial" w:cs="Arial"/>
          <w:sz w:val="24"/>
          <w:szCs w:val="24"/>
        </w:rPr>
        <w:t>dose</w:t>
      </w:r>
      <w:r w:rsidR="006F191D" w:rsidRPr="00B84270">
        <w:rPr>
          <w:rFonts w:ascii="Arial" w:hAnsi="Arial" w:cs="Arial"/>
          <w:sz w:val="24"/>
          <w:szCs w:val="24"/>
        </w:rPr>
        <w:t xml:space="preserve"> of 65 mg </w:t>
      </w:r>
      <w:r w:rsidR="000B61E7" w:rsidRPr="00B84270">
        <w:rPr>
          <w:rFonts w:ascii="Arial" w:hAnsi="Arial" w:cs="Arial"/>
          <w:sz w:val="24"/>
          <w:szCs w:val="24"/>
        </w:rPr>
        <w:t xml:space="preserve">of iron </w:t>
      </w:r>
      <w:r w:rsidR="006F191D" w:rsidRPr="00B84270">
        <w:rPr>
          <w:rFonts w:ascii="Arial" w:hAnsi="Arial" w:cs="Arial"/>
          <w:sz w:val="24"/>
          <w:szCs w:val="24"/>
        </w:rPr>
        <w:t>led to a 2-fold increase in hepcidin levels after 4 h and returned to baseline levels after 24 h</w:t>
      </w:r>
      <w:r w:rsidR="001F5130" w:rsidRPr="00B84270">
        <w:rPr>
          <w:rFonts w:ascii="Arial" w:hAnsi="Arial" w:cs="Arial"/>
          <w:sz w:val="24"/>
          <w:szCs w:val="24"/>
        </w:rPr>
        <w:t xml:space="preserve"> </w:t>
      </w:r>
      <w:r w:rsidR="00614C46" w:rsidRPr="00B84270">
        <w:rPr>
          <w:rFonts w:ascii="Arial" w:hAnsi="Arial" w:cs="Arial"/>
          <w:sz w:val="24"/>
          <w:szCs w:val="24"/>
        </w:rPr>
        <w:fldChar w:fldCharType="begin"/>
      </w:r>
      <w:r w:rsidR="000A09BE" w:rsidRPr="00B84270">
        <w:rPr>
          <w:rFonts w:ascii="Arial" w:hAnsi="Arial" w:cs="Arial"/>
          <w:sz w:val="24"/>
          <w:szCs w:val="24"/>
        </w:rPr>
        <w:instrText xml:space="preserve"> ADDIN ZOTERO_ITEM CSL_CITATION {"citationID":"1uslha7u6h","properties":{"formattedCitation":"(38)","plainCitation":"(38)"},"citationItems":[{"id":251,"uris":["http://zotero.org/users/2804724/items/PZTKT96S"],"uri":["http://zotero.org/users/2804724/items/PZTKT96S"],"itemData":{"id":251,"type":"article-journal","title":"A time course of hepcidin response to iron challenge in patients with HFE and TFR2 hemochromatosis","container-title":"Haematologica","page":"500-506","volume":"96","issue":"4","source":"PubMed","abstract":"BACKGROUND: Inadequate hepcidin production leads to iron overload in nearly all types of hemochromatosis. We explored the acute response of hepcidin to iron challenge in 25 patients with HFE-hemochromatosis, in two with TFR2-hemochromatosis and in 13 controls. Sixteen patients (10 C282Y/C282Y homozygotes, 6 C282Y/H63D compound heterozygotes) had increased iron stores, while nine (6 C282Y/C282Y homozygotes, 3 C282Y/H63D compound heterozygotes) were studied after phlebotomy-induced normalization of iron stores.\nDESIGN AND METHODS: We analyzed serum iron, transferrin saturation, and serum hepcidin by both enzyme-linked immunosorbent assay and mass-spectrometry at baseline, and 4, 8, 12 and 24 hours after a single 65-mg dose of oral iron.\nRESULTS: Serum iron and transferrin saturation significantly increased at 4 hours and returned to baseline values at 8-12 hours in all groups, except in the iron-normalized patients who showed the highest and longest increase of both parameters. The level of hepcidin increased significantly at 4 hours and returned to baseline at 24 hours in controls and in the C282Y/H63D compound heterozygotes at diagnosis. The hepcidin response was smaller in C282Y-homozygotes than in controls, barely detectable in the patients with iron-depleted HFE-hemochromatosis and absent in those with TFR2-hemochromatosis. Conclusions Our results are consistent with a scenario in which TFR2 plays a prominent and HFE a contributory role in the hepcidin response to a dose of oral iron. In iron-normalized patients with HFE hemochromatosis, both the low baseline hepcidin level and the weak response to iron contribute to hyperabsorption of iron.","DOI":"10.3324/haematol.2010.033449","ISSN":"1592-8721","note":"PMID: 21173098\nPMCID: PMC3069225","journalAbbreviation":"Haematologica","language":"eng","author":[{"family":"Girelli","given":"Domenico"},{"family":"Trombini","given":"Paola"},{"family":"Busti","given":"Fabiana"},{"family":"Campostrini","given":"Natascia"},{"family":"Sandri","given":"Marco"},{"family":"Pelucchi","given":"Sara"},{"family":"Westerman","given":"Mark"},{"family":"Ganz","given":"Tomas"},{"family":"Nemeth","given":"Elizabeta"},{"family":"Piperno","given":"Alberto"},{"family":"Camaschella","given":"Clara"}],"issued":{"date-parts":[["2011",4]]},"PMID":"21173098","PMCID":"PMC3069225"}}],"schema":"https://github.com/citation-style-language/schema/raw/master/csl-citation.json"} </w:instrText>
      </w:r>
      <w:r w:rsidR="00614C46" w:rsidRPr="00B84270">
        <w:rPr>
          <w:rFonts w:ascii="Arial" w:hAnsi="Arial" w:cs="Arial"/>
          <w:sz w:val="24"/>
          <w:szCs w:val="24"/>
        </w:rPr>
        <w:fldChar w:fldCharType="separate"/>
      </w:r>
      <w:r w:rsidR="000A09BE" w:rsidRPr="00B84270">
        <w:rPr>
          <w:rFonts w:ascii="Arial" w:hAnsi="Arial" w:cs="Arial"/>
          <w:sz w:val="24"/>
        </w:rPr>
        <w:t>(38)</w:t>
      </w:r>
      <w:r w:rsidR="00614C46" w:rsidRPr="00B84270">
        <w:rPr>
          <w:rFonts w:ascii="Arial" w:hAnsi="Arial" w:cs="Arial"/>
          <w:sz w:val="24"/>
          <w:szCs w:val="24"/>
        </w:rPr>
        <w:fldChar w:fldCharType="end"/>
      </w:r>
      <w:r w:rsidR="001F5130" w:rsidRPr="00B84270">
        <w:rPr>
          <w:rFonts w:ascii="Arial" w:hAnsi="Arial" w:cs="Arial"/>
          <w:sz w:val="24"/>
          <w:szCs w:val="24"/>
        </w:rPr>
        <w:t>.</w:t>
      </w:r>
    </w:p>
    <w:p w:rsidR="00A03053" w:rsidRPr="00B84270" w:rsidRDefault="00A03053" w:rsidP="00A03053">
      <w:pPr>
        <w:spacing w:after="0" w:line="360" w:lineRule="auto"/>
        <w:rPr>
          <w:rFonts w:ascii="Arial" w:hAnsi="Arial" w:cs="Arial"/>
          <w:sz w:val="24"/>
          <w:szCs w:val="24"/>
          <w:lang w:val="en-US"/>
        </w:rPr>
      </w:pPr>
    </w:p>
    <w:p w:rsidR="00A03053" w:rsidRPr="00B84270" w:rsidRDefault="001D2DBB" w:rsidP="00A03053">
      <w:pPr>
        <w:spacing w:after="0" w:line="360" w:lineRule="auto"/>
        <w:rPr>
          <w:rFonts w:ascii="Arial" w:hAnsi="Arial" w:cs="Arial"/>
          <w:sz w:val="24"/>
          <w:szCs w:val="24"/>
          <w:lang w:val="en-US"/>
        </w:rPr>
      </w:pPr>
      <w:r w:rsidRPr="00B84270">
        <w:rPr>
          <w:rFonts w:ascii="Arial" w:hAnsi="Arial" w:cs="Arial"/>
          <w:sz w:val="24"/>
          <w:szCs w:val="24"/>
          <w:lang w:val="en-US"/>
        </w:rPr>
        <w:t xml:space="preserve">The intracellular iron status of the cells is </w:t>
      </w:r>
      <w:r w:rsidR="000D5022" w:rsidRPr="00B84270">
        <w:rPr>
          <w:rFonts w:ascii="Arial" w:hAnsi="Arial" w:cs="Arial"/>
          <w:sz w:val="24"/>
          <w:szCs w:val="24"/>
          <w:lang w:val="en-US"/>
        </w:rPr>
        <w:t xml:space="preserve">not only related to iron-uptake via TfR1 but </w:t>
      </w:r>
      <w:r w:rsidRPr="00B84270">
        <w:rPr>
          <w:rFonts w:ascii="Arial" w:hAnsi="Arial" w:cs="Arial"/>
          <w:sz w:val="24"/>
          <w:szCs w:val="24"/>
          <w:lang w:val="en-US"/>
        </w:rPr>
        <w:t>also</w:t>
      </w:r>
      <w:r w:rsidR="000D5022" w:rsidRPr="00B84270">
        <w:rPr>
          <w:rFonts w:ascii="Arial" w:hAnsi="Arial" w:cs="Arial"/>
          <w:sz w:val="24"/>
          <w:szCs w:val="24"/>
          <w:lang w:val="en-US"/>
        </w:rPr>
        <w:t xml:space="preserve"> related to </w:t>
      </w:r>
      <w:r w:rsidRPr="00B84270">
        <w:rPr>
          <w:rFonts w:ascii="Arial" w:hAnsi="Arial" w:cs="Arial"/>
          <w:sz w:val="24"/>
          <w:szCs w:val="24"/>
          <w:lang w:val="en-US"/>
        </w:rPr>
        <w:t xml:space="preserve">cellular iron efflux mediated by regulations in the iron-efflux gene </w:t>
      </w:r>
      <w:r w:rsidRPr="00B84270">
        <w:rPr>
          <w:rFonts w:ascii="Arial" w:hAnsi="Arial" w:cs="Arial"/>
          <w:i/>
          <w:sz w:val="24"/>
          <w:szCs w:val="24"/>
          <w:lang w:val="en-US"/>
        </w:rPr>
        <w:t>SLC40A1</w:t>
      </w:r>
      <w:r w:rsidRPr="00B84270">
        <w:rPr>
          <w:rFonts w:ascii="Arial" w:hAnsi="Arial" w:cs="Arial"/>
          <w:sz w:val="24"/>
          <w:szCs w:val="24"/>
          <w:lang w:val="en-US"/>
        </w:rPr>
        <w:t xml:space="preserve">.  Here, </w:t>
      </w:r>
      <w:r w:rsidR="00A03053" w:rsidRPr="00B84270">
        <w:rPr>
          <w:rFonts w:ascii="Arial" w:hAnsi="Arial" w:cs="Arial"/>
          <w:i/>
          <w:sz w:val="24"/>
          <w:szCs w:val="24"/>
          <w:lang w:val="en-US"/>
        </w:rPr>
        <w:t>SLC40A1</w:t>
      </w:r>
      <w:r w:rsidR="003B479E" w:rsidRPr="00B84270">
        <w:rPr>
          <w:rFonts w:ascii="Arial" w:hAnsi="Arial" w:cs="Arial"/>
          <w:i/>
          <w:sz w:val="24"/>
          <w:szCs w:val="24"/>
          <w:lang w:val="en-US"/>
        </w:rPr>
        <w:t xml:space="preserve"> </w:t>
      </w:r>
      <w:r w:rsidR="004523C7" w:rsidRPr="00B84270">
        <w:rPr>
          <w:rFonts w:ascii="Arial" w:hAnsi="Arial" w:cs="Arial"/>
          <w:sz w:val="24"/>
          <w:szCs w:val="24"/>
          <w:lang w:val="en-US"/>
        </w:rPr>
        <w:t xml:space="preserve">expression </w:t>
      </w:r>
      <w:r w:rsidR="00A03053" w:rsidRPr="00B84270">
        <w:rPr>
          <w:rFonts w:ascii="Arial" w:hAnsi="Arial" w:cs="Arial"/>
          <w:sz w:val="24"/>
          <w:szCs w:val="24"/>
          <w:lang w:val="en-US"/>
        </w:rPr>
        <w:t>remained unaltered in Wt HepG2 cells at all time points</w:t>
      </w:r>
      <w:r w:rsidR="003B479E" w:rsidRPr="00B84270">
        <w:rPr>
          <w:rFonts w:ascii="Arial" w:hAnsi="Arial" w:cs="Arial"/>
          <w:sz w:val="24"/>
          <w:szCs w:val="24"/>
          <w:lang w:val="en-US"/>
        </w:rPr>
        <w:t xml:space="preserve"> (Fig.6B)</w:t>
      </w:r>
      <w:r w:rsidR="00A03053" w:rsidRPr="00B84270">
        <w:rPr>
          <w:rFonts w:ascii="Arial" w:hAnsi="Arial" w:cs="Arial"/>
          <w:sz w:val="24"/>
          <w:szCs w:val="24"/>
          <w:lang w:val="en-US"/>
        </w:rPr>
        <w:t>. In the rec-TfR1 HepG2 cells, it was upregulated at the early contiguous time points (2 h and 4 h</w:t>
      </w:r>
      <w:proofErr w:type="gramStart"/>
      <w:r w:rsidR="00A03053" w:rsidRPr="00B84270">
        <w:rPr>
          <w:rFonts w:ascii="Arial" w:hAnsi="Arial" w:cs="Arial"/>
          <w:sz w:val="24"/>
          <w:szCs w:val="24"/>
          <w:lang w:val="en-US"/>
        </w:rPr>
        <w:t>), but</w:t>
      </w:r>
      <w:proofErr w:type="gramEnd"/>
      <w:r w:rsidR="00A03053" w:rsidRPr="00B84270">
        <w:rPr>
          <w:rFonts w:ascii="Arial" w:hAnsi="Arial" w:cs="Arial"/>
          <w:sz w:val="24"/>
          <w:szCs w:val="24"/>
          <w:lang w:val="en-US"/>
        </w:rPr>
        <w:t xml:space="preserve"> remained unaltered at the longer contiguous time points (24 h and 48 h). This difference in the responses between short-term and long-term treatments could be due to the presence of 5’ IREs on the </w:t>
      </w:r>
      <w:r w:rsidR="00A03053" w:rsidRPr="00B84270">
        <w:rPr>
          <w:rFonts w:ascii="Arial" w:hAnsi="Arial" w:cs="Arial"/>
          <w:i/>
          <w:sz w:val="24"/>
          <w:szCs w:val="24"/>
          <w:lang w:val="en-US"/>
        </w:rPr>
        <w:t>SLC40A1</w:t>
      </w:r>
      <w:r w:rsidR="003B479E" w:rsidRPr="00B84270">
        <w:rPr>
          <w:rFonts w:ascii="Arial" w:hAnsi="Arial" w:cs="Arial"/>
          <w:i/>
          <w:sz w:val="24"/>
          <w:szCs w:val="24"/>
          <w:lang w:val="en-US"/>
        </w:rPr>
        <w:t xml:space="preserve"> </w:t>
      </w:r>
      <w:r w:rsidR="00A03053" w:rsidRPr="00B84270">
        <w:rPr>
          <w:rFonts w:ascii="Arial" w:hAnsi="Arial" w:cs="Arial"/>
          <w:sz w:val="24"/>
          <w:szCs w:val="24"/>
          <w:lang w:val="en-US"/>
        </w:rPr>
        <w:t>mRNA. These sense intracellular iron-increments in the rec-TfR1 HepG2 cells at a particular treatment time-point</w:t>
      </w:r>
      <w:r w:rsidR="003B479E" w:rsidRPr="00B84270">
        <w:rPr>
          <w:rFonts w:ascii="Arial" w:hAnsi="Arial" w:cs="Arial"/>
          <w:sz w:val="24"/>
          <w:szCs w:val="24"/>
          <w:lang w:val="en-US"/>
        </w:rPr>
        <w:t xml:space="preserve"> </w:t>
      </w:r>
      <w:r w:rsidR="00A03053" w:rsidRPr="00B84270">
        <w:rPr>
          <w:rFonts w:ascii="Arial" w:hAnsi="Arial" w:cs="Arial"/>
          <w:sz w:val="24"/>
          <w:szCs w:val="24"/>
          <w:lang w:val="en-US"/>
        </w:rPr>
        <w:t xml:space="preserve">and </w:t>
      </w:r>
      <w:r w:rsidRPr="00B84270">
        <w:rPr>
          <w:rFonts w:ascii="Arial" w:hAnsi="Arial" w:cs="Arial"/>
          <w:sz w:val="24"/>
          <w:szCs w:val="24"/>
          <w:lang w:val="en-US"/>
        </w:rPr>
        <w:t xml:space="preserve">resultantly </w:t>
      </w:r>
      <w:r w:rsidR="00A03053" w:rsidRPr="00B84270">
        <w:rPr>
          <w:rFonts w:ascii="Arial" w:hAnsi="Arial" w:cs="Arial"/>
          <w:sz w:val="24"/>
          <w:szCs w:val="24"/>
          <w:lang w:val="en-US"/>
        </w:rPr>
        <w:t>increase expression to promote</w:t>
      </w:r>
      <w:r w:rsidR="003B479E" w:rsidRPr="00B84270">
        <w:rPr>
          <w:rFonts w:ascii="Arial" w:hAnsi="Arial" w:cs="Arial"/>
          <w:sz w:val="24"/>
          <w:szCs w:val="24"/>
          <w:lang w:val="en-US"/>
        </w:rPr>
        <w:t xml:space="preserve"> </w:t>
      </w:r>
      <w:r w:rsidR="00A03053" w:rsidRPr="00B84270">
        <w:rPr>
          <w:rFonts w:ascii="Arial" w:hAnsi="Arial" w:cs="Arial"/>
          <w:sz w:val="24"/>
          <w:szCs w:val="24"/>
          <w:lang w:val="en-US"/>
        </w:rPr>
        <w:t xml:space="preserve">cellular iron-efflux </w:t>
      </w:r>
      <w:r w:rsidR="00614C46" w:rsidRPr="00B84270">
        <w:rPr>
          <w:rFonts w:ascii="Arial" w:hAnsi="Arial" w:cs="Arial"/>
          <w:sz w:val="24"/>
          <w:szCs w:val="24"/>
          <w:lang w:val="en-US"/>
        </w:rPr>
        <w:fldChar w:fldCharType="begin"/>
      </w:r>
      <w:r w:rsidR="000A09BE" w:rsidRPr="00B84270">
        <w:rPr>
          <w:rFonts w:ascii="Arial" w:hAnsi="Arial" w:cs="Arial"/>
          <w:sz w:val="24"/>
          <w:szCs w:val="24"/>
          <w:lang w:val="en-US"/>
        </w:rPr>
        <w:instrText xml:space="preserve"> ADDIN ZOTERO_ITEM CSL_CITATION {"citationID":"1b77p0ukt0","properties":{"formattedCitation":"(19)","plainCitation":"(19)"},"citationItems":[{"id":160,"uris":["http://zotero.org/users/2804724/items/8JBXXC9V"],"uri":["http://zotero.org/users/2804724/items/8JBXXC9V"],"itemData":{"id":160,"type":"article-journal","title":"Systemic iron homeostasis and the iron-responsive element/iron-regulatory protein (IRE/IRP) regulatory network","container-title":"Annual Review of Nutrition","page":"197-213","volume":"28","source":"PubMed","abstract":"The regulation and maintenance of systemic iron homeostasis is critical to human health. Iron overload and deficiency diseases belong to the most common nutrition-related pathologies across the globe. It is now well appreciated that the hormonal hepcidin/ferroportin system plays an important regulatory role for systemic iron metabolism. We review recent data that uncover the importance of the cellular iron-responsive element/iron-regulatory protein (IRE/IRP) regulatory network in systemic iron homeostasis. We also discuss how the IRE/IRP regulatory system communicates with the hepcidin/ferroportin system to connect the control networks for systemic and cellular iron balance.","DOI":"10.1146/annurev.nutr.28.061807.155521","ISSN":"0199-9885","note":"PMID: 18489257","journalAbbreviation":"Annu. Rev. Nutr.","language":"eng","author":[{"family":"Muckenthaler","given":"Martina U."},{"family":"Galy","given":"Bruno"},{"family":"Hentze","given":"Matthias W."}],"issued":{"date-parts":[["2008"]]},"PMID":"18489257"}}],"schema":"https://github.com/citation-style-language/schema/raw/master/csl-citation.json"} </w:instrText>
      </w:r>
      <w:r w:rsidR="00614C46" w:rsidRPr="00B84270">
        <w:rPr>
          <w:rFonts w:ascii="Arial" w:hAnsi="Arial" w:cs="Arial"/>
          <w:sz w:val="24"/>
          <w:szCs w:val="24"/>
          <w:lang w:val="en-US"/>
        </w:rPr>
        <w:fldChar w:fldCharType="separate"/>
      </w:r>
      <w:r w:rsidR="000A09BE" w:rsidRPr="00B84270">
        <w:rPr>
          <w:rFonts w:ascii="Arial" w:hAnsi="Arial" w:cs="Arial"/>
          <w:sz w:val="24"/>
        </w:rPr>
        <w:t>(19)</w:t>
      </w:r>
      <w:r w:rsidR="00614C46" w:rsidRPr="00B84270">
        <w:rPr>
          <w:rFonts w:ascii="Arial" w:hAnsi="Arial" w:cs="Arial"/>
          <w:sz w:val="24"/>
          <w:szCs w:val="24"/>
          <w:lang w:val="en-US"/>
        </w:rPr>
        <w:fldChar w:fldCharType="end"/>
      </w:r>
      <w:r w:rsidRPr="00B84270">
        <w:rPr>
          <w:rFonts w:ascii="Arial" w:hAnsi="Arial" w:cs="Arial"/>
          <w:sz w:val="24"/>
          <w:szCs w:val="24"/>
          <w:lang w:val="en-US"/>
        </w:rPr>
        <w:t>.Thus, its</w:t>
      </w:r>
      <w:r w:rsidR="00A03053" w:rsidRPr="00B84270">
        <w:rPr>
          <w:rFonts w:ascii="Arial" w:hAnsi="Arial" w:cs="Arial"/>
          <w:sz w:val="24"/>
          <w:szCs w:val="24"/>
          <w:lang w:val="en-US"/>
        </w:rPr>
        <w:t xml:space="preserve"> expression would be determined by the intracellular iron status at a particular treatment time-point and therefore vary. </w:t>
      </w:r>
    </w:p>
    <w:p w:rsidR="005F0678" w:rsidRPr="00B84270" w:rsidRDefault="005F0678" w:rsidP="0015224D">
      <w:pPr>
        <w:spacing w:after="0" w:line="360" w:lineRule="auto"/>
        <w:rPr>
          <w:rFonts w:ascii="Arial" w:hAnsi="Arial" w:cs="Arial"/>
          <w:sz w:val="24"/>
          <w:szCs w:val="24"/>
          <w:lang w:val="en-US"/>
        </w:rPr>
      </w:pPr>
    </w:p>
    <w:p w:rsidR="0015224D" w:rsidRPr="00B84270" w:rsidRDefault="00E76DBE" w:rsidP="0015224D">
      <w:pPr>
        <w:spacing w:after="0" w:line="360" w:lineRule="auto"/>
        <w:rPr>
          <w:rFonts w:ascii="Arial" w:hAnsi="Arial" w:cs="Arial"/>
          <w:b/>
          <w:sz w:val="24"/>
          <w:szCs w:val="24"/>
          <w:lang w:val="en-US"/>
        </w:rPr>
      </w:pPr>
      <w:r w:rsidRPr="00B84270">
        <w:rPr>
          <w:rFonts w:ascii="Arial" w:hAnsi="Arial" w:cs="Arial"/>
          <w:b/>
          <w:sz w:val="24"/>
          <w:szCs w:val="24"/>
          <w:lang w:val="en-US"/>
        </w:rPr>
        <w:t>H</w:t>
      </w:r>
      <w:r w:rsidR="0015224D" w:rsidRPr="00B84270">
        <w:rPr>
          <w:rFonts w:ascii="Arial" w:hAnsi="Arial" w:cs="Arial"/>
          <w:b/>
          <w:sz w:val="24"/>
          <w:szCs w:val="24"/>
          <w:lang w:val="en-US"/>
        </w:rPr>
        <w:t xml:space="preserve">epcidin levels </w:t>
      </w:r>
      <w:r w:rsidRPr="00B84270">
        <w:rPr>
          <w:rFonts w:ascii="Arial" w:hAnsi="Arial" w:cs="Arial"/>
          <w:b/>
          <w:sz w:val="24"/>
          <w:szCs w:val="24"/>
          <w:lang w:val="en-US"/>
        </w:rPr>
        <w:t>and</w:t>
      </w:r>
      <w:r w:rsidR="00CA24FE" w:rsidRPr="00B84270">
        <w:rPr>
          <w:rFonts w:ascii="Arial" w:hAnsi="Arial" w:cs="Arial"/>
          <w:b/>
          <w:sz w:val="24"/>
          <w:szCs w:val="24"/>
          <w:lang w:val="en-US"/>
        </w:rPr>
        <w:t xml:space="preserve"> </w:t>
      </w:r>
      <w:r w:rsidR="0015224D" w:rsidRPr="00B84270">
        <w:rPr>
          <w:rFonts w:ascii="Arial" w:hAnsi="Arial" w:cs="Arial"/>
          <w:b/>
          <w:sz w:val="24"/>
          <w:szCs w:val="24"/>
          <w:lang w:val="en-US"/>
        </w:rPr>
        <w:t xml:space="preserve">intracellular iron content </w:t>
      </w:r>
    </w:p>
    <w:p w:rsidR="0060763B" w:rsidRPr="00B84270" w:rsidRDefault="00765DDE" w:rsidP="0060763B">
      <w:pPr>
        <w:spacing w:after="0" w:line="360" w:lineRule="auto"/>
        <w:rPr>
          <w:rFonts w:ascii="Arial" w:hAnsi="Arial" w:cs="Arial"/>
          <w:sz w:val="24"/>
          <w:szCs w:val="24"/>
          <w:lang w:val="en-US"/>
        </w:rPr>
      </w:pPr>
      <w:r w:rsidRPr="00B84270">
        <w:rPr>
          <w:rFonts w:ascii="Arial" w:hAnsi="Arial" w:cs="Arial"/>
          <w:sz w:val="24"/>
          <w:szCs w:val="24"/>
          <w:lang w:val="en-US"/>
        </w:rPr>
        <w:t>T</w:t>
      </w:r>
      <w:r w:rsidR="00815335" w:rsidRPr="00B84270">
        <w:rPr>
          <w:rFonts w:ascii="Arial" w:hAnsi="Arial" w:cs="Arial"/>
          <w:sz w:val="24"/>
          <w:szCs w:val="24"/>
          <w:lang w:val="en-US"/>
        </w:rPr>
        <w:t>he</w:t>
      </w:r>
      <w:r w:rsidR="00CA24FE" w:rsidRPr="00B84270">
        <w:rPr>
          <w:rFonts w:ascii="Arial" w:hAnsi="Arial" w:cs="Arial"/>
          <w:sz w:val="24"/>
          <w:szCs w:val="24"/>
          <w:lang w:val="en-US"/>
        </w:rPr>
        <w:t xml:space="preserve"> </w:t>
      </w:r>
      <w:r w:rsidR="00C061F2" w:rsidRPr="00B84270">
        <w:rPr>
          <w:rFonts w:ascii="Arial" w:hAnsi="Arial" w:cs="Arial"/>
          <w:sz w:val="24"/>
          <w:szCs w:val="24"/>
          <w:lang w:val="en-US"/>
        </w:rPr>
        <w:t xml:space="preserve">rec-TfR1 HepG2 cells </w:t>
      </w:r>
      <w:r w:rsidR="00CA73A6" w:rsidRPr="00B84270">
        <w:rPr>
          <w:rFonts w:ascii="Arial" w:hAnsi="Arial" w:cs="Arial"/>
          <w:sz w:val="24"/>
          <w:szCs w:val="24"/>
          <w:lang w:val="en-US"/>
        </w:rPr>
        <w:t xml:space="preserve">demonstrated </w:t>
      </w:r>
      <w:r w:rsidRPr="00B84270">
        <w:rPr>
          <w:rFonts w:ascii="Arial" w:hAnsi="Arial" w:cs="Arial"/>
          <w:sz w:val="24"/>
          <w:szCs w:val="24"/>
          <w:lang w:val="en-US"/>
        </w:rPr>
        <w:t xml:space="preserve">higher iron content than </w:t>
      </w:r>
      <w:r w:rsidR="00FD4846" w:rsidRPr="00B84270">
        <w:rPr>
          <w:rFonts w:ascii="Arial" w:hAnsi="Arial" w:cs="Arial"/>
          <w:sz w:val="24"/>
          <w:szCs w:val="24"/>
          <w:lang w:val="en-US"/>
        </w:rPr>
        <w:t>Wt cells</w:t>
      </w:r>
      <w:r w:rsidR="004650A6" w:rsidRPr="00B84270">
        <w:rPr>
          <w:rFonts w:ascii="Arial" w:hAnsi="Arial" w:cs="Arial"/>
          <w:sz w:val="24"/>
          <w:szCs w:val="24"/>
          <w:lang w:val="en-US"/>
        </w:rPr>
        <w:t xml:space="preserve"> </w:t>
      </w:r>
      <w:r w:rsidRPr="00B84270">
        <w:rPr>
          <w:rFonts w:ascii="Arial" w:hAnsi="Arial" w:cs="Arial"/>
          <w:sz w:val="24"/>
          <w:szCs w:val="24"/>
          <w:lang w:val="en-US"/>
        </w:rPr>
        <w:t xml:space="preserve">under basal and </w:t>
      </w:r>
      <w:r w:rsidR="00A20AA0" w:rsidRPr="00B84270">
        <w:rPr>
          <w:rFonts w:ascii="Arial" w:hAnsi="Arial" w:cs="Arial"/>
          <w:sz w:val="24"/>
          <w:szCs w:val="24"/>
          <w:lang w:val="en-US"/>
        </w:rPr>
        <w:t>holo-Tf-</w:t>
      </w:r>
      <w:r w:rsidRPr="00B84270">
        <w:rPr>
          <w:rFonts w:ascii="Arial" w:hAnsi="Arial" w:cs="Arial"/>
          <w:sz w:val="24"/>
          <w:szCs w:val="24"/>
          <w:lang w:val="en-US"/>
        </w:rPr>
        <w:t>supplemented conditions</w:t>
      </w:r>
      <w:r w:rsidR="00CA24FE" w:rsidRPr="00B84270">
        <w:rPr>
          <w:rFonts w:ascii="Arial" w:hAnsi="Arial" w:cs="Arial"/>
          <w:sz w:val="24"/>
          <w:szCs w:val="24"/>
          <w:lang w:val="en-US"/>
        </w:rPr>
        <w:t xml:space="preserve"> </w:t>
      </w:r>
      <w:r w:rsidRPr="00B84270">
        <w:rPr>
          <w:rFonts w:ascii="Arial" w:hAnsi="Arial" w:cs="Arial"/>
          <w:sz w:val="24"/>
          <w:szCs w:val="24"/>
          <w:lang w:val="en-US"/>
        </w:rPr>
        <w:t>(</w:t>
      </w:r>
      <w:r w:rsidR="00176D6A" w:rsidRPr="00B84270">
        <w:rPr>
          <w:rFonts w:ascii="Arial" w:hAnsi="Arial" w:cs="Arial"/>
          <w:sz w:val="24"/>
          <w:szCs w:val="24"/>
          <w:lang w:val="en-US"/>
        </w:rPr>
        <w:t>Fig.</w:t>
      </w:r>
      <w:r w:rsidR="001F40B3" w:rsidRPr="00B84270">
        <w:rPr>
          <w:rFonts w:ascii="Arial" w:hAnsi="Arial" w:cs="Arial"/>
          <w:sz w:val="24"/>
          <w:szCs w:val="24"/>
          <w:lang w:val="en-US"/>
        </w:rPr>
        <w:t>1B</w:t>
      </w:r>
      <w:r w:rsidRPr="00B84270">
        <w:rPr>
          <w:rFonts w:ascii="Arial" w:hAnsi="Arial" w:cs="Arial"/>
          <w:sz w:val="24"/>
          <w:szCs w:val="24"/>
          <w:lang w:val="en-US"/>
        </w:rPr>
        <w:t xml:space="preserve"> and </w:t>
      </w:r>
      <w:r w:rsidR="00535414" w:rsidRPr="00B84270">
        <w:rPr>
          <w:rFonts w:ascii="Arial" w:hAnsi="Arial" w:cs="Arial"/>
          <w:sz w:val="24"/>
          <w:szCs w:val="24"/>
          <w:lang w:val="en-US"/>
        </w:rPr>
        <w:t>Fig.4</w:t>
      </w:r>
      <w:r w:rsidR="00CA73A6" w:rsidRPr="00B84270">
        <w:rPr>
          <w:rFonts w:ascii="Arial" w:hAnsi="Arial" w:cs="Arial"/>
          <w:sz w:val="24"/>
          <w:szCs w:val="24"/>
          <w:lang w:val="en-US"/>
        </w:rPr>
        <w:t xml:space="preserve">). </w:t>
      </w:r>
      <w:r w:rsidR="0060763B" w:rsidRPr="00B84270">
        <w:rPr>
          <w:rFonts w:ascii="Arial" w:hAnsi="Arial" w:cs="Arial"/>
          <w:sz w:val="24"/>
          <w:szCs w:val="24"/>
          <w:lang w:val="en-US"/>
        </w:rPr>
        <w:t xml:space="preserve">However, hepcidin secretion in the rec-TfR1 </w:t>
      </w:r>
      <w:r w:rsidR="00FF251F" w:rsidRPr="00B84270">
        <w:rPr>
          <w:rFonts w:ascii="Arial" w:hAnsi="Arial" w:cs="Arial"/>
          <w:sz w:val="24"/>
          <w:szCs w:val="24"/>
          <w:lang w:val="en-US"/>
        </w:rPr>
        <w:t>H</w:t>
      </w:r>
      <w:r w:rsidR="0060763B" w:rsidRPr="00B84270">
        <w:rPr>
          <w:rFonts w:ascii="Arial" w:hAnsi="Arial" w:cs="Arial"/>
          <w:sz w:val="24"/>
          <w:szCs w:val="24"/>
          <w:lang w:val="en-US"/>
        </w:rPr>
        <w:t>epG2 cells did not exceed the levels secreted by the Wt cells, in neither basal nor holo-Tf-supplemented conditions (Fig.1C and Fig.5).</w:t>
      </w:r>
    </w:p>
    <w:p w:rsidR="009639AC" w:rsidRPr="00B84270" w:rsidRDefault="00C061F2" w:rsidP="00B2057C">
      <w:pPr>
        <w:spacing w:after="0" w:line="360" w:lineRule="auto"/>
        <w:rPr>
          <w:rFonts w:ascii="Arial" w:hAnsi="Arial" w:cs="Arial"/>
          <w:sz w:val="24"/>
          <w:szCs w:val="24"/>
          <w:lang w:val="en-US"/>
        </w:rPr>
      </w:pPr>
      <w:r w:rsidRPr="00B84270">
        <w:rPr>
          <w:rFonts w:ascii="Arial" w:hAnsi="Arial" w:cs="Arial"/>
          <w:sz w:val="24"/>
          <w:szCs w:val="24"/>
          <w:lang w:val="en-US"/>
        </w:rPr>
        <w:t xml:space="preserve">Thus, </w:t>
      </w:r>
      <w:r w:rsidR="00525C2B" w:rsidRPr="00B84270">
        <w:rPr>
          <w:rFonts w:ascii="Arial" w:hAnsi="Arial" w:cs="Arial"/>
          <w:sz w:val="24"/>
          <w:szCs w:val="24"/>
          <w:lang w:val="en-US"/>
        </w:rPr>
        <w:t>here</w:t>
      </w:r>
      <w:r w:rsidR="00A9069A" w:rsidRPr="00B84270">
        <w:rPr>
          <w:rFonts w:ascii="Arial" w:hAnsi="Arial" w:cs="Arial"/>
          <w:sz w:val="24"/>
          <w:szCs w:val="24"/>
          <w:lang w:val="en-US"/>
        </w:rPr>
        <w:t xml:space="preserve">, </w:t>
      </w:r>
      <w:r w:rsidR="00525C2B" w:rsidRPr="00B84270">
        <w:rPr>
          <w:rFonts w:ascii="Arial" w:hAnsi="Arial" w:cs="Arial"/>
          <w:sz w:val="24"/>
          <w:szCs w:val="24"/>
          <w:lang w:val="en-US"/>
        </w:rPr>
        <w:t xml:space="preserve">hepcidin secretion did not </w:t>
      </w:r>
      <w:r w:rsidRPr="00B84270">
        <w:rPr>
          <w:rFonts w:ascii="Arial" w:hAnsi="Arial" w:cs="Arial"/>
          <w:sz w:val="24"/>
          <w:szCs w:val="24"/>
          <w:lang w:val="en-US"/>
        </w:rPr>
        <w:t>alter</w:t>
      </w:r>
      <w:r w:rsidR="0055790C" w:rsidRPr="00B84270">
        <w:rPr>
          <w:rFonts w:ascii="Arial" w:hAnsi="Arial" w:cs="Arial"/>
          <w:sz w:val="24"/>
          <w:szCs w:val="24"/>
          <w:lang w:val="en-US"/>
        </w:rPr>
        <w:t xml:space="preserve"> </w:t>
      </w:r>
      <w:r w:rsidR="00993BB0" w:rsidRPr="00B84270">
        <w:rPr>
          <w:rFonts w:ascii="Arial" w:hAnsi="Arial" w:cs="Arial"/>
          <w:sz w:val="24"/>
          <w:szCs w:val="24"/>
          <w:lang w:val="en-US"/>
        </w:rPr>
        <w:t xml:space="preserve">in proportion to </w:t>
      </w:r>
      <w:r w:rsidR="00BF3AA0" w:rsidRPr="00B84270">
        <w:rPr>
          <w:rFonts w:ascii="Arial" w:hAnsi="Arial" w:cs="Arial"/>
          <w:sz w:val="24"/>
          <w:szCs w:val="24"/>
          <w:lang w:val="en-US"/>
        </w:rPr>
        <w:t xml:space="preserve">the </w:t>
      </w:r>
      <w:r w:rsidR="00993BB0" w:rsidRPr="00B84270">
        <w:rPr>
          <w:rFonts w:ascii="Arial" w:hAnsi="Arial" w:cs="Arial"/>
          <w:sz w:val="24"/>
          <w:szCs w:val="24"/>
          <w:lang w:val="en-US"/>
        </w:rPr>
        <w:t xml:space="preserve">increased </w:t>
      </w:r>
      <w:r w:rsidR="00525C2B" w:rsidRPr="00B84270">
        <w:rPr>
          <w:rFonts w:ascii="Arial" w:hAnsi="Arial" w:cs="Arial"/>
          <w:sz w:val="24"/>
          <w:szCs w:val="24"/>
          <w:lang w:val="en-US"/>
        </w:rPr>
        <w:t>intracellular iron leve</w:t>
      </w:r>
      <w:r w:rsidR="004927FA" w:rsidRPr="00B84270">
        <w:rPr>
          <w:rFonts w:ascii="Arial" w:hAnsi="Arial" w:cs="Arial"/>
          <w:sz w:val="24"/>
          <w:szCs w:val="24"/>
          <w:lang w:val="en-US"/>
        </w:rPr>
        <w:t>ls in the rec-TfR1 HepG2 cells</w:t>
      </w:r>
      <w:r w:rsidR="00BF3AA0" w:rsidRPr="00B84270">
        <w:rPr>
          <w:rFonts w:ascii="Arial" w:hAnsi="Arial" w:cs="Arial"/>
          <w:sz w:val="24"/>
          <w:szCs w:val="24"/>
          <w:lang w:val="en-US"/>
        </w:rPr>
        <w:t xml:space="preserve">, </w:t>
      </w:r>
      <w:r w:rsidR="00993BB0" w:rsidRPr="00B84270">
        <w:rPr>
          <w:rFonts w:ascii="Arial" w:hAnsi="Arial" w:cs="Arial"/>
          <w:sz w:val="24"/>
          <w:szCs w:val="24"/>
          <w:lang w:val="en-US"/>
        </w:rPr>
        <w:t xml:space="preserve">compared to </w:t>
      </w:r>
      <w:r w:rsidR="00FD4846" w:rsidRPr="00B84270">
        <w:rPr>
          <w:rFonts w:ascii="Arial" w:hAnsi="Arial" w:cs="Arial"/>
          <w:sz w:val="24"/>
          <w:szCs w:val="24"/>
          <w:lang w:val="en-US"/>
        </w:rPr>
        <w:t>Wt cells</w:t>
      </w:r>
      <w:r w:rsidR="00993BB0" w:rsidRPr="00B84270">
        <w:rPr>
          <w:rFonts w:ascii="Arial" w:hAnsi="Arial" w:cs="Arial"/>
          <w:sz w:val="24"/>
          <w:szCs w:val="24"/>
          <w:lang w:val="en-US"/>
        </w:rPr>
        <w:t xml:space="preserve">. </w:t>
      </w:r>
      <w:r w:rsidR="00162E15" w:rsidRPr="00B84270">
        <w:rPr>
          <w:rFonts w:ascii="Arial" w:hAnsi="Arial" w:cs="Arial"/>
          <w:sz w:val="24"/>
          <w:szCs w:val="24"/>
          <w:lang w:val="en-US"/>
        </w:rPr>
        <w:t>T</w:t>
      </w:r>
      <w:r w:rsidR="00F114D5" w:rsidRPr="00B84270">
        <w:rPr>
          <w:rFonts w:ascii="Arial" w:hAnsi="Arial" w:cs="Arial"/>
          <w:sz w:val="24"/>
          <w:szCs w:val="24"/>
          <w:lang w:val="en-US"/>
        </w:rPr>
        <w:t>his suggests that</w:t>
      </w:r>
      <w:r w:rsidR="00C13520" w:rsidRPr="00B84270">
        <w:rPr>
          <w:rFonts w:ascii="Arial" w:hAnsi="Arial" w:cs="Arial"/>
          <w:sz w:val="24"/>
          <w:szCs w:val="24"/>
          <w:lang w:val="en-US"/>
        </w:rPr>
        <w:t xml:space="preserve"> p</w:t>
      </w:r>
      <w:r w:rsidR="000B61E7" w:rsidRPr="00B84270">
        <w:rPr>
          <w:rFonts w:ascii="Arial" w:hAnsi="Arial" w:cs="Arial"/>
          <w:sz w:val="24"/>
          <w:szCs w:val="24"/>
          <w:lang w:val="en-US"/>
        </w:rPr>
        <w:t>ossibly</w:t>
      </w:r>
      <w:r w:rsidR="00525973" w:rsidRPr="00B84270">
        <w:rPr>
          <w:rFonts w:ascii="Arial" w:hAnsi="Arial" w:cs="Arial"/>
          <w:sz w:val="24"/>
          <w:szCs w:val="24"/>
          <w:lang w:val="en-US"/>
        </w:rPr>
        <w:t xml:space="preserve">, </w:t>
      </w:r>
      <w:r w:rsidR="00525C2B" w:rsidRPr="00B84270">
        <w:rPr>
          <w:rFonts w:ascii="Arial" w:hAnsi="Arial" w:cs="Arial"/>
          <w:sz w:val="24"/>
          <w:szCs w:val="24"/>
          <w:lang w:val="en-US"/>
        </w:rPr>
        <w:t>the proposed post-translation maturation of pro</w:t>
      </w:r>
      <w:r w:rsidR="000C6BA3" w:rsidRPr="00B84270">
        <w:rPr>
          <w:rFonts w:ascii="Arial" w:hAnsi="Arial" w:cs="Arial"/>
          <w:sz w:val="24"/>
          <w:szCs w:val="24"/>
          <w:lang w:val="en-US"/>
        </w:rPr>
        <w:t>-</w:t>
      </w:r>
      <w:r w:rsidR="00525C2B" w:rsidRPr="00B84270">
        <w:rPr>
          <w:rFonts w:ascii="Arial" w:hAnsi="Arial" w:cs="Arial"/>
          <w:sz w:val="24"/>
          <w:szCs w:val="24"/>
          <w:lang w:val="en-US"/>
        </w:rPr>
        <w:t>hepcidin to</w:t>
      </w:r>
      <w:r w:rsidR="00C6483F" w:rsidRPr="00B84270">
        <w:rPr>
          <w:rFonts w:ascii="Arial" w:hAnsi="Arial" w:cs="Arial"/>
          <w:sz w:val="24"/>
          <w:szCs w:val="24"/>
          <w:lang w:val="en-US"/>
        </w:rPr>
        <w:t xml:space="preserve"> bioactive </w:t>
      </w:r>
      <w:r w:rsidR="00525C2B" w:rsidRPr="00B84270">
        <w:rPr>
          <w:rFonts w:ascii="Arial" w:hAnsi="Arial" w:cs="Arial"/>
          <w:sz w:val="24"/>
          <w:szCs w:val="24"/>
          <w:lang w:val="en-US"/>
        </w:rPr>
        <w:t>hepcidin</w:t>
      </w:r>
      <w:r w:rsidR="00372DE4" w:rsidRPr="00B84270">
        <w:rPr>
          <w:rFonts w:ascii="Arial" w:hAnsi="Arial" w:cs="Arial"/>
          <w:sz w:val="24"/>
          <w:szCs w:val="24"/>
          <w:lang w:val="en-US"/>
        </w:rPr>
        <w:t xml:space="preserve"> </w:t>
      </w:r>
      <w:r w:rsidR="00614C46" w:rsidRPr="00B84270">
        <w:rPr>
          <w:rFonts w:ascii="Arial" w:hAnsi="Arial" w:cs="Arial"/>
          <w:sz w:val="24"/>
          <w:szCs w:val="24"/>
          <w:lang w:val="en-US"/>
        </w:rPr>
        <w:fldChar w:fldCharType="begin"/>
      </w:r>
      <w:r w:rsidR="00372DE4" w:rsidRPr="00B84270">
        <w:rPr>
          <w:rFonts w:ascii="Arial" w:hAnsi="Arial" w:cs="Arial"/>
          <w:sz w:val="24"/>
          <w:szCs w:val="24"/>
          <w:lang w:val="en-US"/>
        </w:rPr>
        <w:instrText xml:space="preserve"> ADDIN ZOTERO_ITEM CSL_CITATION {"citationID":"1t5hpct25c","properties":{"formattedCitation":"(14)","plainCitation":"(14)"},"citationItems":[{"id":158,"uris":["http://zotero.org/users/2804724/items/HSW27J7Q"],"uri":["http://zotero.org/users/2804724/items/HSW27J7Q"],"itemData":{"id":158,"type":"article-journal","title":"Identification of an iron-hepcidin complex","container-title":"The Biochemical Journal","page":"553-557","volume":"413","issue":"3","source":"PubMed","abstract":"Following its identification as a liver-expressed antimicrobial peptide, the hepcidin peptide was later shown to be a key player in iron homoeostasis. It is now proposed to be the 'iron hormone' which, by interacting with the iron transporter ferroportin, prevents further iron import into the circulatory system. This conclusion was reached using the corresponding synthetic peptide, emphasizing the functional importance of the mature 25-mer peptide, but omitting the possible functionality of its maturation. From urine-purified native hepcidin, we recently demonstrated that a proportion of the purified hepcidin had formed iron-hepcidin complexes. This interaction was investigated further by computer modelling and, based on the sequence similarity of hepcidin with metallothionein, a three-dimensional model of hepcidin, containing one atom of iron, was constructed. To characterize these complexes further, the interaction with iron was analysed using different spectroscopic methods. Monoferric hepcidin was identified by MS, as were possibly other complexes containing two and three atoms of iron respectively, although these were present only in minor amounts. UV/visible absorbance and CD studies identified the iron-binding events which were facilitated at a physiological pH. EPR spectroscopy identified the ferric state of the bound metal, and indicated that the iron-hepcidin complex shares some similarities with the rubredoxin iron-sulfur complex, suggesting the presence of Fe(3+) in a tetrahedral sulfur co-ordination. The potential roles of iron binding for hepcidin are discussed, and we propose either a regulatory function in the maturation of pro-hepcidin into active hepcidin or as the necessary link in the interaction between hepcidin and ferroportin.","DOI":"10.1042/BJ20080406","ISSN":"1470-8728","note":"PMID: 18447830","journalAbbreviation":"Biochem. J.","language":"eng","author":[{"family":"Farnaud","given":"Sébastien"},{"family":"Rapisarda","given":"Chiara"},{"family":"Bui","given":"Tam"},{"family":"Drake","given":"Alex"},{"family":"Cammack","given":"Richard"},{"family":"Evans","given":"Robert W."}],"issued":{"date-parts":[["2008",8,1]]},"PMID":"18447830"}}],"schema":"https://github.com/citation-style-language/schema/raw/master/csl-citation.json"} </w:instrText>
      </w:r>
      <w:r w:rsidR="00614C46" w:rsidRPr="00B84270">
        <w:rPr>
          <w:rFonts w:ascii="Arial" w:hAnsi="Arial" w:cs="Arial"/>
          <w:sz w:val="24"/>
          <w:szCs w:val="24"/>
          <w:lang w:val="en-US"/>
        </w:rPr>
        <w:fldChar w:fldCharType="separate"/>
      </w:r>
      <w:r w:rsidR="000A09BE" w:rsidRPr="00B84270">
        <w:rPr>
          <w:rFonts w:ascii="Arial" w:hAnsi="Arial" w:cs="Arial"/>
          <w:sz w:val="24"/>
        </w:rPr>
        <w:t>(14)</w:t>
      </w:r>
      <w:r w:rsidR="00614C46" w:rsidRPr="00B84270">
        <w:rPr>
          <w:rFonts w:ascii="Arial" w:hAnsi="Arial" w:cs="Arial"/>
          <w:sz w:val="24"/>
          <w:szCs w:val="24"/>
          <w:lang w:val="en-US"/>
        </w:rPr>
        <w:fldChar w:fldCharType="end"/>
      </w:r>
      <w:r w:rsidR="00372DE4" w:rsidRPr="00B84270">
        <w:rPr>
          <w:rFonts w:ascii="Arial" w:hAnsi="Arial" w:cs="Arial"/>
          <w:sz w:val="24"/>
          <w:szCs w:val="24"/>
          <w:lang w:val="en-US"/>
        </w:rPr>
        <w:t xml:space="preserve"> </w:t>
      </w:r>
      <w:r w:rsidR="00525C2B" w:rsidRPr="00B84270">
        <w:rPr>
          <w:rFonts w:ascii="Arial" w:hAnsi="Arial" w:cs="Arial"/>
          <w:sz w:val="24"/>
          <w:szCs w:val="24"/>
          <w:lang w:val="en-US"/>
        </w:rPr>
        <w:t xml:space="preserve">may well be mediated by intracellular iron </w:t>
      </w:r>
      <w:r w:rsidR="00502ED7" w:rsidRPr="00B84270">
        <w:rPr>
          <w:rFonts w:ascii="Arial" w:hAnsi="Arial" w:cs="Arial"/>
          <w:sz w:val="24"/>
          <w:szCs w:val="24"/>
          <w:lang w:val="en-US"/>
        </w:rPr>
        <w:t xml:space="preserve">levels, requiring </w:t>
      </w:r>
      <w:r w:rsidR="00525C2B" w:rsidRPr="00B84270">
        <w:rPr>
          <w:rFonts w:ascii="Arial" w:hAnsi="Arial" w:cs="Arial"/>
          <w:sz w:val="24"/>
          <w:szCs w:val="24"/>
          <w:lang w:val="en-US"/>
        </w:rPr>
        <w:t xml:space="preserve">only subtle amounts of </w:t>
      </w:r>
      <w:r w:rsidR="009C5EEA" w:rsidRPr="00B84270">
        <w:rPr>
          <w:rFonts w:ascii="Arial" w:hAnsi="Arial" w:cs="Arial"/>
          <w:sz w:val="24"/>
          <w:szCs w:val="24"/>
          <w:lang w:val="en-US"/>
        </w:rPr>
        <w:t>iron-uptake</w:t>
      </w:r>
      <w:r w:rsidR="0055790C" w:rsidRPr="00B84270">
        <w:rPr>
          <w:rFonts w:ascii="Arial" w:hAnsi="Arial" w:cs="Arial"/>
          <w:sz w:val="24"/>
          <w:szCs w:val="24"/>
          <w:lang w:val="en-US"/>
        </w:rPr>
        <w:t xml:space="preserve"> </w:t>
      </w:r>
      <w:r w:rsidR="00502ED7" w:rsidRPr="00B84270">
        <w:rPr>
          <w:rFonts w:ascii="Arial" w:hAnsi="Arial" w:cs="Arial"/>
          <w:sz w:val="24"/>
          <w:szCs w:val="24"/>
          <w:lang w:val="en-US"/>
        </w:rPr>
        <w:t>to</w:t>
      </w:r>
      <w:r w:rsidR="00525C2B" w:rsidRPr="00B84270">
        <w:rPr>
          <w:rFonts w:ascii="Arial" w:hAnsi="Arial" w:cs="Arial"/>
          <w:sz w:val="24"/>
          <w:szCs w:val="24"/>
          <w:lang w:val="en-US"/>
        </w:rPr>
        <w:t xml:space="preserve"> trigger the maturation of pro</w:t>
      </w:r>
      <w:r w:rsidR="000C6BA3" w:rsidRPr="00B84270">
        <w:rPr>
          <w:rFonts w:ascii="Arial" w:hAnsi="Arial" w:cs="Arial"/>
          <w:sz w:val="24"/>
          <w:szCs w:val="24"/>
          <w:lang w:val="en-US"/>
        </w:rPr>
        <w:t>-</w:t>
      </w:r>
      <w:r w:rsidR="00525C2B" w:rsidRPr="00B84270">
        <w:rPr>
          <w:rFonts w:ascii="Arial" w:hAnsi="Arial" w:cs="Arial"/>
          <w:sz w:val="24"/>
          <w:szCs w:val="24"/>
          <w:lang w:val="en-US"/>
        </w:rPr>
        <w:t xml:space="preserve">hepcidin to </w:t>
      </w:r>
      <w:proofErr w:type="spellStart"/>
      <w:r w:rsidR="00A82919" w:rsidRPr="00B84270">
        <w:rPr>
          <w:rFonts w:ascii="Arial" w:hAnsi="Arial" w:cs="Arial"/>
          <w:sz w:val="24"/>
          <w:szCs w:val="24"/>
          <w:lang w:val="en-US"/>
        </w:rPr>
        <w:t>secretable</w:t>
      </w:r>
      <w:proofErr w:type="spellEnd"/>
      <w:r w:rsidR="00A82919" w:rsidRPr="00B84270">
        <w:rPr>
          <w:rFonts w:ascii="Arial" w:hAnsi="Arial" w:cs="Arial"/>
          <w:sz w:val="24"/>
          <w:szCs w:val="24"/>
          <w:lang w:val="en-US"/>
        </w:rPr>
        <w:t xml:space="preserve"> hepcidin</w:t>
      </w:r>
      <w:r w:rsidR="00525C2B" w:rsidRPr="00B84270">
        <w:rPr>
          <w:rFonts w:ascii="Arial" w:hAnsi="Arial" w:cs="Arial"/>
          <w:sz w:val="24"/>
          <w:szCs w:val="24"/>
          <w:lang w:val="en-US"/>
        </w:rPr>
        <w:t xml:space="preserve">. </w:t>
      </w:r>
      <w:r w:rsidR="00C13520" w:rsidRPr="00B84270">
        <w:rPr>
          <w:rFonts w:ascii="Arial" w:hAnsi="Arial" w:cs="Arial"/>
          <w:sz w:val="24"/>
          <w:szCs w:val="24"/>
          <w:lang w:val="en-US"/>
        </w:rPr>
        <w:t>This was reflected in Wt cells, which</w:t>
      </w:r>
      <w:r w:rsidR="00507EDD" w:rsidRPr="00B84270">
        <w:rPr>
          <w:rFonts w:ascii="Arial" w:hAnsi="Arial" w:cs="Arial"/>
          <w:sz w:val="24"/>
          <w:szCs w:val="24"/>
          <w:lang w:val="en-US"/>
        </w:rPr>
        <w:t xml:space="preserve">, following holo-Tf treatment, </w:t>
      </w:r>
      <w:r w:rsidR="00C13520" w:rsidRPr="00B84270">
        <w:rPr>
          <w:rFonts w:ascii="Arial" w:hAnsi="Arial" w:cs="Arial"/>
          <w:sz w:val="24"/>
          <w:szCs w:val="24"/>
          <w:lang w:val="en-US"/>
        </w:rPr>
        <w:t>exceeded basal hepcidin secretion levels (Fig.</w:t>
      </w:r>
      <w:r w:rsidR="00074F0C" w:rsidRPr="00B84270">
        <w:rPr>
          <w:rFonts w:ascii="Arial" w:hAnsi="Arial" w:cs="Arial"/>
          <w:sz w:val="24"/>
          <w:szCs w:val="24"/>
          <w:lang w:val="en-US"/>
        </w:rPr>
        <w:t>1C</w:t>
      </w:r>
      <w:r w:rsidR="00C13520" w:rsidRPr="00B84270">
        <w:rPr>
          <w:rFonts w:ascii="Arial" w:hAnsi="Arial" w:cs="Arial"/>
          <w:sz w:val="24"/>
          <w:szCs w:val="24"/>
          <w:lang w:val="en-US"/>
        </w:rPr>
        <w:t xml:space="preserve"> and Fig.5) without any major iron-uptake (Fig.4).</w:t>
      </w:r>
    </w:p>
    <w:p w:rsidR="00E0245D" w:rsidRPr="00B84270" w:rsidRDefault="00E0245D" w:rsidP="005510CB">
      <w:pPr>
        <w:spacing w:after="0" w:line="360" w:lineRule="auto"/>
        <w:rPr>
          <w:rFonts w:ascii="Arial" w:hAnsi="Arial" w:cs="Arial"/>
          <w:strike/>
          <w:sz w:val="24"/>
          <w:szCs w:val="24"/>
          <w:lang w:val="en-US"/>
        </w:rPr>
      </w:pPr>
    </w:p>
    <w:p w:rsidR="00525C2B" w:rsidRPr="00B84270" w:rsidRDefault="00525C2B" w:rsidP="005510CB">
      <w:pPr>
        <w:spacing w:after="0" w:line="360" w:lineRule="auto"/>
        <w:rPr>
          <w:rFonts w:ascii="Arial" w:hAnsi="Arial" w:cs="Arial"/>
          <w:sz w:val="24"/>
          <w:szCs w:val="24"/>
          <w:highlight w:val="yellow"/>
          <w:lang w:val="en-US"/>
        </w:rPr>
      </w:pPr>
      <w:r w:rsidRPr="00B84270">
        <w:rPr>
          <w:rFonts w:ascii="Arial" w:hAnsi="Arial" w:cs="Arial"/>
          <w:b/>
          <w:i/>
          <w:sz w:val="24"/>
          <w:szCs w:val="24"/>
          <w:lang w:val="en-US"/>
        </w:rPr>
        <w:t>HAMP</w:t>
      </w:r>
      <w:r w:rsidRPr="00B84270">
        <w:rPr>
          <w:rFonts w:ascii="Arial" w:hAnsi="Arial" w:cs="Arial"/>
          <w:b/>
          <w:sz w:val="24"/>
          <w:szCs w:val="24"/>
          <w:lang w:val="en-US"/>
        </w:rPr>
        <w:t xml:space="preserve"> mRNA response to holo-Tf treatment </w:t>
      </w:r>
      <w:r w:rsidR="002B3635" w:rsidRPr="00B84270">
        <w:rPr>
          <w:rFonts w:ascii="Arial" w:hAnsi="Arial" w:cs="Arial"/>
          <w:b/>
          <w:sz w:val="24"/>
          <w:szCs w:val="24"/>
          <w:lang w:val="en-US"/>
        </w:rPr>
        <w:t xml:space="preserve">in recombinant cells </w:t>
      </w:r>
    </w:p>
    <w:p w:rsidR="003B479E" w:rsidRPr="00B84270" w:rsidRDefault="00091107" w:rsidP="005510CB">
      <w:pPr>
        <w:spacing w:after="0" w:line="360" w:lineRule="auto"/>
        <w:rPr>
          <w:rFonts w:ascii="Arial" w:hAnsi="Arial" w:cs="Arial"/>
          <w:sz w:val="24"/>
          <w:szCs w:val="24"/>
          <w:lang w:val="en-US"/>
        </w:rPr>
      </w:pPr>
      <w:r w:rsidRPr="00B84270">
        <w:rPr>
          <w:rFonts w:ascii="Arial" w:hAnsi="Arial" w:cs="Arial"/>
          <w:sz w:val="24"/>
          <w:szCs w:val="24"/>
          <w:lang w:val="en-US"/>
        </w:rPr>
        <w:t>Following holo-Tf supplementation, a</w:t>
      </w:r>
      <w:r w:rsidR="00E03F4D" w:rsidRPr="00B84270">
        <w:rPr>
          <w:rFonts w:ascii="Arial" w:hAnsi="Arial" w:cs="Arial"/>
          <w:sz w:val="24"/>
          <w:szCs w:val="24"/>
          <w:lang w:val="en-US"/>
        </w:rPr>
        <w:t xml:space="preserve">lthough </w:t>
      </w:r>
      <w:r w:rsidR="003322F7" w:rsidRPr="00B84270">
        <w:rPr>
          <w:rFonts w:ascii="Arial" w:hAnsi="Arial" w:cs="Arial"/>
          <w:sz w:val="24"/>
          <w:szCs w:val="24"/>
          <w:lang w:val="en-US"/>
        </w:rPr>
        <w:t xml:space="preserve">intracellular iron levels in </w:t>
      </w:r>
      <w:r w:rsidR="00E03F4D" w:rsidRPr="00B84270">
        <w:rPr>
          <w:rFonts w:ascii="Arial" w:hAnsi="Arial" w:cs="Arial"/>
          <w:sz w:val="24"/>
          <w:szCs w:val="24"/>
          <w:lang w:val="en-US"/>
        </w:rPr>
        <w:t>rec-TfR1 HepG2 cells were substantially higher than Wt cells (</w:t>
      </w:r>
      <w:r w:rsidR="00535414" w:rsidRPr="00B84270">
        <w:rPr>
          <w:rFonts w:ascii="Arial" w:hAnsi="Arial" w:cs="Arial"/>
          <w:sz w:val="24"/>
          <w:szCs w:val="24"/>
          <w:lang w:val="en-US"/>
        </w:rPr>
        <w:t>Fig.4</w:t>
      </w:r>
      <w:r w:rsidR="00B45F6C" w:rsidRPr="00B84270">
        <w:rPr>
          <w:rFonts w:ascii="Arial" w:hAnsi="Arial" w:cs="Arial"/>
          <w:sz w:val="24"/>
          <w:szCs w:val="24"/>
          <w:lang w:val="en-US"/>
        </w:rPr>
        <w:t xml:space="preserve">), </w:t>
      </w:r>
      <w:r w:rsidR="00D65788" w:rsidRPr="00B84270">
        <w:rPr>
          <w:rFonts w:ascii="Arial" w:hAnsi="Arial" w:cs="Arial"/>
          <w:i/>
          <w:sz w:val="24"/>
          <w:szCs w:val="24"/>
          <w:lang w:val="en-US"/>
        </w:rPr>
        <w:t>HAMP</w:t>
      </w:r>
      <w:r w:rsidR="00D65788" w:rsidRPr="00B84270">
        <w:rPr>
          <w:rFonts w:ascii="Arial" w:hAnsi="Arial" w:cs="Arial"/>
          <w:sz w:val="24"/>
          <w:szCs w:val="24"/>
          <w:lang w:val="en-US"/>
        </w:rPr>
        <w:t xml:space="preserve"> mRNA </w:t>
      </w:r>
      <w:r w:rsidR="00B45F6C" w:rsidRPr="00B84270">
        <w:rPr>
          <w:rFonts w:ascii="Arial" w:hAnsi="Arial" w:cs="Arial"/>
          <w:sz w:val="24"/>
          <w:szCs w:val="24"/>
          <w:lang w:val="en-US"/>
        </w:rPr>
        <w:t>responses</w:t>
      </w:r>
      <w:r w:rsidR="00370CB8" w:rsidRPr="00B84270">
        <w:rPr>
          <w:rFonts w:ascii="Arial" w:hAnsi="Arial" w:cs="Arial"/>
          <w:sz w:val="24"/>
          <w:szCs w:val="24"/>
          <w:lang w:val="en-US"/>
        </w:rPr>
        <w:t xml:space="preserve"> did not </w:t>
      </w:r>
      <w:r w:rsidR="0023607E" w:rsidRPr="00B84270">
        <w:rPr>
          <w:rFonts w:ascii="Arial" w:hAnsi="Arial" w:cs="Arial"/>
          <w:sz w:val="24"/>
          <w:szCs w:val="24"/>
          <w:lang w:val="en-US"/>
        </w:rPr>
        <w:t xml:space="preserve">proportionately </w:t>
      </w:r>
      <w:r w:rsidR="00370CB8" w:rsidRPr="00B84270">
        <w:rPr>
          <w:rFonts w:ascii="Arial" w:hAnsi="Arial" w:cs="Arial"/>
          <w:sz w:val="24"/>
          <w:szCs w:val="24"/>
          <w:lang w:val="en-US"/>
        </w:rPr>
        <w:t>exceed the responses of</w:t>
      </w:r>
      <w:r w:rsidRPr="00B84270">
        <w:rPr>
          <w:rFonts w:ascii="Arial" w:hAnsi="Arial" w:cs="Arial"/>
          <w:sz w:val="24"/>
          <w:szCs w:val="24"/>
          <w:lang w:val="en-US"/>
        </w:rPr>
        <w:t xml:space="preserve"> Wt cells (</w:t>
      </w:r>
      <w:r w:rsidR="00540A44" w:rsidRPr="00B84270">
        <w:rPr>
          <w:rFonts w:ascii="Arial" w:hAnsi="Arial" w:cs="Arial"/>
          <w:sz w:val="24"/>
          <w:szCs w:val="24"/>
          <w:lang w:val="en-US"/>
        </w:rPr>
        <w:t>Fig.</w:t>
      </w:r>
      <w:r w:rsidR="001F40B3" w:rsidRPr="00B84270">
        <w:rPr>
          <w:rFonts w:ascii="Arial" w:hAnsi="Arial" w:cs="Arial"/>
          <w:sz w:val="24"/>
          <w:szCs w:val="24"/>
          <w:lang w:val="en-US"/>
        </w:rPr>
        <w:t>6</w:t>
      </w:r>
      <w:r w:rsidR="00535414" w:rsidRPr="00B84270">
        <w:rPr>
          <w:rFonts w:ascii="Arial" w:hAnsi="Arial" w:cs="Arial"/>
          <w:sz w:val="24"/>
          <w:szCs w:val="24"/>
          <w:lang w:val="en-US"/>
        </w:rPr>
        <w:t>A</w:t>
      </w:r>
      <w:r w:rsidR="00B45F6C" w:rsidRPr="00B84270">
        <w:rPr>
          <w:rFonts w:ascii="Arial" w:hAnsi="Arial" w:cs="Arial"/>
          <w:sz w:val="24"/>
          <w:szCs w:val="24"/>
          <w:lang w:val="en-US"/>
        </w:rPr>
        <w:t xml:space="preserve">). </w:t>
      </w:r>
      <w:r w:rsidR="0005111E" w:rsidRPr="00B84270">
        <w:rPr>
          <w:rFonts w:ascii="Arial" w:hAnsi="Arial" w:cs="Arial"/>
          <w:sz w:val="24"/>
          <w:szCs w:val="24"/>
          <w:lang w:val="en-US"/>
        </w:rPr>
        <w:t xml:space="preserve">In fact, the rec-TfR1 HepG2 cells showed an </w:t>
      </w:r>
      <w:r w:rsidR="00E73165" w:rsidRPr="00B84270">
        <w:rPr>
          <w:rFonts w:ascii="Arial" w:hAnsi="Arial" w:cs="Arial"/>
          <w:sz w:val="24"/>
          <w:szCs w:val="24"/>
          <w:lang w:val="en-US"/>
        </w:rPr>
        <w:t xml:space="preserve">elevated </w:t>
      </w:r>
      <w:r w:rsidR="0005111E" w:rsidRPr="00B84270">
        <w:rPr>
          <w:rFonts w:ascii="Arial" w:hAnsi="Arial" w:cs="Arial"/>
          <w:sz w:val="24"/>
          <w:szCs w:val="24"/>
          <w:lang w:val="en-US"/>
        </w:rPr>
        <w:t xml:space="preserve">response only at 2 h while the Wt cells </w:t>
      </w:r>
      <w:r w:rsidR="0005111E" w:rsidRPr="00B84270">
        <w:rPr>
          <w:rFonts w:ascii="Arial" w:hAnsi="Arial" w:cs="Arial"/>
          <w:sz w:val="24"/>
          <w:szCs w:val="24"/>
          <w:lang w:val="en-US"/>
        </w:rPr>
        <w:lastRenderedPageBreak/>
        <w:t xml:space="preserve">showed </w:t>
      </w:r>
      <w:r w:rsidR="00E73165" w:rsidRPr="00B84270">
        <w:rPr>
          <w:rFonts w:ascii="Arial" w:hAnsi="Arial" w:cs="Arial"/>
          <w:sz w:val="24"/>
          <w:szCs w:val="24"/>
          <w:lang w:val="en-US"/>
        </w:rPr>
        <w:t xml:space="preserve">elevated expression </w:t>
      </w:r>
      <w:r w:rsidR="0005111E" w:rsidRPr="00B84270">
        <w:rPr>
          <w:rFonts w:ascii="Arial" w:hAnsi="Arial" w:cs="Arial"/>
          <w:sz w:val="24"/>
          <w:szCs w:val="24"/>
          <w:lang w:val="en-US"/>
        </w:rPr>
        <w:t xml:space="preserve">at 4 </w:t>
      </w:r>
      <w:r w:rsidR="00DE470D" w:rsidRPr="00B84270">
        <w:rPr>
          <w:rFonts w:ascii="Arial" w:hAnsi="Arial" w:cs="Arial"/>
          <w:sz w:val="24"/>
          <w:szCs w:val="24"/>
          <w:lang w:val="en-US"/>
        </w:rPr>
        <w:t>h and</w:t>
      </w:r>
      <w:r w:rsidR="0005111E" w:rsidRPr="00B84270">
        <w:rPr>
          <w:rFonts w:ascii="Arial" w:hAnsi="Arial" w:cs="Arial"/>
          <w:sz w:val="24"/>
          <w:szCs w:val="24"/>
          <w:lang w:val="en-US"/>
        </w:rPr>
        <w:t xml:space="preserve"> 24 h </w:t>
      </w:r>
      <w:r w:rsidR="00AC2CCF" w:rsidRPr="00B84270">
        <w:rPr>
          <w:rFonts w:ascii="Arial" w:hAnsi="Arial" w:cs="Arial"/>
          <w:sz w:val="24"/>
          <w:szCs w:val="24"/>
          <w:lang w:val="en-US"/>
        </w:rPr>
        <w:t>(</w:t>
      </w:r>
      <w:r w:rsidR="00535414" w:rsidRPr="00B84270">
        <w:rPr>
          <w:rFonts w:ascii="Arial" w:hAnsi="Arial" w:cs="Arial"/>
          <w:sz w:val="24"/>
          <w:szCs w:val="24"/>
          <w:lang w:val="en-US"/>
        </w:rPr>
        <w:t>Fig.</w:t>
      </w:r>
      <w:r w:rsidR="00540A44" w:rsidRPr="00B84270">
        <w:rPr>
          <w:rFonts w:ascii="Arial" w:hAnsi="Arial" w:cs="Arial"/>
          <w:sz w:val="24"/>
          <w:szCs w:val="24"/>
          <w:lang w:val="en-US"/>
        </w:rPr>
        <w:t>7</w:t>
      </w:r>
      <w:r w:rsidR="00535414" w:rsidRPr="00B84270">
        <w:rPr>
          <w:rFonts w:ascii="Arial" w:hAnsi="Arial" w:cs="Arial"/>
          <w:sz w:val="24"/>
          <w:szCs w:val="24"/>
          <w:lang w:val="en-US"/>
        </w:rPr>
        <w:t>A</w:t>
      </w:r>
      <w:r w:rsidR="00AC2CCF" w:rsidRPr="00B84270">
        <w:rPr>
          <w:rFonts w:ascii="Arial" w:hAnsi="Arial" w:cs="Arial"/>
          <w:sz w:val="24"/>
          <w:szCs w:val="24"/>
          <w:lang w:val="en-US"/>
        </w:rPr>
        <w:t>)</w:t>
      </w:r>
      <w:r w:rsidR="00370CB8" w:rsidRPr="00B84270">
        <w:rPr>
          <w:rFonts w:ascii="Arial" w:hAnsi="Arial" w:cs="Arial"/>
          <w:sz w:val="24"/>
          <w:szCs w:val="24"/>
          <w:lang w:val="en-US"/>
        </w:rPr>
        <w:t xml:space="preserve">. </w:t>
      </w:r>
      <w:r w:rsidR="00D65788" w:rsidRPr="00B84270">
        <w:rPr>
          <w:rFonts w:ascii="Arial" w:hAnsi="Arial" w:cs="Arial"/>
          <w:sz w:val="24"/>
          <w:szCs w:val="24"/>
          <w:lang w:val="en-US"/>
        </w:rPr>
        <w:t>This</w:t>
      </w:r>
      <w:r w:rsidR="0055790C" w:rsidRPr="00B84270">
        <w:rPr>
          <w:rFonts w:ascii="Arial" w:hAnsi="Arial" w:cs="Arial"/>
          <w:sz w:val="24"/>
          <w:szCs w:val="24"/>
          <w:lang w:val="en-US"/>
        </w:rPr>
        <w:t xml:space="preserve"> </w:t>
      </w:r>
      <w:r w:rsidR="00BB7E9E" w:rsidRPr="00B84270">
        <w:rPr>
          <w:rFonts w:ascii="Arial" w:hAnsi="Arial" w:cs="Arial"/>
          <w:sz w:val="24"/>
          <w:szCs w:val="24"/>
          <w:lang w:val="en-US"/>
        </w:rPr>
        <w:t xml:space="preserve">could be due to </w:t>
      </w:r>
      <w:r w:rsidR="004D0622" w:rsidRPr="00B84270">
        <w:rPr>
          <w:rFonts w:ascii="Arial" w:hAnsi="Arial" w:cs="Arial"/>
          <w:sz w:val="24"/>
          <w:szCs w:val="24"/>
          <w:lang w:val="en-US"/>
        </w:rPr>
        <w:t>several reasons.</w:t>
      </w:r>
      <w:r w:rsidR="0055790C" w:rsidRPr="00B84270">
        <w:rPr>
          <w:rFonts w:ascii="Arial" w:hAnsi="Arial" w:cs="Arial"/>
          <w:sz w:val="24"/>
          <w:szCs w:val="24"/>
          <w:lang w:val="en-US"/>
        </w:rPr>
        <w:t xml:space="preserve"> </w:t>
      </w:r>
      <w:r w:rsidR="008471DF" w:rsidRPr="00B84270">
        <w:rPr>
          <w:rFonts w:ascii="Arial" w:hAnsi="Arial" w:cs="Arial"/>
          <w:sz w:val="24"/>
          <w:szCs w:val="24"/>
          <w:lang w:val="en-US"/>
        </w:rPr>
        <w:t>F</w:t>
      </w:r>
      <w:r w:rsidR="00525C2B" w:rsidRPr="00B84270">
        <w:rPr>
          <w:rFonts w:ascii="Arial" w:hAnsi="Arial" w:cs="Arial"/>
          <w:sz w:val="24"/>
          <w:szCs w:val="24"/>
          <w:lang w:val="en-US"/>
        </w:rPr>
        <w:t>i</w:t>
      </w:r>
      <w:r w:rsidR="004C3DF0" w:rsidRPr="00B84270">
        <w:rPr>
          <w:rFonts w:ascii="Arial" w:hAnsi="Arial" w:cs="Arial"/>
          <w:sz w:val="24"/>
          <w:szCs w:val="24"/>
          <w:lang w:val="en-US"/>
        </w:rPr>
        <w:t xml:space="preserve">rstly, excess cell-surface </w:t>
      </w:r>
      <w:r w:rsidR="0072491C" w:rsidRPr="00B84270">
        <w:rPr>
          <w:rFonts w:ascii="Arial" w:hAnsi="Arial" w:cs="Arial"/>
          <w:sz w:val="24"/>
          <w:szCs w:val="24"/>
          <w:lang w:val="en-US"/>
        </w:rPr>
        <w:t>TfR1</w:t>
      </w:r>
      <w:r w:rsidR="00525C2B" w:rsidRPr="00B84270">
        <w:rPr>
          <w:rFonts w:ascii="Arial" w:hAnsi="Arial" w:cs="Arial"/>
          <w:sz w:val="24"/>
          <w:szCs w:val="24"/>
          <w:lang w:val="en-US"/>
        </w:rPr>
        <w:t xml:space="preserve">on rec-TfR1 HepG2 cells would have changed the native ratios of </w:t>
      </w:r>
      <w:r w:rsidR="0072491C" w:rsidRPr="00B84270">
        <w:rPr>
          <w:rFonts w:ascii="Arial" w:hAnsi="Arial" w:cs="Arial"/>
          <w:sz w:val="24"/>
          <w:szCs w:val="24"/>
          <w:lang w:val="en-US"/>
        </w:rPr>
        <w:t>TfR1</w:t>
      </w:r>
      <w:r w:rsidR="00525C2B" w:rsidRPr="00B84270">
        <w:rPr>
          <w:rFonts w:ascii="Arial" w:hAnsi="Arial" w:cs="Arial"/>
          <w:sz w:val="24"/>
          <w:szCs w:val="24"/>
          <w:lang w:val="en-US"/>
        </w:rPr>
        <w:t xml:space="preserve"> with its hepcidin-inducing binding partners on the cell-surface, HFE and </w:t>
      </w:r>
      <w:r w:rsidR="006C0B37" w:rsidRPr="00B84270">
        <w:rPr>
          <w:rFonts w:ascii="Arial" w:hAnsi="Arial" w:cs="Arial"/>
          <w:sz w:val="24"/>
          <w:szCs w:val="24"/>
          <w:lang w:val="en-US"/>
        </w:rPr>
        <w:t>TFR2</w:t>
      </w:r>
      <w:r w:rsidR="00C46161" w:rsidRPr="00B84270">
        <w:rPr>
          <w:rFonts w:ascii="Arial" w:hAnsi="Arial" w:cs="Arial"/>
          <w:sz w:val="24"/>
          <w:szCs w:val="24"/>
          <w:lang w:val="en-US"/>
        </w:rPr>
        <w:t xml:space="preserve"> </w:t>
      </w:r>
      <w:r w:rsidR="00614C46" w:rsidRPr="00B84270">
        <w:rPr>
          <w:rFonts w:ascii="Arial" w:hAnsi="Arial" w:cs="Arial"/>
          <w:sz w:val="24"/>
          <w:szCs w:val="24"/>
          <w:lang w:val="en-US"/>
        </w:rPr>
        <w:fldChar w:fldCharType="begin"/>
      </w:r>
      <w:r w:rsidR="000A09BE" w:rsidRPr="00B84270">
        <w:rPr>
          <w:rFonts w:ascii="Arial" w:hAnsi="Arial" w:cs="Arial"/>
          <w:sz w:val="24"/>
          <w:szCs w:val="24"/>
          <w:lang w:val="en-US"/>
        </w:rPr>
        <w:instrText xml:space="preserve"> ADDIN ZOTERO_ITEM CSL_CITATION {"citationID":"WJCzAIO6","properties":{"formattedCitation":"(40,41)","plainCitation":"(40,41)"},"citationItems":[{"id":255,"uris":["http://zotero.org/users/2804724/items/5D3BBU2M"],"uri":["http://zotero.org/users/2804724/items/5D3BBU2M"],"itemData":{"id":255,"type":"article-journal","title":"The hemochromatosis gene product complexes with the transferrin receptor and lowers its affinity for ligand binding","container-title":"Proceedings of the National Academy of Sciences of the United States of America","page":"1472-1477","volume":"95","issue":"4","source":"PubMed","abstract":"We recently reported the positional cloning of a candidate gene for hereditary hemochromatosis called HFE. The gene product, a member of the major histocompatibility complex class I-like family, was found to have a mutation, Cys-282 --&gt; Tyr (C282Y), in 85% of patient chromosomes. This mutation eliminates the ability of HFE to associate with beta2-microglobulin (beta2m) and prevents cell-surface expression. A second mutation that has no effect on beta2m association, H63D, was found in eight out of nine patients heterozygous for the C282Y mutant. In this report, we demonstrate in cultured 293 cells overexpressing wild-type or mutant HFE proteins that both the wild-type and H63D HFE proteins form stable complexes with the transferrin receptor (TfR). The C282Y mutation nearly completely prevents the association of the mutant HFE protein with the TfR. Studies on cell-associated transferrin at 37 degrees C suggest that the overexpressed wild-type HFE protein decreases the affinity of the TfR for transferrin. The overexpressed H63D protein does not have this effect, providing the first direct evidence for a functional consequence of the H63D mutation. Addition of soluble wild-type HFE/beta2m heterodimers to cultured cells also decreased the apparent affinity of the TfR for its ligand under steady-state conditions, both in 293 cells and in HeLa cells. Furthermore, at 4 degrees C, the added soluble complex of HFE/beta2m inhibited binding of transferrin to HeLa cell TfR in a concentration-dependent manner. Scatchard plots of these data indicate that the added heterodimer substantially reduced the affinity of TfR for transferrin. These results establish a molecular link between HFE and a key protein involved in iron transport, the TfR, and raise the possibility that alterations in this regulatory mechanism may play a role in the pathogenesis of hereditary hemochromatosis.","ISSN":"0027-8424","note":"PMID: 9465039\nPMCID: PMC19050","journalAbbreviation":"Proc. Natl. Acad. Sci. U.S.A.","language":"eng","author":[{"family":"Feder","given":"J. N."},{"family":"Penny","given":"D. M."},{"family":"Irrinki","given":"A."},{"family":"Lee","given":"V. K."},{"family":"Lebrón","given":"J. A."},{"family":"Watson","given":"N."},{"family":"Tsuchihashi","given":"Z."},{"family":"Sigal","given":"E."},{"family":"Bjorkman","given":"P. J."},{"family":"Schatzman","given":"R. C."}],"issued":{"date-parts":[["1998",2,17]]},"PMID":"9465039","PMCID":"PMC19050"}},{"id":257,"uris":["http://zotero.org/users/2804724/items/IAFI7T48"],"uri":["http://zotero.org/users/2804724/items/IAFI7T48"],"itemData":{"id":257,"type":"article-journal","title":"Hereditary hemochromatosis protein, HFE, interaction with transferrin receptor 2 suggests a molecular mechanism for mammalian iron sensing","container-title":"The Journal of Biological Chemistry","page":"28494-28498","volume":"281","issue":"39","source":"PubMed","abstract":"HFE and transferrin receptor 2 (TFR2) are membrane proteins integral to mammalian iron homeostasis and associated with human hereditary hemochromatosis. Here we demonstrate that HFE and TFR2 interact in cells, that this interaction is not abrogated by disease-associated mutations of HFE and TFR2, and that TFR2 competes with TFR1 for binding to HFE. We propose a new model for the mechanism of iron status sensing that results in the regulation of iron homeostasis.","DOI":"10.1074/jbc.C600197200","ISSN":"0021-9258","note":"PMID: 16893896","journalAbbreviation":"J. Biol. Chem.","language":"eng","author":[{"family":"Goswami","given":"Tapasree"},{"family":"Andrews","given":"Nancy C."}],"issued":{"date-parts":[["2006",9,29]]},"PMID":"16893896"}}],"schema":"https://github.com/citation-style-language/schema/raw/master/csl-citation.json"} </w:instrText>
      </w:r>
      <w:r w:rsidR="00614C46" w:rsidRPr="00B84270">
        <w:rPr>
          <w:rFonts w:ascii="Arial" w:hAnsi="Arial" w:cs="Arial"/>
          <w:sz w:val="24"/>
          <w:szCs w:val="24"/>
          <w:lang w:val="en-US"/>
        </w:rPr>
        <w:fldChar w:fldCharType="separate"/>
      </w:r>
      <w:r w:rsidR="000A09BE" w:rsidRPr="00B84270">
        <w:rPr>
          <w:rFonts w:ascii="Arial" w:hAnsi="Arial" w:cs="Arial"/>
          <w:sz w:val="24"/>
        </w:rPr>
        <w:t>(40,41)</w:t>
      </w:r>
      <w:r w:rsidR="00614C46" w:rsidRPr="00B84270">
        <w:rPr>
          <w:rFonts w:ascii="Arial" w:hAnsi="Arial" w:cs="Arial"/>
          <w:sz w:val="24"/>
          <w:szCs w:val="24"/>
          <w:lang w:val="en-US"/>
        </w:rPr>
        <w:fldChar w:fldCharType="end"/>
      </w:r>
      <w:r w:rsidR="00525C2B" w:rsidRPr="00B84270">
        <w:rPr>
          <w:rFonts w:ascii="Arial" w:hAnsi="Arial" w:cs="Arial"/>
          <w:sz w:val="24"/>
          <w:szCs w:val="24"/>
          <w:lang w:val="en-US"/>
        </w:rPr>
        <w:t xml:space="preserve">. This may have caused the majority of the HFE to bind to </w:t>
      </w:r>
      <w:r w:rsidR="0072491C" w:rsidRPr="00B84270">
        <w:rPr>
          <w:rFonts w:ascii="Arial" w:hAnsi="Arial" w:cs="Arial"/>
          <w:sz w:val="24"/>
          <w:szCs w:val="24"/>
          <w:lang w:val="en-US"/>
        </w:rPr>
        <w:t>TfR1</w:t>
      </w:r>
      <w:r w:rsidR="00525C2B" w:rsidRPr="00B84270">
        <w:rPr>
          <w:rFonts w:ascii="Arial" w:hAnsi="Arial" w:cs="Arial"/>
          <w:sz w:val="24"/>
          <w:szCs w:val="24"/>
          <w:lang w:val="en-US"/>
        </w:rPr>
        <w:t xml:space="preserve">, aiming to regulate </w:t>
      </w:r>
      <w:r w:rsidR="009C5EEA" w:rsidRPr="00B84270">
        <w:rPr>
          <w:rFonts w:ascii="Arial" w:hAnsi="Arial" w:cs="Arial"/>
          <w:sz w:val="24"/>
          <w:szCs w:val="24"/>
          <w:lang w:val="en-US"/>
        </w:rPr>
        <w:t>iron-uptake</w:t>
      </w:r>
      <w:r w:rsidR="006159E5" w:rsidRPr="00B84270">
        <w:rPr>
          <w:rFonts w:ascii="Arial" w:hAnsi="Arial" w:cs="Arial"/>
          <w:sz w:val="24"/>
          <w:szCs w:val="24"/>
          <w:lang w:val="en-US"/>
        </w:rPr>
        <w:t xml:space="preserve"> </w:t>
      </w:r>
      <w:r w:rsidR="00614C46" w:rsidRPr="00B84270">
        <w:rPr>
          <w:rFonts w:ascii="Arial" w:hAnsi="Arial" w:cs="Arial"/>
          <w:sz w:val="24"/>
          <w:szCs w:val="24"/>
          <w:lang w:val="en-US"/>
        </w:rPr>
        <w:fldChar w:fldCharType="begin"/>
      </w:r>
      <w:r w:rsidR="000A09BE" w:rsidRPr="00B84270">
        <w:rPr>
          <w:rFonts w:ascii="Arial" w:hAnsi="Arial" w:cs="Arial"/>
          <w:sz w:val="24"/>
          <w:szCs w:val="24"/>
          <w:lang w:val="en-US"/>
        </w:rPr>
        <w:instrText xml:space="preserve"> ADDIN ZOTERO_ITEM CSL_CITATION {"citationID":"hyOR0hwN","properties":{"formattedCitation":"(40,42)","plainCitation":"(40,42)"},"citationItems":[{"id":255,"uris":["http://zotero.org/users/2804724/items/5D3BBU2M"],"uri":["http://zotero.org/users/2804724/items/5D3BBU2M"],"itemData":{"id":255,"type":"article-journal","title":"The hemochromatosis gene product complexes with the transferrin receptor and lowers its affinity for ligand binding","container-title":"Proceedings of the National Academy of Sciences of the United States of America","page":"1472-1477","volume":"95","issue":"4","source":"PubMed","abstract":"We recently reported the positional cloning of a candidate gene for hereditary hemochromatosis called HFE. The gene product, a member of the major histocompatibility complex class I-like family, was found to have a mutation, Cys-282 --&gt; Tyr (C282Y), in 85% of patient chromosomes. This mutation eliminates the ability of HFE to associate with beta2-microglobulin (beta2m) and prevents cell-surface expression. A second mutation that has no effect on beta2m association, H63D, was found in eight out of nine patients heterozygous for the C282Y mutant. In this report, we demonstrate in cultured 293 cells overexpressing wild-type or mutant HFE proteins that both the wild-type and H63D HFE proteins form stable complexes with the transferrin receptor (TfR). The C282Y mutation nearly completely prevents the association of the mutant HFE protein with the TfR. Studies on cell-associated transferrin at 37 degrees C suggest that the overexpressed wild-type HFE protein decreases the affinity of the TfR for transferrin. The overexpressed H63D protein does not have this effect, providing the first direct evidence for a functional consequence of the H63D mutation. Addition of soluble wild-type HFE/beta2m heterodimers to cultured cells also decreased the apparent affinity of the TfR for its ligand under steady-state conditions, both in 293 cells and in HeLa cells. Furthermore, at 4 degrees C, the added soluble complex of HFE/beta2m inhibited binding of transferrin to HeLa cell TfR in a concentration-dependent manner. Scatchard plots of these data indicate that the added heterodimer substantially reduced the affinity of TfR for transferrin. These results establish a molecular link between HFE and a key protein involved in iron transport, the TfR, and raise the possibility that alterations in this regulatory mechanism may play a role in the pathogenesis of hereditary hemochromatosis.","ISSN":"0027-8424","note":"PMID: 9465039\nPMCID: PMC19050","journalAbbreviation":"Proc. Natl. Acad. Sci. U.S.A.","language":"eng","author":[{"family":"Feder","given":"J. N."},{"family":"Penny","given":"D. M."},{"family":"Irrinki","given":"A."},{"family":"Lee","given":"V. K."},{"family":"Lebrón","given":"J. A."},{"family":"Watson","given":"N."},{"family":"Tsuchihashi","given":"Z."},{"family":"Sigal","given":"E."},{"family":"Bjorkman","given":"P. J."},{"family":"Schatzman","given":"R. C."}],"issued":{"date-parts":[["1998",2,17]]},"PMID":"9465039","PMCID":"PMC19050"}},{"id":261,"uris":["http://zotero.org/users/2804724/items/ZQINP99Q"],"uri":["http://zotero.org/users/2804724/items/ZQINP99Q"],"itemData":{"id":261,"type":"article-journal","title":"Regulation of transferrin-mediated iron uptake by HFE, the protein defective in hereditary hemochromatosis","container-title":"Proceedings of the National Academy of Sciences of the United States of America","page":"3117-3122","volume":"99","issue":"5","source":"PubMed","abstract":"The protein defective in hereditary hemochromatosis, called HFE, is similar to MHC class I-type proteins and associates with beta2-microglobulin (beta2M). Its association with beta2M was previously shown to be necessary for its stability, normal intracellular processing, and cell surface expression in transfected COS cells. Here we use stably transfected Chinese hamster ovary cell lines expressing both HFE and beta2M or HFE alone to study the effects of beta2M on the stability and maturation of the HFE protein and on the role of HFE in transferrin receptor 1 (TfR1)-mediated iron uptake. In agreement with prior studies on other cell lines, we found that overexpression of HFE, without overexpressing beta2M, resulted in a decrease in TfR1dependent iron uptake and in lower iron levels in the cells, as evidenced by ferritin and TfR1 levels measured at steady state. However, overexpression of both HFE and beta2M had the reverse effect and resulted in an increase in TfR1-dependent iron uptake and increased iron levels in the cells. The HFE-beta2M complex did not affect the affinity of TfR1 for transferrin or the internalization rate of transferrin-bound TfR1. Instead, HFE-beta2M enhanced the rate of recycling of TfR1 and resulted in an increase in the steady-state level of TfR1 at the cell surface of stably transfected cells. We propose that Chinese hamster ovary cells provide a model to explain the effect of the HFE-beta2M complex in duodenal crypt cells, where the HFE-beta2M complex appears to facilitate the uptake of transferrin-bound iron to sense the level of body iron stores. Impairment of this process in duodenal crypt cells leads them to be iron poor and to signal the differentiating enterocytes to take up iron excessively after they mature into villus cells in the duodenum of hereditary hemochromatosis patients.","DOI":"10.1073/pnas.042701499","ISSN":"0027-8424","note":"PMID: 11867720\nPMCID: PMC122482","journalAbbreviation":"Proc. Natl. Acad. Sci. U.S.A.","language":"eng","author":[{"family":"Waheed","given":"Abdul"},{"family":"Grubb","given":"Jeffrey H."},{"family":"Zhou","given":"Xiao Yan"},{"family":"Tomatsu","given":"Shunji"},{"family":"Fleming","given":"Robert E."},{"family":"Costaldi","given":"Mark E."},{"family":"Britton","given":"Robert S."},{"family":"Bacon","given":"Bruce R."},{"family":"Sly","given":"William S."}],"issued":{"date-parts":[["2002",3,5]]},"PMID":"11867720","PMCID":"PMC122482"}}],"schema":"https://github.com/citation-style-language/schema/raw/master/csl-citation.json"} </w:instrText>
      </w:r>
      <w:r w:rsidR="00614C46" w:rsidRPr="00B84270">
        <w:rPr>
          <w:rFonts w:ascii="Arial" w:hAnsi="Arial" w:cs="Arial"/>
          <w:sz w:val="24"/>
          <w:szCs w:val="24"/>
          <w:lang w:val="en-US"/>
        </w:rPr>
        <w:fldChar w:fldCharType="separate"/>
      </w:r>
      <w:r w:rsidR="000A09BE" w:rsidRPr="00B84270">
        <w:rPr>
          <w:rFonts w:ascii="Arial" w:hAnsi="Arial" w:cs="Arial"/>
          <w:sz w:val="24"/>
        </w:rPr>
        <w:t>(40,42)</w:t>
      </w:r>
      <w:r w:rsidR="00614C46" w:rsidRPr="00B84270">
        <w:rPr>
          <w:rFonts w:ascii="Arial" w:hAnsi="Arial" w:cs="Arial"/>
          <w:sz w:val="24"/>
          <w:szCs w:val="24"/>
          <w:lang w:val="en-US"/>
        </w:rPr>
        <w:fldChar w:fldCharType="end"/>
      </w:r>
      <w:r w:rsidR="008D6F07" w:rsidRPr="00B84270">
        <w:rPr>
          <w:rFonts w:ascii="Arial" w:hAnsi="Arial" w:cs="Arial"/>
          <w:sz w:val="24"/>
          <w:szCs w:val="24"/>
          <w:lang w:val="en-US"/>
        </w:rPr>
        <w:t xml:space="preserve">, </w:t>
      </w:r>
      <w:r w:rsidR="00525C2B" w:rsidRPr="00B84270">
        <w:rPr>
          <w:rFonts w:ascii="Arial" w:hAnsi="Arial" w:cs="Arial"/>
          <w:sz w:val="24"/>
          <w:szCs w:val="24"/>
          <w:lang w:val="en-US"/>
        </w:rPr>
        <w:t xml:space="preserve">thereby limiting the availability of free HFE for </w:t>
      </w:r>
      <w:r w:rsidR="00525C2B" w:rsidRPr="00B84270">
        <w:rPr>
          <w:rFonts w:ascii="Arial" w:hAnsi="Arial" w:cs="Arial"/>
          <w:i/>
          <w:iCs/>
          <w:sz w:val="24"/>
          <w:szCs w:val="24"/>
          <w:lang w:val="en-US"/>
        </w:rPr>
        <w:t>HAMP</w:t>
      </w:r>
      <w:r w:rsidR="00525C2B" w:rsidRPr="00B84270">
        <w:rPr>
          <w:rFonts w:ascii="Arial" w:hAnsi="Arial" w:cs="Arial"/>
          <w:sz w:val="24"/>
          <w:szCs w:val="24"/>
          <w:lang w:val="en-US"/>
        </w:rPr>
        <w:t xml:space="preserve"> induction</w:t>
      </w:r>
      <w:r w:rsidR="00B80541" w:rsidRPr="00B84270">
        <w:rPr>
          <w:rFonts w:ascii="Arial" w:hAnsi="Arial" w:cs="Arial"/>
          <w:sz w:val="24"/>
          <w:szCs w:val="24"/>
          <w:lang w:val="en-US"/>
        </w:rPr>
        <w:t xml:space="preserve"> </w:t>
      </w:r>
      <w:r w:rsidR="00614C46" w:rsidRPr="00B84270">
        <w:rPr>
          <w:rFonts w:ascii="Arial" w:hAnsi="Arial" w:cs="Arial"/>
          <w:sz w:val="24"/>
          <w:szCs w:val="24"/>
          <w:lang w:val="en-US"/>
        </w:rPr>
        <w:fldChar w:fldCharType="begin"/>
      </w:r>
      <w:r w:rsidR="000A09BE" w:rsidRPr="00B84270">
        <w:rPr>
          <w:rFonts w:ascii="Arial" w:hAnsi="Arial" w:cs="Arial"/>
          <w:sz w:val="24"/>
          <w:szCs w:val="24"/>
          <w:lang w:val="en-US"/>
        </w:rPr>
        <w:instrText xml:space="preserve"> ADDIN ZOTERO_ITEM CSL_CITATION {"citationID":"vt01jdcr4","properties":{"formattedCitation":"(43)","plainCitation":"(43)"},"citationItems":[{"id":263,"uris":["http://zotero.org/users/2804724/items/SSJA3A6J"],"uri":["http://zotero.org/users/2804724/items/SSJA3A6J"],"itemData":{"id":263,"type":"article-journal","title":"The transferrin receptor modulates Hfe-dependent regulation of hepcidin expression","container-title":"Cell Metabolism","page":"205-214","volume":"7","issue":"3","source":"PubMed","abstract":"Hemochromatosis is caused by mutations in HFE, a protein that competes with transferrin (TF) for binding to transferrin receptor 1 (TFR1). We developed mutant mouse strains to gain insight into the role of the Hfe/Tfr1 complex in regulating iron homeostasis. We introduced mutations into a ubiquitously expressed Tfr1 transgene or the endogenous Tfr1 locus to promote or prevent the Hfe/Tfr1 interaction. Under conditions favoring a constitutive Hfe/Tfr1 interaction, mice developed iron overload attributable to inappropriately low expression of the hormone hepcidin. In contrast, mice carrying a mutation that interferes with the Hfe/Tfr1 interaction developed iron deficiency associated with inappropriately high hepcidin expression. High-level expression of a liver-specific Hfe transgene in Hfe-/- mice was also associated with increased hepcidin production and iron deficiency. Together, these models suggest that Hfe induces hepcidin expression when it is not in complex with Tfr1.","DOI":"10.1016/j.cmet.2007.11.016","ISSN":"1550-4131","note":"PMID: 18316026\nPMCID: PMC2292811","journalAbbreviation":"Cell Metab.","language":"eng","author":[{"family":"Schmidt","given":"Paul J."},{"family":"Toran","given":"Paul T."},{"family":"Giannetti","given":"Anthony M."},{"family":"Bjorkman","given":"Pamela J."},{"family":"Andrews","given":"Nancy C."}],"issued":{"date-parts":[["2008",3]]},"PMID":"18316026","PMCID":"PMC2292811"}}],"schema":"https://github.com/citation-style-language/schema/raw/master/csl-citation.json"} </w:instrText>
      </w:r>
      <w:r w:rsidR="00614C46" w:rsidRPr="00B84270">
        <w:rPr>
          <w:rFonts w:ascii="Arial" w:hAnsi="Arial" w:cs="Arial"/>
          <w:sz w:val="24"/>
          <w:szCs w:val="24"/>
          <w:lang w:val="en-US"/>
        </w:rPr>
        <w:fldChar w:fldCharType="separate"/>
      </w:r>
      <w:r w:rsidR="000A09BE" w:rsidRPr="00B84270">
        <w:rPr>
          <w:rFonts w:ascii="Arial" w:hAnsi="Arial" w:cs="Arial"/>
          <w:sz w:val="24"/>
        </w:rPr>
        <w:t>(43)</w:t>
      </w:r>
      <w:r w:rsidR="00614C46" w:rsidRPr="00B84270">
        <w:rPr>
          <w:rFonts w:ascii="Arial" w:hAnsi="Arial" w:cs="Arial"/>
          <w:sz w:val="24"/>
          <w:szCs w:val="24"/>
          <w:lang w:val="en-US"/>
        </w:rPr>
        <w:fldChar w:fldCharType="end"/>
      </w:r>
      <w:r w:rsidR="008D6F07" w:rsidRPr="00B84270">
        <w:rPr>
          <w:rFonts w:ascii="Arial" w:hAnsi="Arial" w:cs="Arial"/>
          <w:sz w:val="24"/>
          <w:szCs w:val="24"/>
          <w:lang w:val="en-US"/>
        </w:rPr>
        <w:t>,</w:t>
      </w:r>
      <w:r w:rsidR="00525C2B" w:rsidRPr="00B84270">
        <w:rPr>
          <w:rFonts w:ascii="Arial" w:hAnsi="Arial" w:cs="Arial"/>
          <w:sz w:val="24"/>
          <w:szCs w:val="24"/>
          <w:lang w:val="en-US"/>
        </w:rPr>
        <w:t xml:space="preserve"> with or without </w:t>
      </w:r>
      <w:r w:rsidR="006C0B37" w:rsidRPr="00B84270">
        <w:rPr>
          <w:rFonts w:ascii="Arial" w:hAnsi="Arial" w:cs="Arial"/>
          <w:sz w:val="24"/>
          <w:szCs w:val="24"/>
          <w:lang w:val="en-US"/>
        </w:rPr>
        <w:t>TFR2</w:t>
      </w:r>
      <w:r w:rsidR="00532499" w:rsidRPr="00B84270">
        <w:rPr>
          <w:rFonts w:ascii="Arial" w:hAnsi="Arial" w:cs="Arial"/>
          <w:sz w:val="24"/>
          <w:szCs w:val="24"/>
          <w:lang w:val="en-US"/>
        </w:rPr>
        <w:t xml:space="preserve"> </w:t>
      </w:r>
      <w:r w:rsidR="00614C46" w:rsidRPr="00B84270">
        <w:rPr>
          <w:rFonts w:ascii="Arial" w:hAnsi="Arial" w:cs="Arial"/>
          <w:sz w:val="24"/>
          <w:szCs w:val="24"/>
          <w:lang w:val="en-US"/>
        </w:rPr>
        <w:fldChar w:fldCharType="begin"/>
      </w:r>
      <w:r w:rsidR="005539F0" w:rsidRPr="00B84270">
        <w:rPr>
          <w:rFonts w:ascii="Arial" w:hAnsi="Arial" w:cs="Arial"/>
          <w:sz w:val="24"/>
          <w:szCs w:val="24"/>
          <w:lang w:val="en-US"/>
        </w:rPr>
        <w:instrText xml:space="preserve"> ADDIN ZOTERO_ITEM CSL_CITATION {"citationID":"9EM5GTFM","properties":{"formattedCitation":"(16,17)","plainCitation":"(16,17)"},"citationItems":[{"id":162,"uris":["http://zotero.org/users/2804724/items/95N3HQV7"],"uri":["http://zotero.org/users/2804724/items/95N3HQV7"],"itemData":{"id":162,"type":"article-journal","title":"The hemochromatosis proteins HFE, TfR2, and HJV form a membrane-associated protein complex for hepcidin regulation","container-title":"Journal of Hepatology","page":"1052-1060","volume":"57","issue":"5","source":"PubMed","abstract":"BACKGROUND &amp; AIMS: The hereditary hemochromatosis-associated membrane proteins HFE, TfR2, and HJV are required for adequate hepatic expression of the iron hormone hepcidin. While the genetic interactions are clear, it remains elusive how bone morphogenetic protein co-receptor HJV functions together with HFE and TfR2 to activate hepcidin transcription via the BMP-SMAD signaling pathway. Here, we investigate whether HFE, TfR2, and HJV physically interact on the surface of hepatocytes.\nMETHODS: We explore protein-protein interactions by glycerol gradient sedimentation assays and co-immunoprecipitation analyses in transfected HuH7 hepatoma-derived cells.\nRESULTS: Our data demonstrate that HFE and TfR2 bind HJV in a non-competitive manner. Co-immunoprecipitation analyses provide direct experimental evidence that HFE, TfR2, and HJV form a multi-protein membrane complex. Our experiments show that like TfR2, HJV competes with TfR1 for binding to HFE, indicating that the expression of TfR2 and HJV may be critical for iron sensing. We identify residues 120-139 of the TfR2 extra-cellular domain as the critical amino acids required for the binding of both HFE and HJV. Interestingly, RGMA, a central nervous system homolog, can substitute for HJV in the complex and promote hepcidin transcription, implicating RGMA in the local control of hepcidin in the CNS.\nCONCLUSIONS: Taken together, our findings provide a biochemical basis for hepcidin control by HFE, TfR2, and HJV.","DOI":"10.1016/j.jhep.2012.06.015","ISSN":"1600-0641","note":"PMID: 22728873","journalAbbreviation":"J. Hepatol.","language":"eng","author":[{"family":"D'Alessio","given":"Flavia"},{"family":"Hentze","given":"Matthias W."},{"family":"Muckenthaler","given":"Martina U."}],"issued":{"date-parts":[["2012",11]]},"PMID":"22728873"}},{"id":222,"uris":["http://zotero.org/users/2804724/items/QX8JB6NT"],"uri":["http://zotero.org/users/2804724/items/QX8JB6NT"],"itemData":{"id":222,"type":"article-journal","title":"Transgenic HFE-dependent induction of hepcidin in mice does not require transferrin receptor-2","container-title":"American Journal of Hematology","page":"588-595","volume":"87","issue":"6","source":"PubMed","abstract":"Hereditary hemochomatosis (HH) is caused by mutations in several genes, including HFE and transferrin receptor-2 (TFR2). Loss of either protein decreases expression of the iron regulatory hormone hepcidin by the liver, leading to inappropriately high iron uptake from the diet, and resulting in systemic iron overload. In tissue culture, overexpressed HFE and TFR2 physically interact. Hepatocellular overexpression of Hfe in vivo increases hepcidin expression, despite an associated decrease in Tfr2. On this basis, we hypothesized that Tfr2 would not be required for Hfe-dependent up-regulation of hepcidin. We show that hepatocellular overexpression of Hfe in Tfr2(Y245X/Y245X) mice leads to hepcidin induction eventuating in iron deficiency and a hypochromic, microcytic anemia. Furthermore, coimmunoprecipitation studies using liver lysates did not provide evidence for physical interaction between Hfe and Tfr2 in vivo. In conclusion, we demonstrate that Tfr2 is not essential for Hfe-mediated induction of hepcidin expression, supporting the possibility that TFR2 may regulate iron metabolism in an HFE-independent manner.","DOI":"10.1002/ajh.23173","ISSN":"1096-8652","note":"PMID: 22460705\nPMCID: PMC3386558","journalAbbreviation":"Am. J. Hematol.","language":"eng","author":[{"family":"Schmidt","given":"Paul J."},{"family":"Fleming","given":"Mark D."}],"issued":{"date-parts":[["2012",6]]},"PMID":"22460705","PMCID":"PMC3386558"}}],"schema":"https://github.com/citation-style-language/schema/raw/master/csl-citation.json"} </w:instrText>
      </w:r>
      <w:r w:rsidR="00614C46" w:rsidRPr="00B84270">
        <w:rPr>
          <w:rFonts w:ascii="Arial" w:hAnsi="Arial" w:cs="Arial"/>
          <w:sz w:val="24"/>
          <w:szCs w:val="24"/>
          <w:lang w:val="en-US"/>
        </w:rPr>
        <w:fldChar w:fldCharType="separate"/>
      </w:r>
      <w:r w:rsidR="000A09BE" w:rsidRPr="00B84270">
        <w:rPr>
          <w:rFonts w:ascii="Arial" w:hAnsi="Arial" w:cs="Arial"/>
          <w:sz w:val="24"/>
        </w:rPr>
        <w:t>(16,17)</w:t>
      </w:r>
      <w:r w:rsidR="00614C46" w:rsidRPr="00B84270">
        <w:rPr>
          <w:rFonts w:ascii="Arial" w:hAnsi="Arial" w:cs="Arial"/>
          <w:sz w:val="24"/>
          <w:szCs w:val="24"/>
          <w:lang w:val="en-US"/>
        </w:rPr>
        <w:fldChar w:fldCharType="end"/>
      </w:r>
      <w:r w:rsidR="00525C2B" w:rsidRPr="00B84270">
        <w:rPr>
          <w:rFonts w:ascii="Arial" w:hAnsi="Arial" w:cs="Arial"/>
          <w:sz w:val="24"/>
          <w:szCs w:val="24"/>
          <w:lang w:val="en-US"/>
        </w:rPr>
        <w:t xml:space="preserve">. Secondly, the down-regulated expression of </w:t>
      </w:r>
      <w:r w:rsidR="00525C2B" w:rsidRPr="00B84270">
        <w:rPr>
          <w:rFonts w:ascii="Arial" w:hAnsi="Arial" w:cs="Arial"/>
          <w:i/>
          <w:sz w:val="24"/>
          <w:szCs w:val="24"/>
          <w:lang w:val="en-US"/>
        </w:rPr>
        <w:t xml:space="preserve">TFR2 </w:t>
      </w:r>
      <w:r w:rsidR="00525C2B" w:rsidRPr="00B84270">
        <w:rPr>
          <w:rFonts w:ascii="Arial" w:hAnsi="Arial" w:cs="Arial"/>
          <w:sz w:val="24"/>
          <w:szCs w:val="24"/>
          <w:lang w:val="en-US"/>
        </w:rPr>
        <w:t>following</w:t>
      </w:r>
      <w:r w:rsidR="00CA24FE" w:rsidRPr="00B84270">
        <w:rPr>
          <w:rFonts w:ascii="Arial" w:hAnsi="Arial" w:cs="Arial"/>
          <w:sz w:val="24"/>
          <w:szCs w:val="24"/>
          <w:lang w:val="en-US"/>
        </w:rPr>
        <w:t xml:space="preserve"> </w:t>
      </w:r>
      <w:r w:rsidR="00525C2B" w:rsidRPr="00B84270">
        <w:rPr>
          <w:rFonts w:ascii="Arial" w:hAnsi="Arial" w:cs="Arial"/>
          <w:sz w:val="24"/>
          <w:szCs w:val="24"/>
          <w:lang w:val="en-US"/>
        </w:rPr>
        <w:t>holo-Tf treatment (</w:t>
      </w:r>
      <w:r w:rsidR="00540A44" w:rsidRPr="00B84270">
        <w:rPr>
          <w:rFonts w:ascii="Arial" w:hAnsi="Arial" w:cs="Arial"/>
          <w:sz w:val="24"/>
          <w:szCs w:val="24"/>
          <w:lang w:val="en-US"/>
        </w:rPr>
        <w:t>Fig.</w:t>
      </w:r>
      <w:r w:rsidR="00074F0C" w:rsidRPr="00B84270">
        <w:rPr>
          <w:rFonts w:ascii="Arial" w:hAnsi="Arial" w:cs="Arial"/>
          <w:sz w:val="24"/>
          <w:szCs w:val="24"/>
          <w:lang w:val="en-US"/>
        </w:rPr>
        <w:t>7B</w:t>
      </w:r>
      <w:r w:rsidR="00525C2B" w:rsidRPr="00B84270">
        <w:rPr>
          <w:rFonts w:ascii="Arial" w:hAnsi="Arial" w:cs="Arial"/>
          <w:sz w:val="24"/>
          <w:szCs w:val="24"/>
          <w:lang w:val="en-US"/>
        </w:rPr>
        <w:t xml:space="preserve">) may have prevented </w:t>
      </w:r>
      <w:r w:rsidR="00525C2B" w:rsidRPr="00B84270">
        <w:rPr>
          <w:rFonts w:ascii="Arial" w:hAnsi="Arial" w:cs="Arial"/>
          <w:i/>
          <w:sz w:val="24"/>
          <w:szCs w:val="24"/>
          <w:lang w:val="en-US"/>
        </w:rPr>
        <w:t>HAMP</w:t>
      </w:r>
      <w:r w:rsidR="00525C2B" w:rsidRPr="00B84270">
        <w:rPr>
          <w:rFonts w:ascii="Arial" w:hAnsi="Arial" w:cs="Arial"/>
          <w:sz w:val="24"/>
          <w:szCs w:val="24"/>
          <w:lang w:val="en-US"/>
        </w:rPr>
        <w:t xml:space="preserve"> up-regulation in rec-TfR1 HepG2 cells (</w:t>
      </w:r>
      <w:r w:rsidR="001F40B3" w:rsidRPr="00B84270">
        <w:rPr>
          <w:rFonts w:ascii="Arial" w:hAnsi="Arial" w:cs="Arial"/>
          <w:sz w:val="24"/>
          <w:szCs w:val="24"/>
          <w:lang w:val="en-US"/>
        </w:rPr>
        <w:t>Fig.6</w:t>
      </w:r>
      <w:r w:rsidR="00535414" w:rsidRPr="00B84270">
        <w:rPr>
          <w:rFonts w:ascii="Arial" w:hAnsi="Arial" w:cs="Arial"/>
          <w:sz w:val="24"/>
          <w:szCs w:val="24"/>
          <w:lang w:val="en-US"/>
        </w:rPr>
        <w:t>A</w:t>
      </w:r>
      <w:r w:rsidR="00FB2279" w:rsidRPr="00B84270">
        <w:rPr>
          <w:rFonts w:ascii="Arial" w:hAnsi="Arial" w:cs="Arial"/>
          <w:sz w:val="24"/>
          <w:szCs w:val="24"/>
          <w:lang w:val="en-US"/>
        </w:rPr>
        <w:t xml:space="preserve">). </w:t>
      </w:r>
      <w:r w:rsidR="007662FF" w:rsidRPr="00B84270">
        <w:rPr>
          <w:rFonts w:ascii="Arial" w:hAnsi="Arial" w:cs="Arial"/>
          <w:sz w:val="24"/>
          <w:szCs w:val="24"/>
          <w:lang w:val="en-US"/>
        </w:rPr>
        <w:t>In contrast</w:t>
      </w:r>
      <w:r w:rsidR="00A01AEC" w:rsidRPr="00B84270">
        <w:rPr>
          <w:rFonts w:ascii="Arial" w:hAnsi="Arial" w:cs="Arial"/>
          <w:sz w:val="24"/>
          <w:szCs w:val="24"/>
          <w:lang w:val="en-US"/>
        </w:rPr>
        <w:t xml:space="preserve">, </w:t>
      </w:r>
      <w:r w:rsidR="00525C2B" w:rsidRPr="00B84270">
        <w:rPr>
          <w:rFonts w:ascii="Arial" w:hAnsi="Arial" w:cs="Arial"/>
          <w:sz w:val="24"/>
          <w:szCs w:val="24"/>
          <w:lang w:val="en-US"/>
        </w:rPr>
        <w:t xml:space="preserve">the </w:t>
      </w:r>
      <w:r w:rsidR="00FD4846" w:rsidRPr="00B84270">
        <w:rPr>
          <w:rFonts w:ascii="Arial" w:hAnsi="Arial" w:cs="Arial"/>
          <w:sz w:val="24"/>
          <w:szCs w:val="24"/>
          <w:lang w:val="en-US"/>
        </w:rPr>
        <w:t>Wt cells</w:t>
      </w:r>
      <w:r w:rsidR="007662FF" w:rsidRPr="00B84270">
        <w:rPr>
          <w:rFonts w:ascii="Arial" w:hAnsi="Arial" w:cs="Arial"/>
          <w:sz w:val="24"/>
          <w:szCs w:val="24"/>
          <w:lang w:val="en-US"/>
        </w:rPr>
        <w:t xml:space="preserve"> </w:t>
      </w:r>
      <w:r w:rsidR="00525C2B" w:rsidRPr="00B84270">
        <w:rPr>
          <w:rFonts w:ascii="Arial" w:hAnsi="Arial" w:cs="Arial"/>
          <w:sz w:val="24"/>
          <w:szCs w:val="24"/>
          <w:lang w:val="en-US"/>
        </w:rPr>
        <w:t xml:space="preserve">showed significantly elevated </w:t>
      </w:r>
      <w:r w:rsidR="00525C2B" w:rsidRPr="00B84270">
        <w:rPr>
          <w:rFonts w:ascii="Arial" w:hAnsi="Arial" w:cs="Arial"/>
          <w:i/>
          <w:sz w:val="24"/>
          <w:szCs w:val="24"/>
          <w:lang w:val="en-US"/>
        </w:rPr>
        <w:t>TFR2</w:t>
      </w:r>
      <w:r w:rsidR="00525C2B" w:rsidRPr="00B84270">
        <w:rPr>
          <w:rFonts w:ascii="Arial" w:hAnsi="Arial" w:cs="Arial"/>
          <w:sz w:val="24"/>
          <w:szCs w:val="24"/>
          <w:lang w:val="en-US"/>
        </w:rPr>
        <w:t xml:space="preserve"> mRNA responses at 30 min and 4 h (</w:t>
      </w:r>
      <w:r w:rsidR="00540A44" w:rsidRPr="00B84270">
        <w:rPr>
          <w:rFonts w:ascii="Arial" w:hAnsi="Arial" w:cs="Arial"/>
          <w:sz w:val="24"/>
          <w:szCs w:val="24"/>
          <w:lang w:val="en-US"/>
        </w:rPr>
        <w:t>Fig.</w:t>
      </w:r>
      <w:r w:rsidR="00074F0C" w:rsidRPr="00B84270">
        <w:rPr>
          <w:rFonts w:ascii="Arial" w:hAnsi="Arial" w:cs="Arial"/>
          <w:sz w:val="24"/>
          <w:szCs w:val="24"/>
          <w:lang w:val="en-US"/>
        </w:rPr>
        <w:t>7B</w:t>
      </w:r>
      <w:r w:rsidR="00525C2B" w:rsidRPr="00B84270">
        <w:rPr>
          <w:rFonts w:ascii="Arial" w:hAnsi="Arial" w:cs="Arial"/>
          <w:sz w:val="24"/>
          <w:szCs w:val="24"/>
          <w:lang w:val="en-US"/>
        </w:rPr>
        <w:t xml:space="preserve">) that matched the pattern of </w:t>
      </w:r>
      <w:r w:rsidR="00525C2B" w:rsidRPr="00B84270">
        <w:rPr>
          <w:rFonts w:ascii="Arial" w:hAnsi="Arial" w:cs="Arial"/>
          <w:i/>
          <w:sz w:val="24"/>
          <w:szCs w:val="24"/>
          <w:lang w:val="en-US"/>
        </w:rPr>
        <w:t>HAMP</w:t>
      </w:r>
      <w:r w:rsidR="00525C2B" w:rsidRPr="00B84270">
        <w:rPr>
          <w:rFonts w:ascii="Arial" w:hAnsi="Arial" w:cs="Arial"/>
          <w:sz w:val="24"/>
          <w:szCs w:val="24"/>
          <w:lang w:val="en-US"/>
        </w:rPr>
        <w:t xml:space="preserve"> mRNA expression in these cells (</w:t>
      </w:r>
      <w:r w:rsidR="001F40B3" w:rsidRPr="00B84270">
        <w:rPr>
          <w:rFonts w:ascii="Arial" w:hAnsi="Arial" w:cs="Arial"/>
          <w:sz w:val="24"/>
          <w:szCs w:val="24"/>
          <w:lang w:val="en-US"/>
        </w:rPr>
        <w:t>Fig.6</w:t>
      </w:r>
      <w:r w:rsidR="00535414" w:rsidRPr="00B84270">
        <w:rPr>
          <w:rFonts w:ascii="Arial" w:hAnsi="Arial" w:cs="Arial"/>
          <w:sz w:val="24"/>
          <w:szCs w:val="24"/>
          <w:lang w:val="en-US"/>
        </w:rPr>
        <w:t>A</w:t>
      </w:r>
      <w:r w:rsidR="00FC2FED" w:rsidRPr="00B84270">
        <w:rPr>
          <w:rFonts w:ascii="Arial" w:hAnsi="Arial" w:cs="Arial"/>
          <w:sz w:val="24"/>
          <w:szCs w:val="24"/>
          <w:lang w:val="en-US"/>
        </w:rPr>
        <w:t xml:space="preserve">). </w:t>
      </w:r>
      <w:r w:rsidR="008D5128" w:rsidRPr="00B84270">
        <w:rPr>
          <w:rFonts w:ascii="Arial" w:hAnsi="Arial" w:cs="Arial"/>
          <w:sz w:val="24"/>
          <w:szCs w:val="24"/>
          <w:lang w:val="en-US"/>
        </w:rPr>
        <w:t>T</w:t>
      </w:r>
      <w:r w:rsidR="00FC2FED" w:rsidRPr="00B84270">
        <w:rPr>
          <w:rFonts w:ascii="Arial" w:hAnsi="Arial" w:cs="Arial"/>
          <w:sz w:val="24"/>
          <w:szCs w:val="24"/>
          <w:lang w:val="en-US"/>
        </w:rPr>
        <w:t xml:space="preserve">his </w:t>
      </w:r>
      <w:r w:rsidR="00DE470D" w:rsidRPr="00B84270">
        <w:rPr>
          <w:rFonts w:ascii="Arial" w:hAnsi="Arial" w:cs="Arial"/>
          <w:sz w:val="24"/>
          <w:szCs w:val="24"/>
          <w:lang w:val="en-US"/>
        </w:rPr>
        <w:t>reemphasizes</w:t>
      </w:r>
      <w:r w:rsidR="00FC2FED" w:rsidRPr="00B84270">
        <w:rPr>
          <w:rFonts w:ascii="Arial" w:hAnsi="Arial" w:cs="Arial"/>
          <w:sz w:val="24"/>
          <w:szCs w:val="24"/>
          <w:lang w:val="en-US"/>
        </w:rPr>
        <w:t xml:space="preserve"> and supports </w:t>
      </w:r>
      <w:r w:rsidR="00525C2B" w:rsidRPr="00B84270">
        <w:rPr>
          <w:rFonts w:ascii="Arial" w:hAnsi="Arial" w:cs="Arial"/>
          <w:sz w:val="24"/>
          <w:szCs w:val="24"/>
          <w:lang w:val="en-US"/>
        </w:rPr>
        <w:t xml:space="preserve">the role of </w:t>
      </w:r>
      <w:r w:rsidR="006C0B37" w:rsidRPr="00B84270">
        <w:rPr>
          <w:rFonts w:ascii="Arial" w:hAnsi="Arial" w:cs="Arial"/>
          <w:sz w:val="24"/>
          <w:szCs w:val="24"/>
          <w:lang w:val="en-US"/>
        </w:rPr>
        <w:t>TFR2</w:t>
      </w:r>
      <w:r w:rsidR="00525C2B" w:rsidRPr="00B84270">
        <w:rPr>
          <w:rFonts w:ascii="Arial" w:hAnsi="Arial" w:cs="Arial"/>
          <w:sz w:val="24"/>
          <w:szCs w:val="24"/>
          <w:lang w:val="en-US"/>
        </w:rPr>
        <w:t xml:space="preserve"> in modulating </w:t>
      </w:r>
      <w:r w:rsidR="00525C2B" w:rsidRPr="00B84270">
        <w:rPr>
          <w:rFonts w:ascii="Arial" w:hAnsi="Arial" w:cs="Arial"/>
          <w:i/>
          <w:sz w:val="24"/>
          <w:szCs w:val="24"/>
          <w:lang w:val="en-US"/>
        </w:rPr>
        <w:t xml:space="preserve">HAMP </w:t>
      </w:r>
      <w:r w:rsidR="00A01AEC" w:rsidRPr="00B84270">
        <w:rPr>
          <w:rFonts w:ascii="Arial" w:hAnsi="Arial" w:cs="Arial"/>
          <w:sz w:val="24"/>
          <w:szCs w:val="24"/>
          <w:lang w:val="en-US"/>
        </w:rPr>
        <w:t xml:space="preserve">induction following </w:t>
      </w:r>
      <w:r w:rsidR="00525C2B" w:rsidRPr="00B84270">
        <w:rPr>
          <w:rFonts w:ascii="Arial" w:hAnsi="Arial" w:cs="Arial"/>
          <w:sz w:val="24"/>
          <w:szCs w:val="24"/>
          <w:lang w:val="en-US"/>
        </w:rPr>
        <w:t>holo-Tf stimulus</w:t>
      </w:r>
      <w:r w:rsidR="002F4B37" w:rsidRPr="00B84270">
        <w:rPr>
          <w:rFonts w:ascii="Arial" w:hAnsi="Arial" w:cs="Arial"/>
          <w:sz w:val="24"/>
          <w:szCs w:val="24"/>
          <w:lang w:val="en-US"/>
        </w:rPr>
        <w:t xml:space="preserve"> </w:t>
      </w:r>
      <w:r w:rsidR="00614C46" w:rsidRPr="00B84270">
        <w:rPr>
          <w:rFonts w:ascii="Arial" w:hAnsi="Arial" w:cs="Arial"/>
          <w:sz w:val="24"/>
          <w:szCs w:val="24"/>
          <w:lang w:val="en-US"/>
        </w:rPr>
        <w:fldChar w:fldCharType="begin"/>
      </w:r>
      <w:r w:rsidR="000A09BE" w:rsidRPr="00B84270">
        <w:rPr>
          <w:rFonts w:ascii="Arial" w:hAnsi="Arial" w:cs="Arial"/>
          <w:sz w:val="24"/>
          <w:szCs w:val="24"/>
          <w:lang w:val="en-US"/>
        </w:rPr>
        <w:instrText xml:space="preserve"> ADDIN ZOTERO_ITEM CSL_CITATION {"citationID":"U7IlqKbp","properties":{"formattedCitation":"(20,44)","plainCitation":"(20,44)"},"citationItems":[{"id":166,"uris":["http://zotero.org/users/2804724/items/24U6QSPR"],"uri":["http://zotero.org/users/2804724/items/24U6QSPR"],"itemData":{"id":166,"type":"article-journal","title":"Transferrin receptor 2 is crucial for iron sensing in human hepatocytes","container-title":"American Journal of Physiology. Gastrointestinal and Liver Physiology","page":"G778-783","volume":"299","issue":"3","source":"PubMed","abstract":"Hepcidin expression in vivo is regulated in proportion to iron status (i.e., increased by iron loading and decreased in iron deficiency). However, in vitro studies with hepatoma cell lines often show an inverse relationship between iron status and hepcidin expression. Here, we investigated possible molecular mechanisms responsible for the differences in iron sensing between hepatoma cell lines and human primary hepatocytes. RNA was collected from primary human hepatocytes, and HepG2 and HuH7 hepatoma cells were treated with either transferrin-bound and non-transferrin-bound iron. Expression of hepcidin, transferrin receptor 2, HFE, and hemojuvelin were quantified by real-time PCR. Hepcidin expression was increased in primary human hepatocytes following 24-h exposure to holoferric transferrin. In contrast, hepcidin mRNA levels in hepatoma cells were decreased by transferrin. Hepcidin expression was positively correlated with transferrin receptor 2 mRNA levels in primary human hepatocytes. Compared with primary hepatocytes, transferrin receptor 2 expression was significantly lower in hepatoma cell lines; furthermore, there was no correlation between transferrin receptor 2 and hepcidin mRNA levels in either HepG2 or HuH7 cells. Taken together our data suggest that transferrin receptor 2 is a likely candidate to explain the differences in iron sensing between hepatoma cell lines and primary human hepatocytes.","DOI":"10.1152/ajpgi.00157.2010","ISSN":"1522-1547","note":"PMID: 20576915\nPMCID: PMC2950680","journalAbbreviation":"Am. J. Physiol. Gastrointest. Liver Physiol.","language":"eng","author":[{"family":"Rapisarda","given":"Chiara"},{"family":"Puppi","given":"Juliana"},{"family":"Hughes","given":"Robin D."},{"family":"Dhawan","given":"Anil"},{"family":"Farnaud","given":"Sebastien"},{"family":"Evans","given":"Robert W."},{"family":"Sharp","given":"Paul A."}],"issued":{"date-parts":[["2010",9]]},"PMID":"20576915","PMCID":"PMC2950680"}},{"id":265,"uris":["http://zotero.org/users/2804724/items/673KRTIB"],"uri":["http://zotero.org/users/2804724/items/673KRTIB"],"itemData":{"id":265,"type":"article-journal","title":"Hepcidin is decreased in TFR2 hemochromatosis","container-title":"Blood","page":"1803-1806","volume":"105","issue":"4","source":"PubMed","abstract":"The hepatic peptide hepcidin is the key regulator of iron metabolism in mammals. Recent evidence indicates that certain forms of hereditary hemochromatosis are caused by hepcidin deficiency. Juvenile hemochromatosis is associated with hepcidin or hemojuvelin mutations, and these patients have low or absent urinary hepcidin. Patients with C282Y HFE hemochromatosis also have inappropriately low hepcidin levels for the degree of iron loading. The relationship between the hemochromatosis due to transferrin receptor 2 (TFR2) mutations and hepcidin was unknown. We measured urinary hepcidin levels in 10 patients homozygous for TFR2 mutations, all with increased transferrin saturation. Urinary hepcidin was low or undetectable in 8 of 10 cases irrespective of the previous phlebotomy treatments. The only 2 cases with normal hepcidin values had concomitant inflammatory conditions. Our data indicate that TFR2 is a modulator of hepcidin production in response to iron.","DOI":"10.1182/blood-2004-08-3042","ISSN":"0006-4971","note":"PMID: 15486069","journalAbbreviation":"Blood","language":"eng","author":[{"family":"Nemeth","given":"Elizabeta"},{"family":"Roetto","given":"Antonella"},{"family":"Garozzo","given":"Giovanni"},{"family":"Ganz","given":"Tomas"},{"family":"Camaschella","given":"Clara"}],"issued":{"date-parts":[["2005",2,15]]},"PMID":"15486069"}}],"schema":"https://github.com/citation-style-language/schema/raw/master/csl-citation.json"} </w:instrText>
      </w:r>
      <w:r w:rsidR="00614C46" w:rsidRPr="00B84270">
        <w:rPr>
          <w:rFonts w:ascii="Arial" w:hAnsi="Arial" w:cs="Arial"/>
          <w:sz w:val="24"/>
          <w:szCs w:val="24"/>
          <w:lang w:val="en-US"/>
        </w:rPr>
        <w:fldChar w:fldCharType="separate"/>
      </w:r>
      <w:r w:rsidR="000A09BE" w:rsidRPr="00B84270">
        <w:rPr>
          <w:rFonts w:ascii="Arial" w:hAnsi="Arial" w:cs="Arial"/>
          <w:sz w:val="24"/>
        </w:rPr>
        <w:t>(20,44)</w:t>
      </w:r>
      <w:r w:rsidR="00614C46" w:rsidRPr="00B84270">
        <w:rPr>
          <w:rFonts w:ascii="Arial" w:hAnsi="Arial" w:cs="Arial"/>
          <w:sz w:val="24"/>
          <w:szCs w:val="24"/>
          <w:lang w:val="en-US"/>
        </w:rPr>
        <w:fldChar w:fldCharType="end"/>
      </w:r>
      <w:r w:rsidR="00525C2B" w:rsidRPr="00B84270">
        <w:rPr>
          <w:rFonts w:ascii="Arial" w:hAnsi="Arial" w:cs="Arial"/>
          <w:sz w:val="24"/>
          <w:szCs w:val="24"/>
          <w:lang w:val="en-US"/>
        </w:rPr>
        <w:t xml:space="preserve">. </w:t>
      </w:r>
    </w:p>
    <w:p w:rsidR="001C1085" w:rsidRPr="00B84270" w:rsidRDefault="001C1085" w:rsidP="001C1085">
      <w:pPr>
        <w:spacing w:after="0" w:line="360" w:lineRule="auto"/>
        <w:rPr>
          <w:rFonts w:ascii="Arial" w:hAnsi="Arial" w:cs="Arial"/>
          <w:sz w:val="24"/>
          <w:szCs w:val="24"/>
          <w:lang w:val="en-US"/>
        </w:rPr>
      </w:pPr>
    </w:p>
    <w:p w:rsidR="00B763F9" w:rsidRPr="00B84270" w:rsidRDefault="001C1085" w:rsidP="00B763F9">
      <w:pPr>
        <w:spacing w:after="0" w:line="360" w:lineRule="auto"/>
        <w:rPr>
          <w:rFonts w:ascii="Arial" w:hAnsi="Arial" w:cs="Arial"/>
          <w:b/>
          <w:sz w:val="24"/>
          <w:szCs w:val="24"/>
          <w:lang w:val="en-US"/>
        </w:rPr>
      </w:pPr>
      <w:r w:rsidRPr="00B84270">
        <w:rPr>
          <w:rFonts w:ascii="Arial" w:hAnsi="Arial" w:cs="Arial"/>
          <w:sz w:val="24"/>
          <w:szCs w:val="24"/>
          <w:lang w:val="en-US"/>
        </w:rPr>
        <w:t xml:space="preserve">Unlike </w:t>
      </w:r>
      <w:proofErr w:type="spellStart"/>
      <w:r w:rsidRPr="00B84270">
        <w:rPr>
          <w:rFonts w:ascii="Arial" w:hAnsi="Arial" w:cs="Arial"/>
          <w:sz w:val="24"/>
          <w:szCs w:val="24"/>
          <w:lang w:val="en-US"/>
        </w:rPr>
        <w:t>Tf</w:t>
      </w:r>
      <w:proofErr w:type="spellEnd"/>
      <w:r w:rsidRPr="00B84270">
        <w:rPr>
          <w:rFonts w:ascii="Arial" w:hAnsi="Arial" w:cs="Arial"/>
          <w:sz w:val="24"/>
          <w:szCs w:val="24"/>
          <w:lang w:val="en-US"/>
        </w:rPr>
        <w:t xml:space="preserve">, which is known to influence hepcidin expression </w:t>
      </w:r>
      <w:r w:rsidR="00614C46" w:rsidRPr="00B84270">
        <w:rPr>
          <w:rFonts w:ascii="Arial" w:hAnsi="Arial" w:cs="Arial"/>
          <w:sz w:val="24"/>
          <w:szCs w:val="24"/>
          <w:lang w:val="en-US"/>
        </w:rPr>
        <w:fldChar w:fldCharType="begin"/>
      </w:r>
      <w:r w:rsidR="00711EE3" w:rsidRPr="00B84270">
        <w:rPr>
          <w:rFonts w:ascii="Arial" w:hAnsi="Arial" w:cs="Arial"/>
          <w:sz w:val="24"/>
          <w:szCs w:val="24"/>
          <w:lang w:val="en-US"/>
        </w:rPr>
        <w:instrText xml:space="preserve"> ADDIN ZOTERO_ITEM CSL_CITATION {"citationID":"1g6nngj6u8","properties":{"formattedCitation":"(45)","plainCitation":"(45)"},"citationItems":[{"id":151,"uris":["http://zotero.org/users/2804724/items/W7JJIWAX"],"uri":["http://zotero.org/users/2804724/items/W7JJIWAX"],"itemData":{"id":151,"type":"article-journal","title":"Transferrin is a major determinant of hepcidin expression in hypotransferrinemic mice","container-title":"Blood","page":"630-637","volume":"117","issue":"2","source":"PubMed","abstract":"As a central regulator of iron metabolism, hepcidin inhibits dietary iron absorption and macrophage iron recycling. Its expression is regulated by multiple factors including iron availability and erythropoietic activity. To investigate the role of transferrin (Tf) in the regulation of hepcidin expression by these factors in vivo, we employed the hypotransferrinemic (hpx) mouse. These Tf-deficient mice have severe microcytic anemia, tissue iron overload, and hepcidin deficiency. To determine the relationship of Tf levels and erythropoiesis to hepcidin expression, we subjected hpx mutant and control mice to a number of experimental manipulations. Treatment of hpx mice with Tf injections corrected their anemia and restored hepcidin expression. To investigate the effect of erythropoiesis on hepcidin expression, we suppressed erythropoiesis with blood transfusions or myeloablation with chemotherapeutic drugs. Transfusion of hpx animals with wild-type red blood cells led to increased hepcidin expression, while hepcidin expression in myeloablated hpx mice increased only if Tf was administered postablation. These results suggest that hepcidin expression in hpx mice is regulated both by Tf-restricted erythropoiesis and by Tf through a mechanism independent of its role in erythropoiesis.","DOI":"10.1182/blood-2010-05-287359","ISSN":"1528-0020","note":"PMID: 20956801\nPMCID: PMC3031485","journalAbbreviation":"Blood","language":"eng","author":[{"family":"Bartnikas","given":"Thomas B."},{"family":"Andrews","given":"Nancy C."},{"family":"Fleming","given":"Mark D."}],"issued":{"date-parts":[["2011",1,13]]},"PMID":"20956801","PMCID":"PMC3031485"}}],"schema":"https://github.com/citation-style-language/schema/raw/master/csl-citation.json"} </w:instrText>
      </w:r>
      <w:r w:rsidR="00614C46" w:rsidRPr="00B84270">
        <w:rPr>
          <w:rFonts w:ascii="Arial" w:hAnsi="Arial" w:cs="Arial"/>
          <w:sz w:val="24"/>
          <w:szCs w:val="24"/>
          <w:lang w:val="en-US"/>
        </w:rPr>
        <w:fldChar w:fldCharType="separate"/>
      </w:r>
      <w:r w:rsidR="00711EE3" w:rsidRPr="00B84270">
        <w:rPr>
          <w:rFonts w:ascii="Arial" w:hAnsi="Arial" w:cs="Arial"/>
          <w:sz w:val="24"/>
        </w:rPr>
        <w:t>(45)</w:t>
      </w:r>
      <w:r w:rsidR="00614C46" w:rsidRPr="00B84270">
        <w:rPr>
          <w:rFonts w:ascii="Arial" w:hAnsi="Arial" w:cs="Arial"/>
          <w:sz w:val="24"/>
          <w:szCs w:val="24"/>
          <w:lang w:val="en-US"/>
        </w:rPr>
        <w:fldChar w:fldCharType="end"/>
      </w:r>
      <w:r w:rsidRPr="00B84270">
        <w:rPr>
          <w:rFonts w:ascii="Arial" w:hAnsi="Arial" w:cs="Arial"/>
          <w:sz w:val="24"/>
          <w:szCs w:val="24"/>
          <w:lang w:val="en-US"/>
        </w:rPr>
        <w:t xml:space="preserve">, the relationship between TfR1 (membrane-bound or soluble) and hepcidin expression remains unclear. In this study, the presence of high levels of membrane-bound TfR1 on rec-TfR1 HepG2 cells did not correlate with </w:t>
      </w:r>
      <w:r w:rsidRPr="00B84270">
        <w:rPr>
          <w:rFonts w:ascii="Arial" w:hAnsi="Arial" w:cs="Arial"/>
          <w:i/>
          <w:sz w:val="24"/>
          <w:szCs w:val="24"/>
          <w:lang w:val="en-US"/>
        </w:rPr>
        <w:t>HAMP</w:t>
      </w:r>
      <w:r w:rsidRPr="00B84270">
        <w:rPr>
          <w:rFonts w:ascii="Arial" w:hAnsi="Arial" w:cs="Arial"/>
          <w:sz w:val="24"/>
          <w:szCs w:val="24"/>
          <w:lang w:val="en-US"/>
        </w:rPr>
        <w:t xml:space="preserve"> mRNA expression or secretion (Fig.2, Fig.6A and Fig.5B).</w:t>
      </w:r>
      <w:r w:rsidRPr="00B84270">
        <w:rPr>
          <w:rFonts w:ascii="Arial" w:hAnsi="Arial" w:cs="Arial"/>
          <w:b/>
          <w:sz w:val="24"/>
          <w:szCs w:val="24"/>
          <w:lang w:val="en-US"/>
        </w:rPr>
        <w:t xml:space="preserve"> </w:t>
      </w:r>
      <w:r w:rsidR="003B479E" w:rsidRPr="00B84270">
        <w:rPr>
          <w:rFonts w:ascii="Arial" w:hAnsi="Arial" w:cs="Arial"/>
          <w:sz w:val="24"/>
          <w:szCs w:val="24"/>
          <w:lang w:val="en-US"/>
        </w:rPr>
        <w:t>The high holo-Tf concentration (5 g/L) utilized provide</w:t>
      </w:r>
      <w:r w:rsidR="00712721" w:rsidRPr="00B84270">
        <w:rPr>
          <w:rFonts w:ascii="Arial" w:hAnsi="Arial" w:cs="Arial"/>
          <w:sz w:val="24"/>
          <w:szCs w:val="24"/>
          <w:lang w:val="en-US"/>
        </w:rPr>
        <w:t>d</w:t>
      </w:r>
      <w:r w:rsidR="003B479E" w:rsidRPr="00B84270">
        <w:rPr>
          <w:rFonts w:ascii="Arial" w:hAnsi="Arial" w:cs="Arial"/>
          <w:sz w:val="24"/>
          <w:szCs w:val="24"/>
          <w:lang w:val="en-US"/>
        </w:rPr>
        <w:t xml:space="preserve"> the conditions for holo-Tf –TfR1 binding to occur, as demonstrated by the excess cellular iron-uptake by the rec-TfR1 HepG2 cells (Fig.4). Following holo-Tf treatment, these cells demonstrated up to 6.6-fold higher intracellular iron content than the Wt HepG2 cells and showed increased iron-uptake over a 4</w:t>
      </w:r>
      <w:r w:rsidR="00B763F9" w:rsidRPr="00B84270">
        <w:rPr>
          <w:rFonts w:ascii="Arial" w:hAnsi="Arial" w:cs="Arial"/>
          <w:sz w:val="24"/>
          <w:szCs w:val="24"/>
          <w:lang w:val="en-US"/>
        </w:rPr>
        <w:t xml:space="preserve"> </w:t>
      </w:r>
      <w:r w:rsidR="003B479E" w:rsidRPr="00B84270">
        <w:rPr>
          <w:rFonts w:ascii="Arial" w:hAnsi="Arial" w:cs="Arial"/>
          <w:sz w:val="24"/>
          <w:szCs w:val="24"/>
          <w:lang w:val="en-US"/>
        </w:rPr>
        <w:t xml:space="preserve">h period (Fig.4). This suggests that any soluble </w:t>
      </w:r>
      <w:r w:rsidR="00601B36" w:rsidRPr="00B84270">
        <w:rPr>
          <w:rFonts w:ascii="Arial" w:hAnsi="Arial" w:cs="Arial"/>
          <w:sz w:val="24"/>
          <w:szCs w:val="24"/>
          <w:lang w:val="en-US"/>
        </w:rPr>
        <w:t xml:space="preserve">TfR1 </w:t>
      </w:r>
      <w:r w:rsidR="003B479E" w:rsidRPr="00B84270">
        <w:rPr>
          <w:rFonts w:ascii="Arial" w:hAnsi="Arial" w:cs="Arial"/>
          <w:sz w:val="24"/>
          <w:szCs w:val="24"/>
          <w:lang w:val="en-US"/>
        </w:rPr>
        <w:t>in the medium ha</w:t>
      </w:r>
      <w:r w:rsidR="00712721" w:rsidRPr="00B84270">
        <w:rPr>
          <w:rFonts w:ascii="Arial" w:hAnsi="Arial" w:cs="Arial"/>
          <w:sz w:val="24"/>
          <w:szCs w:val="24"/>
          <w:lang w:val="en-US"/>
        </w:rPr>
        <w:t>d</w:t>
      </w:r>
      <w:r w:rsidR="003B479E" w:rsidRPr="00B84270">
        <w:rPr>
          <w:rFonts w:ascii="Arial" w:hAnsi="Arial" w:cs="Arial"/>
          <w:sz w:val="24"/>
          <w:szCs w:val="24"/>
          <w:lang w:val="en-US"/>
        </w:rPr>
        <w:t xml:space="preserve"> not significantly affected the bin</w:t>
      </w:r>
      <w:r w:rsidR="008117A4" w:rsidRPr="00B84270">
        <w:rPr>
          <w:rFonts w:ascii="Arial" w:hAnsi="Arial" w:cs="Arial"/>
          <w:sz w:val="24"/>
          <w:szCs w:val="24"/>
          <w:lang w:val="en-US"/>
        </w:rPr>
        <w:t>ding of holo-Tf with TfR1, else</w:t>
      </w:r>
      <w:r w:rsidR="003B479E" w:rsidRPr="00B84270">
        <w:rPr>
          <w:rFonts w:ascii="Arial" w:hAnsi="Arial" w:cs="Arial"/>
          <w:sz w:val="24"/>
          <w:szCs w:val="24"/>
          <w:lang w:val="en-US"/>
        </w:rPr>
        <w:t xml:space="preserve"> we would not expect to see increased iron uptake </w:t>
      </w:r>
      <w:r w:rsidR="008117A4" w:rsidRPr="00B84270">
        <w:rPr>
          <w:rFonts w:ascii="Arial" w:hAnsi="Arial" w:cs="Arial"/>
          <w:sz w:val="24"/>
          <w:szCs w:val="24"/>
          <w:lang w:val="en-US"/>
        </w:rPr>
        <w:t xml:space="preserve">as observed in this study </w:t>
      </w:r>
      <w:r w:rsidR="003B479E" w:rsidRPr="00B84270">
        <w:rPr>
          <w:rFonts w:ascii="Arial" w:hAnsi="Arial" w:cs="Arial"/>
          <w:sz w:val="24"/>
          <w:szCs w:val="24"/>
          <w:lang w:val="en-US"/>
        </w:rPr>
        <w:t xml:space="preserve">over the 4 h </w:t>
      </w:r>
      <w:proofErr w:type="gramStart"/>
      <w:r w:rsidR="003B479E" w:rsidRPr="00B84270">
        <w:rPr>
          <w:rFonts w:ascii="Arial" w:hAnsi="Arial" w:cs="Arial"/>
          <w:sz w:val="24"/>
          <w:szCs w:val="24"/>
          <w:lang w:val="en-US"/>
        </w:rPr>
        <w:t>time period</w:t>
      </w:r>
      <w:proofErr w:type="gramEnd"/>
      <w:r w:rsidR="003B479E" w:rsidRPr="00B84270">
        <w:rPr>
          <w:rFonts w:ascii="Arial" w:hAnsi="Arial" w:cs="Arial"/>
          <w:sz w:val="24"/>
          <w:szCs w:val="24"/>
          <w:lang w:val="en-US"/>
        </w:rPr>
        <w:t xml:space="preserve"> (Fig.4). The binding of holo-Tf with TfR1 would also lead to potential </w:t>
      </w:r>
      <w:r w:rsidR="003B479E" w:rsidRPr="00B84270">
        <w:rPr>
          <w:rFonts w:ascii="Arial" w:hAnsi="Arial" w:cs="Arial"/>
          <w:i/>
          <w:sz w:val="24"/>
          <w:szCs w:val="24"/>
          <w:lang w:val="en-US"/>
        </w:rPr>
        <w:t>HAMP</w:t>
      </w:r>
      <w:r w:rsidR="003B479E" w:rsidRPr="00B84270">
        <w:rPr>
          <w:rFonts w:ascii="Arial" w:hAnsi="Arial" w:cs="Arial"/>
          <w:sz w:val="24"/>
          <w:szCs w:val="24"/>
          <w:lang w:val="en-US"/>
        </w:rPr>
        <w:t xml:space="preserve"> induction via the holo-Tf-TfR1 pathway. This reduce</w:t>
      </w:r>
      <w:r w:rsidR="00712721" w:rsidRPr="00B84270">
        <w:rPr>
          <w:rFonts w:ascii="Arial" w:hAnsi="Arial" w:cs="Arial"/>
          <w:sz w:val="24"/>
          <w:szCs w:val="24"/>
          <w:lang w:val="en-US"/>
        </w:rPr>
        <w:t>d</w:t>
      </w:r>
      <w:r w:rsidR="003B479E" w:rsidRPr="00B84270">
        <w:rPr>
          <w:rFonts w:ascii="Arial" w:hAnsi="Arial" w:cs="Arial"/>
          <w:sz w:val="24"/>
          <w:szCs w:val="24"/>
          <w:lang w:val="en-US"/>
        </w:rPr>
        <w:t xml:space="preserve"> the probability that the diminished </w:t>
      </w:r>
      <w:r w:rsidR="003B479E" w:rsidRPr="00B84270">
        <w:rPr>
          <w:rFonts w:ascii="Arial" w:hAnsi="Arial" w:cs="Arial"/>
          <w:i/>
          <w:sz w:val="24"/>
          <w:szCs w:val="24"/>
          <w:lang w:val="en-US"/>
        </w:rPr>
        <w:t>HAMP</w:t>
      </w:r>
      <w:r w:rsidR="003B479E" w:rsidRPr="00B84270">
        <w:rPr>
          <w:rFonts w:ascii="Arial" w:hAnsi="Arial" w:cs="Arial"/>
          <w:sz w:val="24"/>
          <w:szCs w:val="24"/>
          <w:lang w:val="en-US"/>
        </w:rPr>
        <w:t xml:space="preserve"> induction could be due to limited availability of holo-Tf, resulting from the probable binding of soluble TfR1 to holo-Tf in the medium.  Furthermore, increased circulating soluble TfR1 generally occurs in Iron Deficiency Anemia reviewed in </w:t>
      </w:r>
      <w:r w:rsidR="00614C46" w:rsidRPr="00B84270">
        <w:rPr>
          <w:rFonts w:ascii="Arial" w:hAnsi="Arial" w:cs="Arial"/>
          <w:sz w:val="24"/>
          <w:szCs w:val="24"/>
          <w:lang w:val="en-US"/>
        </w:rPr>
        <w:fldChar w:fldCharType="begin"/>
      </w:r>
      <w:r w:rsidR="00711EE3" w:rsidRPr="00B84270">
        <w:rPr>
          <w:rFonts w:ascii="Arial" w:hAnsi="Arial" w:cs="Arial"/>
          <w:sz w:val="24"/>
          <w:szCs w:val="24"/>
          <w:lang w:val="en-US"/>
        </w:rPr>
        <w:instrText xml:space="preserve"> ADDIN ZOTERO_ITEM CSL_CITATION {"citationID":"yzOPL2Jv","properties":{"formattedCitation":"(46,47)","plainCitation":"(46,47)"},"citationItems":[{"id":154,"uris":["http://zotero.org/users/2804724/items/KB9EHSSJ"],"uri":["http://zotero.org/users/2804724/items/KB9EHSSJ"],"itemData":{"id":154,"type":"article-journal","title":"Crosstalk between Iron Metabolism and Erythropoiesis","container-title":"Advances in Hematology","volume":"2010","source":"PubMed Central","abstract":"Iron metabolism and erythropoiesis are inextricably linked. The majority of iron extracted from circulation daily is used for hemoglobin synthesis. In the last 15 years, major advances have been made in understanding the pathways regulating iron metabolism. Hepcidin is a key regulator of iron absorption and recycling and is itself regulated by erythropoiesis. While several viable candidates have been proposed, elucidating the “erythroid regulator” of hepcidin continues to generate significant experimental activity in the field. Although the mechanism responsible for sensing iron demand for erythropoiesis is still incompletely understood, evaluating diseases in which disordered erythropoiesis and/or iron metabolism are showcased has resulted in a more robust appreciation of potential candidates coordinated erythroid iron demand with regulators of iron supply. We present data drawn from four different conditions—iron deficiency, congenital hypotransferrinemia, beta-thalassemia, and hereditary hemochromatosis—both in human and non-human models of disease, together suggesting that erythroid iron demand exerts a stronger influence on circulating iron supply than systemic iron stores. Greater understanding of the interplay between the key factors involved in the regulation of iron metabolism and erythropoiesis will help develop more effective therapies for disorders of iron overload, iron deficiency, and hemoglobin synthesis.","URL":"http://www.ncbi.nlm.nih.gov/pmc/articles/PMC2902017/","DOI":"10.1155/2010/605435","ISSN":"1687-9104","note":"PMID: 20631898\nPMCID: PMC2902017","journalAbbreviation":"Adv Hematol","author":[{"family":"Li","given":"Huihui"},{"family":"Ginzburg","given":"Yelena Z."}],"issued":{"date-parts":[["2010"]]},"accessed":{"date-parts":[["2016",6,9]]},"PMID":"20631898","PMCID":"PMC2902017"}},{"id":285,"uris":["http://zotero.org/users/2804724/items/96ZJWIPQ"],"uri":["http://zotero.org/users/2804724/items/96ZJWIPQ"],"itemData":{"id":285,"type":"article-journal","title":"Soluble transferrin receptor as a diagnostic laboratory test for detection of iron deficiency anemia in acute illness of hospitalized patients","container-title":"The Israel Medical Association journal: IMAJ","page":"96-98","volume":"13","issue":"2","source":"PubMed","abstract":"BACKGROUND: Many patients in the internal medicine ward have anemia. The etiology for the anemia may be multifactorial and, in the setting of inflammatory process when the ferritin is increased, it is difficult to diagnose iron deficiency anemia. Soluble transferrin receptor (sTfR) had been suggested as an indicator for iron deficiency. No study has investigated the meaning of high sTfR as the only positive marker of iron deficiency anemia (IDA) caused by gastrointestinal tract (GIT) bleeding in hospitalized patients.\nOBJECTIVES: To demonstrate the importance of high levels of sTfR as a marker for further GIT investigation in cases of anemia where the level of ferritin was normal or increased.\nMETHODS: We retrospectively assessed all patients in an internal medicine ward in our facility who had anemia, high sTfR levels (&gt; 5.0 mg/L) and normal or high ferritin levels and who underwent esophagogastroduodenoscopy and colonoscopy.\nRESULTS: Of 32 patients with anemia and normal or high ferritin levels and high sTfR, 22 patients (68%) had findings that explained IDA (in some patients more than one finding). Those findings were colonic polyps (n=9), carcinoma of colon (n=4), duodenal ulcer (n=4), carcinoma of stomach (n=3), colitis (n=3), atrophic gastritis (n=1), erosive gastritis (n=1) and angiodysplasia (n=1).\nCONCLUSIONS: High sTfR may be a good indicator of IDA caused by GIT bleeding when the ferritin level is normal or high. GIT investigation is warranted in such cases.","ISSN":"1565-1088","note":"PMID: 21443035","journalAbbreviation":"Isr. Med. Assoc. J.","language":"eng","author":[{"family":"Berlin","given":"Tatiana"},{"family":"Meyer","given":"Avraham"},{"family":"Rotman-Pikielny","given":"Pnina"},{"family":"Natur","given":"Aiman"},{"family":"Levy","given":"Yair"}],"issued":{"date-parts":[["2011",2]]},"PMID":"21443035"}}],"schema":"https://github.com/citation-style-language/schema/raw/master/csl-citation.json"} </w:instrText>
      </w:r>
      <w:r w:rsidR="00614C46" w:rsidRPr="00B84270">
        <w:rPr>
          <w:rFonts w:ascii="Arial" w:hAnsi="Arial" w:cs="Arial"/>
          <w:sz w:val="24"/>
          <w:szCs w:val="24"/>
          <w:lang w:val="en-US"/>
        </w:rPr>
        <w:fldChar w:fldCharType="separate"/>
      </w:r>
      <w:r w:rsidR="00711EE3" w:rsidRPr="00B84270">
        <w:rPr>
          <w:rFonts w:ascii="Arial" w:hAnsi="Arial" w:cs="Arial"/>
          <w:sz w:val="24"/>
        </w:rPr>
        <w:t>(46,47)</w:t>
      </w:r>
      <w:r w:rsidR="00614C46" w:rsidRPr="00B84270">
        <w:rPr>
          <w:rFonts w:ascii="Arial" w:hAnsi="Arial" w:cs="Arial"/>
          <w:sz w:val="24"/>
          <w:szCs w:val="24"/>
          <w:lang w:val="en-US"/>
        </w:rPr>
        <w:fldChar w:fldCharType="end"/>
      </w:r>
      <w:r w:rsidR="000E55C7" w:rsidRPr="00B84270">
        <w:rPr>
          <w:rFonts w:ascii="Arial" w:hAnsi="Arial" w:cs="Arial"/>
          <w:b/>
          <w:sz w:val="24"/>
          <w:szCs w:val="24"/>
          <w:lang w:val="en-US"/>
        </w:rPr>
        <w:t xml:space="preserve">. </w:t>
      </w:r>
    </w:p>
    <w:p w:rsidR="003B479E" w:rsidRPr="00B84270" w:rsidRDefault="003B479E" w:rsidP="005510CB">
      <w:pPr>
        <w:spacing w:after="0" w:line="360" w:lineRule="auto"/>
        <w:rPr>
          <w:rFonts w:ascii="Arial" w:hAnsi="Arial" w:cs="Arial"/>
          <w:sz w:val="24"/>
          <w:szCs w:val="24"/>
          <w:lang w:val="en-US"/>
        </w:rPr>
      </w:pPr>
    </w:p>
    <w:p w:rsidR="00432841" w:rsidRPr="00B84270" w:rsidRDefault="003B479E" w:rsidP="005510CB">
      <w:pPr>
        <w:spacing w:after="0" w:line="360" w:lineRule="auto"/>
        <w:rPr>
          <w:rFonts w:ascii="Arial" w:hAnsi="Arial" w:cs="Arial"/>
          <w:sz w:val="24"/>
          <w:szCs w:val="24"/>
          <w:lang w:val="en-US"/>
        </w:rPr>
      </w:pPr>
      <w:r w:rsidRPr="00B84270">
        <w:rPr>
          <w:rFonts w:ascii="Arial" w:hAnsi="Arial" w:cs="Arial"/>
          <w:sz w:val="24"/>
          <w:szCs w:val="24"/>
          <w:lang w:val="en-US"/>
        </w:rPr>
        <w:t>T</w:t>
      </w:r>
      <w:r w:rsidR="008D6F07" w:rsidRPr="00B84270">
        <w:rPr>
          <w:rFonts w:ascii="Arial" w:hAnsi="Arial" w:cs="Arial"/>
          <w:sz w:val="24"/>
          <w:szCs w:val="24"/>
          <w:lang w:val="en-US"/>
        </w:rPr>
        <w:t xml:space="preserve">he BMP/SMAD, </w:t>
      </w:r>
      <w:r w:rsidR="0060253D" w:rsidRPr="00B84270">
        <w:rPr>
          <w:rFonts w:ascii="Arial" w:hAnsi="Arial" w:cs="Arial"/>
          <w:sz w:val="24"/>
          <w:szCs w:val="24"/>
          <w:lang w:val="en-US"/>
        </w:rPr>
        <w:t>MAPK</w:t>
      </w:r>
      <w:r w:rsidR="000A42C5" w:rsidRPr="00B84270">
        <w:rPr>
          <w:rFonts w:ascii="Arial" w:hAnsi="Arial" w:cs="Arial"/>
          <w:sz w:val="24"/>
          <w:szCs w:val="24"/>
          <w:lang w:val="en-US"/>
        </w:rPr>
        <w:t xml:space="preserve">, IL6-JAK/STAT3, </w:t>
      </w:r>
      <w:r w:rsidR="008D6F07" w:rsidRPr="00B84270">
        <w:rPr>
          <w:rFonts w:ascii="Arial" w:hAnsi="Arial" w:cs="Arial"/>
          <w:sz w:val="24"/>
          <w:szCs w:val="24"/>
          <w:lang w:val="en-US"/>
        </w:rPr>
        <w:t xml:space="preserve">Matripase-2/HJV </w:t>
      </w:r>
      <w:r w:rsidR="000A42C5" w:rsidRPr="00B84270">
        <w:rPr>
          <w:rFonts w:ascii="Arial" w:hAnsi="Arial" w:cs="Arial"/>
          <w:sz w:val="24"/>
          <w:szCs w:val="24"/>
          <w:lang w:val="en-US"/>
        </w:rPr>
        <w:t xml:space="preserve">and hypoxia </w:t>
      </w:r>
      <w:r w:rsidR="0060253D" w:rsidRPr="00B84270">
        <w:rPr>
          <w:rFonts w:ascii="Arial" w:hAnsi="Arial" w:cs="Arial"/>
          <w:sz w:val="24"/>
          <w:szCs w:val="24"/>
          <w:lang w:val="en-US"/>
        </w:rPr>
        <w:t xml:space="preserve">pathways are important in regulating </w:t>
      </w:r>
      <w:r w:rsidR="0060253D" w:rsidRPr="00B84270">
        <w:rPr>
          <w:rFonts w:ascii="Arial" w:hAnsi="Arial" w:cs="Arial"/>
          <w:i/>
          <w:sz w:val="24"/>
          <w:szCs w:val="24"/>
          <w:lang w:val="en-US"/>
        </w:rPr>
        <w:t>HAMP</w:t>
      </w:r>
      <w:r w:rsidR="0060253D" w:rsidRPr="00B84270">
        <w:rPr>
          <w:rFonts w:ascii="Arial" w:hAnsi="Arial" w:cs="Arial"/>
          <w:sz w:val="24"/>
          <w:szCs w:val="24"/>
          <w:lang w:val="en-US"/>
        </w:rPr>
        <w:t xml:space="preserve"> mRNA expression</w:t>
      </w:r>
      <w:r w:rsidR="0055790C" w:rsidRPr="00B84270">
        <w:rPr>
          <w:rFonts w:ascii="Arial" w:hAnsi="Arial" w:cs="Arial"/>
          <w:sz w:val="24"/>
          <w:szCs w:val="24"/>
          <w:lang w:val="en-US"/>
        </w:rPr>
        <w:t xml:space="preserve"> </w:t>
      </w:r>
      <w:r w:rsidR="00614C46" w:rsidRPr="00B84270">
        <w:rPr>
          <w:rFonts w:ascii="Arial" w:hAnsi="Arial" w:cs="Arial"/>
          <w:sz w:val="24"/>
          <w:szCs w:val="24"/>
          <w:lang w:val="en-US"/>
        </w:rPr>
        <w:fldChar w:fldCharType="begin"/>
      </w:r>
      <w:r w:rsidR="00CF5B53" w:rsidRPr="00B84270">
        <w:rPr>
          <w:rFonts w:ascii="Arial" w:hAnsi="Arial" w:cs="Arial"/>
          <w:sz w:val="24"/>
          <w:szCs w:val="24"/>
          <w:lang w:val="en-US"/>
        </w:rPr>
        <w:instrText xml:space="preserve"> ADDIN ZOTERO_ITEM CSL_CITATION {"citationID":"S1kXLJJO","properties":{"formattedCitation":"(7,8)","plainCitation":"(7,8)"},"citationItems":[{"id":198,"uris":["http://zotero.org/users/2804724/items/NXHS8T62"],"uri":["http://zotero.org/users/2804724/items/NXHS8T62"],"itemData":{"id":198,"type":"article-journal","title":"Hereditary hemochromatosis: pathogenesis, diagnosis, and treatment","container-title":"Gastroenterology","page":"393-408, 408.e1-2","volume":"139","issue":"2","source":"PubMed","abstract":"In the late 1800s, hemochromatosis was considered an odd autoptic finding. More than a century later, it was finally recognized as a hereditary, multi-organ disorder associated with a polymorphism that is common among white people: a 845G--&gt;A change in HFE that results in C282Y in the gene product. Hemochromatosis is now a well-defined syndrome characterized by normal iron-driven erythropoiesis and the toxic accumulation of iron in parenchymal cells of liver, heart, and endocrine glands. It can be caused by mutations that affect any of the proteins that limit the entry of iron into the blood. In mice, deletion of the iron hormone hepcidin and any of 8 genes that regulate its biology, including Hfe, transferrin receptor 2 (Tfr2), and hemojuvelin (Hjv) (which all sense the accumulation of iron that hepcidin corrects) or ferroportin (Fpn) (the cellular iron exporter down-regulated by hepcidin), cause iron overload but not organ disease. In humans, loss of TfR2, HJV, and hepcidin itself or FPN mutations result in full-blown hemochromatosis. Unlike these rare instances, in white people, homozygotes for C282Y polymorphism in HFE are numerous, but they are only predisposed to hemochromatosis; complete organ disease develops in a minority, when these individuals abuse alcohol or from other unidentified modifying factors. HFE gene testing can be used to diagnose hemochromatosis, but analyses of liver histology and clinical features are still required to identify patients with rare, non-HFE forms of the disease. The role of hepcidin in the pathogenesis of hemochromatosis reveals its similarities to endocrine diseases such as diabetes and indicates new approaches to diagnosis and management of this common disorder in iron metabolism.","DOI":"10.1053/j.gastro.2010.06.013","ISSN":"1528-0012","note":"PMID: 20542038","shortTitle":"Hereditary hemochromatosis","journalAbbreviation":"Gastroenterology","language":"eng","author":[{"family":"Pietrangelo","given":"Antonello"}],"issued":{"date-parts":[["2010",8]]},"PMID":"20542038"}},{"id":127,"uris":["http://zotero.org/users/2804724/items/7QNQUB5C"],"uri":["http://zotero.org/users/2804724/items/7QNQUB5C"],"itemData":{"id":127,"type":"article-journal","title":"Hepcidin and iron regulation, 10 years later","container-title":"Blood","page":"4425-4433","volume":"117","issue":"17","source":"PubMed","abstract":"Under evolutionary pressure to counter the toxicity of iron and to maintain adequate iron supply for hemoglobin synthesis and essential metabolic functions, humans and other vertebrates have effective mechanisms to conserve iron and to regulate its concentration, storage, and distribution in tissues. The iron-regulatory hormone hepcidin, first described 10 years ago, and its receptor and iron channel ferroportin control the dietary absorption, storage, and tissue distribution of iron. Hepcidin causes ferroportin internalization and degradation, thereby decreasing iron transfer into blood plasma from the duodenum, from macrophages involved in recycling senescent erythrocytes, and from iron-storing hepatocytes. Hepcidin is feedback regulated by iron concentrations in plasma and the liver and by erythropoietic demand for iron. Genetic malfunctions affecting the hepcidin-ferroportin axis are a main cause of iron overload disorders but can also cause iron-restricted anemias. Modulation of hepcidin and ferroportin expression during infection and inflammation couples iron metabolism to host defense and decreases iron availability to invading pathogens. This response also restricts the iron supply to erythropoietic precursors and may cause or contribute to the anemia associated with infections and inflammatory disorders.","DOI":"10.1182/blood-2011-01-258467","ISSN":"1528-0020","note":"PMID: 21346250\nPMCID: PMC3099567","journalAbbreviation":"Blood","language":"eng","author":[{"family":"Ganz","given":"Tomas"}],"issued":{"date-parts":[["2011",4,28]]},"PMID":"21346250","PMCID":"PMC3099567"}}],"schema":"https://github.com/citation-style-language/schema/raw/master/csl-citation.json"} </w:instrText>
      </w:r>
      <w:r w:rsidR="00614C46" w:rsidRPr="00B84270">
        <w:rPr>
          <w:rFonts w:ascii="Arial" w:hAnsi="Arial" w:cs="Arial"/>
          <w:sz w:val="24"/>
          <w:szCs w:val="24"/>
          <w:lang w:val="en-US"/>
        </w:rPr>
        <w:fldChar w:fldCharType="separate"/>
      </w:r>
      <w:r w:rsidR="000A09BE" w:rsidRPr="00B84270">
        <w:rPr>
          <w:rFonts w:ascii="Arial" w:hAnsi="Arial" w:cs="Arial"/>
          <w:sz w:val="24"/>
        </w:rPr>
        <w:t>(7,8)</w:t>
      </w:r>
      <w:r w:rsidR="00614C46" w:rsidRPr="00B84270">
        <w:rPr>
          <w:rFonts w:ascii="Arial" w:hAnsi="Arial" w:cs="Arial"/>
          <w:sz w:val="24"/>
          <w:szCs w:val="24"/>
          <w:lang w:val="en-US"/>
        </w:rPr>
        <w:fldChar w:fldCharType="end"/>
      </w:r>
      <w:r w:rsidR="00CF5B53" w:rsidRPr="00B84270">
        <w:rPr>
          <w:rFonts w:ascii="Arial" w:hAnsi="Arial" w:cs="Arial"/>
          <w:sz w:val="24"/>
          <w:szCs w:val="24"/>
          <w:lang w:val="en-US"/>
        </w:rPr>
        <w:t xml:space="preserve"> </w:t>
      </w:r>
      <w:r w:rsidR="00540A44" w:rsidRPr="00B84270">
        <w:rPr>
          <w:rFonts w:ascii="Arial" w:hAnsi="Arial" w:cs="Arial"/>
          <w:sz w:val="24"/>
          <w:szCs w:val="24"/>
          <w:lang w:val="en-US"/>
        </w:rPr>
        <w:t xml:space="preserve">and </w:t>
      </w:r>
      <w:r w:rsidRPr="00B84270">
        <w:rPr>
          <w:rFonts w:ascii="Arial" w:hAnsi="Arial" w:cs="Arial"/>
          <w:sz w:val="24"/>
          <w:szCs w:val="24"/>
          <w:lang w:val="en-US"/>
        </w:rPr>
        <w:t>i</w:t>
      </w:r>
      <w:r w:rsidR="00432841" w:rsidRPr="00B84270">
        <w:rPr>
          <w:rFonts w:ascii="Arial" w:hAnsi="Arial" w:cs="Arial"/>
          <w:sz w:val="24"/>
          <w:szCs w:val="24"/>
          <w:lang w:val="en-US"/>
        </w:rPr>
        <w:t xml:space="preserve">nvestigation into </w:t>
      </w:r>
      <w:r w:rsidR="001844A8" w:rsidRPr="00B84270">
        <w:rPr>
          <w:rFonts w:ascii="Arial" w:hAnsi="Arial" w:cs="Arial"/>
          <w:sz w:val="24"/>
          <w:szCs w:val="24"/>
          <w:lang w:val="en-US"/>
        </w:rPr>
        <w:t xml:space="preserve">these </w:t>
      </w:r>
      <w:r w:rsidR="00432841" w:rsidRPr="00B84270">
        <w:rPr>
          <w:rFonts w:ascii="Arial" w:hAnsi="Arial" w:cs="Arial"/>
          <w:sz w:val="24"/>
          <w:szCs w:val="24"/>
          <w:lang w:val="en-US"/>
        </w:rPr>
        <w:t xml:space="preserve">pathways would certainly lead to improved insights into hepcidin signaling. </w:t>
      </w:r>
      <w:r w:rsidR="00432841" w:rsidRPr="00B84270">
        <w:rPr>
          <w:rFonts w:ascii="Arial" w:hAnsi="Arial" w:cs="Arial"/>
          <w:sz w:val="24"/>
          <w:szCs w:val="24"/>
          <w:lang w:val="en-US"/>
        </w:rPr>
        <w:lastRenderedPageBreak/>
        <w:t xml:space="preserve">However, these pathways would highlight the transcriptional regulation of hepcidin and not hepcidin peptide secretion. The latter was the focus of this study, which was based on the previously proposed role of intracellular iron in the maturation of pro-hepcidin to release the bioactive 25-mer hepcidin </w:t>
      </w:r>
      <w:r w:rsidR="00614C46" w:rsidRPr="00B84270">
        <w:rPr>
          <w:rFonts w:ascii="Arial" w:hAnsi="Arial" w:cs="Arial"/>
          <w:sz w:val="24"/>
          <w:szCs w:val="24"/>
          <w:lang w:val="en-US"/>
        </w:rPr>
        <w:fldChar w:fldCharType="begin"/>
      </w:r>
      <w:r w:rsidR="000A09BE" w:rsidRPr="00B84270">
        <w:rPr>
          <w:rFonts w:ascii="Arial" w:hAnsi="Arial" w:cs="Arial"/>
          <w:sz w:val="24"/>
          <w:szCs w:val="24"/>
          <w:lang w:val="en-US"/>
        </w:rPr>
        <w:instrText xml:space="preserve"> ADDIN ZOTERO_ITEM CSL_CITATION {"citationID":"1uv1idfbqk","properties":{"formattedCitation":"(14)","plainCitation":"(14)"},"citationItems":[{"id":158,"uris":["http://zotero.org/users/2804724/items/HSW27J7Q"],"uri":["http://zotero.org/users/2804724/items/HSW27J7Q"],"itemData":{"id":158,"type":"article-journal","title":"Identification of an iron-hepcidin complex","container-title":"The Biochemical Journal","page":"553-557","volume":"413","issue":"3","source":"PubMed","abstract":"Following its identification as a liver-expressed antimicrobial peptide, the hepcidin peptide was later shown to be a key player in iron homoeostasis. It is now proposed to be the 'iron hormone' which, by interacting with the iron transporter ferroportin, prevents further iron import into the circulatory system. This conclusion was reached using the corresponding synthetic peptide, emphasizing the functional importance of the mature 25-mer peptide, but omitting the possible functionality of its maturation. From urine-purified native hepcidin, we recently demonstrated that a proportion of the purified hepcidin had formed iron-hepcidin complexes. This interaction was investigated further by computer modelling and, based on the sequence similarity of hepcidin with metallothionein, a three-dimensional model of hepcidin, containing one atom of iron, was constructed. To characterize these complexes further, the interaction with iron was analysed using different spectroscopic methods. Monoferric hepcidin was identified by MS, as were possibly other complexes containing two and three atoms of iron respectively, although these were present only in minor amounts. UV/visible absorbance and CD studies identified the iron-binding events which were facilitated at a physiological pH. EPR spectroscopy identified the ferric state of the bound metal, and indicated that the iron-hepcidin complex shares some similarities with the rubredoxin iron-sulfur complex, suggesting the presence of Fe(3+) in a tetrahedral sulfur co-ordination. The potential roles of iron binding for hepcidin are discussed, and we propose either a regulatory function in the maturation of pro-hepcidin into active hepcidin or as the necessary link in the interaction between hepcidin and ferroportin.","DOI":"10.1042/BJ20080406","ISSN":"1470-8728","note":"PMID: 18447830","journalAbbreviation":"Biochem. J.","language":"eng","author":[{"family":"Farnaud","given":"Sébastien"},{"family":"Rapisarda","given":"Chiara"},{"family":"Bui","given":"Tam"},{"family":"Drake","given":"Alex"},{"family":"Cammack","given":"Richard"},{"family":"Evans","given":"Robert W."}],"issued":{"date-parts":[["2008",8,1]]},"PMID":"18447830"}}],"schema":"https://github.com/citation-style-language/schema/raw/master/csl-citation.json"} </w:instrText>
      </w:r>
      <w:r w:rsidR="00614C46" w:rsidRPr="00B84270">
        <w:rPr>
          <w:rFonts w:ascii="Arial" w:hAnsi="Arial" w:cs="Arial"/>
          <w:sz w:val="24"/>
          <w:szCs w:val="24"/>
          <w:lang w:val="en-US"/>
        </w:rPr>
        <w:fldChar w:fldCharType="separate"/>
      </w:r>
      <w:r w:rsidR="000A09BE" w:rsidRPr="00B84270">
        <w:rPr>
          <w:rFonts w:ascii="Arial" w:hAnsi="Arial" w:cs="Arial"/>
          <w:sz w:val="24"/>
        </w:rPr>
        <w:t>(14)</w:t>
      </w:r>
      <w:r w:rsidR="00614C46" w:rsidRPr="00B84270">
        <w:rPr>
          <w:rFonts w:ascii="Arial" w:hAnsi="Arial" w:cs="Arial"/>
          <w:sz w:val="24"/>
          <w:szCs w:val="24"/>
          <w:lang w:val="en-US"/>
        </w:rPr>
        <w:fldChar w:fldCharType="end"/>
      </w:r>
      <w:r w:rsidR="00432841" w:rsidRPr="00B84270">
        <w:rPr>
          <w:rFonts w:ascii="Arial" w:hAnsi="Arial" w:cs="Arial"/>
          <w:sz w:val="24"/>
          <w:szCs w:val="24"/>
          <w:lang w:val="en-US"/>
        </w:rPr>
        <w:t xml:space="preserve">. Accordingly, it was hypothesized that increased intracellular iron levels would cause more maturation of pro-hepcidin to secrete more hepcidin. Thus, the effect of excess intracellular iron (as in these iron-overloaded recombinant cells) on hepcidin peptide secretion was evaluated, which has not been sufficiently studied so far, rather than </w:t>
      </w:r>
      <w:r w:rsidR="00432841" w:rsidRPr="00B84270">
        <w:rPr>
          <w:rFonts w:ascii="Arial" w:hAnsi="Arial" w:cs="Arial"/>
          <w:i/>
          <w:sz w:val="24"/>
          <w:szCs w:val="24"/>
          <w:lang w:val="en-US"/>
        </w:rPr>
        <w:t>HAMP</w:t>
      </w:r>
      <w:r w:rsidR="00432841" w:rsidRPr="00B84270">
        <w:rPr>
          <w:rFonts w:ascii="Arial" w:hAnsi="Arial" w:cs="Arial"/>
          <w:sz w:val="24"/>
          <w:szCs w:val="24"/>
          <w:lang w:val="en-US"/>
        </w:rPr>
        <w:t xml:space="preserve"> mRNA regulation, which has been extensively studied. Moreover, each of these signal transduction pathways is dynamic, involves several proteins and therefore each pathway accounts for an independent study on its own. This was beyond the scope of the present study, which prioritized hepcidin peptide secretion over regulation of </w:t>
      </w:r>
      <w:r w:rsidR="00432841" w:rsidRPr="00B84270">
        <w:rPr>
          <w:rFonts w:ascii="Arial" w:hAnsi="Arial" w:cs="Arial"/>
          <w:i/>
          <w:sz w:val="24"/>
          <w:szCs w:val="24"/>
          <w:lang w:val="en-US"/>
        </w:rPr>
        <w:t>HAMP</w:t>
      </w:r>
      <w:r w:rsidR="00432841" w:rsidRPr="00B84270">
        <w:rPr>
          <w:rFonts w:ascii="Arial" w:hAnsi="Arial" w:cs="Arial"/>
          <w:sz w:val="24"/>
          <w:szCs w:val="24"/>
          <w:lang w:val="en-US"/>
        </w:rPr>
        <w:t xml:space="preserve"> transcription</w:t>
      </w:r>
      <w:r w:rsidR="00E37511" w:rsidRPr="00B84270">
        <w:rPr>
          <w:rFonts w:ascii="Arial" w:hAnsi="Arial" w:cs="Arial"/>
          <w:sz w:val="24"/>
          <w:szCs w:val="24"/>
          <w:lang w:val="en-US"/>
        </w:rPr>
        <w:t>.</w:t>
      </w:r>
    </w:p>
    <w:p w:rsidR="00B763F9" w:rsidRPr="00B84270" w:rsidRDefault="00B763F9" w:rsidP="005510CB">
      <w:pPr>
        <w:spacing w:after="0" w:line="360" w:lineRule="auto"/>
        <w:rPr>
          <w:rFonts w:ascii="Arial" w:hAnsi="Arial" w:cs="Arial"/>
          <w:sz w:val="24"/>
          <w:szCs w:val="24"/>
          <w:lang w:val="en-US"/>
        </w:rPr>
      </w:pPr>
    </w:p>
    <w:p w:rsidR="004A7FD6" w:rsidRPr="00B84270" w:rsidRDefault="006C0B37" w:rsidP="005510CB">
      <w:pPr>
        <w:spacing w:after="0" w:line="360" w:lineRule="auto"/>
        <w:rPr>
          <w:rFonts w:ascii="Arial" w:hAnsi="Arial" w:cs="Arial"/>
          <w:b/>
          <w:sz w:val="24"/>
          <w:szCs w:val="24"/>
          <w:lang w:val="en-US"/>
        </w:rPr>
      </w:pPr>
      <w:r w:rsidRPr="00B84270">
        <w:rPr>
          <w:rFonts w:ascii="Arial" w:hAnsi="Arial" w:cs="Arial"/>
          <w:b/>
          <w:i/>
          <w:sz w:val="24"/>
          <w:szCs w:val="24"/>
          <w:lang w:val="en-US"/>
        </w:rPr>
        <w:t>TFR2</w:t>
      </w:r>
      <w:r w:rsidR="00525C2B" w:rsidRPr="00B84270">
        <w:rPr>
          <w:rFonts w:ascii="Arial" w:hAnsi="Arial" w:cs="Arial"/>
          <w:b/>
          <w:sz w:val="24"/>
          <w:szCs w:val="24"/>
          <w:lang w:val="en-US"/>
        </w:rPr>
        <w:t xml:space="preserve"> and </w:t>
      </w:r>
      <w:r w:rsidR="00525C2B" w:rsidRPr="00B84270">
        <w:rPr>
          <w:rFonts w:ascii="Arial" w:hAnsi="Arial" w:cs="Arial"/>
          <w:b/>
          <w:i/>
          <w:sz w:val="24"/>
          <w:szCs w:val="24"/>
          <w:lang w:val="en-US"/>
        </w:rPr>
        <w:t>HFE</w:t>
      </w:r>
      <w:r w:rsidR="00CA24FE" w:rsidRPr="00B84270">
        <w:rPr>
          <w:rFonts w:ascii="Arial" w:hAnsi="Arial" w:cs="Arial"/>
          <w:b/>
          <w:i/>
          <w:sz w:val="24"/>
          <w:szCs w:val="24"/>
          <w:lang w:val="en-US"/>
        </w:rPr>
        <w:t xml:space="preserve"> </w:t>
      </w:r>
      <w:r w:rsidR="002B3635" w:rsidRPr="00B84270">
        <w:rPr>
          <w:rFonts w:ascii="Arial" w:hAnsi="Arial" w:cs="Arial"/>
          <w:b/>
          <w:sz w:val="24"/>
          <w:szCs w:val="24"/>
          <w:lang w:val="en-US"/>
        </w:rPr>
        <w:t xml:space="preserve">mRNA expression in recombinant cells </w:t>
      </w:r>
    </w:p>
    <w:p w:rsidR="00525C2B" w:rsidRPr="00B84270" w:rsidRDefault="00C75D98" w:rsidP="005510CB">
      <w:pPr>
        <w:spacing w:after="0" w:line="360" w:lineRule="auto"/>
        <w:rPr>
          <w:rFonts w:ascii="Arial" w:hAnsi="Arial" w:cs="Arial"/>
          <w:sz w:val="24"/>
          <w:szCs w:val="24"/>
          <w:lang w:val="en-US"/>
        </w:rPr>
      </w:pPr>
      <w:r w:rsidRPr="00B84270">
        <w:rPr>
          <w:rFonts w:ascii="Arial" w:hAnsi="Arial" w:cs="Arial"/>
          <w:sz w:val="24"/>
          <w:szCs w:val="24"/>
          <w:lang w:val="en-US"/>
        </w:rPr>
        <w:t>I</w:t>
      </w:r>
      <w:r w:rsidR="00525C2B" w:rsidRPr="00B84270">
        <w:rPr>
          <w:rFonts w:ascii="Arial" w:hAnsi="Arial" w:cs="Arial"/>
          <w:sz w:val="24"/>
          <w:szCs w:val="24"/>
          <w:lang w:val="en-US"/>
        </w:rPr>
        <w:t xml:space="preserve">n both, </w:t>
      </w:r>
      <w:r w:rsidR="004A51EF" w:rsidRPr="00B84270">
        <w:rPr>
          <w:rFonts w:ascii="Arial" w:hAnsi="Arial" w:cs="Arial"/>
          <w:sz w:val="24"/>
          <w:szCs w:val="24"/>
          <w:lang w:val="en-US"/>
        </w:rPr>
        <w:t>Wt</w:t>
      </w:r>
      <w:r w:rsidR="00AD2B7E" w:rsidRPr="00B84270">
        <w:rPr>
          <w:rFonts w:ascii="Arial" w:hAnsi="Arial" w:cs="Arial"/>
          <w:sz w:val="24"/>
          <w:szCs w:val="24"/>
          <w:lang w:val="en-US"/>
        </w:rPr>
        <w:t xml:space="preserve"> and rec-TfR1 HepG2 cells</w:t>
      </w:r>
      <w:r w:rsidR="00525C2B" w:rsidRPr="00B84270">
        <w:rPr>
          <w:rFonts w:ascii="Arial" w:hAnsi="Arial" w:cs="Arial"/>
          <w:sz w:val="24"/>
          <w:szCs w:val="24"/>
          <w:lang w:val="en-US"/>
        </w:rPr>
        <w:t xml:space="preserve">, </w:t>
      </w:r>
      <w:r w:rsidR="00525C2B" w:rsidRPr="00B84270">
        <w:rPr>
          <w:rFonts w:ascii="Arial" w:hAnsi="Arial" w:cs="Arial"/>
          <w:i/>
          <w:sz w:val="24"/>
          <w:szCs w:val="24"/>
          <w:lang w:val="en-US"/>
        </w:rPr>
        <w:t>HFE</w:t>
      </w:r>
      <w:r w:rsidR="00525C2B" w:rsidRPr="00B84270">
        <w:rPr>
          <w:rFonts w:ascii="Arial" w:hAnsi="Arial" w:cs="Arial"/>
          <w:sz w:val="24"/>
          <w:szCs w:val="24"/>
          <w:lang w:val="en-US"/>
        </w:rPr>
        <w:t xml:space="preserve"> mRNA responses to holo-Tf treatment remained unchanged </w:t>
      </w:r>
      <w:r w:rsidR="000D475A" w:rsidRPr="00B84270">
        <w:rPr>
          <w:rFonts w:ascii="Arial" w:hAnsi="Arial" w:cs="Arial"/>
          <w:sz w:val="24"/>
          <w:szCs w:val="24"/>
          <w:lang w:val="en-US"/>
        </w:rPr>
        <w:t xml:space="preserve">during short-term treatment </w:t>
      </w:r>
      <w:r w:rsidR="00E626EB" w:rsidRPr="00B84270">
        <w:rPr>
          <w:rFonts w:ascii="Arial" w:hAnsi="Arial" w:cs="Arial"/>
          <w:sz w:val="24"/>
          <w:szCs w:val="24"/>
          <w:lang w:val="en-US"/>
        </w:rPr>
        <w:t xml:space="preserve">and altered later at 24 h and 48 h </w:t>
      </w:r>
      <w:r w:rsidR="00525C2B" w:rsidRPr="00B84270">
        <w:rPr>
          <w:rFonts w:ascii="Arial" w:hAnsi="Arial" w:cs="Arial"/>
          <w:sz w:val="24"/>
          <w:szCs w:val="24"/>
          <w:lang w:val="en-US"/>
        </w:rPr>
        <w:t>(</w:t>
      </w:r>
      <w:r w:rsidR="00535414" w:rsidRPr="00B84270">
        <w:rPr>
          <w:rFonts w:ascii="Arial" w:hAnsi="Arial" w:cs="Arial"/>
          <w:sz w:val="24"/>
          <w:szCs w:val="24"/>
          <w:lang w:val="en-US"/>
        </w:rPr>
        <w:t>Fig.</w:t>
      </w:r>
      <w:r w:rsidR="00074F0C" w:rsidRPr="00B84270">
        <w:rPr>
          <w:rFonts w:ascii="Arial" w:hAnsi="Arial" w:cs="Arial"/>
          <w:sz w:val="24"/>
          <w:szCs w:val="24"/>
          <w:lang w:val="en-US"/>
        </w:rPr>
        <w:t>7A</w:t>
      </w:r>
      <w:r w:rsidR="00525C2B" w:rsidRPr="00B84270">
        <w:rPr>
          <w:rFonts w:ascii="Arial" w:hAnsi="Arial" w:cs="Arial"/>
          <w:sz w:val="24"/>
          <w:szCs w:val="24"/>
          <w:lang w:val="en-US"/>
        </w:rPr>
        <w:t xml:space="preserve">).The down-regulation in </w:t>
      </w:r>
      <w:r w:rsidR="00525C2B" w:rsidRPr="00B84270">
        <w:rPr>
          <w:rFonts w:ascii="Arial" w:hAnsi="Arial" w:cs="Arial"/>
          <w:i/>
          <w:sz w:val="24"/>
          <w:szCs w:val="24"/>
          <w:lang w:val="en-US"/>
        </w:rPr>
        <w:t>HFE</w:t>
      </w:r>
      <w:r w:rsidR="00525C2B" w:rsidRPr="00B84270">
        <w:rPr>
          <w:rFonts w:ascii="Arial" w:hAnsi="Arial" w:cs="Arial"/>
          <w:sz w:val="24"/>
          <w:szCs w:val="24"/>
          <w:lang w:val="en-US"/>
        </w:rPr>
        <w:t xml:space="preserve"> mRNA expression at 24 h in the </w:t>
      </w:r>
      <w:r w:rsidR="00FD4846" w:rsidRPr="00B84270">
        <w:rPr>
          <w:rFonts w:ascii="Arial" w:hAnsi="Arial" w:cs="Arial"/>
          <w:sz w:val="24"/>
          <w:szCs w:val="24"/>
          <w:lang w:val="en-US"/>
        </w:rPr>
        <w:t>Wt cells</w:t>
      </w:r>
      <w:r w:rsidR="007662FF" w:rsidRPr="00B84270">
        <w:rPr>
          <w:rFonts w:ascii="Arial" w:hAnsi="Arial" w:cs="Arial"/>
          <w:sz w:val="24"/>
          <w:szCs w:val="24"/>
          <w:lang w:val="en-US"/>
        </w:rPr>
        <w:t xml:space="preserve"> </w:t>
      </w:r>
      <w:r w:rsidR="00525C2B" w:rsidRPr="00B84270">
        <w:rPr>
          <w:rFonts w:ascii="Arial" w:hAnsi="Arial" w:cs="Arial"/>
          <w:sz w:val="24"/>
          <w:szCs w:val="24"/>
          <w:lang w:val="en-US"/>
        </w:rPr>
        <w:t>is similar to that observed previously upon 4.5 g/L holo-Tf treatment</w:t>
      </w:r>
      <w:r w:rsidR="005948FC" w:rsidRPr="00B84270">
        <w:rPr>
          <w:rFonts w:ascii="Arial" w:hAnsi="Arial" w:cs="Arial"/>
          <w:sz w:val="24"/>
          <w:szCs w:val="24"/>
          <w:lang w:val="en-US"/>
        </w:rPr>
        <w:t xml:space="preserve"> </w:t>
      </w:r>
      <w:r w:rsidR="00614C46" w:rsidRPr="00B84270">
        <w:rPr>
          <w:rFonts w:ascii="Arial" w:hAnsi="Arial" w:cs="Arial"/>
          <w:sz w:val="24"/>
          <w:szCs w:val="24"/>
          <w:lang w:val="en-US"/>
        </w:rPr>
        <w:fldChar w:fldCharType="begin"/>
      </w:r>
      <w:r w:rsidR="000A09BE" w:rsidRPr="00B84270">
        <w:rPr>
          <w:rFonts w:ascii="Arial" w:hAnsi="Arial" w:cs="Arial"/>
          <w:sz w:val="24"/>
          <w:szCs w:val="24"/>
          <w:lang w:val="en-US"/>
        </w:rPr>
        <w:instrText xml:space="preserve"> ADDIN ZOTERO_ITEM CSL_CITATION {"citationID":"1m998qpfp8","properties":{"formattedCitation":"(34)","plainCitation":"(34)"},"citationItems":[{"id":111,"uris":["http://zotero.org/users/2804724/items/MFEISGQW"],"uri":["http://zotero.org/users/2804724/items/MFEISGQW"],"itemData":{"id":111,"type":"article-journal","title":"Iron responses in hepatic, intestinal and macrophage/monocyte cell lines under different culture conditions","container-title":"Blood Cells, Molecules &amp; Diseases","page":"100-108","volume":"41","issue":"1","source":"PubMed","abstract":"Iron homeostasis is mainly controlled by the liver-produced hepcidin peptide, which induces the degradation of the ferroportin iron exporter and thus regulates serum iron level. Hepcidin transcription is clearly up-regulated by the pro-inflammatory cytokine IL-6 and down-regulated, in the case of iron depletion, at least via HIF transcription factors. In addition, in vivo iron overload up-regulates hepcidin, but this cannot be reproduced in cell culture or isolated hepatocytes. Here, we investigated the steady state mRNA levels of a series of genes involved in iron metabolism in hepatic HepG2, intestinal Caco-2, and monocyte/macrophage THP-1 cell lines under different iron and culture conditions. Our results showed that iron-saturated transferrin up-regulated hepcidin mRNA synthesis from HepG2 via cross-talk with macrophages or enterocyte cytokine-producing cells, whereas non-transferrin-bound iron down-regulated hepcidin, likely due to missing TfR-iron-transferrin uptake.","DOI":"10.1016/j.bcmd.2008.01.006","ISSN":"1096-0961","note":"PMID: 18321736","journalAbbreviation":"Blood Cells Mol. Dis.","language":"eng","author":[{"family":"Jacolot","given":"Sandrine"},{"family":"Férec","given":"Claude"},{"family":"Mura","given":"Catherine"}],"issued":{"date-parts":[["2008",8]]},"PMID":"18321736"}}],"schema":"https://github.com/citation-style-language/schema/raw/master/csl-citation.json"} </w:instrText>
      </w:r>
      <w:r w:rsidR="00614C46" w:rsidRPr="00B84270">
        <w:rPr>
          <w:rFonts w:ascii="Arial" w:hAnsi="Arial" w:cs="Arial"/>
          <w:sz w:val="24"/>
          <w:szCs w:val="24"/>
          <w:lang w:val="en-US"/>
        </w:rPr>
        <w:fldChar w:fldCharType="separate"/>
      </w:r>
      <w:r w:rsidR="000A09BE" w:rsidRPr="00B84270">
        <w:rPr>
          <w:rFonts w:ascii="Arial" w:hAnsi="Arial" w:cs="Arial"/>
          <w:sz w:val="24"/>
        </w:rPr>
        <w:t>(34)</w:t>
      </w:r>
      <w:r w:rsidR="00614C46" w:rsidRPr="00B84270">
        <w:rPr>
          <w:rFonts w:ascii="Arial" w:hAnsi="Arial" w:cs="Arial"/>
          <w:sz w:val="24"/>
          <w:szCs w:val="24"/>
          <w:lang w:val="en-US"/>
        </w:rPr>
        <w:fldChar w:fldCharType="end"/>
      </w:r>
      <w:r w:rsidR="00525C2B" w:rsidRPr="00B84270">
        <w:rPr>
          <w:rFonts w:ascii="Arial" w:hAnsi="Arial" w:cs="Arial"/>
          <w:sz w:val="24"/>
          <w:szCs w:val="24"/>
          <w:lang w:val="en-US"/>
        </w:rPr>
        <w:t xml:space="preserve">. Unlike the </w:t>
      </w:r>
      <w:r w:rsidR="00525C2B" w:rsidRPr="00B84270">
        <w:rPr>
          <w:rFonts w:ascii="Arial" w:hAnsi="Arial" w:cs="Arial"/>
          <w:i/>
          <w:sz w:val="24"/>
          <w:szCs w:val="24"/>
          <w:lang w:val="en-US"/>
        </w:rPr>
        <w:t xml:space="preserve">HFE </w:t>
      </w:r>
      <w:r w:rsidR="00525C2B" w:rsidRPr="00B84270">
        <w:rPr>
          <w:rFonts w:ascii="Arial" w:hAnsi="Arial" w:cs="Arial"/>
          <w:sz w:val="24"/>
          <w:szCs w:val="24"/>
          <w:lang w:val="en-US"/>
        </w:rPr>
        <w:t xml:space="preserve">mRNA responses, </w:t>
      </w:r>
      <w:r w:rsidR="00525C2B" w:rsidRPr="00B84270">
        <w:rPr>
          <w:rFonts w:ascii="Arial" w:hAnsi="Arial" w:cs="Arial"/>
          <w:i/>
          <w:sz w:val="24"/>
          <w:szCs w:val="24"/>
          <w:lang w:val="en-US"/>
        </w:rPr>
        <w:t>TFR2</w:t>
      </w:r>
      <w:r w:rsidR="00B763F9" w:rsidRPr="00B84270">
        <w:rPr>
          <w:rFonts w:ascii="Arial" w:hAnsi="Arial" w:cs="Arial"/>
          <w:sz w:val="24"/>
          <w:szCs w:val="24"/>
          <w:lang w:val="en-US"/>
        </w:rPr>
        <w:t xml:space="preserve"> </w:t>
      </w:r>
      <w:r w:rsidR="00525C2B" w:rsidRPr="00B84270">
        <w:rPr>
          <w:rFonts w:ascii="Arial" w:hAnsi="Arial" w:cs="Arial"/>
          <w:sz w:val="24"/>
          <w:szCs w:val="24"/>
          <w:lang w:val="en-US"/>
        </w:rPr>
        <w:t xml:space="preserve">mRNA responses significantly altered </w:t>
      </w:r>
      <w:r w:rsidR="000D475A" w:rsidRPr="00B84270">
        <w:rPr>
          <w:rFonts w:ascii="Arial" w:hAnsi="Arial" w:cs="Arial"/>
          <w:sz w:val="24"/>
          <w:szCs w:val="24"/>
          <w:lang w:val="en-US"/>
        </w:rPr>
        <w:t xml:space="preserve">during short-term treatment </w:t>
      </w:r>
      <w:r w:rsidR="00525C2B" w:rsidRPr="00B84270">
        <w:rPr>
          <w:rFonts w:ascii="Arial" w:hAnsi="Arial" w:cs="Arial"/>
          <w:sz w:val="24"/>
          <w:szCs w:val="24"/>
          <w:lang w:val="en-US"/>
        </w:rPr>
        <w:t xml:space="preserve">and remained unaltered </w:t>
      </w:r>
      <w:r w:rsidR="00D73926" w:rsidRPr="00B84270">
        <w:rPr>
          <w:rFonts w:ascii="Arial" w:hAnsi="Arial" w:cs="Arial"/>
          <w:sz w:val="24"/>
          <w:szCs w:val="24"/>
          <w:lang w:val="en-US"/>
        </w:rPr>
        <w:t xml:space="preserve">at 24 h and 48 h </w:t>
      </w:r>
      <w:r w:rsidR="00D65788" w:rsidRPr="00B84270">
        <w:rPr>
          <w:rFonts w:ascii="Arial" w:hAnsi="Arial" w:cs="Arial"/>
          <w:sz w:val="24"/>
          <w:szCs w:val="24"/>
          <w:lang w:val="en-US"/>
        </w:rPr>
        <w:t xml:space="preserve">in both the cell lines </w:t>
      </w:r>
      <w:r w:rsidR="00525C2B" w:rsidRPr="00B84270">
        <w:rPr>
          <w:rFonts w:ascii="Arial" w:hAnsi="Arial" w:cs="Arial"/>
          <w:sz w:val="24"/>
          <w:szCs w:val="24"/>
          <w:lang w:val="en-US"/>
        </w:rPr>
        <w:t>(</w:t>
      </w:r>
      <w:r w:rsidR="00C3654C" w:rsidRPr="00B84270">
        <w:rPr>
          <w:rFonts w:ascii="Arial" w:hAnsi="Arial" w:cs="Arial"/>
          <w:sz w:val="24"/>
          <w:szCs w:val="24"/>
          <w:lang w:val="en-US"/>
        </w:rPr>
        <w:t>Fig.</w:t>
      </w:r>
      <w:r w:rsidR="00074F0C" w:rsidRPr="00B84270">
        <w:rPr>
          <w:rFonts w:ascii="Arial" w:hAnsi="Arial" w:cs="Arial"/>
          <w:sz w:val="24"/>
          <w:szCs w:val="24"/>
          <w:lang w:val="en-US"/>
        </w:rPr>
        <w:t>7B</w:t>
      </w:r>
      <w:r w:rsidR="00525C2B" w:rsidRPr="00B84270">
        <w:rPr>
          <w:rFonts w:ascii="Arial" w:hAnsi="Arial" w:cs="Arial"/>
          <w:sz w:val="24"/>
          <w:szCs w:val="24"/>
          <w:lang w:val="en-US"/>
        </w:rPr>
        <w:t xml:space="preserve">). In the </w:t>
      </w:r>
      <w:r w:rsidR="00FD4846" w:rsidRPr="00B84270">
        <w:rPr>
          <w:rFonts w:ascii="Arial" w:hAnsi="Arial" w:cs="Arial"/>
          <w:sz w:val="24"/>
          <w:szCs w:val="24"/>
          <w:lang w:val="en-US"/>
        </w:rPr>
        <w:t>Wt cells</w:t>
      </w:r>
      <w:r w:rsidR="00525C2B" w:rsidRPr="00B84270">
        <w:rPr>
          <w:rFonts w:ascii="Arial" w:hAnsi="Arial" w:cs="Arial"/>
          <w:sz w:val="24"/>
          <w:szCs w:val="24"/>
          <w:lang w:val="en-US"/>
        </w:rPr>
        <w:t xml:space="preserve">, this was also observed in earlier studies where </w:t>
      </w:r>
      <w:r w:rsidR="00525C2B" w:rsidRPr="00B84270">
        <w:rPr>
          <w:rFonts w:ascii="Arial" w:hAnsi="Arial" w:cs="Arial"/>
          <w:i/>
          <w:sz w:val="24"/>
          <w:szCs w:val="24"/>
          <w:lang w:val="en-US"/>
        </w:rPr>
        <w:t>TFR2</w:t>
      </w:r>
      <w:r w:rsidR="00525C2B" w:rsidRPr="00B84270">
        <w:rPr>
          <w:rFonts w:ascii="Arial" w:hAnsi="Arial" w:cs="Arial"/>
          <w:sz w:val="24"/>
          <w:szCs w:val="24"/>
          <w:lang w:val="en-US"/>
        </w:rPr>
        <w:t xml:space="preserve"> mRNA expression remained unchanged after 24 h of 4 g/L holo-Tf treatment</w:t>
      </w:r>
      <w:r w:rsidR="005948FC" w:rsidRPr="00B84270">
        <w:rPr>
          <w:rFonts w:ascii="Arial" w:hAnsi="Arial" w:cs="Arial"/>
          <w:sz w:val="24"/>
          <w:szCs w:val="24"/>
          <w:lang w:val="en-US"/>
        </w:rPr>
        <w:t xml:space="preserve"> </w:t>
      </w:r>
      <w:r w:rsidR="00614C46" w:rsidRPr="00B84270">
        <w:rPr>
          <w:rFonts w:ascii="Arial" w:hAnsi="Arial" w:cs="Arial"/>
          <w:sz w:val="24"/>
          <w:szCs w:val="24"/>
          <w:lang w:val="en-US"/>
        </w:rPr>
        <w:fldChar w:fldCharType="begin"/>
      </w:r>
      <w:r w:rsidR="005948FC" w:rsidRPr="00B84270">
        <w:rPr>
          <w:rFonts w:ascii="Arial" w:hAnsi="Arial" w:cs="Arial"/>
          <w:sz w:val="24"/>
          <w:szCs w:val="24"/>
          <w:lang w:val="en-US"/>
        </w:rPr>
        <w:instrText xml:space="preserve"> ADDIN ZOTERO_ITEM CSL_CITATION {"citationID":"10v92dv450","properties":{"formattedCitation":"(20)","plainCitation":"(20)"},"citationItems":[{"id":166,"uris":["http://zotero.org/users/2804724/items/24U6QSPR"],"uri":["http://zotero.org/users/2804724/items/24U6QSPR"],"itemData":{"id":166,"type":"article-journal","title":"Transferrin receptor 2 is crucial for iron sensing in human hepatocytes","container-title":"American Journal of Physiology. Gastrointestinal and Liver Physiology","page":"G778-783","volume":"299","issue":"3","source":"PubMed","abstract":"Hepcidin expression in vivo is regulated in proportion to iron status (i.e., increased by iron loading and decreased in iron deficiency). However, in vitro studies with hepatoma cell lines often show an inverse relationship between iron status and hepcidin expression. Here, we investigated possible molecular mechanisms responsible for the differences in iron sensing between hepatoma cell lines and human primary hepatocytes. RNA was collected from primary human hepatocytes, and HepG2 and HuH7 hepatoma cells were treated with either transferrin-bound and non-transferrin-bound iron. Expression of hepcidin, transferrin receptor 2, HFE, and hemojuvelin were quantified by real-time PCR. Hepcidin expression was increased in primary human hepatocytes following 24-h exposure to holoferric transferrin. In contrast, hepcidin mRNA levels in hepatoma cells were decreased by transferrin. Hepcidin expression was positively correlated with transferrin receptor 2 mRNA levels in primary human hepatocytes. Compared with primary hepatocytes, transferrin receptor 2 expression was significantly lower in hepatoma cell lines; furthermore, there was no correlation between transferrin receptor 2 and hepcidin mRNA levels in either HepG2 or HuH7 cells. Taken together our data suggest that transferrin receptor 2 is a likely candidate to explain the differences in iron sensing between hepatoma cell lines and primary human hepatocytes.","DOI":"10.1152/ajpgi.00157.2010","ISSN":"1522-1547","note":"PMID: 20576915\nPMCID: PMC2950680","journalAbbreviation":"Am. J. Physiol. Gastrointest. Liver Physiol.","language":"eng","author":[{"family":"Rapisarda","given":"Chiara"},{"family":"Puppi","given":"Juliana"},{"family":"Hughes","given":"Robin D."},{"family":"Dhawan","given":"Anil"},{"family":"Farnaud","given":"Sebastien"},{"family":"Evans","given":"Robert W."},{"family":"Sharp","given":"Paul A."}],"issued":{"date-parts":[["2010",9]]},"PMID":"20576915","PMCID":"PMC2950680"}}],"schema":"https://github.com/citation-style-language/schema/raw/master/csl-citation.json"} </w:instrText>
      </w:r>
      <w:r w:rsidR="00614C46" w:rsidRPr="00B84270">
        <w:rPr>
          <w:rFonts w:ascii="Arial" w:hAnsi="Arial" w:cs="Arial"/>
          <w:sz w:val="24"/>
          <w:szCs w:val="24"/>
          <w:lang w:val="en-US"/>
        </w:rPr>
        <w:fldChar w:fldCharType="separate"/>
      </w:r>
      <w:r w:rsidR="000A09BE" w:rsidRPr="00B84270">
        <w:rPr>
          <w:rFonts w:ascii="Arial" w:hAnsi="Arial" w:cs="Arial"/>
          <w:sz w:val="24"/>
        </w:rPr>
        <w:t>(20)</w:t>
      </w:r>
      <w:r w:rsidR="00614C46" w:rsidRPr="00B84270">
        <w:rPr>
          <w:rFonts w:ascii="Arial" w:hAnsi="Arial" w:cs="Arial"/>
          <w:sz w:val="24"/>
          <w:szCs w:val="24"/>
          <w:lang w:val="en-US"/>
        </w:rPr>
        <w:fldChar w:fldCharType="end"/>
      </w:r>
      <w:r w:rsidR="00525C2B" w:rsidRPr="00B84270">
        <w:rPr>
          <w:rFonts w:ascii="Arial" w:hAnsi="Arial" w:cs="Arial"/>
          <w:sz w:val="24"/>
          <w:szCs w:val="24"/>
          <w:lang w:val="en-US"/>
        </w:rPr>
        <w:t xml:space="preserve">. Together, the data suggests that </w:t>
      </w:r>
      <w:r w:rsidR="006C0B37" w:rsidRPr="00B84270">
        <w:rPr>
          <w:rFonts w:ascii="Arial" w:hAnsi="Arial" w:cs="Arial"/>
          <w:sz w:val="24"/>
          <w:szCs w:val="24"/>
          <w:lang w:val="en-US"/>
        </w:rPr>
        <w:t>TFR2</w:t>
      </w:r>
      <w:r w:rsidR="00525C2B" w:rsidRPr="00B84270">
        <w:rPr>
          <w:rFonts w:ascii="Arial" w:hAnsi="Arial" w:cs="Arial"/>
          <w:sz w:val="24"/>
          <w:szCs w:val="24"/>
          <w:lang w:val="en-US"/>
        </w:rPr>
        <w:t xml:space="preserve"> may act prior to HFE in iron and hepcidin regulation, as also proposed earlier </w:t>
      </w:r>
      <w:r w:rsidR="00614C46" w:rsidRPr="00B84270">
        <w:rPr>
          <w:rFonts w:ascii="Arial" w:hAnsi="Arial" w:cs="Arial"/>
          <w:sz w:val="24"/>
          <w:szCs w:val="24"/>
          <w:lang w:val="en-US"/>
        </w:rPr>
        <w:fldChar w:fldCharType="begin">
          <w:fldData xml:space="preserve">PEVuZE5vdGU+PENpdGU+PEF1dGhvcj5SYXBpc2FyZGE8L0F1dGhvcj48WWVhcj4yMDEwPC9ZZWFy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</w:fldData>
        </w:fldChar>
      </w:r>
      <w:r w:rsidR="00FD6A35" w:rsidRPr="00B84270">
        <w:rPr>
          <w:rFonts w:ascii="Arial" w:hAnsi="Arial" w:cs="Arial"/>
          <w:sz w:val="24"/>
          <w:szCs w:val="24"/>
          <w:lang w:val="en-US"/>
        </w:rPr>
        <w:instrText xml:space="preserve"> ADDIN EN.CITE </w:instrText>
      </w:r>
      <w:r w:rsidR="00614C46" w:rsidRPr="00B84270">
        <w:rPr>
          <w:rFonts w:ascii="Arial" w:hAnsi="Arial" w:cs="Arial"/>
          <w:sz w:val="24"/>
          <w:szCs w:val="24"/>
          <w:lang w:val="en-US"/>
        </w:rPr>
        <w:fldChar w:fldCharType="begin">
          <w:fldData xml:space="preserve">PEVuZE5vdGU+PENpdGU+PEF1dGhvcj5SYXBpc2FyZGE8L0F1dGhvcj48WWVhcj4yMDEwPC9ZZWFy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</w:fldData>
        </w:fldChar>
      </w:r>
      <w:r w:rsidR="00FD6A35" w:rsidRPr="00B84270">
        <w:rPr>
          <w:rFonts w:ascii="Arial" w:hAnsi="Arial" w:cs="Arial"/>
          <w:sz w:val="24"/>
          <w:szCs w:val="24"/>
          <w:lang w:val="en-US"/>
        </w:rPr>
        <w:instrText xml:space="preserve"> ADDIN EN.CITE.DATA </w:instrText>
      </w:r>
      <w:r w:rsidR="00614C46" w:rsidRPr="00B84270">
        <w:rPr>
          <w:rFonts w:ascii="Arial" w:hAnsi="Arial" w:cs="Arial"/>
          <w:sz w:val="24"/>
          <w:szCs w:val="24"/>
          <w:lang w:val="en-US"/>
        </w:rPr>
      </w:r>
      <w:r w:rsidR="00614C46" w:rsidRPr="00B84270">
        <w:rPr>
          <w:rFonts w:ascii="Arial" w:hAnsi="Arial" w:cs="Arial"/>
          <w:sz w:val="24"/>
          <w:szCs w:val="24"/>
          <w:lang w:val="en-US"/>
        </w:rPr>
        <w:fldChar w:fldCharType="end"/>
      </w:r>
      <w:r w:rsidR="00614C46" w:rsidRPr="00B84270">
        <w:rPr>
          <w:rFonts w:ascii="Arial" w:hAnsi="Arial" w:cs="Arial"/>
          <w:sz w:val="24"/>
          <w:szCs w:val="24"/>
          <w:lang w:val="en-US"/>
        </w:rPr>
      </w:r>
      <w:r w:rsidR="00614C46" w:rsidRPr="00B84270">
        <w:rPr>
          <w:rFonts w:ascii="Arial" w:hAnsi="Arial" w:cs="Arial"/>
          <w:sz w:val="24"/>
          <w:szCs w:val="24"/>
          <w:lang w:val="en-US"/>
        </w:rPr>
        <w:fldChar w:fldCharType="end"/>
      </w:r>
      <w:r w:rsidR="00614C46" w:rsidRPr="00B84270">
        <w:rPr>
          <w:rFonts w:ascii="Arial" w:hAnsi="Arial" w:cs="Arial"/>
          <w:sz w:val="24"/>
          <w:szCs w:val="24"/>
          <w:lang w:val="en-US"/>
        </w:rPr>
        <w:fldChar w:fldCharType="begin"/>
      </w:r>
      <w:r w:rsidR="000A09BE" w:rsidRPr="00B84270">
        <w:rPr>
          <w:rFonts w:ascii="Arial" w:hAnsi="Arial" w:cs="Arial"/>
          <w:sz w:val="24"/>
          <w:szCs w:val="24"/>
          <w:lang w:val="en-US"/>
        </w:rPr>
        <w:instrText xml:space="preserve"> ADDIN ZOTERO_ITEM CSL_CITATION {"citationID":"yIFEtuRn","properties":{"formattedCitation":"(20,38)","plainCitation":"(20,38)"},"citationItems":[{"id":166,"uris":["http://zotero.org/users/2804724/items/24U6QSPR"],"uri":["http://zotero.org/users/2804724/items/24U6QSPR"],"itemData":{"id":166,"type":"article-journal","title":"Transferrin receptor 2 is crucial for iron sensing in human hepatocytes","container-title":"American Journal of Physiology. Gastrointestinal and Liver Physiology","page":"G778-783","volume":"299","issue":"3","source":"PubMed","abstract":"Hepcidin expression in vivo is regulated in proportion to iron status (i.e., increased by iron loading and decreased in iron deficiency). However, in vitro studies with hepatoma cell lines often show an inverse relationship between iron status and hepcidin expression. Here, we investigated possible molecular mechanisms responsible for the differences in iron sensing between hepatoma cell lines and human primary hepatocytes. RNA was collected from primary human hepatocytes, and HepG2 and HuH7 hepatoma cells were treated with either transferrin-bound and non-transferrin-bound iron. Expression of hepcidin, transferrin receptor 2, HFE, and hemojuvelin were quantified by real-time PCR. Hepcidin expression was increased in primary human hepatocytes following 24-h exposure to holoferric transferrin. In contrast, hepcidin mRNA levels in hepatoma cells were decreased by transferrin. Hepcidin expression was positively correlated with transferrin receptor 2 mRNA levels in primary human hepatocytes. Compared with primary hepatocytes, transferrin receptor 2 expression was significantly lower in hepatoma cell lines; furthermore, there was no correlation between transferrin receptor 2 and hepcidin mRNA levels in either HepG2 or HuH7 cells. Taken together our data suggest that transferrin receptor 2 is a likely candidate to explain the differences in iron sensing between hepatoma cell lines and primary human hepatocytes.","DOI":"10.1152/ajpgi.00157.2010","ISSN":"1522-1547","note":"PMID: 20576915\nPMCID: PMC2950680","journalAbbreviation":"Am. J. Physiol. Gastrointest. Liver Physiol.","language":"eng","author":[{"family":"Rapisarda","given":"Chiara"},{"family":"Puppi","given":"Juliana"},{"family":"Hughes","given":"Robin D."},{"family":"Dhawan","given":"Anil"},{"family":"Farnaud","given":"Sebastien"},{"family":"Evans","given":"Robert W."},{"family":"Sharp","given":"Paul A."}],"issued":{"date-parts":[["2010",9]]},"PMID":"20576915","PMCID":"PMC2950680"}},{"id":251,"uris":["http://zotero.org/users/2804724/items/PZTKT96S"],"uri":["http://zotero.org/users/2804724/items/PZTKT96S"],"itemData":{"id":251,"type":"article-journal","title":"A time course of hepcidin response to iron challenge in patients with HFE and TFR2 hemochromatosis","container-title":"Haematologica","page":"500-506","volume":"96","issue":"4","source":"PubMed","abstract":"BACKGROUND: Inadequate hepcidin production leads to iron overload in nearly all types of hemochromatosis. We explored the acute response of hepcidin to iron challenge in 25 patients with HFE-hemochromatosis, in two with TFR2-hemochromatosis and in 13 controls. Sixteen patients (10 C282Y/C282Y homozygotes, 6 C282Y/H63D compound heterozygotes) had increased iron stores, while nine (6 C282Y/C282Y homozygotes, 3 C282Y/H63D compound heterozygotes) were studied after phlebotomy-induced normalization of iron stores.\nDESIGN AND METHODS: We analyzed serum iron, transferrin saturation, and serum hepcidin by both enzyme-linked immunosorbent assay and mass-spectrometry at baseline, and 4, 8, 12 and 24 hours after a single 65-mg dose of oral iron.\nRESULTS: Serum iron and transferrin saturation significantly increased at 4 hours and returned to baseline values at 8-12 hours in all groups, except in the iron-normalized patients who showed the highest and longest increase of both parameters. The level of hepcidin increased significantly at 4 hours and returned to baseline at 24 hours in controls and in the C282Y/H63D compound heterozygotes at diagnosis. The hepcidin response was smaller in C282Y-homozygotes than in controls, barely detectable in the patients with iron-depleted HFE-hemochromatosis and absent in those with TFR2-hemochromatosis. Conclusions Our results are consistent with a scenario in which TFR2 plays a prominent and HFE a contributory role in the hepcidin response to a dose of oral iron. In iron-normalized patients with HFE hemochromatosis, both the low baseline hepcidin level and the weak response to iron contribute to hyperabsorption of iron.","DOI":"10.3324/haematol.2010.033449","ISSN":"1592-8721","note":"PMID: 21173098\nPMCID: PMC3069225","journalAbbreviation":"Haematologica","language":"eng","author":[{"family":"Girelli","given":"Domenico"},{"family":"Trombini","given":"Paola"},{"family":"Busti","given":"Fabiana"},{"family":"Campostrini","given":"Natascia"},{"family":"Sandri","given":"Marco"},{"family":"Pelucchi","given":"Sara"},{"family":"Westerman","given":"Mark"},{"family":"Ganz","given":"Tomas"},{"family":"Nemeth","given":"Elizabeta"},{"family":"Piperno","given":"Alberto"},{"family":"Camaschella","given":"Clara"}],"issued":{"date-parts":[["2011",4]]},"PMID":"21173098","PMCID":"PMC3069225"}}],"schema":"https://github.com/citation-style-language/schema/raw/master/csl-citation.json"} </w:instrText>
      </w:r>
      <w:r w:rsidR="00614C46" w:rsidRPr="00B84270">
        <w:rPr>
          <w:rFonts w:ascii="Arial" w:hAnsi="Arial" w:cs="Arial"/>
          <w:sz w:val="24"/>
          <w:szCs w:val="24"/>
          <w:lang w:val="en-US"/>
        </w:rPr>
        <w:fldChar w:fldCharType="separate"/>
      </w:r>
      <w:r w:rsidR="000A09BE" w:rsidRPr="00B84270">
        <w:rPr>
          <w:rFonts w:ascii="Arial" w:hAnsi="Arial" w:cs="Arial"/>
          <w:sz w:val="24"/>
        </w:rPr>
        <w:t>(20,38)</w:t>
      </w:r>
      <w:r w:rsidR="00614C46" w:rsidRPr="00B84270">
        <w:rPr>
          <w:rFonts w:ascii="Arial" w:hAnsi="Arial" w:cs="Arial"/>
          <w:sz w:val="24"/>
          <w:szCs w:val="24"/>
          <w:lang w:val="en-US"/>
        </w:rPr>
        <w:fldChar w:fldCharType="end"/>
      </w:r>
      <w:r w:rsidR="005948FC" w:rsidRPr="00B84270">
        <w:rPr>
          <w:rFonts w:ascii="Arial" w:hAnsi="Arial" w:cs="Arial"/>
          <w:sz w:val="24"/>
          <w:szCs w:val="24"/>
          <w:lang w:val="en-US"/>
        </w:rPr>
        <w:t>.</w:t>
      </w:r>
      <w:r w:rsidR="006C3F4E" w:rsidRPr="00B84270">
        <w:rPr>
          <w:rFonts w:ascii="Arial" w:hAnsi="Arial" w:cs="Arial"/>
          <w:sz w:val="24"/>
          <w:szCs w:val="24"/>
          <w:lang w:val="en-US"/>
        </w:rPr>
        <w:t xml:space="preserve"> </w:t>
      </w:r>
    </w:p>
    <w:p w:rsidR="00FD6A35" w:rsidRPr="00B84270" w:rsidRDefault="00FD6A35" w:rsidP="005510CB">
      <w:pPr>
        <w:spacing w:after="0" w:line="360" w:lineRule="auto"/>
        <w:rPr>
          <w:rFonts w:ascii="Arial" w:hAnsi="Arial" w:cs="Arial"/>
          <w:b/>
          <w:sz w:val="24"/>
          <w:szCs w:val="24"/>
          <w:lang w:val="en-US"/>
        </w:rPr>
      </w:pPr>
    </w:p>
    <w:p w:rsidR="00525C2B" w:rsidRPr="00B84270" w:rsidRDefault="00525C2B" w:rsidP="005510CB">
      <w:pPr>
        <w:spacing w:after="0" w:line="360" w:lineRule="auto"/>
        <w:rPr>
          <w:rFonts w:ascii="Arial" w:hAnsi="Arial" w:cs="Arial"/>
          <w:b/>
          <w:sz w:val="24"/>
          <w:szCs w:val="24"/>
          <w:lang w:val="en-US"/>
        </w:rPr>
      </w:pPr>
      <w:r w:rsidRPr="00B84270">
        <w:rPr>
          <w:rFonts w:ascii="Arial" w:hAnsi="Arial" w:cs="Arial"/>
          <w:b/>
          <w:sz w:val="24"/>
          <w:szCs w:val="24"/>
          <w:lang w:val="en-US"/>
        </w:rPr>
        <w:t xml:space="preserve">Virtual </w:t>
      </w:r>
      <w:r w:rsidR="00B621C3" w:rsidRPr="00B84270">
        <w:rPr>
          <w:rFonts w:ascii="Arial" w:hAnsi="Arial" w:cs="Arial"/>
          <w:b/>
          <w:sz w:val="24"/>
          <w:szCs w:val="24"/>
          <w:lang w:val="en-US"/>
        </w:rPr>
        <w:t>he</w:t>
      </w:r>
      <w:r w:rsidRPr="00B84270">
        <w:rPr>
          <w:rFonts w:ascii="Arial" w:hAnsi="Arial" w:cs="Arial"/>
          <w:b/>
          <w:sz w:val="24"/>
          <w:szCs w:val="24"/>
          <w:lang w:val="en-US"/>
        </w:rPr>
        <w:t xml:space="preserve">mochromatosis </w:t>
      </w:r>
    </w:p>
    <w:p w:rsidR="00525C2B" w:rsidRPr="00B84270" w:rsidRDefault="00525C2B" w:rsidP="005510CB">
      <w:pPr>
        <w:spacing w:after="0" w:line="360" w:lineRule="auto"/>
        <w:rPr>
          <w:rFonts w:ascii="Arial" w:hAnsi="Arial" w:cs="Arial"/>
          <w:sz w:val="24"/>
          <w:szCs w:val="24"/>
          <w:lang w:val="en-US"/>
        </w:rPr>
      </w:pPr>
      <w:r w:rsidRPr="00B84270">
        <w:rPr>
          <w:rFonts w:ascii="Arial" w:hAnsi="Arial" w:cs="Arial"/>
          <w:sz w:val="24"/>
          <w:szCs w:val="24"/>
          <w:lang w:val="en-US"/>
        </w:rPr>
        <w:t>The rec-TfR1 HepG2 cells displayed several “</w:t>
      </w:r>
      <w:proofErr w:type="spellStart"/>
      <w:r w:rsidR="00B621C3" w:rsidRPr="00B84270">
        <w:rPr>
          <w:rFonts w:ascii="Arial" w:hAnsi="Arial" w:cs="Arial"/>
          <w:sz w:val="24"/>
          <w:szCs w:val="24"/>
          <w:lang w:val="en-US"/>
        </w:rPr>
        <w:t>he</w:t>
      </w:r>
      <w:r w:rsidRPr="00B84270">
        <w:rPr>
          <w:rFonts w:ascii="Arial" w:hAnsi="Arial" w:cs="Arial"/>
          <w:sz w:val="24"/>
          <w:szCs w:val="24"/>
          <w:lang w:val="en-US"/>
        </w:rPr>
        <w:t>mochromatotic</w:t>
      </w:r>
      <w:proofErr w:type="spellEnd"/>
      <w:r w:rsidRPr="00B84270">
        <w:rPr>
          <w:rFonts w:ascii="Arial" w:hAnsi="Arial" w:cs="Arial"/>
          <w:sz w:val="24"/>
          <w:szCs w:val="24"/>
          <w:lang w:val="en-US"/>
        </w:rPr>
        <w:t>” characteristics such as hepcidin secretion dispropo</w:t>
      </w:r>
      <w:r w:rsidR="00AD2B7E" w:rsidRPr="00B84270">
        <w:rPr>
          <w:rFonts w:ascii="Arial" w:hAnsi="Arial" w:cs="Arial"/>
          <w:sz w:val="24"/>
          <w:szCs w:val="24"/>
          <w:lang w:val="en-US"/>
        </w:rPr>
        <w:t>r</w:t>
      </w:r>
      <w:r w:rsidR="00D1666C" w:rsidRPr="00B84270">
        <w:rPr>
          <w:rFonts w:ascii="Arial" w:hAnsi="Arial" w:cs="Arial"/>
          <w:sz w:val="24"/>
          <w:szCs w:val="24"/>
          <w:lang w:val="en-US"/>
        </w:rPr>
        <w:t xml:space="preserve">tionate to </w:t>
      </w:r>
      <w:r w:rsidR="00677FD5" w:rsidRPr="00B84270">
        <w:rPr>
          <w:rFonts w:ascii="Arial" w:hAnsi="Arial" w:cs="Arial"/>
          <w:sz w:val="24"/>
          <w:szCs w:val="24"/>
          <w:lang w:val="en-US"/>
        </w:rPr>
        <w:t>iron-overload</w:t>
      </w:r>
      <w:r w:rsidR="00A113C1" w:rsidRPr="00B84270">
        <w:rPr>
          <w:rFonts w:ascii="Arial" w:hAnsi="Arial" w:cs="Arial"/>
          <w:sz w:val="24"/>
          <w:szCs w:val="24"/>
          <w:lang w:val="en-US"/>
        </w:rPr>
        <w:t xml:space="preserve"> </w:t>
      </w:r>
      <w:r w:rsidR="00D1666C" w:rsidRPr="00B84270">
        <w:rPr>
          <w:rFonts w:ascii="Arial" w:hAnsi="Arial" w:cs="Arial"/>
          <w:sz w:val="24"/>
          <w:szCs w:val="24"/>
          <w:lang w:val="en-US"/>
        </w:rPr>
        <w:t>(</w:t>
      </w:r>
      <w:r w:rsidR="00535414" w:rsidRPr="00B84270">
        <w:rPr>
          <w:rFonts w:ascii="Arial" w:hAnsi="Arial" w:cs="Arial"/>
          <w:sz w:val="24"/>
          <w:szCs w:val="24"/>
          <w:lang w:val="en-US"/>
        </w:rPr>
        <w:t>Fig.5</w:t>
      </w:r>
      <w:r w:rsidRPr="00B84270">
        <w:rPr>
          <w:rFonts w:ascii="Arial" w:hAnsi="Arial" w:cs="Arial"/>
          <w:sz w:val="24"/>
          <w:szCs w:val="24"/>
          <w:lang w:val="en-US"/>
        </w:rPr>
        <w:t xml:space="preserve"> and </w:t>
      </w:r>
      <w:r w:rsidR="00535414" w:rsidRPr="00B84270">
        <w:rPr>
          <w:rFonts w:ascii="Arial" w:hAnsi="Arial" w:cs="Arial"/>
          <w:sz w:val="24"/>
          <w:szCs w:val="24"/>
          <w:lang w:val="en-US"/>
        </w:rPr>
        <w:t>Fig.4</w:t>
      </w:r>
      <w:r w:rsidRPr="00B84270">
        <w:rPr>
          <w:rFonts w:ascii="Arial" w:hAnsi="Arial" w:cs="Arial"/>
          <w:sz w:val="24"/>
          <w:szCs w:val="24"/>
          <w:lang w:val="en-US"/>
        </w:rPr>
        <w:t xml:space="preserve">), insufficient </w:t>
      </w:r>
      <w:r w:rsidRPr="00B84270">
        <w:rPr>
          <w:rFonts w:ascii="Arial" w:hAnsi="Arial" w:cs="Arial"/>
          <w:i/>
          <w:sz w:val="24"/>
          <w:szCs w:val="24"/>
          <w:lang w:val="en-US"/>
        </w:rPr>
        <w:t>HAMP</w:t>
      </w:r>
      <w:r w:rsidRPr="00B84270">
        <w:rPr>
          <w:rFonts w:ascii="Arial" w:hAnsi="Arial" w:cs="Arial"/>
          <w:sz w:val="24"/>
          <w:szCs w:val="24"/>
          <w:lang w:val="en-US"/>
        </w:rPr>
        <w:t xml:space="preserve"> mRNA </w:t>
      </w:r>
      <w:r w:rsidR="00525973" w:rsidRPr="00B84270">
        <w:rPr>
          <w:rFonts w:ascii="Arial" w:hAnsi="Arial" w:cs="Arial"/>
          <w:sz w:val="24"/>
          <w:szCs w:val="24"/>
          <w:lang w:val="en-US"/>
        </w:rPr>
        <w:t xml:space="preserve">response </w:t>
      </w:r>
      <w:r w:rsidRPr="00B84270">
        <w:rPr>
          <w:rFonts w:ascii="Arial" w:hAnsi="Arial" w:cs="Arial"/>
          <w:sz w:val="24"/>
          <w:szCs w:val="24"/>
          <w:lang w:val="en-US"/>
        </w:rPr>
        <w:t>upon holo-Tf stimulus (</w:t>
      </w:r>
      <w:r w:rsidR="00C3654C" w:rsidRPr="00B84270">
        <w:rPr>
          <w:rFonts w:ascii="Arial" w:hAnsi="Arial" w:cs="Arial"/>
          <w:sz w:val="24"/>
          <w:szCs w:val="24"/>
          <w:lang w:val="en-US"/>
        </w:rPr>
        <w:t>Fig.</w:t>
      </w:r>
      <w:r w:rsidR="002B3635" w:rsidRPr="00B84270">
        <w:rPr>
          <w:rFonts w:ascii="Arial" w:hAnsi="Arial" w:cs="Arial"/>
          <w:sz w:val="24"/>
          <w:szCs w:val="24"/>
          <w:lang w:val="en-US"/>
        </w:rPr>
        <w:t>6</w:t>
      </w:r>
      <w:r w:rsidR="00535414" w:rsidRPr="00B84270">
        <w:rPr>
          <w:rFonts w:ascii="Arial" w:hAnsi="Arial" w:cs="Arial"/>
          <w:sz w:val="24"/>
          <w:szCs w:val="24"/>
          <w:lang w:val="en-US"/>
        </w:rPr>
        <w:t>A</w:t>
      </w:r>
      <w:r w:rsidRPr="00B84270">
        <w:rPr>
          <w:rFonts w:ascii="Arial" w:hAnsi="Arial" w:cs="Arial"/>
          <w:sz w:val="24"/>
          <w:szCs w:val="24"/>
          <w:lang w:val="en-US"/>
        </w:rPr>
        <w:t>)</w:t>
      </w:r>
      <w:r w:rsidR="003B2BD1" w:rsidRPr="00B84270">
        <w:rPr>
          <w:rFonts w:ascii="Arial" w:hAnsi="Arial" w:cs="Arial"/>
          <w:sz w:val="24"/>
          <w:szCs w:val="24"/>
          <w:lang w:val="en-US"/>
        </w:rPr>
        <w:t xml:space="preserve"> </w:t>
      </w:r>
      <w:r w:rsidR="00614C46" w:rsidRPr="00B84270">
        <w:rPr>
          <w:rFonts w:ascii="Arial" w:hAnsi="Arial" w:cs="Arial"/>
          <w:sz w:val="24"/>
          <w:szCs w:val="24"/>
          <w:lang w:val="en-US"/>
        </w:rPr>
        <w:fldChar w:fldCharType="begin"/>
      </w:r>
      <w:r w:rsidR="000A09BE" w:rsidRPr="00B84270">
        <w:rPr>
          <w:rFonts w:ascii="Arial" w:hAnsi="Arial" w:cs="Arial"/>
          <w:sz w:val="24"/>
          <w:szCs w:val="24"/>
          <w:lang w:val="en-US"/>
        </w:rPr>
        <w:instrText xml:space="preserve"> ADDIN ZOTERO_ITEM CSL_CITATION {"citationID":"1m2fdeetp3","properties":{"formattedCitation":"(48)","plainCitation":"(48)"},"citationItems":[{"id":267,"uris":["http://zotero.org/users/2804724/items/PDAJIG7M"],"uri":["http://zotero.org/users/2804724/items/PDAJIG7M"],"itemData":{"id":267,"type":"article-journal","title":"Molecular basis of HFE-hemochromatosis","container-title":"Frontiers in Pharmacology","page":"42","volume":"5","source":"PubMed","abstract":"Iron-overload disorders owing to genetic misregulation of iron acquisition are referred to as hereditary hemochromatosis (HH). The most prevalent genetic iron overload disorder in Caucasians is caused by mutations in the HFE gene, an atypical MHC class I molecule. Recent studies classified HFE/Hfe-HH as a liver disease with the primarily failure in the production of the liver iron hormone hepcidin in hepatocytes. Inadequate hepcidin expression signals for excessive iron absorption from the diet and iron deposition in tissues causing multiple organ damage and failure. This review focuses on the molecular actions of the HFE/Hfe and hepcidin in maintaining systemic iron homeostasis and approaches undertaken so far to combat iron overload in HFE/Hfe-HH. In the light of the recent investigations, novel roles of extra-hepatocytic Hfe are discussed raising a question to the relevance of the multipurpose functions of Hfe for the understanding of HH-associated pathologies.","DOI":"10.3389/fphar.2014.00042","ISSN":"1663-9812","note":"PMID: 24653703\nPMCID: PMC3949417","journalAbbreviation":"Front Pharmacol","language":"eng","author":[{"family":"Vujić","given":"Maja"}],"issued":{"date-parts":[["2014"]]},"PMID":"24653703","PMCID":"PMC3949417"}}],"schema":"https://github.com/citation-style-language/schema/raw/master/csl-citation.json"} </w:instrText>
      </w:r>
      <w:r w:rsidR="00614C46" w:rsidRPr="00B84270">
        <w:rPr>
          <w:rFonts w:ascii="Arial" w:hAnsi="Arial" w:cs="Arial"/>
          <w:sz w:val="24"/>
          <w:szCs w:val="24"/>
          <w:lang w:val="en-US"/>
        </w:rPr>
        <w:fldChar w:fldCharType="separate"/>
      </w:r>
      <w:r w:rsidR="000A09BE" w:rsidRPr="00B84270">
        <w:rPr>
          <w:rFonts w:ascii="Arial" w:hAnsi="Arial" w:cs="Arial"/>
          <w:sz w:val="24"/>
        </w:rPr>
        <w:t>(48)</w:t>
      </w:r>
      <w:r w:rsidR="00614C46" w:rsidRPr="00B84270">
        <w:rPr>
          <w:rFonts w:ascii="Arial" w:hAnsi="Arial" w:cs="Arial"/>
          <w:sz w:val="24"/>
          <w:szCs w:val="24"/>
          <w:lang w:val="en-US"/>
        </w:rPr>
        <w:fldChar w:fldCharType="end"/>
      </w:r>
      <w:r w:rsidRPr="00B84270">
        <w:rPr>
          <w:rFonts w:ascii="Arial" w:hAnsi="Arial" w:cs="Arial"/>
          <w:sz w:val="24"/>
          <w:szCs w:val="24"/>
          <w:lang w:val="en-US"/>
        </w:rPr>
        <w:t xml:space="preserve">, up-regulated </w:t>
      </w:r>
      <w:r w:rsidRPr="00B84270">
        <w:rPr>
          <w:rFonts w:ascii="Arial" w:hAnsi="Arial" w:cs="Arial"/>
          <w:i/>
          <w:sz w:val="24"/>
          <w:szCs w:val="24"/>
          <w:lang w:val="en-US"/>
        </w:rPr>
        <w:t>SLC40A1</w:t>
      </w:r>
      <w:r w:rsidRPr="00B84270">
        <w:rPr>
          <w:rFonts w:ascii="Arial" w:hAnsi="Arial" w:cs="Arial"/>
          <w:sz w:val="24"/>
          <w:szCs w:val="24"/>
          <w:lang w:val="en-US"/>
        </w:rPr>
        <w:t xml:space="preserve"> mRNA expression (</w:t>
      </w:r>
      <w:r w:rsidR="002B3635" w:rsidRPr="00B84270">
        <w:rPr>
          <w:rFonts w:ascii="Arial" w:hAnsi="Arial" w:cs="Arial"/>
          <w:sz w:val="24"/>
          <w:szCs w:val="24"/>
          <w:lang w:val="en-US"/>
        </w:rPr>
        <w:t>Fig.6</w:t>
      </w:r>
      <w:r w:rsidR="00535414" w:rsidRPr="00B84270">
        <w:rPr>
          <w:rFonts w:ascii="Arial" w:hAnsi="Arial" w:cs="Arial"/>
          <w:sz w:val="24"/>
          <w:szCs w:val="24"/>
          <w:lang w:val="en-US"/>
        </w:rPr>
        <w:t>B</w:t>
      </w:r>
      <w:r w:rsidRPr="00B84270">
        <w:rPr>
          <w:rFonts w:ascii="Arial" w:hAnsi="Arial" w:cs="Arial"/>
          <w:sz w:val="24"/>
          <w:szCs w:val="24"/>
          <w:lang w:val="en-US"/>
        </w:rPr>
        <w:t xml:space="preserve">) </w:t>
      </w:r>
      <w:r w:rsidR="00614C46" w:rsidRPr="00B84270">
        <w:rPr>
          <w:rFonts w:ascii="Arial" w:hAnsi="Arial" w:cs="Arial"/>
          <w:sz w:val="24"/>
          <w:szCs w:val="24"/>
          <w:lang w:val="en-US"/>
        </w:rPr>
        <w:fldChar w:fldCharType="begin"/>
      </w:r>
      <w:r w:rsidR="000A09BE" w:rsidRPr="00B84270">
        <w:rPr>
          <w:rFonts w:ascii="Arial" w:hAnsi="Arial" w:cs="Arial"/>
          <w:sz w:val="24"/>
          <w:szCs w:val="24"/>
          <w:lang w:val="en-US"/>
        </w:rPr>
        <w:instrText xml:space="preserve"> ADDIN ZOTERO_ITEM CSL_CITATION {"citationID":"fN2VclcH","properties":{"formattedCitation":"(38,49)","plainCitation":"(38,49)"},"citationItems":[{"id":251,"uris":["http://zotero.org/users/2804724/items/PZTKT96S"],"uri":["http://zotero.org/users/2804724/items/PZTKT96S"],"itemData":{"id":251,"type":"article-journal","title":"A time course of hepcidin response to iron challenge in patients with HFE and TFR2 hemochromatosis","container-title":"Haematologica","page":"500-506","volume":"96","issue":"4","source":"PubMed","abstract":"BACKGROUND: Inadequate hepcidin production leads to iron overload in nearly all types of hemochromatosis. We explored the acute response of hepcidin to iron challenge in 25 patients with HFE-hemochromatosis, in two with TFR2-hemochromatosis and in 13 controls. Sixteen patients (10 C282Y/C282Y homozygotes, 6 C282Y/H63D compound heterozygotes) had increased iron stores, while nine (6 C282Y/C282Y homozygotes, 3 C282Y/H63D compound heterozygotes) were studied after phlebotomy-induced normalization of iron stores.\nDESIGN AND METHODS: We analyzed serum iron, transferrin saturation, and serum hepcidin by both enzyme-linked immunosorbent assay and mass-spectrometry at baseline, and 4, 8, 12 and 24 hours after a single 65-mg dose of oral iron.\nRESULTS: Serum iron and transferrin saturation significantly increased at 4 hours and returned to baseline values at 8-12 hours in all groups, except in the iron-normalized patients who showed the highest and longest increase of both parameters. The level of hepcidin increased significantly at 4 hours and returned to baseline at 24 hours in controls and in the C282Y/H63D compound heterozygotes at diagnosis. The hepcidin response was smaller in C282Y-homozygotes than in controls, barely detectable in the patients with iron-depleted HFE-hemochromatosis and absent in those with TFR2-hemochromatosis. Conclusions Our results are consistent with a scenario in which TFR2 plays a prominent and HFE a contributory role in the hepcidin response to a dose of oral iron. In iron-normalized patients with HFE hemochromatosis, both the low baseline hepcidin level and the weak response to iron contribute to hyperabsorption of iron.","DOI":"10.3324/haematol.2010.033449","ISSN":"1592-8721","note":"PMID: 21173098\nPMCID: PMC3069225","journalAbbreviation":"Haematologica","language":"eng","author":[{"family":"Girelli","given":"Domenico"},{"family":"Trombini","given":"Paola"},{"family":"Busti","given":"Fabiana"},{"family":"Campostrini","given":"Natascia"},{"family":"Sandri","given":"Marco"},{"family":"Pelucchi","given":"Sara"},{"family":"Westerman","given":"Mark"},{"family":"Ganz","given":"Tomas"},{"family":"Nemeth","given":"Elizabeta"},{"family":"Piperno","given":"Alberto"},{"family":"Camaschella","given":"Clara"}],"issued":{"date-parts":[["2011",4]]},"PMID":"21173098","PMCID":"PMC3069225"}},{"id":269,"uris":["http://zotero.org/users/2804724/items/TSCZWBDM"],"uri":["http://zotero.org/users/2804724/items/TSCZWBDM"],"itemData":{"id":269,"type":"article-journal","title":"Disrupted hepcidin regulation in HFE-associated haemochromatosis and the liver as a regulator of body iron homoeostasis","container-title":"Lancet (London, England)","page":"669-673","volume":"361","issue":"9358","source":"PubMed","abstract":"BACKGROUND: The mechanisms responsible for disturbed iron homoeostasis in hereditary haemochromatosis are poorly understood. However, results of some studies indicate a link between hepcidin, a liver-derived peptide, and intestinal iron absorption, suggesting that this molecule could play a part in hepatic iron overload. To investigate this possible association, we studied the hepatic expression of the gene for hepcidin (HAMP) and a gene important in iron transport (IREG1) in patients with haemochromatosis, in normal controls, and in Hfe-knockout mice.\nMETHODS: We extracted total RNA from the liver tissue of 27 patients with HFE-associated haemochromatosis, seven transplant donors (controls), and Hfe-knockout mice. HAMP and IREG1 mRNA concentrations were examined by ribonuclease protection assays and expressed relative to the housekeeping gene GAPD.\nFINDINGS: There was a significant decrease in HAMP expression in untreated patients compared with controls (5.4-fold, 95% CI 3.3-7.5; p&lt;0.0001) despite significantly increased iron loading. Similarly, we noted a decrease in Hamp expression in iron-loaded Hfe-knockout mice. Hepatic IREG1 expression was greatly upregulated in patients with haemochromatosis (1.8-fold, 95% CI 1.5-2.2; p=0.002). There was a significant correlation between hepatic iron concentration and expression of HAMP (r=0.59, p=0.02) and IREG1 (r=0.67, p=0.007) in untreated patients.\nINTERPRETATION: Lack of HAMP upregulation in HFE-associated haemochromatosis despite significant hepatic iron loading indicates that HFE plays an important part in the regulation of hepcidin expression in response to iron overload. Our results imply that the liver is important in the pathophysiology of HFE-associated haemochromatosis. Furthermore, the increase in hepatic IREG1 expression in haemochromatosis suggests that IREG1 could function to facilitate the removal of excess iron from the liver.","DOI":"10.1016/S0140-6736(03)12602-5","ISSN":"0140-6736","note":"PMID: 12606179","journalAbbreviation":"Lancet","language":"eng","author":[{"family":"Bridle","given":"Kim R."},{"family":"Frazer","given":"David M."},{"family":"Wilkins","given":"Sarah J."},{"family":"Dixon","given":"Jeanette L."},{"family":"Purdie","given":"David M."},{"family":"Crawford","given":"Darrell H. G."},{"family":"Subramaniam","given":"V. Nathan"},{"family":"Powell","given":"Lawrie W."},{"family":"Anderson","given":"Gregory J."},{"family":"Ramm","given":"Grant A."}],"issued":{"date-parts":[["2003",2,22]]},"PMID":"12606179"}}],"schema":"https://github.com/citation-style-language/schema/raw/master/csl-citation.json"} </w:instrText>
      </w:r>
      <w:r w:rsidR="00614C46" w:rsidRPr="00B84270">
        <w:rPr>
          <w:rFonts w:ascii="Arial" w:hAnsi="Arial" w:cs="Arial"/>
          <w:sz w:val="24"/>
          <w:szCs w:val="24"/>
          <w:lang w:val="en-US"/>
        </w:rPr>
        <w:fldChar w:fldCharType="separate"/>
      </w:r>
      <w:r w:rsidR="000A09BE" w:rsidRPr="00B84270">
        <w:rPr>
          <w:rFonts w:ascii="Arial" w:hAnsi="Arial" w:cs="Arial"/>
          <w:sz w:val="24"/>
        </w:rPr>
        <w:t>(38,49)</w:t>
      </w:r>
      <w:r w:rsidR="00614C46" w:rsidRPr="00B84270">
        <w:rPr>
          <w:rFonts w:ascii="Arial" w:hAnsi="Arial" w:cs="Arial"/>
          <w:sz w:val="24"/>
          <w:szCs w:val="24"/>
          <w:lang w:val="en-US"/>
        </w:rPr>
        <w:fldChar w:fldCharType="end"/>
      </w:r>
      <w:r w:rsidR="00FD1F87" w:rsidRPr="00B84270">
        <w:rPr>
          <w:rFonts w:ascii="Arial" w:hAnsi="Arial" w:cs="Arial"/>
          <w:sz w:val="24"/>
          <w:szCs w:val="24"/>
          <w:lang w:val="en-US"/>
        </w:rPr>
        <w:t xml:space="preserve"> </w:t>
      </w:r>
      <w:r w:rsidRPr="00B84270">
        <w:rPr>
          <w:rFonts w:ascii="Arial" w:hAnsi="Arial" w:cs="Arial"/>
          <w:sz w:val="24"/>
          <w:szCs w:val="24"/>
          <w:lang w:val="en-US"/>
        </w:rPr>
        <w:t xml:space="preserve">and putative digression from the normal physiological ratio between </w:t>
      </w:r>
      <w:r w:rsidR="0072491C" w:rsidRPr="00B84270">
        <w:rPr>
          <w:rFonts w:ascii="Arial" w:hAnsi="Arial" w:cs="Arial"/>
          <w:sz w:val="24"/>
          <w:szCs w:val="24"/>
          <w:lang w:val="en-US"/>
        </w:rPr>
        <w:t>TfR1</w:t>
      </w:r>
      <w:r w:rsidRPr="00B84270">
        <w:rPr>
          <w:rFonts w:ascii="Arial" w:hAnsi="Arial" w:cs="Arial"/>
          <w:sz w:val="24"/>
          <w:szCs w:val="24"/>
          <w:lang w:val="en-US"/>
        </w:rPr>
        <w:t xml:space="preserve"> and HFE on the cell-surface (</w:t>
      </w:r>
      <w:r w:rsidR="00165E27" w:rsidRPr="00B84270">
        <w:rPr>
          <w:rFonts w:ascii="Arial" w:hAnsi="Arial" w:cs="Arial"/>
          <w:sz w:val="24"/>
          <w:szCs w:val="24"/>
          <w:lang w:val="en-US"/>
        </w:rPr>
        <w:t>Fig.2</w:t>
      </w:r>
      <w:r w:rsidRPr="00B84270">
        <w:rPr>
          <w:rFonts w:ascii="Arial" w:hAnsi="Arial" w:cs="Arial"/>
          <w:sz w:val="24"/>
          <w:szCs w:val="24"/>
          <w:lang w:val="en-US"/>
        </w:rPr>
        <w:t>). Thus, th</w:t>
      </w:r>
      <w:r w:rsidR="004A7FD6" w:rsidRPr="00B84270">
        <w:rPr>
          <w:rFonts w:ascii="Arial" w:hAnsi="Arial" w:cs="Arial"/>
          <w:sz w:val="24"/>
          <w:szCs w:val="24"/>
          <w:lang w:val="en-US"/>
        </w:rPr>
        <w:t xml:space="preserve">ese cells </w:t>
      </w:r>
      <w:r w:rsidR="00DA6146" w:rsidRPr="00B84270">
        <w:rPr>
          <w:rFonts w:ascii="Arial" w:hAnsi="Arial" w:cs="Arial"/>
          <w:sz w:val="24"/>
          <w:szCs w:val="24"/>
          <w:lang w:val="en-US"/>
        </w:rPr>
        <w:t xml:space="preserve">may </w:t>
      </w:r>
      <w:r w:rsidR="004A7FD6" w:rsidRPr="00B84270">
        <w:rPr>
          <w:rFonts w:ascii="Arial" w:hAnsi="Arial" w:cs="Arial"/>
          <w:sz w:val="24"/>
          <w:szCs w:val="24"/>
          <w:lang w:val="en-US"/>
        </w:rPr>
        <w:t xml:space="preserve">be described as </w:t>
      </w:r>
      <w:r w:rsidRPr="00B84270">
        <w:rPr>
          <w:rFonts w:ascii="Arial" w:hAnsi="Arial" w:cs="Arial"/>
          <w:sz w:val="24"/>
          <w:szCs w:val="24"/>
          <w:lang w:val="en-US"/>
        </w:rPr>
        <w:t xml:space="preserve">“virtually </w:t>
      </w:r>
      <w:proofErr w:type="spellStart"/>
      <w:r w:rsidR="00B621C3" w:rsidRPr="00B84270">
        <w:rPr>
          <w:rFonts w:ascii="Arial" w:hAnsi="Arial" w:cs="Arial"/>
          <w:sz w:val="24"/>
          <w:szCs w:val="24"/>
          <w:lang w:val="en-US"/>
        </w:rPr>
        <w:t>he</w:t>
      </w:r>
      <w:r w:rsidRPr="00B84270">
        <w:rPr>
          <w:rFonts w:ascii="Arial" w:hAnsi="Arial" w:cs="Arial"/>
          <w:sz w:val="24"/>
          <w:szCs w:val="24"/>
          <w:lang w:val="en-US"/>
        </w:rPr>
        <w:t>mochromatotic</w:t>
      </w:r>
      <w:proofErr w:type="spellEnd"/>
      <w:r w:rsidRPr="00B84270">
        <w:rPr>
          <w:rFonts w:ascii="Arial" w:hAnsi="Arial" w:cs="Arial"/>
          <w:sz w:val="24"/>
          <w:szCs w:val="24"/>
          <w:lang w:val="en-US"/>
        </w:rPr>
        <w:t xml:space="preserve">” as the cells displayed </w:t>
      </w:r>
      <w:r w:rsidR="00B71ACE" w:rsidRPr="00B84270">
        <w:rPr>
          <w:rFonts w:ascii="Arial" w:hAnsi="Arial" w:cs="Arial"/>
          <w:sz w:val="24"/>
          <w:szCs w:val="24"/>
          <w:lang w:val="en-US"/>
        </w:rPr>
        <w:t xml:space="preserve">several </w:t>
      </w:r>
      <w:r w:rsidRPr="00B84270">
        <w:rPr>
          <w:rFonts w:ascii="Arial" w:hAnsi="Arial" w:cs="Arial"/>
          <w:sz w:val="24"/>
          <w:szCs w:val="24"/>
          <w:lang w:val="en-US"/>
        </w:rPr>
        <w:lastRenderedPageBreak/>
        <w:t>“</w:t>
      </w:r>
      <w:proofErr w:type="spellStart"/>
      <w:r w:rsidR="00B621C3" w:rsidRPr="00B84270">
        <w:rPr>
          <w:rFonts w:ascii="Arial" w:hAnsi="Arial" w:cs="Arial"/>
          <w:sz w:val="24"/>
          <w:szCs w:val="24"/>
          <w:lang w:val="en-US"/>
        </w:rPr>
        <w:t>he</w:t>
      </w:r>
      <w:r w:rsidRPr="00B84270">
        <w:rPr>
          <w:rFonts w:ascii="Arial" w:hAnsi="Arial" w:cs="Arial"/>
          <w:sz w:val="24"/>
          <w:szCs w:val="24"/>
          <w:lang w:val="en-US"/>
        </w:rPr>
        <w:t>mochromatotic</w:t>
      </w:r>
      <w:proofErr w:type="spellEnd"/>
      <w:r w:rsidRPr="00B84270">
        <w:rPr>
          <w:rFonts w:ascii="Arial" w:hAnsi="Arial" w:cs="Arial"/>
          <w:sz w:val="24"/>
          <w:szCs w:val="24"/>
          <w:lang w:val="en-US"/>
        </w:rPr>
        <w:t xml:space="preserve">” characteristics despite possessing the </w:t>
      </w:r>
      <w:r w:rsidR="004A51EF" w:rsidRPr="00B84270">
        <w:rPr>
          <w:rFonts w:ascii="Arial" w:hAnsi="Arial" w:cs="Arial"/>
          <w:sz w:val="24"/>
          <w:szCs w:val="24"/>
          <w:lang w:val="en-US"/>
        </w:rPr>
        <w:t>Wt</w:t>
      </w:r>
      <w:r w:rsidRPr="00B84270">
        <w:rPr>
          <w:rFonts w:ascii="Arial" w:hAnsi="Arial" w:cs="Arial"/>
          <w:sz w:val="24"/>
          <w:szCs w:val="24"/>
          <w:lang w:val="en-US"/>
        </w:rPr>
        <w:t xml:space="preserve"> alleles of the hepcidin-inducing genes</w:t>
      </w:r>
      <w:r w:rsidR="005F3D2B" w:rsidRPr="00B84270">
        <w:rPr>
          <w:rFonts w:ascii="Arial" w:hAnsi="Arial" w:cs="Arial"/>
          <w:sz w:val="24"/>
          <w:szCs w:val="24"/>
          <w:lang w:val="en-US"/>
        </w:rPr>
        <w:t xml:space="preserve"> </w:t>
      </w:r>
      <w:r w:rsidR="00614C46" w:rsidRPr="00B84270">
        <w:rPr>
          <w:rFonts w:ascii="Arial" w:hAnsi="Arial" w:cs="Arial"/>
          <w:sz w:val="24"/>
          <w:szCs w:val="24"/>
          <w:lang w:val="en-US"/>
        </w:rPr>
        <w:fldChar w:fldCharType="begin"/>
      </w:r>
      <w:r w:rsidR="00A5479A" w:rsidRPr="00B84270">
        <w:rPr>
          <w:rFonts w:ascii="Arial" w:hAnsi="Arial" w:cs="Arial"/>
          <w:sz w:val="24"/>
          <w:szCs w:val="24"/>
          <w:lang w:val="en-US"/>
        </w:rPr>
        <w:instrText xml:space="preserve"> ADDIN ZOTERO_ITEM CSL_CITATION {"citationID":"ehGhLLRP","properties":{"formattedCitation":"(16,17,20)","plainCitation":"(16,17,20)"},"citationItems":[{"id":162,"uris":["http://zotero.org/users/2804724/items/95N3HQV7"],"uri":["http://zotero.org/users/2804724/items/95N3HQV7"],"itemData":{"id":162,"type":"article-journal","title":"The hemochromatosis proteins HFE, TfR2, and HJV form a membrane-associated protein complex for hepcidin regulation","container-title":"Journal of Hepatology","page":"1052-1060","volume":"57","issue":"5","source":"PubMed","abstract":"BACKGROUND &amp; AIMS: The hereditary hemochromatosis-associated membrane proteins HFE, TfR2, and HJV are required for adequate hepatic expression of the iron hormone hepcidin. While the genetic interactions are clear, it remains elusive how bone morphogenetic protein co-receptor HJV functions together with HFE and TfR2 to activate hepcidin transcription via the BMP-SMAD signaling pathway. Here, we investigate whether HFE, TfR2, and HJV physically interact on the surface of hepatocytes.\nMETHODS: We explore protein-protein interactions by glycerol gradient sedimentation assays and co-immunoprecipitation analyses in transfected HuH7 hepatoma-derived cells.\nRESULTS: Our data demonstrate that HFE and TfR2 bind HJV in a non-competitive manner. Co-immunoprecipitation analyses provide direct experimental evidence that HFE, TfR2, and HJV form a multi-protein membrane complex. Our experiments show that like TfR2, HJV competes with TfR1 for binding to HFE, indicating that the expression of TfR2 and HJV may be critical for iron sensing. We identify residues 120-139 of the TfR2 extra-cellular domain as the critical amino acids required for the binding of both HFE and HJV. Interestingly, RGMA, a central nervous system homolog, can substitute for HJV in the complex and promote hepcidin transcription, implicating RGMA in the local control of hepcidin in the CNS.\nCONCLUSIONS: Taken together, our findings provide a biochemical basis for hepcidin control by HFE, TfR2, and HJV.","DOI":"10.1016/j.jhep.2012.06.015","ISSN":"1600-0641","note":"PMID: 22728873","journalAbbreviation":"J. Hepatol.","language":"eng","author":[{"family":"D'Alessio","given":"Flavia"},{"family":"Hentze","given":"Matthias W."},{"family":"Muckenthaler","given":"Martina U."}],"issued":{"date-parts":[["2012",11]]},"PMID":"22728873"}},{"id":222,"uris":["http://zotero.org/users/2804724/items/QX8JB6NT"],"uri":["http://zotero.org/users/2804724/items/QX8JB6NT"],"itemData":{"id":222,"type":"article-journal","title":"Transgenic HFE-dependent induction of hepcidin in mice does not require transferrin receptor-2","container-title":"American Journal of Hematology","page":"588-595","volume":"87","issue":"6","source":"PubMed","abstract":"Hereditary hemochomatosis (HH) is caused by mutations in several genes, including HFE and transferrin receptor-2 (TFR2). Loss of either protein decreases expression of the iron regulatory hormone hepcidin by the liver, leading to inappropriately high iron uptake from the diet, and resulting in systemic iron overload. In tissue culture, overexpressed HFE and TFR2 physically interact. Hepatocellular overexpression of Hfe in vivo increases hepcidin expression, despite an associated decrease in Tfr2. On this basis, we hypothesized that Tfr2 would not be required for Hfe-dependent up-regulation of hepcidin. We show that hepatocellular overexpression of Hfe in Tfr2(Y245X/Y245X) mice leads to hepcidin induction eventuating in iron deficiency and a hypochromic, microcytic anemia. Furthermore, coimmunoprecipitation studies using liver lysates did not provide evidence for physical interaction between Hfe and Tfr2 in vivo. In conclusion, we demonstrate that Tfr2 is not essential for Hfe-mediated induction of hepcidin expression, supporting the possibility that TFR2 may regulate iron metabolism in an HFE-independent manner.","DOI":"10.1002/ajh.23173","ISSN":"1096-8652","note":"PMID: 22460705\nPMCID: PMC3386558","journalAbbreviation":"Am. J. Hematol.","language":"eng","author":[{"family":"Schmidt","given":"Paul J."},{"family":"Fleming","given":"Mark D."}],"issued":{"date-parts":[["2012",6]]},"PMID":"22460705","PMCID":"PMC3386558"}},{"id":166,"uris":["http://zotero.org/users/2804724/items/24U6QSPR"],"uri":["http://zotero.org/users/2804724/items/24U6QSPR"],"itemData":{"id":166,"type":"article-journal","title":"Transferrin receptor 2 is crucial for iron sensing in human hepatocytes","container-title":"American Journal of Physiology. Gastrointestinal and Liver Physiology","page":"G778-783","volume":"299","issue":"3","source":"PubMed","abstract":"Hepcidin expression in vivo is regulated in proportion to iron status (i.e., increased by iron loading and decreased in iron deficiency). However, in vitro studies with hepatoma cell lines often show an inverse relationship between iron status and hepcidin expression. Here, we investigated possible molecular mechanisms responsible for the differences in iron sensing between hepatoma cell lines and human primary hepatocytes. RNA was collected from primary human hepatocytes, and HepG2 and HuH7 hepatoma cells were treated with either transferrin-bound and non-transferrin-bound iron. Expression of hepcidin, transferrin receptor 2, HFE, and hemojuvelin were quantified by real-time PCR. Hepcidin expression was increased in primary human hepatocytes following 24-h exposure to holoferric transferrin. In contrast, hepcidin mRNA levels in hepatoma cells were decreased by transferrin. Hepcidin expression was positively correlated with transferrin receptor 2 mRNA levels in primary human hepatocytes. Compared with primary hepatocytes, transferrin receptor 2 expression was significantly lower in hepatoma cell lines; furthermore, there was no correlation between transferrin receptor 2 and hepcidin mRNA levels in either HepG2 or HuH7 cells. Taken together our data suggest that transferrin receptor 2 is a likely candidate to explain the differences in iron sensing between hepatoma cell lines and primary human hepatocytes.","DOI":"10.1152/ajpgi.00157.2010","ISSN":"1522-1547","note":"PMID: 20576915\nPMCID: PMC2950680","journalAbbreviation":"Am. J. Physiol. Gastrointest. Liver Physiol.","language":"eng","author":[{"family":"Rapisarda","given":"Chiara"},{"family":"Puppi","given":"Juliana"},{"family":"Hughes","given":"Robin D."},{"family":"Dhawan","given":"Anil"},{"family":"Farnaud","given":"Sebastien"},{"family":"Evans","given":"Robert W."},{"family":"Sharp","given":"Paul A."}],"issued":{"date-parts":[["2010",9]]},"PMID":"20576915","PMCID":"PMC2950680"}}],"schema":"https://github.com/citation-style-language/schema/raw/master/csl-citation.json"} </w:instrText>
      </w:r>
      <w:r w:rsidR="00614C46" w:rsidRPr="00B84270">
        <w:rPr>
          <w:rFonts w:ascii="Arial" w:hAnsi="Arial" w:cs="Arial"/>
          <w:sz w:val="24"/>
          <w:szCs w:val="24"/>
          <w:lang w:val="en-US"/>
        </w:rPr>
        <w:fldChar w:fldCharType="separate"/>
      </w:r>
      <w:r w:rsidR="000A09BE" w:rsidRPr="00B84270">
        <w:rPr>
          <w:rFonts w:ascii="Arial" w:hAnsi="Arial" w:cs="Arial"/>
          <w:sz w:val="24"/>
        </w:rPr>
        <w:t>(16,17,20)</w:t>
      </w:r>
      <w:r w:rsidR="00614C46" w:rsidRPr="00B84270">
        <w:rPr>
          <w:rFonts w:ascii="Arial" w:hAnsi="Arial" w:cs="Arial"/>
          <w:sz w:val="24"/>
          <w:szCs w:val="24"/>
          <w:lang w:val="en-US"/>
        </w:rPr>
        <w:fldChar w:fldCharType="end"/>
      </w:r>
      <w:r w:rsidRPr="00B84270">
        <w:rPr>
          <w:rFonts w:ascii="Arial" w:hAnsi="Arial" w:cs="Arial"/>
          <w:sz w:val="24"/>
          <w:szCs w:val="24"/>
          <w:lang w:val="en-US"/>
        </w:rPr>
        <w:t xml:space="preserve">, mutations in which cause </w:t>
      </w:r>
      <w:r w:rsidR="00B621C3" w:rsidRPr="00B84270">
        <w:rPr>
          <w:rFonts w:ascii="Arial" w:hAnsi="Arial" w:cs="Arial"/>
          <w:sz w:val="24"/>
          <w:szCs w:val="24"/>
          <w:lang w:val="en-US"/>
        </w:rPr>
        <w:t>he</w:t>
      </w:r>
      <w:r w:rsidRPr="00B84270">
        <w:rPr>
          <w:rFonts w:ascii="Arial" w:hAnsi="Arial" w:cs="Arial"/>
          <w:sz w:val="24"/>
          <w:szCs w:val="24"/>
          <w:lang w:val="en-US"/>
        </w:rPr>
        <w:t>mochromatosis</w:t>
      </w:r>
      <w:r w:rsidR="00A5479A" w:rsidRPr="00B84270">
        <w:rPr>
          <w:rFonts w:ascii="Arial" w:hAnsi="Arial" w:cs="Arial"/>
          <w:sz w:val="24"/>
          <w:szCs w:val="24"/>
          <w:lang w:val="en-US"/>
        </w:rPr>
        <w:t xml:space="preserve"> </w:t>
      </w:r>
      <w:r w:rsidR="00614C46" w:rsidRPr="00B84270">
        <w:rPr>
          <w:rFonts w:ascii="Arial" w:hAnsi="Arial" w:cs="Arial"/>
          <w:sz w:val="24"/>
          <w:szCs w:val="24"/>
          <w:lang w:val="en-US"/>
        </w:rPr>
        <w:fldChar w:fldCharType="begin"/>
      </w:r>
      <w:r w:rsidR="002A222E" w:rsidRPr="00B84270">
        <w:rPr>
          <w:rFonts w:ascii="Arial" w:hAnsi="Arial" w:cs="Arial"/>
          <w:sz w:val="24"/>
          <w:szCs w:val="24"/>
          <w:lang w:val="en-US"/>
        </w:rPr>
        <w:instrText xml:space="preserve"> ADDIN ZOTERO_ITEM CSL_CITATION {"citationID":"1hrh17nt3g","properties":{"formattedCitation":"(7)","plainCitation":"(7)"},"citationItems":[{"id":198,"uris":["http://zotero.org/users/2804724/items/NXHS8T62"],"uri":["http://zotero.org/users/2804724/items/NXHS8T62"],"itemData":{"id":198,"type":"article-journal","title":"Hereditary hemochromatosis: pathogenesis, diagnosis, and treatment","container-title":"Gastroenterology","page":"393-408, 408.e1-2","volume":"139","issue":"2","source":"PubMed","abstract":"In the late 1800s, hemochromatosis was considered an odd autoptic finding. More than a century later, it was finally recognized as a hereditary, multi-organ disorder associated with a polymorphism that is common among white people: a 845G--&gt;A change in HFE that results in C282Y in the gene product. Hemochromatosis is now a well-defined syndrome characterized by normal iron-driven erythropoiesis and the toxic accumulation of iron in parenchymal cells of liver, heart, and endocrine glands. It can be caused by mutations that affect any of the proteins that limit the entry of iron into the blood. In mice, deletion of the iron hormone hepcidin and any of 8 genes that regulate its biology, including Hfe, transferrin receptor 2 (Tfr2), and hemojuvelin (Hjv) (which all sense the accumulation of iron that hepcidin corrects) or ferroportin (Fpn) (the cellular iron exporter down-regulated by hepcidin), cause iron overload but not organ disease. In humans, loss of TfR2, HJV, and hepcidin itself or FPN mutations result in full-blown hemochromatosis. Unlike these rare instances, in white people, homozygotes for C282Y polymorphism in HFE are numerous, but they are only predisposed to hemochromatosis; complete organ disease develops in a minority, when these individuals abuse alcohol or from other unidentified modifying factors. HFE gene testing can be used to diagnose hemochromatosis, but analyses of liver histology and clinical features are still required to identify patients with rare, non-HFE forms of the disease. The role of hepcidin in the pathogenesis of hemochromatosis reveals its similarities to endocrine diseases such as diabetes and indicates new approaches to diagnosis and management of this common disorder in iron metabolism.","DOI":"10.1053/j.gastro.2010.06.013","ISSN":"1528-0012","note":"PMID: 20542038","shortTitle":"Hereditary hemochromatosis","journalAbbreviation":"Gastroenterology","language":"eng","author":[{"family":"Pietrangelo","given":"Antonello"}],"issued":{"date-parts":[["2010",8]]},"PMID":"20542038"}}],"schema":"https://github.com/citation-style-language/schema/raw/master/csl-citation.json"} </w:instrText>
      </w:r>
      <w:r w:rsidR="00614C46" w:rsidRPr="00B84270">
        <w:rPr>
          <w:rFonts w:ascii="Arial" w:hAnsi="Arial" w:cs="Arial"/>
          <w:sz w:val="24"/>
          <w:szCs w:val="24"/>
          <w:lang w:val="en-US"/>
        </w:rPr>
        <w:fldChar w:fldCharType="separate"/>
      </w:r>
      <w:r w:rsidR="000A09BE" w:rsidRPr="00B84270">
        <w:rPr>
          <w:rFonts w:ascii="Arial" w:hAnsi="Arial" w:cs="Arial"/>
          <w:sz w:val="24"/>
        </w:rPr>
        <w:t>(7)</w:t>
      </w:r>
      <w:r w:rsidR="00614C46" w:rsidRPr="00B84270">
        <w:rPr>
          <w:rFonts w:ascii="Arial" w:hAnsi="Arial" w:cs="Arial"/>
          <w:sz w:val="24"/>
          <w:szCs w:val="24"/>
          <w:lang w:val="en-US"/>
        </w:rPr>
        <w:fldChar w:fldCharType="end"/>
      </w:r>
      <w:r w:rsidR="002A222E" w:rsidRPr="00B84270">
        <w:rPr>
          <w:rFonts w:ascii="Arial" w:hAnsi="Arial" w:cs="Arial"/>
          <w:sz w:val="24"/>
          <w:szCs w:val="24"/>
          <w:lang w:val="en-US"/>
        </w:rPr>
        <w:t>.</w:t>
      </w:r>
    </w:p>
    <w:p w:rsidR="00C3654C" w:rsidRPr="00B84270" w:rsidRDefault="00C3654C" w:rsidP="005510CB">
      <w:pPr>
        <w:spacing w:after="0" w:line="360" w:lineRule="auto"/>
        <w:rPr>
          <w:rFonts w:ascii="Arial" w:hAnsi="Arial" w:cs="Arial"/>
          <w:b/>
          <w:sz w:val="24"/>
          <w:szCs w:val="24"/>
          <w:lang w:val="en-US"/>
        </w:rPr>
      </w:pPr>
    </w:p>
    <w:p w:rsidR="00827B4F" w:rsidRPr="00B84270" w:rsidRDefault="00827B4F" w:rsidP="005510CB">
      <w:pPr>
        <w:spacing w:after="0" w:line="360" w:lineRule="auto"/>
        <w:rPr>
          <w:rFonts w:ascii="Arial" w:hAnsi="Arial" w:cs="Arial"/>
          <w:b/>
          <w:sz w:val="24"/>
          <w:szCs w:val="24"/>
          <w:lang w:val="en-US"/>
        </w:rPr>
      </w:pPr>
      <w:r w:rsidRPr="00B84270">
        <w:rPr>
          <w:rFonts w:ascii="Arial" w:hAnsi="Arial" w:cs="Arial"/>
          <w:b/>
          <w:sz w:val="24"/>
          <w:szCs w:val="24"/>
          <w:lang w:val="en-US"/>
        </w:rPr>
        <w:t xml:space="preserve">Conclusion </w:t>
      </w:r>
    </w:p>
    <w:p w:rsidR="002B3635" w:rsidRPr="00B84270" w:rsidRDefault="00827B4F" w:rsidP="00E6376A">
      <w:pPr>
        <w:spacing w:after="0" w:line="360" w:lineRule="auto"/>
        <w:rPr>
          <w:rFonts w:ascii="Arial" w:hAnsi="Arial" w:cs="Arial"/>
          <w:sz w:val="24"/>
          <w:szCs w:val="24"/>
          <w:lang w:val="en-US"/>
        </w:rPr>
      </w:pPr>
      <w:r w:rsidRPr="00B84270">
        <w:rPr>
          <w:rFonts w:ascii="Arial" w:hAnsi="Arial" w:cs="Arial"/>
          <w:sz w:val="24"/>
          <w:szCs w:val="24"/>
          <w:lang w:val="en-US"/>
        </w:rPr>
        <w:t>T</w:t>
      </w:r>
      <w:r w:rsidR="00525C2B" w:rsidRPr="00B84270">
        <w:rPr>
          <w:rFonts w:ascii="Arial" w:hAnsi="Arial" w:cs="Arial"/>
          <w:sz w:val="24"/>
          <w:szCs w:val="24"/>
          <w:lang w:val="en-US"/>
        </w:rPr>
        <w:t>he no</w:t>
      </w:r>
      <w:r w:rsidR="000D754A" w:rsidRPr="00B84270">
        <w:rPr>
          <w:rFonts w:ascii="Arial" w:hAnsi="Arial" w:cs="Arial"/>
          <w:sz w:val="24"/>
          <w:szCs w:val="24"/>
          <w:lang w:val="en-US"/>
        </w:rPr>
        <w:t xml:space="preserve">vel rec-TfR1 HepG2 cells showed constitutively over-expressed </w:t>
      </w:r>
      <w:r w:rsidR="00525C2B" w:rsidRPr="00B84270">
        <w:rPr>
          <w:rFonts w:ascii="Arial" w:hAnsi="Arial" w:cs="Arial"/>
          <w:sz w:val="24"/>
          <w:szCs w:val="24"/>
          <w:lang w:val="en-US"/>
        </w:rPr>
        <w:t xml:space="preserve">cell-surface </w:t>
      </w:r>
      <w:r w:rsidR="0072491C" w:rsidRPr="00B84270">
        <w:rPr>
          <w:rFonts w:ascii="Arial" w:hAnsi="Arial" w:cs="Arial"/>
          <w:sz w:val="24"/>
          <w:szCs w:val="24"/>
          <w:lang w:val="en-US"/>
        </w:rPr>
        <w:t>TfR1</w:t>
      </w:r>
      <w:r w:rsidR="00525C2B" w:rsidRPr="00B84270">
        <w:rPr>
          <w:rFonts w:ascii="Arial" w:hAnsi="Arial" w:cs="Arial"/>
          <w:sz w:val="24"/>
          <w:szCs w:val="24"/>
          <w:lang w:val="en-US"/>
        </w:rPr>
        <w:t xml:space="preserve"> and higher intracellular iron content than </w:t>
      </w:r>
      <w:r w:rsidR="00FD4846" w:rsidRPr="00B84270">
        <w:rPr>
          <w:rFonts w:ascii="Arial" w:hAnsi="Arial" w:cs="Arial"/>
          <w:sz w:val="24"/>
          <w:szCs w:val="24"/>
          <w:lang w:val="en-US"/>
        </w:rPr>
        <w:t>Wt cells</w:t>
      </w:r>
      <w:r w:rsidR="002B3635" w:rsidRPr="00B84270">
        <w:rPr>
          <w:rFonts w:ascii="Arial" w:hAnsi="Arial" w:cs="Arial"/>
          <w:sz w:val="24"/>
          <w:szCs w:val="24"/>
          <w:lang w:val="en-US"/>
        </w:rPr>
        <w:t xml:space="preserve"> under basal and holo-Tf supplemented conditions</w:t>
      </w:r>
      <w:r w:rsidR="00781C72" w:rsidRPr="00B84270">
        <w:rPr>
          <w:rFonts w:ascii="Arial" w:hAnsi="Arial" w:cs="Arial"/>
          <w:sz w:val="24"/>
          <w:szCs w:val="24"/>
          <w:lang w:val="en-US"/>
        </w:rPr>
        <w:t xml:space="preserve">. However, </w:t>
      </w:r>
      <w:r w:rsidR="00E76DBE" w:rsidRPr="00B84270">
        <w:rPr>
          <w:rFonts w:ascii="Arial" w:hAnsi="Arial" w:cs="Arial"/>
          <w:sz w:val="24"/>
          <w:szCs w:val="24"/>
          <w:lang w:val="en-US"/>
        </w:rPr>
        <w:t>under the condition</w:t>
      </w:r>
      <w:r w:rsidR="00502ED7" w:rsidRPr="00B84270">
        <w:rPr>
          <w:rFonts w:ascii="Arial" w:hAnsi="Arial" w:cs="Arial"/>
          <w:sz w:val="24"/>
          <w:szCs w:val="24"/>
          <w:lang w:val="en-US"/>
        </w:rPr>
        <w:t>s</w:t>
      </w:r>
      <w:r w:rsidR="00E76DBE" w:rsidRPr="00B84270">
        <w:rPr>
          <w:rFonts w:ascii="Arial" w:hAnsi="Arial" w:cs="Arial"/>
          <w:sz w:val="24"/>
          <w:szCs w:val="24"/>
          <w:lang w:val="en-US"/>
        </w:rPr>
        <w:t xml:space="preserve"> studied </w:t>
      </w:r>
      <w:r w:rsidR="00525C2B" w:rsidRPr="00B84270">
        <w:rPr>
          <w:rFonts w:ascii="Arial" w:hAnsi="Arial" w:cs="Arial"/>
          <w:sz w:val="24"/>
          <w:szCs w:val="24"/>
          <w:lang w:val="en-US"/>
        </w:rPr>
        <w:t xml:space="preserve">this </w:t>
      </w:r>
      <w:r w:rsidR="004740AA" w:rsidRPr="00B84270">
        <w:rPr>
          <w:rFonts w:ascii="Arial" w:hAnsi="Arial" w:cs="Arial"/>
          <w:sz w:val="24"/>
          <w:szCs w:val="24"/>
          <w:lang w:val="en-US"/>
        </w:rPr>
        <w:t xml:space="preserve">did not lead to </w:t>
      </w:r>
      <w:r w:rsidR="00187C07" w:rsidRPr="00B84270">
        <w:rPr>
          <w:rFonts w:ascii="Arial" w:hAnsi="Arial" w:cs="Arial"/>
          <w:sz w:val="24"/>
          <w:szCs w:val="24"/>
          <w:lang w:val="en-US"/>
        </w:rPr>
        <w:t xml:space="preserve">higher hepcidin secretion </w:t>
      </w:r>
      <w:r w:rsidR="002B3635" w:rsidRPr="00B84270">
        <w:rPr>
          <w:rFonts w:ascii="Arial" w:hAnsi="Arial" w:cs="Arial"/>
          <w:sz w:val="24"/>
          <w:szCs w:val="24"/>
          <w:lang w:val="en-US"/>
        </w:rPr>
        <w:t xml:space="preserve">levels </w:t>
      </w:r>
      <w:r w:rsidR="00781C72" w:rsidRPr="00B84270">
        <w:rPr>
          <w:rFonts w:ascii="Arial" w:hAnsi="Arial" w:cs="Arial"/>
          <w:sz w:val="24"/>
          <w:szCs w:val="24"/>
          <w:lang w:val="en-US"/>
        </w:rPr>
        <w:t>compared to Wt cells</w:t>
      </w:r>
      <w:r w:rsidR="00E76DBE" w:rsidRPr="00B84270">
        <w:rPr>
          <w:rFonts w:ascii="Arial" w:hAnsi="Arial" w:cs="Arial"/>
          <w:sz w:val="24"/>
          <w:szCs w:val="24"/>
          <w:lang w:val="en-US"/>
        </w:rPr>
        <w:t>, suggesting other regulatory mechanisms are involved</w:t>
      </w:r>
      <w:r w:rsidR="00476E3A" w:rsidRPr="00B84270">
        <w:rPr>
          <w:rFonts w:ascii="Arial" w:hAnsi="Arial" w:cs="Arial"/>
          <w:sz w:val="24"/>
          <w:szCs w:val="24"/>
          <w:lang w:val="en-US"/>
        </w:rPr>
        <w:t xml:space="preserve">. </w:t>
      </w:r>
    </w:p>
    <w:p w:rsidR="002B3635" w:rsidRPr="00B84270" w:rsidRDefault="002B3635" w:rsidP="00E6376A">
      <w:pPr>
        <w:spacing w:after="0" w:line="360" w:lineRule="auto"/>
        <w:rPr>
          <w:rFonts w:ascii="Arial" w:hAnsi="Arial" w:cs="Arial"/>
          <w:sz w:val="24"/>
          <w:szCs w:val="24"/>
          <w:lang w:val="en-US"/>
        </w:rPr>
      </w:pPr>
    </w:p>
    <w:p w:rsidR="00827B4F" w:rsidRPr="00B84270" w:rsidRDefault="00827B4F" w:rsidP="00E6376A">
      <w:pPr>
        <w:spacing w:after="0" w:line="360" w:lineRule="auto"/>
        <w:rPr>
          <w:rFonts w:ascii="Arial" w:hAnsi="Arial" w:cs="Arial"/>
          <w:sz w:val="24"/>
          <w:szCs w:val="24"/>
          <w:lang w:val="en-US"/>
        </w:rPr>
      </w:pPr>
      <w:r w:rsidRPr="00B84270">
        <w:rPr>
          <w:rFonts w:ascii="Arial" w:hAnsi="Arial" w:cs="Arial"/>
          <w:b/>
          <w:sz w:val="24"/>
          <w:szCs w:val="24"/>
        </w:rPr>
        <w:t>Acknowledgements:</w:t>
      </w:r>
      <w:r w:rsidR="008F5BD5" w:rsidRPr="00B84270">
        <w:rPr>
          <w:rFonts w:ascii="Arial" w:hAnsi="Arial" w:cs="Arial"/>
          <w:b/>
          <w:sz w:val="24"/>
          <w:szCs w:val="24"/>
        </w:rPr>
        <w:t xml:space="preserve"> </w:t>
      </w:r>
      <w:r w:rsidRPr="00B84270">
        <w:rPr>
          <w:rFonts w:ascii="Arial" w:hAnsi="Arial" w:cs="Arial"/>
          <w:sz w:val="24"/>
          <w:szCs w:val="24"/>
          <w:lang w:val="en-US"/>
        </w:rPr>
        <w:t>Thanks to Dr Pamela Greenwell (University of Westminster) for advice on real-time PCR.</w:t>
      </w:r>
    </w:p>
    <w:p w:rsidR="00827B4F" w:rsidRPr="00B84270" w:rsidRDefault="00827B4F" w:rsidP="00E6376A">
      <w:pPr>
        <w:spacing w:after="0" w:line="360" w:lineRule="auto"/>
        <w:rPr>
          <w:rFonts w:ascii="Arial" w:hAnsi="Arial" w:cs="Arial"/>
          <w:b/>
          <w:sz w:val="24"/>
          <w:szCs w:val="24"/>
        </w:rPr>
      </w:pPr>
    </w:p>
    <w:p w:rsidR="00827B4F" w:rsidRPr="00B84270" w:rsidRDefault="00827B4F" w:rsidP="00E6376A">
      <w:pPr>
        <w:spacing w:after="0" w:line="360" w:lineRule="auto"/>
        <w:rPr>
          <w:rFonts w:ascii="Arial" w:eastAsia="??" w:hAnsi="Arial" w:cs="Arial"/>
          <w:snapToGrid w:val="0"/>
          <w:sz w:val="24"/>
          <w:szCs w:val="24"/>
          <w:lang w:eastAsia="en-US"/>
        </w:rPr>
      </w:pPr>
      <w:r w:rsidRPr="00B84270">
        <w:rPr>
          <w:rFonts w:ascii="Arial" w:hAnsi="Arial" w:cs="Arial"/>
          <w:b/>
          <w:sz w:val="24"/>
          <w:szCs w:val="24"/>
        </w:rPr>
        <w:t>Financial support:</w:t>
      </w:r>
      <w:r w:rsidRPr="00B84270">
        <w:rPr>
          <w:rFonts w:ascii="Arial" w:hAnsi="Arial" w:cs="Arial"/>
          <w:sz w:val="24"/>
          <w:szCs w:val="24"/>
        </w:rPr>
        <w:t xml:space="preserve"> Dr Kosha Mehta was supported by a scholarship from the University of Westminster.</w:t>
      </w:r>
    </w:p>
    <w:p w:rsidR="00827B4F" w:rsidRPr="00B84270" w:rsidRDefault="00827B4F" w:rsidP="00E6376A">
      <w:pPr>
        <w:spacing w:after="0" w:line="360" w:lineRule="auto"/>
        <w:rPr>
          <w:rFonts w:ascii="Arial" w:hAnsi="Arial" w:cs="Arial"/>
          <w:b/>
          <w:sz w:val="24"/>
          <w:szCs w:val="24"/>
        </w:rPr>
      </w:pPr>
    </w:p>
    <w:p w:rsidR="00827B4F" w:rsidRPr="00B84270" w:rsidRDefault="00827B4F" w:rsidP="00E6376A">
      <w:pPr>
        <w:spacing w:after="0" w:line="360" w:lineRule="auto"/>
        <w:rPr>
          <w:rFonts w:ascii="Arial" w:hAnsi="Arial" w:cs="Arial"/>
          <w:sz w:val="24"/>
          <w:szCs w:val="24"/>
        </w:rPr>
      </w:pPr>
      <w:r w:rsidRPr="00B84270">
        <w:rPr>
          <w:rFonts w:ascii="Arial" w:hAnsi="Arial" w:cs="Arial"/>
          <w:b/>
          <w:sz w:val="24"/>
          <w:szCs w:val="24"/>
        </w:rPr>
        <w:t xml:space="preserve">Conflict of interest: </w:t>
      </w:r>
      <w:r w:rsidRPr="00B84270">
        <w:rPr>
          <w:rFonts w:ascii="Arial" w:hAnsi="Arial" w:cs="Arial"/>
          <w:sz w:val="24"/>
          <w:szCs w:val="24"/>
        </w:rPr>
        <w:t xml:space="preserve">Kosha Mehta, Mark Busbridge, Derek Renshaw, </w:t>
      </w:r>
      <w:r w:rsidRPr="00B84270">
        <w:rPr>
          <w:rFonts w:ascii="Arial" w:hAnsi="Arial" w:cs="Arial"/>
          <w:sz w:val="24"/>
          <w:szCs w:val="24"/>
          <w:lang w:val="en-US"/>
        </w:rPr>
        <w:t>Robert W. Evans</w:t>
      </w:r>
      <w:r w:rsidRPr="00B84270">
        <w:rPr>
          <w:rFonts w:ascii="Arial" w:hAnsi="Arial" w:cs="Arial"/>
          <w:sz w:val="24"/>
          <w:szCs w:val="24"/>
        </w:rPr>
        <w:t xml:space="preserve">, Sebastien Farnaud and Vinood B. Patel declare that they have no conflict of interest. </w:t>
      </w:r>
    </w:p>
    <w:p w:rsidR="00827B4F" w:rsidRPr="00B84270" w:rsidRDefault="00827B4F" w:rsidP="00E6376A">
      <w:pPr>
        <w:spacing w:after="0" w:line="360" w:lineRule="auto"/>
        <w:rPr>
          <w:rFonts w:ascii="Arial" w:hAnsi="Arial" w:cs="Arial"/>
          <w:lang w:val="en-IN"/>
        </w:rPr>
      </w:pPr>
    </w:p>
    <w:p w:rsidR="00827B4F" w:rsidRPr="00B84270" w:rsidRDefault="00827B4F" w:rsidP="00E6376A">
      <w:pPr>
        <w:spacing w:after="0" w:line="360" w:lineRule="auto"/>
        <w:rPr>
          <w:rFonts w:ascii="Arial" w:hAnsi="Arial" w:cs="Arial"/>
          <w:sz w:val="24"/>
          <w:szCs w:val="24"/>
          <w:shd w:val="clear" w:color="auto" w:fill="FFFF00"/>
          <w:lang w:val="en-IN"/>
        </w:rPr>
      </w:pPr>
      <w:r w:rsidRPr="00B84270">
        <w:rPr>
          <w:rFonts w:ascii="Arial" w:hAnsi="Arial" w:cs="Arial"/>
          <w:b/>
          <w:sz w:val="24"/>
          <w:szCs w:val="24"/>
          <w:lang w:val="en-IN"/>
        </w:rPr>
        <w:t xml:space="preserve">Compliance with Ethical Requirements: </w:t>
      </w:r>
      <w:r w:rsidRPr="00B84270">
        <w:rPr>
          <w:rFonts w:ascii="Arial" w:hAnsi="Arial" w:cs="Arial"/>
          <w:sz w:val="24"/>
          <w:szCs w:val="24"/>
          <w:lang w:val="en-IN"/>
        </w:rPr>
        <w:t xml:space="preserve">This article does not contain any studies conducted on human or animal subjects.  </w:t>
      </w:r>
    </w:p>
    <w:p w:rsidR="00476E3A" w:rsidRPr="00B84270" w:rsidRDefault="00476E3A" w:rsidP="00476E3A">
      <w:pPr>
        <w:spacing w:after="0" w:line="360" w:lineRule="auto"/>
        <w:rPr>
          <w:rFonts w:ascii="Arial" w:hAnsi="Arial" w:cs="Arial"/>
          <w:b/>
          <w:sz w:val="24"/>
          <w:szCs w:val="24"/>
        </w:rPr>
      </w:pPr>
    </w:p>
    <w:p w:rsidR="00E6376A" w:rsidRPr="00B84270" w:rsidRDefault="00E6376A" w:rsidP="00476E3A">
      <w:pPr>
        <w:spacing w:after="0" w:line="360" w:lineRule="auto"/>
        <w:rPr>
          <w:rFonts w:ascii="Arial" w:hAnsi="Arial" w:cs="Arial"/>
          <w:b/>
          <w:sz w:val="24"/>
          <w:szCs w:val="24"/>
        </w:rPr>
      </w:pPr>
      <w:r w:rsidRPr="00B84270">
        <w:rPr>
          <w:rFonts w:ascii="Arial" w:hAnsi="Arial" w:cs="Arial"/>
          <w:b/>
          <w:sz w:val="24"/>
          <w:szCs w:val="24"/>
        </w:rPr>
        <w:t xml:space="preserve">Author contributions </w:t>
      </w:r>
    </w:p>
    <w:p w:rsidR="00E6376A" w:rsidRPr="00B84270" w:rsidRDefault="009515FF" w:rsidP="00E6376A">
      <w:pPr>
        <w:spacing w:after="0" w:line="360" w:lineRule="auto"/>
        <w:rPr>
          <w:rFonts w:ascii="Arial" w:hAnsi="Arial" w:cs="Arial"/>
          <w:sz w:val="24"/>
          <w:szCs w:val="24"/>
        </w:rPr>
      </w:pPr>
      <w:r w:rsidRPr="00B84270">
        <w:rPr>
          <w:rFonts w:ascii="Arial" w:hAnsi="Arial" w:cs="Arial"/>
          <w:sz w:val="24"/>
          <w:szCs w:val="24"/>
        </w:rPr>
        <w:t>Dr Kosha Mehta: Key r</w:t>
      </w:r>
      <w:r w:rsidR="00E6376A" w:rsidRPr="00B84270">
        <w:rPr>
          <w:rFonts w:ascii="Arial" w:hAnsi="Arial" w:cs="Arial"/>
          <w:sz w:val="24"/>
          <w:szCs w:val="24"/>
        </w:rPr>
        <w:t xml:space="preserve">esearcher; carried out experimental work and wrote the article  </w:t>
      </w:r>
    </w:p>
    <w:p w:rsidR="00E6376A" w:rsidRPr="00B84270" w:rsidRDefault="00E6376A" w:rsidP="00E6376A">
      <w:pPr>
        <w:spacing w:after="0" w:line="360" w:lineRule="auto"/>
        <w:rPr>
          <w:rFonts w:ascii="Arial" w:hAnsi="Arial" w:cs="Arial"/>
          <w:sz w:val="24"/>
          <w:szCs w:val="24"/>
        </w:rPr>
      </w:pPr>
      <w:r w:rsidRPr="00B84270">
        <w:rPr>
          <w:rFonts w:ascii="Arial" w:hAnsi="Arial" w:cs="Arial"/>
          <w:sz w:val="24"/>
          <w:szCs w:val="24"/>
        </w:rPr>
        <w:t>Dr Mark Busbridge: Measurement of hepcidin peptides</w:t>
      </w:r>
    </w:p>
    <w:p w:rsidR="00E6376A" w:rsidRPr="00B84270" w:rsidRDefault="00E6376A" w:rsidP="00E6376A">
      <w:pPr>
        <w:spacing w:after="0" w:line="360" w:lineRule="auto"/>
        <w:rPr>
          <w:rFonts w:ascii="Arial" w:hAnsi="Arial" w:cs="Arial"/>
          <w:sz w:val="24"/>
          <w:szCs w:val="24"/>
        </w:rPr>
      </w:pPr>
      <w:r w:rsidRPr="00B84270">
        <w:rPr>
          <w:rFonts w:ascii="Arial" w:hAnsi="Arial" w:cs="Arial"/>
          <w:sz w:val="24"/>
          <w:szCs w:val="24"/>
        </w:rPr>
        <w:t xml:space="preserve">Derek Renshaw: Provided protocol for analysis of TfR1 by flow cytometry and provided cell culture facility. </w:t>
      </w:r>
    </w:p>
    <w:p w:rsidR="00E6376A" w:rsidRPr="00B84270" w:rsidRDefault="00E6376A" w:rsidP="00E6376A">
      <w:pPr>
        <w:spacing w:after="0" w:line="360" w:lineRule="auto"/>
        <w:rPr>
          <w:rFonts w:ascii="Arial" w:hAnsi="Arial" w:cs="Arial"/>
          <w:sz w:val="24"/>
          <w:szCs w:val="24"/>
        </w:rPr>
      </w:pPr>
      <w:r w:rsidRPr="00B84270">
        <w:rPr>
          <w:rFonts w:ascii="Arial" w:hAnsi="Arial" w:cs="Arial"/>
          <w:sz w:val="24"/>
          <w:szCs w:val="24"/>
        </w:rPr>
        <w:t>Prof. Robert W. Evans: Helped with the assessment of iron-saturation of holo</w:t>
      </w:r>
      <w:r w:rsidR="00CA24FE" w:rsidRPr="00B84270">
        <w:rPr>
          <w:rFonts w:ascii="Arial" w:hAnsi="Arial" w:cs="Arial"/>
          <w:sz w:val="24"/>
          <w:szCs w:val="24"/>
        </w:rPr>
        <w:t>-Tf</w:t>
      </w:r>
    </w:p>
    <w:p w:rsidR="00E6376A" w:rsidRPr="00B84270" w:rsidRDefault="00E6376A" w:rsidP="00E6376A">
      <w:pPr>
        <w:spacing w:after="0" w:line="360" w:lineRule="auto"/>
        <w:rPr>
          <w:rFonts w:ascii="Arial" w:hAnsi="Arial" w:cs="Arial"/>
          <w:sz w:val="24"/>
          <w:szCs w:val="24"/>
        </w:rPr>
      </w:pPr>
      <w:r w:rsidRPr="00B84270">
        <w:rPr>
          <w:rFonts w:ascii="Arial" w:hAnsi="Arial" w:cs="Arial"/>
          <w:sz w:val="24"/>
          <w:szCs w:val="24"/>
        </w:rPr>
        <w:t xml:space="preserve">Dr Sebastien Farnaud: </w:t>
      </w:r>
      <w:r w:rsidRPr="00B84270">
        <w:rPr>
          <w:rFonts w:ascii="Arial" w:hAnsi="Arial" w:cs="Arial"/>
          <w:sz w:val="24"/>
          <w:szCs w:val="24"/>
          <w:shd w:val="clear" w:color="auto" w:fill="FFFFFF"/>
        </w:rPr>
        <w:t>Concept of the research.</w:t>
      </w:r>
    </w:p>
    <w:p w:rsidR="00E6376A" w:rsidRPr="00B84270" w:rsidRDefault="00E6376A" w:rsidP="00E6376A">
      <w:pPr>
        <w:spacing w:after="0" w:line="360" w:lineRule="auto"/>
        <w:rPr>
          <w:rFonts w:ascii="Arial" w:hAnsi="Arial" w:cs="Arial"/>
          <w:sz w:val="24"/>
          <w:szCs w:val="24"/>
          <w:vertAlign w:val="superscript"/>
        </w:rPr>
      </w:pPr>
      <w:r w:rsidRPr="00B84270">
        <w:rPr>
          <w:rFonts w:ascii="Arial" w:hAnsi="Arial" w:cs="Arial"/>
          <w:sz w:val="24"/>
          <w:szCs w:val="24"/>
        </w:rPr>
        <w:t>Dr Vinood B. Patel: Director of studies and final approver for the version of the article to be published</w:t>
      </w:r>
    </w:p>
    <w:p w:rsidR="00E6376A" w:rsidRPr="00B84270" w:rsidRDefault="00E6376A" w:rsidP="00E6376A">
      <w:pPr>
        <w:autoSpaceDE w:val="0"/>
        <w:autoSpaceDN w:val="0"/>
        <w:adjustRightInd w:val="0"/>
        <w:spacing w:after="0" w:line="360" w:lineRule="auto"/>
        <w:rPr>
          <w:rFonts w:ascii="Arial" w:eastAsia="Calibri" w:hAnsi="Arial" w:cs="Arial"/>
          <w:b/>
          <w:bCs/>
          <w:sz w:val="24"/>
          <w:szCs w:val="24"/>
          <w:lang w:val="en-US" w:eastAsia="en-US"/>
        </w:rPr>
      </w:pPr>
    </w:p>
    <w:p w:rsidR="0025740D" w:rsidRPr="00B84270" w:rsidRDefault="0025740D" w:rsidP="00E6376A">
      <w:pPr>
        <w:autoSpaceDE w:val="0"/>
        <w:autoSpaceDN w:val="0"/>
        <w:adjustRightInd w:val="0"/>
        <w:spacing w:after="0" w:line="360" w:lineRule="auto"/>
        <w:rPr>
          <w:rFonts w:ascii="Arial" w:eastAsia="Calibri" w:hAnsi="Arial" w:cs="Arial"/>
          <w:sz w:val="24"/>
          <w:szCs w:val="24"/>
          <w:lang w:val="en-US" w:eastAsia="en-US"/>
        </w:rPr>
      </w:pPr>
      <w:r w:rsidRPr="00B84270">
        <w:rPr>
          <w:rFonts w:ascii="Arial" w:eastAsia="Calibri" w:hAnsi="Arial" w:cs="Arial"/>
          <w:b/>
          <w:bCs/>
          <w:sz w:val="24"/>
          <w:szCs w:val="24"/>
          <w:lang w:val="en-US" w:eastAsia="en-US"/>
        </w:rPr>
        <w:t>Abbreviations:</w:t>
      </w:r>
      <w:r w:rsidR="008F5BD5" w:rsidRPr="00B84270">
        <w:rPr>
          <w:rFonts w:ascii="Arial" w:eastAsia="Calibri" w:hAnsi="Arial" w:cs="Arial"/>
          <w:b/>
          <w:bCs/>
          <w:sz w:val="24"/>
          <w:szCs w:val="24"/>
          <w:lang w:val="en-US" w:eastAsia="en-US"/>
        </w:rPr>
        <w:t xml:space="preserve"> </w:t>
      </w:r>
      <w:r w:rsidR="00827B4F" w:rsidRPr="00B84270">
        <w:rPr>
          <w:rFonts w:ascii="Arial" w:eastAsia="Calibri" w:hAnsi="Arial" w:cs="Arial"/>
          <w:sz w:val="24"/>
          <w:szCs w:val="24"/>
          <w:lang w:val="en-US" w:eastAsia="en-US"/>
        </w:rPr>
        <w:t xml:space="preserve">EMEM, </w:t>
      </w:r>
      <w:r w:rsidRPr="00B84270">
        <w:rPr>
          <w:rFonts w:ascii="Arial" w:eastAsia="Calibri" w:hAnsi="Arial" w:cs="Arial"/>
          <w:sz w:val="24"/>
          <w:szCs w:val="24"/>
          <w:lang w:val="en-US" w:eastAsia="en-US"/>
        </w:rPr>
        <w:t>Eagle’s minimal essential medium; h, hours; IRE, iron</w:t>
      </w:r>
    </w:p>
    <w:p w:rsidR="0025740D" w:rsidRPr="00B84270" w:rsidRDefault="0025740D" w:rsidP="00E6376A">
      <w:pPr>
        <w:autoSpaceDE w:val="0"/>
        <w:autoSpaceDN w:val="0"/>
        <w:adjustRightInd w:val="0"/>
        <w:spacing w:after="0" w:line="360" w:lineRule="auto"/>
        <w:rPr>
          <w:rFonts w:ascii="Arial" w:eastAsia="Calibri" w:hAnsi="Arial" w:cs="Arial"/>
          <w:sz w:val="24"/>
          <w:szCs w:val="24"/>
          <w:lang w:val="en-US" w:eastAsia="en-US"/>
        </w:rPr>
      </w:pPr>
      <w:r w:rsidRPr="00B84270">
        <w:rPr>
          <w:rFonts w:ascii="Arial" w:eastAsia="Calibri" w:hAnsi="Arial" w:cs="Arial"/>
          <w:sz w:val="24"/>
          <w:szCs w:val="24"/>
          <w:lang w:val="en-US" w:eastAsia="en-US"/>
        </w:rPr>
        <w:lastRenderedPageBreak/>
        <w:t>responsive element; IRP, iron regulatory protein; min, minutes; MTT, 3-(4,5-</w:t>
      </w:r>
    </w:p>
    <w:p w:rsidR="0025740D" w:rsidRPr="00B84270" w:rsidRDefault="0025740D" w:rsidP="00E6376A">
      <w:pPr>
        <w:autoSpaceDE w:val="0"/>
        <w:autoSpaceDN w:val="0"/>
        <w:adjustRightInd w:val="0"/>
        <w:spacing w:after="0" w:line="360" w:lineRule="auto"/>
        <w:rPr>
          <w:rFonts w:ascii="Arial" w:eastAsia="Calibri" w:hAnsi="Arial" w:cs="Arial"/>
          <w:sz w:val="24"/>
          <w:szCs w:val="24"/>
          <w:lang w:val="en-US" w:eastAsia="en-US"/>
        </w:rPr>
      </w:pPr>
      <w:r w:rsidRPr="00B84270">
        <w:rPr>
          <w:rFonts w:ascii="Arial" w:eastAsia="Calibri" w:hAnsi="Arial" w:cs="Arial"/>
          <w:sz w:val="24"/>
          <w:szCs w:val="24"/>
          <w:lang w:val="en-US" w:eastAsia="en-US"/>
        </w:rPr>
        <w:t>Dimethylthiazol-2-yl)-2,5-diphenyltetrazolium bromide; PAGE, polyacrylamide gel</w:t>
      </w:r>
    </w:p>
    <w:p w:rsidR="0025740D" w:rsidRPr="00B84270" w:rsidRDefault="0025740D" w:rsidP="00E6376A">
      <w:pPr>
        <w:autoSpaceDE w:val="0"/>
        <w:autoSpaceDN w:val="0"/>
        <w:adjustRightInd w:val="0"/>
        <w:spacing w:after="0" w:line="360" w:lineRule="auto"/>
        <w:rPr>
          <w:rFonts w:ascii="Arial" w:eastAsia="Calibri" w:hAnsi="Arial" w:cs="Arial"/>
          <w:sz w:val="24"/>
          <w:szCs w:val="24"/>
          <w:lang w:val="en-US" w:eastAsia="en-US"/>
        </w:rPr>
      </w:pPr>
      <w:r w:rsidRPr="00B84270">
        <w:rPr>
          <w:rFonts w:ascii="Arial" w:eastAsia="Calibri" w:hAnsi="Arial" w:cs="Arial"/>
          <w:sz w:val="24"/>
          <w:szCs w:val="24"/>
          <w:lang w:val="en-US" w:eastAsia="en-US"/>
        </w:rPr>
        <w:t>electrophoresis; sec seconds;</w:t>
      </w:r>
      <w:r w:rsidR="00744075" w:rsidRPr="00B84270">
        <w:rPr>
          <w:rFonts w:ascii="Arial" w:eastAsia="Calibri" w:hAnsi="Arial" w:cs="Arial"/>
          <w:sz w:val="24"/>
          <w:szCs w:val="24"/>
          <w:lang w:val="en-US" w:eastAsia="en-US"/>
        </w:rPr>
        <w:t xml:space="preserve"> </w:t>
      </w:r>
      <w:proofErr w:type="spellStart"/>
      <w:r w:rsidR="00744075" w:rsidRPr="00B84270">
        <w:rPr>
          <w:rFonts w:ascii="Arial" w:eastAsia="Calibri" w:hAnsi="Arial" w:cs="Arial"/>
          <w:sz w:val="24"/>
          <w:szCs w:val="24"/>
          <w:lang w:val="en-US" w:eastAsia="en-US"/>
        </w:rPr>
        <w:t>Tf</w:t>
      </w:r>
      <w:proofErr w:type="spellEnd"/>
      <w:r w:rsidR="00744075" w:rsidRPr="00B84270">
        <w:rPr>
          <w:rFonts w:ascii="Arial" w:eastAsia="Calibri" w:hAnsi="Arial" w:cs="Arial"/>
          <w:sz w:val="24"/>
          <w:szCs w:val="24"/>
          <w:lang w:val="en-US" w:eastAsia="en-US"/>
        </w:rPr>
        <w:t xml:space="preserve">, transferrin; </w:t>
      </w:r>
      <w:proofErr w:type="spellStart"/>
      <w:r w:rsidR="00744075" w:rsidRPr="00B84270">
        <w:rPr>
          <w:rFonts w:ascii="Arial" w:eastAsia="Calibri" w:hAnsi="Arial" w:cs="Arial"/>
          <w:sz w:val="24"/>
          <w:szCs w:val="24"/>
          <w:lang w:val="en-US" w:eastAsia="en-US"/>
        </w:rPr>
        <w:t>Tf</w:t>
      </w:r>
      <w:r w:rsidRPr="00B84270">
        <w:rPr>
          <w:rFonts w:ascii="Arial" w:eastAsia="Calibri" w:hAnsi="Arial" w:cs="Arial"/>
          <w:sz w:val="24"/>
          <w:szCs w:val="24"/>
          <w:lang w:val="en-US" w:eastAsia="en-US"/>
        </w:rPr>
        <w:t>R</w:t>
      </w:r>
      <w:proofErr w:type="spellEnd"/>
      <w:r w:rsidRPr="00B84270">
        <w:rPr>
          <w:rFonts w:ascii="Arial" w:eastAsia="Calibri" w:hAnsi="Arial" w:cs="Arial"/>
          <w:sz w:val="24"/>
          <w:szCs w:val="24"/>
          <w:lang w:val="en-US" w:eastAsia="en-US"/>
        </w:rPr>
        <w:t>, transferrin receptor.</w:t>
      </w:r>
    </w:p>
    <w:p w:rsidR="00BF4E9E" w:rsidRPr="00B84270" w:rsidRDefault="00BF4E9E" w:rsidP="00E6376A">
      <w:pPr>
        <w:spacing w:after="0" w:line="360" w:lineRule="auto"/>
        <w:rPr>
          <w:rFonts w:ascii="Arial" w:eastAsia="Calibri" w:hAnsi="Arial" w:cs="Arial"/>
          <w:sz w:val="24"/>
          <w:szCs w:val="24"/>
          <w:lang w:val="en-US" w:eastAsia="en-US"/>
        </w:rPr>
      </w:pPr>
    </w:p>
    <w:p w:rsidR="00BF4E9E" w:rsidRPr="00B84270" w:rsidRDefault="00BF4E9E" w:rsidP="00E6376A">
      <w:pPr>
        <w:autoSpaceDE w:val="0"/>
        <w:autoSpaceDN w:val="0"/>
        <w:adjustRightInd w:val="0"/>
        <w:spacing w:after="0" w:line="360" w:lineRule="auto"/>
        <w:rPr>
          <w:rFonts w:ascii="Arial" w:eastAsia="Calibri" w:hAnsi="Arial" w:cs="Arial"/>
          <w:sz w:val="24"/>
          <w:szCs w:val="24"/>
          <w:lang w:val="en-US" w:eastAsia="en-US"/>
        </w:rPr>
      </w:pPr>
      <w:r w:rsidRPr="00B84270">
        <w:rPr>
          <w:rFonts w:ascii="Arial" w:eastAsia="Calibri" w:hAnsi="Arial" w:cs="Arial"/>
          <w:b/>
          <w:bCs/>
          <w:sz w:val="24"/>
          <w:szCs w:val="24"/>
          <w:lang w:val="en-US" w:eastAsia="en-US"/>
        </w:rPr>
        <w:t>Gene annotations</w:t>
      </w:r>
      <w:r w:rsidRPr="00B84270">
        <w:rPr>
          <w:rFonts w:ascii="Arial" w:eastAsia="Calibri" w:hAnsi="Arial" w:cs="Arial"/>
          <w:sz w:val="24"/>
          <w:szCs w:val="24"/>
          <w:lang w:val="en-US" w:eastAsia="en-US"/>
        </w:rPr>
        <w:t xml:space="preserve">: </w:t>
      </w:r>
      <w:r w:rsidRPr="00B84270">
        <w:rPr>
          <w:rFonts w:ascii="Arial" w:eastAsia="Calibri" w:hAnsi="Arial" w:cs="Arial"/>
          <w:i/>
          <w:iCs/>
          <w:sz w:val="24"/>
          <w:szCs w:val="24"/>
          <w:lang w:val="en-US" w:eastAsia="en-US"/>
        </w:rPr>
        <w:t>HAMP</w:t>
      </w:r>
      <w:r w:rsidRPr="00B84270">
        <w:rPr>
          <w:rFonts w:ascii="Arial" w:eastAsia="Calibri" w:hAnsi="Arial" w:cs="Arial"/>
          <w:sz w:val="24"/>
          <w:szCs w:val="24"/>
          <w:lang w:val="en-US" w:eastAsia="en-US"/>
        </w:rPr>
        <w:t xml:space="preserve">, encoding the peptide hepcidin; </w:t>
      </w:r>
      <w:r w:rsidRPr="00B84270">
        <w:rPr>
          <w:rFonts w:ascii="Arial" w:eastAsia="Calibri" w:hAnsi="Arial" w:cs="Arial"/>
          <w:i/>
          <w:iCs/>
          <w:sz w:val="24"/>
          <w:szCs w:val="24"/>
          <w:lang w:val="en-US" w:eastAsia="en-US"/>
        </w:rPr>
        <w:t xml:space="preserve">HFE </w:t>
      </w:r>
      <w:r w:rsidRPr="00B84270">
        <w:rPr>
          <w:rFonts w:ascii="Arial" w:eastAsia="Calibri" w:hAnsi="Arial" w:cs="Arial"/>
          <w:sz w:val="24"/>
          <w:szCs w:val="24"/>
          <w:lang w:val="en-US" w:eastAsia="en-US"/>
        </w:rPr>
        <w:t>(High iron), gene encoding the</w:t>
      </w:r>
      <w:r w:rsidR="008F5BD5" w:rsidRPr="00B84270">
        <w:rPr>
          <w:rFonts w:ascii="Arial" w:eastAsia="Calibri" w:hAnsi="Arial" w:cs="Arial"/>
          <w:sz w:val="24"/>
          <w:szCs w:val="24"/>
          <w:lang w:val="en-US" w:eastAsia="en-US"/>
        </w:rPr>
        <w:t xml:space="preserve"> </w:t>
      </w:r>
      <w:r w:rsidR="00D0501C" w:rsidRPr="00B84270">
        <w:rPr>
          <w:rFonts w:ascii="Arial" w:eastAsia="Calibri" w:hAnsi="Arial" w:cs="Arial"/>
          <w:sz w:val="24"/>
          <w:szCs w:val="24"/>
          <w:lang w:val="en-US" w:eastAsia="en-US"/>
        </w:rPr>
        <w:t xml:space="preserve">hepcidin-inducing </w:t>
      </w:r>
      <w:r w:rsidR="00B621C3" w:rsidRPr="00B84270">
        <w:rPr>
          <w:rFonts w:ascii="Arial" w:eastAsia="Calibri" w:hAnsi="Arial" w:cs="Arial"/>
          <w:sz w:val="24"/>
          <w:szCs w:val="24"/>
          <w:lang w:val="en-US" w:eastAsia="en-US"/>
        </w:rPr>
        <w:t>he</w:t>
      </w:r>
      <w:r w:rsidRPr="00B84270">
        <w:rPr>
          <w:rFonts w:ascii="Arial" w:eastAsia="Calibri" w:hAnsi="Arial" w:cs="Arial"/>
          <w:sz w:val="24"/>
          <w:szCs w:val="24"/>
          <w:lang w:val="en-US" w:eastAsia="en-US"/>
        </w:rPr>
        <w:t>mochromatosis p</w:t>
      </w:r>
      <w:r w:rsidR="00E90292" w:rsidRPr="00B84270">
        <w:rPr>
          <w:rFonts w:ascii="Arial" w:eastAsia="Calibri" w:hAnsi="Arial" w:cs="Arial"/>
          <w:sz w:val="24"/>
          <w:szCs w:val="24"/>
          <w:lang w:val="en-US" w:eastAsia="en-US"/>
        </w:rPr>
        <w:t xml:space="preserve">rotein </w:t>
      </w:r>
      <w:r w:rsidRPr="00B84270">
        <w:rPr>
          <w:rFonts w:ascii="Arial" w:eastAsia="Calibri" w:hAnsi="Arial" w:cs="Arial"/>
          <w:sz w:val="24"/>
          <w:szCs w:val="24"/>
          <w:lang w:val="en-US" w:eastAsia="en-US"/>
        </w:rPr>
        <w:t xml:space="preserve">HFE; </w:t>
      </w:r>
      <w:r w:rsidRPr="00B84270">
        <w:rPr>
          <w:rFonts w:ascii="Arial" w:eastAsia="Calibri" w:hAnsi="Arial" w:cs="Arial"/>
          <w:i/>
          <w:iCs/>
          <w:sz w:val="24"/>
          <w:szCs w:val="24"/>
          <w:lang w:val="en-US" w:eastAsia="en-US"/>
        </w:rPr>
        <w:t>SLC40A1</w:t>
      </w:r>
      <w:r w:rsidRPr="00B84270">
        <w:rPr>
          <w:rFonts w:ascii="Arial" w:eastAsia="Calibri" w:hAnsi="Arial" w:cs="Arial"/>
          <w:sz w:val="24"/>
          <w:szCs w:val="24"/>
          <w:lang w:val="en-US" w:eastAsia="en-US"/>
        </w:rPr>
        <w:t xml:space="preserve">, gene encoding the </w:t>
      </w:r>
      <w:r w:rsidR="00D0501C" w:rsidRPr="00B84270">
        <w:rPr>
          <w:rFonts w:ascii="Arial" w:eastAsia="Calibri" w:hAnsi="Arial" w:cs="Arial"/>
          <w:sz w:val="24"/>
          <w:szCs w:val="24"/>
          <w:lang w:val="en-US" w:eastAsia="en-US"/>
        </w:rPr>
        <w:t xml:space="preserve">cellular iron-exporter </w:t>
      </w:r>
      <w:r w:rsidRPr="00B84270">
        <w:rPr>
          <w:rFonts w:ascii="Arial" w:eastAsia="Calibri" w:hAnsi="Arial" w:cs="Arial"/>
          <w:sz w:val="24"/>
          <w:szCs w:val="24"/>
          <w:lang w:val="en-US" w:eastAsia="en-US"/>
        </w:rPr>
        <w:t xml:space="preserve">protein ferroportin; </w:t>
      </w:r>
      <w:r w:rsidRPr="00B84270">
        <w:rPr>
          <w:rFonts w:ascii="Arial" w:eastAsia="Calibri" w:hAnsi="Arial" w:cs="Arial"/>
          <w:i/>
          <w:iCs/>
          <w:sz w:val="24"/>
          <w:szCs w:val="24"/>
          <w:lang w:val="en-US" w:eastAsia="en-US"/>
        </w:rPr>
        <w:t>TFR2</w:t>
      </w:r>
      <w:r w:rsidRPr="00B84270">
        <w:rPr>
          <w:rFonts w:ascii="Arial" w:eastAsia="Calibri" w:hAnsi="Arial" w:cs="Arial"/>
          <w:sz w:val="24"/>
          <w:szCs w:val="24"/>
          <w:lang w:val="en-US" w:eastAsia="en-US"/>
        </w:rPr>
        <w:t xml:space="preserve">, gene encoding the </w:t>
      </w:r>
      <w:r w:rsidR="00D0501C" w:rsidRPr="00B84270">
        <w:rPr>
          <w:rFonts w:ascii="Arial" w:eastAsia="Calibri" w:hAnsi="Arial" w:cs="Arial"/>
          <w:sz w:val="24"/>
          <w:szCs w:val="24"/>
          <w:lang w:val="en-US" w:eastAsia="en-US"/>
        </w:rPr>
        <w:t xml:space="preserve">hepcidin-inducing </w:t>
      </w:r>
      <w:r w:rsidRPr="00B84270">
        <w:rPr>
          <w:rFonts w:ascii="Arial" w:eastAsia="Calibri" w:hAnsi="Arial" w:cs="Arial"/>
          <w:sz w:val="24"/>
          <w:szCs w:val="24"/>
          <w:lang w:val="en-US" w:eastAsia="en-US"/>
        </w:rPr>
        <w:t xml:space="preserve">protein transferrin receptor 2 (TFR2); </w:t>
      </w:r>
      <w:r w:rsidRPr="00B84270">
        <w:rPr>
          <w:rFonts w:ascii="Arial" w:eastAsia="Calibri" w:hAnsi="Arial" w:cs="Arial"/>
          <w:i/>
          <w:iCs/>
          <w:sz w:val="24"/>
          <w:szCs w:val="24"/>
          <w:lang w:val="en-US" w:eastAsia="en-US"/>
        </w:rPr>
        <w:t>TFRC</w:t>
      </w:r>
      <w:r w:rsidRPr="00B84270">
        <w:rPr>
          <w:rFonts w:ascii="Arial" w:eastAsia="Calibri" w:hAnsi="Arial" w:cs="Arial"/>
          <w:sz w:val="24"/>
          <w:szCs w:val="24"/>
          <w:lang w:val="en-US" w:eastAsia="en-US"/>
        </w:rPr>
        <w:t>, gene encoding the</w:t>
      </w:r>
      <w:r w:rsidR="00D0501C" w:rsidRPr="00B84270">
        <w:rPr>
          <w:rFonts w:ascii="Arial" w:eastAsia="Calibri" w:hAnsi="Arial" w:cs="Arial"/>
          <w:sz w:val="24"/>
          <w:szCs w:val="24"/>
          <w:lang w:val="en-US" w:eastAsia="en-US"/>
        </w:rPr>
        <w:t xml:space="preserve"> cellular iron-uptake </w:t>
      </w:r>
      <w:r w:rsidRPr="00B84270">
        <w:rPr>
          <w:rFonts w:ascii="Arial" w:eastAsia="Calibri" w:hAnsi="Arial" w:cs="Arial"/>
          <w:sz w:val="24"/>
          <w:szCs w:val="24"/>
          <w:lang w:val="en-US" w:eastAsia="en-US"/>
        </w:rPr>
        <w:t>protein transferrin receptor 1 (TfR1).</w:t>
      </w:r>
    </w:p>
    <w:p w:rsidR="00BF4E9E" w:rsidRPr="00B84270" w:rsidRDefault="00BF4E9E" w:rsidP="00E6376A">
      <w:pPr>
        <w:spacing w:after="0" w:line="360" w:lineRule="auto"/>
        <w:rPr>
          <w:rFonts w:ascii="Arial" w:hAnsi="Arial" w:cs="Arial"/>
          <w:sz w:val="24"/>
          <w:szCs w:val="24"/>
          <w:highlight w:val="yellow"/>
          <w:lang w:val="en-US"/>
        </w:rPr>
      </w:pPr>
    </w:p>
    <w:p w:rsidR="00525C2B" w:rsidRPr="00B84270" w:rsidRDefault="001F152B" w:rsidP="00A1261C">
      <w:pPr>
        <w:pStyle w:val="Heading1"/>
        <w:spacing w:before="0" w:after="0"/>
        <w:rPr>
          <w:rFonts w:cs="Arial"/>
          <w:sz w:val="24"/>
          <w:szCs w:val="24"/>
          <w:lang w:val="en-US" w:eastAsia="zh-CN"/>
        </w:rPr>
      </w:pPr>
      <w:r w:rsidRPr="00B84270">
        <w:rPr>
          <w:rFonts w:cs="Arial"/>
          <w:sz w:val="24"/>
          <w:szCs w:val="24"/>
          <w:lang w:val="en-US" w:eastAsia="zh-CN"/>
        </w:rPr>
        <w:t>References</w:t>
      </w:r>
    </w:p>
    <w:p w:rsidR="006A79EB" w:rsidRPr="00B84270" w:rsidRDefault="006A79EB" w:rsidP="00A1261C">
      <w:pPr>
        <w:spacing w:after="0" w:line="240" w:lineRule="auto"/>
        <w:ind w:left="720" w:hanging="720"/>
        <w:rPr>
          <w:rFonts w:ascii="Arial" w:hAnsi="Arial" w:cs="Arial"/>
          <w:b/>
          <w:sz w:val="24"/>
          <w:szCs w:val="24"/>
        </w:rPr>
      </w:pPr>
    </w:p>
    <w:p w:rsidR="00346081" w:rsidRPr="00B84270" w:rsidRDefault="00614C46" w:rsidP="00346081">
      <w:pPr>
        <w:pStyle w:val="Bibliography"/>
      </w:pPr>
      <w:r w:rsidRPr="00B84270">
        <w:rPr>
          <w:rFonts w:ascii="Arial" w:hAnsi="Arial" w:cs="Arial"/>
          <w:b/>
        </w:rPr>
        <w:fldChar w:fldCharType="begin"/>
      </w:r>
      <w:r w:rsidR="00346081" w:rsidRPr="00B84270">
        <w:rPr>
          <w:rFonts w:ascii="Arial" w:hAnsi="Arial" w:cs="Arial"/>
          <w:b/>
        </w:rPr>
        <w:instrText xml:space="preserve"> ADDIN ZOTERO_BIBL {"custom":[]} CSL_BIBLIOGRAPHY </w:instrText>
      </w:r>
      <w:r w:rsidRPr="00B84270">
        <w:rPr>
          <w:rFonts w:ascii="Arial" w:hAnsi="Arial" w:cs="Arial"/>
          <w:b/>
        </w:rPr>
        <w:fldChar w:fldCharType="separate"/>
      </w:r>
      <w:r w:rsidR="00346081" w:rsidRPr="00B84270">
        <w:t xml:space="preserve">1. </w:t>
      </w:r>
      <w:r w:rsidR="00346081" w:rsidRPr="00B84270">
        <w:tab/>
        <w:t xml:space="preserve">Pigeon C, Ilyin G, Courselaud B, Leroyer P, Turlin B, Brissot P, et al. A new mouse liver-specific gene, encoding a protein homologous to human antimicrobial peptide hepcidin, is overexpressed during iron overload. J Biol Chem. 2001 Mar 16;276(11):7811–9. </w:t>
      </w:r>
    </w:p>
    <w:p w:rsidR="00346081" w:rsidRPr="00B84270" w:rsidRDefault="00346081" w:rsidP="00346081">
      <w:pPr>
        <w:pStyle w:val="Bibliography"/>
      </w:pPr>
      <w:r w:rsidRPr="00B84270">
        <w:t xml:space="preserve">2. </w:t>
      </w:r>
      <w:r w:rsidRPr="00B84270">
        <w:tab/>
        <w:t xml:space="preserve">Park CH, Valore EV, Waring AJ, Ganz T. Hepcidin, a urinary antimicrobial peptide synthesized in the liver. J Biol Chem. 2001 Mar 16;276(11):7806–10. </w:t>
      </w:r>
    </w:p>
    <w:p w:rsidR="00346081" w:rsidRPr="00B84270" w:rsidRDefault="00346081" w:rsidP="00346081">
      <w:pPr>
        <w:pStyle w:val="Bibliography"/>
      </w:pPr>
      <w:r w:rsidRPr="00B84270">
        <w:t xml:space="preserve">3. </w:t>
      </w:r>
      <w:r w:rsidRPr="00B84270">
        <w:tab/>
        <w:t xml:space="preserve">Abboud S, Haile DJ. A novel mammalian iron-regulated protein involved in intracellular iron metabolism. J Biol Chem. 2000 Jun 30;275(26):19906–12. </w:t>
      </w:r>
    </w:p>
    <w:p w:rsidR="00346081" w:rsidRPr="00B84270" w:rsidRDefault="00346081" w:rsidP="00346081">
      <w:pPr>
        <w:pStyle w:val="Bibliography"/>
      </w:pPr>
      <w:r w:rsidRPr="00B84270">
        <w:t xml:space="preserve">4. </w:t>
      </w:r>
      <w:r w:rsidRPr="00B84270">
        <w:tab/>
        <w:t xml:space="preserve">Donovan A, Brownlie A, Zhou Y, Shepard J, Pratt SJ, Moynihan J, et al. Positional cloning of zebrafish ferroportin1 identifies a conserved vertebrate iron exporter. Nature. 2000 Feb 17;403(6771):776–81. </w:t>
      </w:r>
    </w:p>
    <w:p w:rsidR="00346081" w:rsidRPr="00B84270" w:rsidRDefault="00346081" w:rsidP="00346081">
      <w:pPr>
        <w:pStyle w:val="Bibliography"/>
      </w:pPr>
      <w:r w:rsidRPr="00B84270">
        <w:t xml:space="preserve">5. </w:t>
      </w:r>
      <w:r w:rsidRPr="00B84270">
        <w:tab/>
        <w:t xml:space="preserve">Ramey G, Deschemin J-C, Durel B, Canonne-Hergaux F, Nicolas G, Vaulont S. Hepcidin targets ferroportin for degradation in hepatocytes. Haematologica. 2010 Mar;95(3):501–4. </w:t>
      </w:r>
    </w:p>
    <w:p w:rsidR="00346081" w:rsidRPr="00B84270" w:rsidRDefault="00346081" w:rsidP="00346081">
      <w:pPr>
        <w:pStyle w:val="Bibliography"/>
      </w:pPr>
      <w:r w:rsidRPr="00B84270">
        <w:t xml:space="preserve">6. </w:t>
      </w:r>
      <w:r w:rsidRPr="00B84270">
        <w:tab/>
        <w:t xml:space="preserve">Preza GC, Pinon R, Ganz T, Nemeth E. Cellular catabolism of the iron-regulatory peptide hormone hepcidin. PloS One. 2013;8(3):e58934. </w:t>
      </w:r>
    </w:p>
    <w:p w:rsidR="00346081" w:rsidRPr="00B84270" w:rsidRDefault="00346081" w:rsidP="00346081">
      <w:pPr>
        <w:pStyle w:val="Bibliography"/>
      </w:pPr>
      <w:r w:rsidRPr="00B84270">
        <w:t xml:space="preserve">7. </w:t>
      </w:r>
      <w:r w:rsidRPr="00B84270">
        <w:tab/>
        <w:t xml:space="preserve">Pietrangelo A. Hereditary hemochromatosis: pathogenesis, diagnosis, and treatment. Gastroenterology. 2010 Aug;139(2):393–408, 408-2. </w:t>
      </w:r>
    </w:p>
    <w:p w:rsidR="00346081" w:rsidRPr="00B84270" w:rsidRDefault="00346081" w:rsidP="00346081">
      <w:pPr>
        <w:pStyle w:val="Bibliography"/>
      </w:pPr>
      <w:r w:rsidRPr="00B84270">
        <w:t xml:space="preserve">8. </w:t>
      </w:r>
      <w:r w:rsidRPr="00B84270">
        <w:tab/>
        <w:t xml:space="preserve">Ganz T. Hepcidin and iron regulation, 10 years later. Blood. 2011 Apr 28;117(17):4425–33. </w:t>
      </w:r>
    </w:p>
    <w:p w:rsidR="00346081" w:rsidRPr="00B84270" w:rsidRDefault="00346081" w:rsidP="00346081">
      <w:pPr>
        <w:pStyle w:val="Bibliography"/>
      </w:pPr>
      <w:r w:rsidRPr="00B84270">
        <w:t xml:space="preserve">9. </w:t>
      </w:r>
      <w:r w:rsidRPr="00B84270">
        <w:tab/>
        <w:t xml:space="preserve">Costa-Matos L, Batista P, Monteiro N, Simões M, Egas C, Pereira J, et al. Liver hepcidin mRNA expression is inappropriately low in alcoholic patients compared with healthy controls. Eur J Gastroenterol Hepatol. 2012 Oct;24(10):1158–65. </w:t>
      </w:r>
    </w:p>
    <w:p w:rsidR="00346081" w:rsidRPr="00B84270" w:rsidRDefault="00346081" w:rsidP="00346081">
      <w:pPr>
        <w:pStyle w:val="Bibliography"/>
      </w:pPr>
      <w:r w:rsidRPr="00B84270">
        <w:t xml:space="preserve">10. </w:t>
      </w:r>
      <w:r w:rsidRPr="00B84270">
        <w:tab/>
        <w:t xml:space="preserve">Ohtake T, Saito H, Hosoki Y, Inoue M, Miyoshi S, Suzuki Y, et al. Hepcidin is down-regulated in alcohol loading. Alcohol Clin Exp Res. 2007 Jan;31(1 Suppl):S2-8. </w:t>
      </w:r>
    </w:p>
    <w:p w:rsidR="00346081" w:rsidRPr="00B84270" w:rsidRDefault="00346081" w:rsidP="00346081">
      <w:pPr>
        <w:pStyle w:val="Bibliography"/>
      </w:pPr>
      <w:r w:rsidRPr="00B84270">
        <w:t xml:space="preserve">11. </w:t>
      </w:r>
      <w:r w:rsidRPr="00B84270">
        <w:tab/>
        <w:t xml:space="preserve">Ramos E, Kautz L, Rodriguez R, Hansen M, Gabayan V, Ginzburg Y, et al. Evidence for distinct pathways of hepcidin regulation by acute and chronic iron loading in mice. Hepatol Baltim Md. 2011 Apr;53(4):1333–41. </w:t>
      </w:r>
    </w:p>
    <w:p w:rsidR="00346081" w:rsidRPr="00B84270" w:rsidRDefault="00346081" w:rsidP="00346081">
      <w:pPr>
        <w:pStyle w:val="Bibliography"/>
      </w:pPr>
      <w:r w:rsidRPr="00B84270">
        <w:lastRenderedPageBreak/>
        <w:t xml:space="preserve">12. </w:t>
      </w:r>
      <w:r w:rsidRPr="00B84270">
        <w:tab/>
        <w:t xml:space="preserve">Díaz V, Gammella E, Recalcati S, Santambrogio P, Naldi AM, Vogel J, et al. Liver iron modulates hepcidin expression during chronically elevated erythropoiesis in mice. Hepatol Baltim Md. 2013 Dec;58(6):2122–32. </w:t>
      </w:r>
    </w:p>
    <w:p w:rsidR="00346081" w:rsidRPr="00B84270" w:rsidRDefault="00346081" w:rsidP="00346081">
      <w:pPr>
        <w:pStyle w:val="Bibliography"/>
      </w:pPr>
      <w:r w:rsidRPr="00B84270">
        <w:t xml:space="preserve">13. </w:t>
      </w:r>
      <w:r w:rsidRPr="00B84270">
        <w:tab/>
        <w:t xml:space="preserve">Zhao N, Nizzi CP, Anderson SA, Wang J, Ueno A, Tsukamoto H, et al. Low intracellular iron increases the stability of matriptase-2. J Biol Chem. 2015 Feb 13;290(7):4432–46. </w:t>
      </w:r>
    </w:p>
    <w:p w:rsidR="00346081" w:rsidRPr="00B84270" w:rsidRDefault="00346081" w:rsidP="00346081">
      <w:pPr>
        <w:pStyle w:val="Bibliography"/>
      </w:pPr>
      <w:r w:rsidRPr="00B84270">
        <w:t xml:space="preserve">14. </w:t>
      </w:r>
      <w:r w:rsidRPr="00B84270">
        <w:tab/>
        <w:t xml:space="preserve">Farnaud S, Rapisarda C, Bui T, Drake A, Cammack R, Evans RW. Identification of an iron-hepcidin complex. Biochem J. 2008 Aug 1;413(3):553–7. </w:t>
      </w:r>
    </w:p>
    <w:p w:rsidR="00346081" w:rsidRPr="00B84270" w:rsidRDefault="00346081" w:rsidP="00346081">
      <w:pPr>
        <w:pStyle w:val="Bibliography"/>
      </w:pPr>
      <w:r w:rsidRPr="00B84270">
        <w:t xml:space="preserve">15. </w:t>
      </w:r>
      <w:r w:rsidRPr="00B84270">
        <w:tab/>
        <w:t xml:space="preserve">Pietrangelo A. Molecular insights into the pathogenesis of hereditary haemochromatosis. Gut. 2006 Apr;55(4):564–8. </w:t>
      </w:r>
    </w:p>
    <w:p w:rsidR="00346081" w:rsidRPr="00B84270" w:rsidRDefault="00346081" w:rsidP="00346081">
      <w:pPr>
        <w:pStyle w:val="Bibliography"/>
      </w:pPr>
      <w:r w:rsidRPr="00B84270">
        <w:t xml:space="preserve">16. </w:t>
      </w:r>
      <w:r w:rsidRPr="00B84270">
        <w:tab/>
        <w:t xml:space="preserve">D’Alessio F, Hentze MW, Muckenthaler MU. The hemochromatosis proteins HFE, TfR2, and HJV form a membrane-associated protein complex for hepcidin regulation. J Hepatol. 2012 Nov;57(5):1052–60. </w:t>
      </w:r>
    </w:p>
    <w:p w:rsidR="00346081" w:rsidRPr="00B84270" w:rsidRDefault="00346081" w:rsidP="00346081">
      <w:pPr>
        <w:pStyle w:val="Bibliography"/>
      </w:pPr>
      <w:r w:rsidRPr="00B84270">
        <w:t xml:space="preserve">17. </w:t>
      </w:r>
      <w:r w:rsidRPr="00B84270">
        <w:tab/>
        <w:t xml:space="preserve">Schmidt PJ, Fleming MD. Transgenic HFE-dependent induction of hepcidin in mice does not require transferrin receptor-2. Am J Hematol. 2012 Jun;87(6):588–95. </w:t>
      </w:r>
    </w:p>
    <w:p w:rsidR="00346081" w:rsidRPr="00B84270" w:rsidRDefault="00346081" w:rsidP="00346081">
      <w:pPr>
        <w:pStyle w:val="Bibliography"/>
      </w:pPr>
      <w:r w:rsidRPr="00B84270">
        <w:t xml:space="preserve">18. </w:t>
      </w:r>
      <w:r w:rsidRPr="00B84270">
        <w:tab/>
        <w:t xml:space="preserve">Rishi G, Crampton EM, Wallace DF, Subramaniam VN. In situ proximity ligation assays indicate that hemochromatosis proteins Hfe and transferrin receptor 2 (Tfr2) do not interact. PloS One. 2013;8(10):e77267. </w:t>
      </w:r>
    </w:p>
    <w:p w:rsidR="00346081" w:rsidRPr="00B84270" w:rsidRDefault="00346081" w:rsidP="00346081">
      <w:pPr>
        <w:pStyle w:val="Bibliography"/>
      </w:pPr>
      <w:r w:rsidRPr="00B84270">
        <w:t xml:space="preserve">19. </w:t>
      </w:r>
      <w:r w:rsidRPr="00B84270">
        <w:tab/>
        <w:t xml:space="preserve">Muckenthaler MU, Galy B, Hentze MW. Systemic iron homeostasis and the iron-responsive element/iron-regulatory protein (IRE/IRP) regulatory network. Annu Rev Nutr. 2008;28:197–213. </w:t>
      </w:r>
    </w:p>
    <w:p w:rsidR="00346081" w:rsidRPr="00B84270" w:rsidRDefault="00346081" w:rsidP="00346081">
      <w:pPr>
        <w:pStyle w:val="Bibliography"/>
      </w:pPr>
      <w:r w:rsidRPr="00B84270">
        <w:t xml:space="preserve">20. </w:t>
      </w:r>
      <w:r w:rsidRPr="00B84270">
        <w:tab/>
        <w:t xml:space="preserve">Rapisarda C, Puppi J, Hughes RD, Dhawan A, Farnaud S, Evans RW, et al. Transferrin receptor 2 is crucial for iron sensing in human hepatocytes. Am J Physiol Gastrointest Liver Physiol. 2010 Sep;299(3):G778-783. </w:t>
      </w:r>
    </w:p>
    <w:p w:rsidR="00346081" w:rsidRPr="00B84270" w:rsidRDefault="00346081" w:rsidP="00346081">
      <w:pPr>
        <w:pStyle w:val="Bibliography"/>
      </w:pPr>
      <w:r w:rsidRPr="00B84270">
        <w:t xml:space="preserve">21. </w:t>
      </w:r>
      <w:r w:rsidRPr="00B84270">
        <w:tab/>
        <w:t xml:space="preserve">Dzikaite V, Holmström P, Stål P, Eckes K, Hagen K, Eggertsen G, et al. Regulatory effects of tumor necrosis factor-alpha and interleukin-6 on HAMP expression in iron loaded rat hepatocytes. J Hepatol. 2006 Mar;44(3):544–51. </w:t>
      </w:r>
    </w:p>
    <w:p w:rsidR="00346081" w:rsidRPr="00B84270" w:rsidRDefault="00346081" w:rsidP="00346081">
      <w:pPr>
        <w:pStyle w:val="Bibliography"/>
      </w:pPr>
      <w:r w:rsidRPr="00B84270">
        <w:t xml:space="preserve">22. </w:t>
      </w:r>
      <w:r w:rsidRPr="00B84270">
        <w:tab/>
        <w:t xml:space="preserve">Fein E, Merle U, Ehehalt R, Herrmann T, Kulaksiz H. Regulation of hepcidin in HepG2 and RINm5F cells. Peptides. 2007 May;28(5):951–7. </w:t>
      </w:r>
    </w:p>
    <w:p w:rsidR="00346081" w:rsidRPr="00B84270" w:rsidRDefault="00346081" w:rsidP="00346081">
      <w:pPr>
        <w:pStyle w:val="Bibliography"/>
      </w:pPr>
      <w:r w:rsidRPr="00B84270">
        <w:t xml:space="preserve">23. </w:t>
      </w:r>
      <w:r w:rsidRPr="00B84270">
        <w:tab/>
        <w:t xml:space="preserve">Nemeth E, Valore EV, Territo M, Schiller G, Lichtenstein A, Ganz T. Hepcidin, a putative mediator of anemia of inflammation, is a type II acute-phase protein. Blood. 2003 Apr 1;101(7):2461–3. </w:t>
      </w:r>
    </w:p>
    <w:p w:rsidR="00346081" w:rsidRPr="00B84270" w:rsidRDefault="00346081" w:rsidP="00346081">
      <w:pPr>
        <w:pStyle w:val="Bibliography"/>
      </w:pPr>
      <w:r w:rsidRPr="00B84270">
        <w:t xml:space="preserve">24. </w:t>
      </w:r>
      <w:r w:rsidRPr="00B84270">
        <w:tab/>
        <w:t xml:space="preserve">Gehrke SG, Kulaksiz H, Herrmann T, Riedel H-D, Bents K, Veltkamp C, et al. Expression of hepcidin in hereditary hemochromatosis: evidence for a regulation in response to the serum transferrin saturation and to non-transferrin-bound iron. Blood. 2003 Jul 1;102(1):371–6. </w:t>
      </w:r>
    </w:p>
    <w:p w:rsidR="00346081" w:rsidRPr="00B84270" w:rsidRDefault="00346081" w:rsidP="00346081">
      <w:pPr>
        <w:pStyle w:val="Bibliography"/>
      </w:pPr>
      <w:r w:rsidRPr="00B84270">
        <w:t xml:space="preserve">25. </w:t>
      </w:r>
      <w:r w:rsidRPr="00B84270">
        <w:tab/>
        <w:t xml:space="preserve">Riemer J, Hoepken HH, Czerwinska H, Robinson SR, Dringen R. Colorimetric ferrozine-based assay for the quantitation of iron in cultured cells. Anal Biochem. 2004 Aug 15;331(2):370–5. </w:t>
      </w:r>
    </w:p>
    <w:p w:rsidR="00346081" w:rsidRPr="00B84270" w:rsidRDefault="00346081" w:rsidP="00346081">
      <w:pPr>
        <w:pStyle w:val="Bibliography"/>
      </w:pPr>
      <w:r w:rsidRPr="00B84270">
        <w:t xml:space="preserve">26. </w:t>
      </w:r>
      <w:r w:rsidRPr="00B84270">
        <w:tab/>
        <w:t xml:space="preserve">Mosmann T. Rapid colorimetric assay for cellular growth and survival: application to proliferation and cytotoxicity assays. J Immunol Methods. 1983 Dec 16;65(1–2):55–63. </w:t>
      </w:r>
    </w:p>
    <w:p w:rsidR="00346081" w:rsidRPr="00B84270" w:rsidRDefault="00346081" w:rsidP="00346081">
      <w:pPr>
        <w:pStyle w:val="Bibliography"/>
      </w:pPr>
      <w:r w:rsidRPr="00B84270">
        <w:t xml:space="preserve">27. </w:t>
      </w:r>
      <w:r w:rsidRPr="00B84270">
        <w:tab/>
        <w:t xml:space="preserve">Murphy MP. How mitochondria produce reactive oxygen species. Biochem J. 2009 Jan 1;417(Pt 1):1–13. </w:t>
      </w:r>
    </w:p>
    <w:p w:rsidR="00346081" w:rsidRPr="00B84270" w:rsidRDefault="00346081" w:rsidP="00346081">
      <w:pPr>
        <w:pStyle w:val="Bibliography"/>
      </w:pPr>
      <w:r w:rsidRPr="00B84270">
        <w:lastRenderedPageBreak/>
        <w:t xml:space="preserve">28. </w:t>
      </w:r>
      <w:r w:rsidRPr="00B84270">
        <w:tab/>
        <w:t xml:space="preserve">Gao X, Campian JL, Qian M, Sun X-F, Eaton JW. Mitochondrial DNA Damage in Iron  Overload. J Biol Chem. 2009 Feb 20;284(8):4767–75. </w:t>
      </w:r>
    </w:p>
    <w:p w:rsidR="00346081" w:rsidRPr="00B84270" w:rsidRDefault="00346081" w:rsidP="00346081">
      <w:pPr>
        <w:pStyle w:val="Bibliography"/>
      </w:pPr>
      <w:r w:rsidRPr="00B84270">
        <w:t xml:space="preserve">29. </w:t>
      </w:r>
      <w:r w:rsidRPr="00B84270">
        <w:tab/>
        <w:t xml:space="preserve">Lee HJ, Choi JS, Lee HJ, Kim W-H, Park SI, Song J. Effect of excess iron on oxidative stress and gluconeogenesis through hepcidin during mitochondrial dysfunction. J Nutr Biochem. 2015 Dec;26(12):1414–23. </w:t>
      </w:r>
    </w:p>
    <w:p w:rsidR="00346081" w:rsidRPr="00B84270" w:rsidRDefault="00346081" w:rsidP="00346081">
      <w:pPr>
        <w:pStyle w:val="Bibliography"/>
      </w:pPr>
      <w:r w:rsidRPr="00B84270">
        <w:t xml:space="preserve">30. </w:t>
      </w:r>
      <w:r w:rsidRPr="00B84270">
        <w:tab/>
        <w:t xml:space="preserve">Rosignoli G, Lim CH, Bower M, Gotch F, Imami N. Programmed death (PD)-1 molecule and its ligand PD-L1 distribution among memory CD4 and CD8 T cell subsets in human immunodeficiency virus-1-infected individuals. Clin Exp Immunol. 2009 Jul;157(1):90–7. </w:t>
      </w:r>
    </w:p>
    <w:p w:rsidR="00346081" w:rsidRPr="00B84270" w:rsidRDefault="00346081" w:rsidP="00346081">
      <w:pPr>
        <w:pStyle w:val="Bibliography"/>
      </w:pPr>
      <w:r w:rsidRPr="00B84270">
        <w:t xml:space="preserve">31. </w:t>
      </w:r>
      <w:r w:rsidRPr="00B84270">
        <w:tab/>
        <w:t xml:space="preserve">Livak KJ, Schmittgen TD. Analysis of relative gene expression data using real-time quantitative PCR and the 2(-Delta Delta C(T)) Method. Methods San Diego Calif. 2001 Dec;25(4):402–8. </w:t>
      </w:r>
    </w:p>
    <w:p w:rsidR="00346081" w:rsidRPr="00B84270" w:rsidRDefault="00346081" w:rsidP="00346081">
      <w:pPr>
        <w:pStyle w:val="Bibliography"/>
      </w:pPr>
      <w:r w:rsidRPr="00B84270">
        <w:t xml:space="preserve">32. </w:t>
      </w:r>
      <w:r w:rsidRPr="00B84270">
        <w:tab/>
        <w:t xml:space="preserve">Busbridge M, Griffiths C, Ashby D, Gale D, Jayantha A, Sanwaiya A, et al. Development of a novel immunoassay for the iron regulatory peptide hepcidin. Br J Biomed Sci. 2009;66(3):150–7. </w:t>
      </w:r>
    </w:p>
    <w:p w:rsidR="00346081" w:rsidRPr="00B84270" w:rsidRDefault="00346081" w:rsidP="00346081">
      <w:pPr>
        <w:pStyle w:val="Bibliography"/>
      </w:pPr>
      <w:r w:rsidRPr="00B84270">
        <w:t xml:space="preserve">33. </w:t>
      </w:r>
      <w:r w:rsidRPr="00B84270">
        <w:tab/>
        <w:t xml:space="preserve">Casey JL, Hentze MW, Koeller DM, Caughman SW, Rouault TA, Klausner RD, et al. Iron-responsive elements: regulatory RNA sequences that control mRNA levels and translation. Science. 1988 May 13;240(4854):924–8. </w:t>
      </w:r>
    </w:p>
    <w:p w:rsidR="00346081" w:rsidRPr="00B84270" w:rsidRDefault="00346081" w:rsidP="00346081">
      <w:pPr>
        <w:pStyle w:val="Bibliography"/>
      </w:pPr>
      <w:r w:rsidRPr="00B84270">
        <w:t xml:space="preserve">34. </w:t>
      </w:r>
      <w:r w:rsidRPr="00B84270">
        <w:tab/>
        <w:t xml:space="preserve">Jacolot S, Férec C, Mura C. Iron responses in hepatic, intestinal and macrophage/monocyte cell lines under different culture conditions. Blood Cells Mol Dis. 2008 Aug;41(1):100–8. </w:t>
      </w:r>
    </w:p>
    <w:p w:rsidR="00346081" w:rsidRPr="00B84270" w:rsidRDefault="00346081" w:rsidP="00346081">
      <w:pPr>
        <w:pStyle w:val="Bibliography"/>
      </w:pPr>
      <w:r w:rsidRPr="00B84270">
        <w:t xml:space="preserve">35. </w:t>
      </w:r>
      <w:r w:rsidRPr="00B84270">
        <w:tab/>
        <w:t xml:space="preserve">Pantopoulos K. Iron metabolism and the IRE/IRP regulatory system: an update. Ann N Y Acad Sci. 2004 Mar;1012:1–13. </w:t>
      </w:r>
    </w:p>
    <w:p w:rsidR="00346081" w:rsidRPr="00B84270" w:rsidRDefault="00346081" w:rsidP="00346081">
      <w:pPr>
        <w:pStyle w:val="Bibliography"/>
      </w:pPr>
      <w:r w:rsidRPr="00B84270">
        <w:t xml:space="preserve">36. </w:t>
      </w:r>
      <w:r w:rsidRPr="00B84270">
        <w:tab/>
        <w:t xml:space="preserve">Lin L, Valore EV, Nemeth E, Goodnough JB, Gabayan V, Ganz T. Iron transferrin regulates hepcidin synthesis in primary hepatocyte culture through hemojuvelin and BMP2/4. Blood. 2007 Sep 15;110(6):2182–9. </w:t>
      </w:r>
    </w:p>
    <w:p w:rsidR="00346081" w:rsidRPr="00B84270" w:rsidRDefault="00346081" w:rsidP="00346081">
      <w:pPr>
        <w:pStyle w:val="Bibliography"/>
      </w:pPr>
      <w:r w:rsidRPr="00B84270">
        <w:t xml:space="preserve">37. </w:t>
      </w:r>
      <w:r w:rsidRPr="00B84270">
        <w:tab/>
        <w:t xml:space="preserve">Ganz T, Olbina G, Girelli D, Nemeth E, Westerman M. Immunoassay for human serum hepcidin. Blood. 2008 Nov 15;112(10):4292–7. </w:t>
      </w:r>
    </w:p>
    <w:p w:rsidR="00346081" w:rsidRPr="00B84270" w:rsidRDefault="00346081" w:rsidP="00346081">
      <w:pPr>
        <w:pStyle w:val="Bibliography"/>
      </w:pPr>
      <w:r w:rsidRPr="00B84270">
        <w:t xml:space="preserve">38. </w:t>
      </w:r>
      <w:r w:rsidRPr="00B84270">
        <w:tab/>
        <w:t xml:space="preserve">Girelli D, Trombini P, Busti F, Campostrini N, Sandri M, Pelucchi S, et al. A time course of hepcidin response to iron challenge in patients with HFE and TFR2 hemochromatosis. Haematologica. 2011 Apr;96(4):500–6. </w:t>
      </w:r>
    </w:p>
    <w:p w:rsidR="00346081" w:rsidRPr="00B84270" w:rsidRDefault="00346081" w:rsidP="00346081">
      <w:pPr>
        <w:pStyle w:val="Bibliography"/>
      </w:pPr>
      <w:r w:rsidRPr="00B84270">
        <w:t xml:space="preserve">39. </w:t>
      </w:r>
      <w:r w:rsidRPr="00B84270">
        <w:tab/>
        <w:t xml:space="preserve">Choi HS, Song SH, Lee JH, Kim H-J, Yang HR. Serum hepcidin levels and iron parameters in children with iron deficiency. Korean J Hematol. 2012 Dec;47(4):286–92. </w:t>
      </w:r>
    </w:p>
    <w:p w:rsidR="00346081" w:rsidRPr="00B84270" w:rsidRDefault="00346081" w:rsidP="00346081">
      <w:pPr>
        <w:pStyle w:val="Bibliography"/>
      </w:pPr>
      <w:r w:rsidRPr="00B84270">
        <w:t xml:space="preserve">40. </w:t>
      </w:r>
      <w:r w:rsidRPr="00B84270">
        <w:tab/>
        <w:t xml:space="preserve">Feder JN, Penny DM, Irrinki A, Lee VK, Lebrón JA, Watson N, et al. The hemochromatosis gene product complexes with the transferrin receptor and lowers its affinity for ligand binding. Proc Natl Acad Sci U S A. 1998 Feb 17;95(4):1472–7. </w:t>
      </w:r>
    </w:p>
    <w:p w:rsidR="00346081" w:rsidRPr="00B84270" w:rsidRDefault="00346081" w:rsidP="00346081">
      <w:pPr>
        <w:pStyle w:val="Bibliography"/>
      </w:pPr>
      <w:r w:rsidRPr="00B84270">
        <w:t xml:space="preserve">41. </w:t>
      </w:r>
      <w:r w:rsidRPr="00B84270">
        <w:tab/>
        <w:t xml:space="preserve">Goswami T, Andrews NC. Hereditary hemochromatosis protein, HFE, interaction with transferrin receptor 2 suggests a molecular mechanism for mammalian iron sensing. J Biol Chem. 2006 Sep 29;281(39):28494–8. </w:t>
      </w:r>
    </w:p>
    <w:p w:rsidR="00346081" w:rsidRPr="00B84270" w:rsidRDefault="00346081" w:rsidP="00346081">
      <w:pPr>
        <w:pStyle w:val="Bibliography"/>
      </w:pPr>
      <w:r w:rsidRPr="00B84270">
        <w:t xml:space="preserve">42. </w:t>
      </w:r>
      <w:r w:rsidRPr="00B84270">
        <w:tab/>
        <w:t xml:space="preserve">Waheed A, Grubb JH, Zhou XY, Tomatsu S, Fleming RE, Costaldi ME, et al. Regulation of transferrin-mediated iron uptake by HFE, the protein defective in hereditary hemochromatosis. Proc Natl Acad Sci U S A. 2002 Mar 5;99(5):3117–22. </w:t>
      </w:r>
    </w:p>
    <w:p w:rsidR="00346081" w:rsidRPr="00B84270" w:rsidRDefault="00346081" w:rsidP="00346081">
      <w:pPr>
        <w:pStyle w:val="Bibliography"/>
      </w:pPr>
      <w:r w:rsidRPr="00B84270">
        <w:lastRenderedPageBreak/>
        <w:t xml:space="preserve">43. </w:t>
      </w:r>
      <w:r w:rsidRPr="00B84270">
        <w:tab/>
        <w:t xml:space="preserve">Schmidt PJ, Toran PT, Giannetti AM, Bjorkman PJ, Andrews NC. The transferrin receptor modulates Hfe-dependent regulation of hepcidin expression. Cell Metab. 2008 Mar;7(3):205–14. </w:t>
      </w:r>
    </w:p>
    <w:p w:rsidR="00346081" w:rsidRPr="00B84270" w:rsidRDefault="00346081" w:rsidP="00346081">
      <w:pPr>
        <w:pStyle w:val="Bibliography"/>
      </w:pPr>
      <w:r w:rsidRPr="00B84270">
        <w:t xml:space="preserve">44. </w:t>
      </w:r>
      <w:r w:rsidRPr="00B84270">
        <w:tab/>
        <w:t xml:space="preserve">Nemeth E, Roetto A, Garozzo G, Ganz T, Camaschella C. Hepcidin is decreased in TFR2 hemochromatosis. Blood. 2005 Feb 15;105(4):1803–6. </w:t>
      </w:r>
    </w:p>
    <w:p w:rsidR="00346081" w:rsidRPr="00B84270" w:rsidRDefault="00346081" w:rsidP="00346081">
      <w:pPr>
        <w:pStyle w:val="Bibliography"/>
      </w:pPr>
      <w:r w:rsidRPr="00B84270">
        <w:t xml:space="preserve">45. </w:t>
      </w:r>
      <w:r w:rsidRPr="00B84270">
        <w:tab/>
        <w:t xml:space="preserve">Bartnikas TB, Andrews NC, Fleming MD. Transferrin is a major determinant of hepcidin expression in hypotransferrinemic mice. Blood. 2011 Jan 13;117(2):630–7. </w:t>
      </w:r>
    </w:p>
    <w:p w:rsidR="00346081" w:rsidRPr="00B84270" w:rsidRDefault="00346081" w:rsidP="00346081">
      <w:pPr>
        <w:pStyle w:val="Bibliography"/>
      </w:pPr>
      <w:r w:rsidRPr="00B84270">
        <w:t xml:space="preserve">46. </w:t>
      </w:r>
      <w:r w:rsidRPr="00B84270">
        <w:tab/>
        <w:t>Li H, Ginzburg YZ. Crosstalk between Iron Metabolism and Erythropoiesis. Adv Hematol [Internet]. 2010 [cited 2016 Jun 9];2010. Available from: http://www.ncbi.nlm.nih.gov/pmc/articles/PMC2902017/</w:t>
      </w:r>
    </w:p>
    <w:p w:rsidR="00346081" w:rsidRPr="00B84270" w:rsidRDefault="00346081" w:rsidP="00346081">
      <w:pPr>
        <w:pStyle w:val="Bibliography"/>
      </w:pPr>
      <w:r w:rsidRPr="00B84270">
        <w:t xml:space="preserve">47. </w:t>
      </w:r>
      <w:r w:rsidRPr="00B84270">
        <w:tab/>
        <w:t xml:space="preserve">Berlin T, Meyer A, Rotman-Pikielny P, Natur A, Levy Y. Soluble transferrin receptor as a diagnostic laboratory test for detection of iron deficiency anemia in acute illness of hospitalized patients. Isr Med Assoc J IMAJ. 2011 Feb;13(2):96–8. </w:t>
      </w:r>
    </w:p>
    <w:p w:rsidR="00346081" w:rsidRPr="00B84270" w:rsidRDefault="00346081" w:rsidP="00346081">
      <w:pPr>
        <w:pStyle w:val="Bibliography"/>
      </w:pPr>
      <w:r w:rsidRPr="00B84270">
        <w:t xml:space="preserve">48. </w:t>
      </w:r>
      <w:r w:rsidRPr="00B84270">
        <w:tab/>
        <w:t xml:space="preserve">Vujić M. Molecular basis of HFE-hemochromatosis. Front Pharmacol. 2014;5:42. </w:t>
      </w:r>
    </w:p>
    <w:p w:rsidR="00346081" w:rsidRPr="00B84270" w:rsidRDefault="00346081" w:rsidP="00346081">
      <w:pPr>
        <w:pStyle w:val="Bibliography"/>
      </w:pPr>
      <w:r w:rsidRPr="00B84270">
        <w:t xml:space="preserve">49. </w:t>
      </w:r>
      <w:r w:rsidRPr="00B84270">
        <w:tab/>
        <w:t xml:space="preserve">Bridle KR, Frazer DM, Wilkins SJ, Dixon JL, Purdie DM, Crawford DHG, et al. Disrupted hepcidin regulation in HFE-associated haemochromatosis and the liver as a regulator of body iron homoeostasis. Lancet Lond Engl. 2003 Feb 22;361(9358):669–73. </w:t>
      </w:r>
    </w:p>
    <w:p w:rsidR="003E06E6" w:rsidRPr="00B84270" w:rsidRDefault="00614C46" w:rsidP="00320782">
      <w:pPr>
        <w:spacing w:after="0" w:line="360" w:lineRule="auto"/>
        <w:ind w:left="720" w:hanging="720"/>
        <w:rPr>
          <w:rFonts w:ascii="Arial" w:hAnsi="Arial" w:cs="Arial"/>
          <w:b/>
          <w:sz w:val="24"/>
          <w:szCs w:val="24"/>
        </w:rPr>
      </w:pPr>
      <w:r w:rsidRPr="00B84270">
        <w:rPr>
          <w:rFonts w:ascii="Arial" w:hAnsi="Arial" w:cs="Arial"/>
          <w:b/>
          <w:sz w:val="24"/>
          <w:szCs w:val="24"/>
        </w:rPr>
        <w:fldChar w:fldCharType="end"/>
      </w:r>
    </w:p>
    <w:p w:rsidR="00320782" w:rsidRPr="00B84270" w:rsidRDefault="00320782" w:rsidP="00320782">
      <w:pPr>
        <w:spacing w:after="0" w:line="360" w:lineRule="auto"/>
        <w:ind w:left="720" w:hanging="720"/>
        <w:rPr>
          <w:rFonts w:ascii="Arial" w:hAnsi="Arial" w:cs="Arial"/>
          <w:b/>
          <w:sz w:val="24"/>
          <w:szCs w:val="24"/>
        </w:rPr>
      </w:pPr>
      <w:r w:rsidRPr="00B84270">
        <w:rPr>
          <w:rFonts w:ascii="Arial" w:hAnsi="Arial" w:cs="Arial"/>
          <w:b/>
          <w:sz w:val="24"/>
          <w:szCs w:val="24"/>
        </w:rPr>
        <w:t xml:space="preserve">Figure captions  </w:t>
      </w:r>
    </w:p>
    <w:p w:rsidR="006A79EB" w:rsidRPr="00B84270" w:rsidRDefault="00320782" w:rsidP="00320782">
      <w:pPr>
        <w:pStyle w:val="HTMLPreformatted"/>
        <w:spacing w:line="360" w:lineRule="auto"/>
        <w:rPr>
          <w:rFonts w:ascii="Arial" w:hAnsi="Arial" w:cs="Arial"/>
          <w:sz w:val="24"/>
          <w:szCs w:val="24"/>
          <w:lang w:val="en-GB" w:eastAsia="en-GB"/>
        </w:rPr>
      </w:pPr>
      <w:r w:rsidRPr="00B84270">
        <w:rPr>
          <w:rFonts w:ascii="Arial" w:hAnsi="Arial" w:cs="Arial"/>
          <w:sz w:val="24"/>
          <w:szCs w:val="24"/>
          <w:lang w:val="en-GB" w:eastAsia="en-GB"/>
        </w:rPr>
        <w:t xml:space="preserve">Fig.1 </w:t>
      </w:r>
      <w:r w:rsidR="006A79EB" w:rsidRPr="00B84270">
        <w:rPr>
          <w:rFonts w:ascii="Arial" w:hAnsi="Arial" w:cs="Arial"/>
          <w:sz w:val="24"/>
          <w:szCs w:val="24"/>
          <w:lang w:val="en-GB" w:eastAsia="en-GB"/>
        </w:rPr>
        <w:t xml:space="preserve">Basal iron-related </w:t>
      </w:r>
      <w:r w:rsidR="00B714A3" w:rsidRPr="00B84270">
        <w:rPr>
          <w:rFonts w:ascii="Arial" w:hAnsi="Arial" w:cs="Arial"/>
          <w:sz w:val="24"/>
          <w:szCs w:val="24"/>
          <w:lang w:val="en-GB" w:eastAsia="en-GB"/>
        </w:rPr>
        <w:t xml:space="preserve">cellular </w:t>
      </w:r>
      <w:r w:rsidR="006A79EB" w:rsidRPr="00B84270">
        <w:rPr>
          <w:rFonts w:ascii="Arial" w:hAnsi="Arial" w:cs="Arial"/>
          <w:sz w:val="24"/>
          <w:szCs w:val="24"/>
          <w:lang w:val="en-GB" w:eastAsia="en-GB"/>
        </w:rPr>
        <w:t xml:space="preserve">parameters in rec-TfR1 HepG2 cells </w:t>
      </w:r>
    </w:p>
    <w:p w:rsidR="006A79EB" w:rsidRPr="00B84270" w:rsidRDefault="00320782" w:rsidP="00320782">
      <w:pPr>
        <w:pStyle w:val="HTMLPreformatted"/>
        <w:spacing w:line="360" w:lineRule="auto"/>
        <w:rPr>
          <w:rFonts w:ascii="Arial" w:hAnsi="Arial" w:cs="Arial"/>
          <w:sz w:val="24"/>
          <w:szCs w:val="24"/>
          <w:lang w:val="en-GB" w:eastAsia="en-GB"/>
        </w:rPr>
      </w:pPr>
      <w:r w:rsidRPr="00B84270">
        <w:rPr>
          <w:rFonts w:ascii="Arial" w:hAnsi="Arial" w:cs="Arial"/>
          <w:sz w:val="24"/>
          <w:szCs w:val="24"/>
          <w:lang w:val="en-GB" w:eastAsia="en-GB"/>
        </w:rPr>
        <w:t xml:space="preserve">Fig.2 </w:t>
      </w:r>
      <w:r w:rsidR="006A79EB" w:rsidRPr="00B84270">
        <w:rPr>
          <w:rFonts w:ascii="Arial" w:hAnsi="Arial" w:cs="Arial"/>
          <w:sz w:val="24"/>
          <w:szCs w:val="24"/>
          <w:lang w:val="en-GB" w:eastAsia="en-GB"/>
        </w:rPr>
        <w:t xml:space="preserve">Cell-surface expression of TfR1 following holo-Tf treatment </w:t>
      </w:r>
    </w:p>
    <w:p w:rsidR="007753E7" w:rsidRPr="00B84270" w:rsidRDefault="005E516A" w:rsidP="00320782">
      <w:pPr>
        <w:pStyle w:val="HTMLPreformatted"/>
        <w:spacing w:line="360" w:lineRule="auto"/>
        <w:rPr>
          <w:rFonts w:ascii="Arial" w:hAnsi="Arial" w:cs="Arial"/>
          <w:sz w:val="24"/>
          <w:szCs w:val="24"/>
          <w:lang w:val="en-GB" w:eastAsia="en-GB"/>
        </w:rPr>
      </w:pPr>
      <w:r w:rsidRPr="00B84270">
        <w:rPr>
          <w:rFonts w:ascii="Arial" w:hAnsi="Arial" w:cs="Arial"/>
          <w:sz w:val="24"/>
          <w:szCs w:val="24"/>
          <w:lang w:val="en-GB" w:eastAsia="en-GB"/>
        </w:rPr>
        <w:t>Fig</w:t>
      </w:r>
      <w:r w:rsidR="00B714A3" w:rsidRPr="00B84270">
        <w:rPr>
          <w:rFonts w:ascii="Arial" w:hAnsi="Arial" w:cs="Arial"/>
          <w:sz w:val="24"/>
          <w:szCs w:val="24"/>
          <w:lang w:val="en-GB" w:eastAsia="en-GB"/>
        </w:rPr>
        <w:t>.</w:t>
      </w:r>
      <w:r w:rsidR="007753E7" w:rsidRPr="00B84270">
        <w:rPr>
          <w:rFonts w:ascii="Arial" w:hAnsi="Arial" w:cs="Arial"/>
          <w:sz w:val="24"/>
          <w:szCs w:val="24"/>
          <w:lang w:val="en-GB" w:eastAsia="en-GB"/>
        </w:rPr>
        <w:t>3</w:t>
      </w:r>
      <w:r w:rsidR="00A81B10" w:rsidRPr="00B84270">
        <w:rPr>
          <w:rFonts w:ascii="Arial" w:hAnsi="Arial" w:cs="Arial"/>
          <w:sz w:val="24"/>
          <w:szCs w:val="24"/>
          <w:lang w:val="en-GB" w:eastAsia="en-GB"/>
        </w:rPr>
        <w:t xml:space="preserve"> </w:t>
      </w:r>
      <w:r w:rsidR="007753E7" w:rsidRPr="00B84270">
        <w:rPr>
          <w:rFonts w:ascii="Arial" w:hAnsi="Arial" w:cs="Arial"/>
          <w:sz w:val="24"/>
          <w:szCs w:val="24"/>
          <w:lang w:val="en-GB" w:eastAsia="en-GB"/>
        </w:rPr>
        <w:t xml:space="preserve">mRNA expression of </w:t>
      </w:r>
      <w:r w:rsidR="007753E7" w:rsidRPr="00B84270">
        <w:rPr>
          <w:rFonts w:ascii="Arial" w:hAnsi="Arial" w:cs="Arial"/>
          <w:i/>
          <w:sz w:val="24"/>
          <w:szCs w:val="24"/>
          <w:lang w:val="en-GB" w:eastAsia="en-GB"/>
        </w:rPr>
        <w:t>TFRC</w:t>
      </w:r>
      <w:r w:rsidR="007753E7" w:rsidRPr="00B84270">
        <w:rPr>
          <w:rFonts w:ascii="Arial" w:hAnsi="Arial" w:cs="Arial"/>
          <w:sz w:val="24"/>
          <w:szCs w:val="24"/>
          <w:lang w:val="en-GB" w:eastAsia="en-GB"/>
        </w:rPr>
        <w:t xml:space="preserve"> following holo-Tf treatment</w:t>
      </w:r>
    </w:p>
    <w:p w:rsidR="00B714A3" w:rsidRPr="00B84270" w:rsidRDefault="007753E7" w:rsidP="00320782">
      <w:pPr>
        <w:pStyle w:val="HTMLPreformatted"/>
        <w:spacing w:line="360" w:lineRule="auto"/>
        <w:rPr>
          <w:rFonts w:ascii="Arial" w:hAnsi="Arial" w:cs="Arial"/>
          <w:sz w:val="24"/>
          <w:szCs w:val="24"/>
          <w:lang w:val="en-GB" w:eastAsia="en-GB"/>
        </w:rPr>
      </w:pPr>
      <w:r w:rsidRPr="00B84270">
        <w:rPr>
          <w:rFonts w:ascii="Arial" w:hAnsi="Arial" w:cs="Arial"/>
          <w:sz w:val="24"/>
          <w:szCs w:val="24"/>
          <w:lang w:val="en-GB" w:eastAsia="en-GB"/>
        </w:rPr>
        <w:t xml:space="preserve">Fig.4 </w:t>
      </w:r>
      <w:r w:rsidR="00B714A3" w:rsidRPr="00B84270">
        <w:rPr>
          <w:rFonts w:ascii="Arial" w:hAnsi="Arial" w:cs="Arial"/>
          <w:sz w:val="24"/>
          <w:szCs w:val="24"/>
          <w:lang w:val="en-GB" w:eastAsia="en-GB"/>
        </w:rPr>
        <w:t>Intracellular iron levels following holo-Tf treatment</w:t>
      </w:r>
    </w:p>
    <w:p w:rsidR="005E516A" w:rsidRPr="00B84270" w:rsidRDefault="00B714A3" w:rsidP="00320782">
      <w:pPr>
        <w:pStyle w:val="HTMLPreformatted"/>
        <w:spacing w:line="360" w:lineRule="auto"/>
        <w:rPr>
          <w:rFonts w:ascii="Arial" w:hAnsi="Arial" w:cs="Arial"/>
          <w:sz w:val="24"/>
          <w:szCs w:val="24"/>
          <w:lang w:val="en-GB" w:eastAsia="en-GB"/>
        </w:rPr>
      </w:pPr>
      <w:r w:rsidRPr="00B84270">
        <w:rPr>
          <w:rFonts w:ascii="Arial" w:hAnsi="Arial" w:cs="Arial"/>
          <w:sz w:val="24"/>
          <w:szCs w:val="24"/>
          <w:lang w:val="en-GB" w:eastAsia="en-GB"/>
        </w:rPr>
        <w:t>Fig. 5 Hepcidin secretion following holo-Tf treatment</w:t>
      </w:r>
    </w:p>
    <w:p w:rsidR="005E516A" w:rsidRPr="00B84270" w:rsidRDefault="00320782" w:rsidP="00320782">
      <w:pPr>
        <w:pStyle w:val="HTMLPreformatted"/>
        <w:spacing w:line="360" w:lineRule="auto"/>
        <w:rPr>
          <w:rFonts w:ascii="Arial" w:hAnsi="Arial" w:cs="Arial"/>
          <w:sz w:val="24"/>
          <w:szCs w:val="24"/>
          <w:lang w:val="en-GB" w:eastAsia="en-GB"/>
        </w:rPr>
      </w:pPr>
      <w:r w:rsidRPr="00B84270">
        <w:rPr>
          <w:rFonts w:ascii="Arial" w:hAnsi="Arial" w:cs="Arial"/>
          <w:sz w:val="24"/>
          <w:szCs w:val="24"/>
          <w:lang w:val="en-GB" w:eastAsia="en-GB"/>
        </w:rPr>
        <w:t>Fig.</w:t>
      </w:r>
      <w:r w:rsidR="007753E7" w:rsidRPr="00B84270">
        <w:rPr>
          <w:rFonts w:ascii="Arial" w:hAnsi="Arial" w:cs="Arial"/>
          <w:sz w:val="24"/>
          <w:szCs w:val="24"/>
          <w:lang w:val="en-GB" w:eastAsia="en-GB"/>
        </w:rPr>
        <w:t xml:space="preserve">6 </w:t>
      </w:r>
      <w:r w:rsidR="005E516A" w:rsidRPr="00B84270">
        <w:rPr>
          <w:rFonts w:ascii="Arial" w:hAnsi="Arial" w:cs="Arial"/>
          <w:sz w:val="24"/>
          <w:szCs w:val="24"/>
          <w:lang w:val="en-GB" w:eastAsia="en-GB"/>
        </w:rPr>
        <w:t xml:space="preserve">mRNA expression of </w:t>
      </w:r>
      <w:r w:rsidR="005E516A" w:rsidRPr="00B84270">
        <w:rPr>
          <w:rFonts w:ascii="Arial" w:hAnsi="Arial" w:cs="Arial"/>
          <w:i/>
          <w:sz w:val="24"/>
          <w:szCs w:val="24"/>
          <w:lang w:val="en-GB" w:eastAsia="en-GB"/>
        </w:rPr>
        <w:t>HAMP</w:t>
      </w:r>
      <w:r w:rsidR="005E516A" w:rsidRPr="00B84270">
        <w:rPr>
          <w:rFonts w:ascii="Arial" w:hAnsi="Arial" w:cs="Arial"/>
          <w:sz w:val="24"/>
          <w:szCs w:val="24"/>
          <w:lang w:val="en-GB" w:eastAsia="en-GB"/>
        </w:rPr>
        <w:t xml:space="preserve"> and </w:t>
      </w:r>
      <w:r w:rsidR="005E516A" w:rsidRPr="00B84270">
        <w:rPr>
          <w:rFonts w:ascii="Arial" w:hAnsi="Arial" w:cs="Arial"/>
          <w:i/>
          <w:sz w:val="24"/>
          <w:szCs w:val="24"/>
          <w:lang w:val="en-GB" w:eastAsia="en-GB"/>
        </w:rPr>
        <w:t>SLC40A1</w:t>
      </w:r>
      <w:r w:rsidR="005E516A" w:rsidRPr="00B84270">
        <w:rPr>
          <w:rFonts w:ascii="Arial" w:hAnsi="Arial" w:cs="Arial"/>
          <w:sz w:val="24"/>
          <w:szCs w:val="24"/>
          <w:lang w:val="en-GB" w:eastAsia="en-GB"/>
        </w:rPr>
        <w:t xml:space="preserve"> following holo-Tf treatment </w:t>
      </w:r>
    </w:p>
    <w:p w:rsidR="00320782" w:rsidRPr="00B84270" w:rsidRDefault="007753E7" w:rsidP="00320782">
      <w:pPr>
        <w:pStyle w:val="HTMLPreformatted"/>
        <w:spacing w:line="360" w:lineRule="auto"/>
        <w:rPr>
          <w:rFonts w:ascii="Arial" w:hAnsi="Arial" w:cs="Arial"/>
          <w:b/>
          <w:sz w:val="24"/>
          <w:szCs w:val="24"/>
          <w:lang w:val="en-GB" w:eastAsia="en-GB"/>
        </w:rPr>
      </w:pPr>
      <w:r w:rsidRPr="00B84270">
        <w:rPr>
          <w:rFonts w:ascii="Arial" w:hAnsi="Arial" w:cs="Arial"/>
          <w:sz w:val="24"/>
          <w:szCs w:val="24"/>
          <w:lang w:val="en-GB" w:eastAsia="en-GB"/>
        </w:rPr>
        <w:t>Fig.7</w:t>
      </w:r>
      <w:r w:rsidR="00B714A3" w:rsidRPr="00B84270">
        <w:rPr>
          <w:rFonts w:ascii="Arial" w:hAnsi="Arial" w:cs="Arial"/>
          <w:sz w:val="24"/>
          <w:szCs w:val="24"/>
          <w:lang w:val="en-GB" w:eastAsia="en-GB"/>
        </w:rPr>
        <w:t xml:space="preserve"> mRNA</w:t>
      </w:r>
      <w:r w:rsidR="005E516A" w:rsidRPr="00B84270">
        <w:rPr>
          <w:rFonts w:ascii="Arial" w:hAnsi="Arial" w:cs="Arial"/>
          <w:sz w:val="24"/>
          <w:szCs w:val="24"/>
          <w:lang w:val="en-GB" w:eastAsia="en-GB"/>
        </w:rPr>
        <w:t xml:space="preserve"> expression of</w:t>
      </w:r>
      <w:r w:rsidR="0006603D" w:rsidRPr="00B84270">
        <w:rPr>
          <w:rFonts w:ascii="Arial" w:hAnsi="Arial" w:cs="Arial"/>
          <w:sz w:val="24"/>
          <w:szCs w:val="24"/>
          <w:lang w:val="en-GB" w:eastAsia="en-GB"/>
        </w:rPr>
        <w:t xml:space="preserve"> </w:t>
      </w:r>
      <w:r w:rsidR="005E516A" w:rsidRPr="00B84270">
        <w:rPr>
          <w:rFonts w:ascii="Arial" w:hAnsi="Arial" w:cs="Arial"/>
          <w:i/>
          <w:sz w:val="24"/>
          <w:szCs w:val="24"/>
          <w:lang w:val="en-GB" w:eastAsia="en-GB"/>
        </w:rPr>
        <w:t xml:space="preserve">HFE </w:t>
      </w:r>
      <w:r w:rsidR="00B714A3" w:rsidRPr="00B84270">
        <w:rPr>
          <w:rFonts w:ascii="Arial" w:hAnsi="Arial" w:cs="Arial"/>
          <w:sz w:val="24"/>
          <w:szCs w:val="24"/>
          <w:lang w:val="en-GB" w:eastAsia="en-GB"/>
        </w:rPr>
        <w:t xml:space="preserve">and </w:t>
      </w:r>
      <w:r w:rsidR="00B714A3" w:rsidRPr="00B84270">
        <w:rPr>
          <w:rFonts w:ascii="Arial" w:hAnsi="Arial" w:cs="Arial"/>
          <w:i/>
          <w:sz w:val="24"/>
          <w:szCs w:val="24"/>
          <w:lang w:val="en-GB" w:eastAsia="en-GB"/>
        </w:rPr>
        <w:t>TFR2</w:t>
      </w:r>
      <w:r w:rsidR="0006603D" w:rsidRPr="00B84270">
        <w:rPr>
          <w:rFonts w:ascii="Arial" w:hAnsi="Arial" w:cs="Arial"/>
          <w:i/>
          <w:sz w:val="24"/>
          <w:szCs w:val="24"/>
          <w:lang w:val="en-GB" w:eastAsia="en-GB"/>
        </w:rPr>
        <w:t xml:space="preserve"> </w:t>
      </w:r>
      <w:r w:rsidR="005E516A" w:rsidRPr="00B84270">
        <w:rPr>
          <w:rFonts w:ascii="Arial" w:hAnsi="Arial" w:cs="Arial"/>
          <w:sz w:val="24"/>
          <w:szCs w:val="24"/>
          <w:lang w:val="en-GB" w:eastAsia="en-GB"/>
        </w:rPr>
        <w:t xml:space="preserve">following holo-Tf treatment </w:t>
      </w:r>
    </w:p>
    <w:p w:rsidR="007753E7" w:rsidRPr="00B84270" w:rsidRDefault="007753E7" w:rsidP="007753E7">
      <w:pPr>
        <w:pStyle w:val="HTMLPreformatted"/>
        <w:spacing w:line="360" w:lineRule="auto"/>
        <w:rPr>
          <w:rFonts w:ascii="Arial" w:hAnsi="Arial" w:cs="Arial"/>
          <w:sz w:val="24"/>
          <w:szCs w:val="24"/>
          <w:lang w:val="en-GB" w:eastAsia="en-GB"/>
        </w:rPr>
      </w:pPr>
      <w:r w:rsidRPr="00B84270">
        <w:rPr>
          <w:rFonts w:ascii="Arial" w:hAnsi="Arial" w:cs="Arial"/>
          <w:sz w:val="24"/>
          <w:szCs w:val="24"/>
          <w:lang w:val="en-GB" w:eastAsia="en-GB"/>
        </w:rPr>
        <w:t xml:space="preserve">Fig.8 Mitochondrial activity following holo-Tf treatment </w:t>
      </w:r>
    </w:p>
    <w:p w:rsidR="00BE529A" w:rsidRPr="00B84270" w:rsidRDefault="00BE529A" w:rsidP="00320782">
      <w:pPr>
        <w:pStyle w:val="Heading1"/>
        <w:spacing w:before="0" w:after="0" w:line="360" w:lineRule="auto"/>
        <w:ind w:left="720" w:hanging="720"/>
        <w:rPr>
          <w:rFonts w:cs="Arial"/>
          <w:sz w:val="24"/>
          <w:szCs w:val="24"/>
          <w:lang w:val="en-US"/>
        </w:rPr>
      </w:pPr>
    </w:p>
    <w:p w:rsidR="00991296" w:rsidRDefault="00991296" w:rsidP="00320782">
      <w:pPr>
        <w:pStyle w:val="Heading1"/>
        <w:spacing w:before="0" w:after="0" w:line="360" w:lineRule="auto"/>
        <w:ind w:left="720" w:hanging="720"/>
        <w:rPr>
          <w:rFonts w:cs="Arial"/>
          <w:sz w:val="24"/>
          <w:szCs w:val="24"/>
          <w:lang w:val="en-US"/>
        </w:rPr>
      </w:pPr>
    </w:p>
    <w:p w:rsidR="00991296" w:rsidRDefault="00991296" w:rsidP="00991296">
      <w:pPr>
        <w:rPr>
          <w:lang w:val="en-US"/>
        </w:rPr>
      </w:pPr>
    </w:p>
    <w:p w:rsidR="00991296" w:rsidRDefault="00991296" w:rsidP="00991296">
      <w:pPr>
        <w:rPr>
          <w:lang w:val="en-US"/>
        </w:rPr>
      </w:pPr>
    </w:p>
    <w:p w:rsidR="00991296" w:rsidRDefault="00991296" w:rsidP="00991296">
      <w:pPr>
        <w:rPr>
          <w:lang w:val="en-US"/>
        </w:rPr>
      </w:pPr>
    </w:p>
    <w:p w:rsidR="00991296" w:rsidRPr="00991296" w:rsidRDefault="00991296" w:rsidP="00991296">
      <w:pPr>
        <w:rPr>
          <w:lang w:val="en-US"/>
        </w:rPr>
      </w:pPr>
    </w:p>
    <w:p w:rsidR="00991296" w:rsidRDefault="00991296" w:rsidP="00320782">
      <w:pPr>
        <w:pStyle w:val="Heading1"/>
        <w:spacing w:before="0" w:after="0" w:line="360" w:lineRule="auto"/>
        <w:ind w:left="720" w:hanging="720"/>
        <w:rPr>
          <w:rFonts w:cs="Arial"/>
          <w:sz w:val="24"/>
          <w:szCs w:val="24"/>
          <w:lang w:val="en-US"/>
        </w:rPr>
      </w:pPr>
    </w:p>
    <w:p w:rsidR="00991296" w:rsidRDefault="00991296" w:rsidP="00320782">
      <w:pPr>
        <w:pStyle w:val="Heading1"/>
        <w:spacing w:before="0" w:after="0" w:line="360" w:lineRule="auto"/>
        <w:ind w:left="720" w:hanging="720"/>
        <w:rPr>
          <w:rFonts w:cs="Arial"/>
          <w:sz w:val="24"/>
          <w:szCs w:val="24"/>
          <w:lang w:val="en-US"/>
        </w:rPr>
      </w:pPr>
    </w:p>
    <w:p w:rsidR="00525C2B" w:rsidRPr="00B84270" w:rsidRDefault="00D56E82" w:rsidP="00320782">
      <w:pPr>
        <w:pStyle w:val="Heading1"/>
        <w:spacing w:before="0" w:after="0" w:line="360" w:lineRule="auto"/>
        <w:ind w:left="720" w:hanging="720"/>
        <w:rPr>
          <w:rFonts w:cs="Arial"/>
          <w:sz w:val="24"/>
          <w:szCs w:val="24"/>
          <w:lang w:val="en-US"/>
        </w:rPr>
      </w:pPr>
      <w:r w:rsidRPr="00B84270">
        <w:rPr>
          <w:rFonts w:cs="Arial"/>
          <w:sz w:val="24"/>
          <w:szCs w:val="24"/>
          <w:lang w:val="en-US"/>
        </w:rPr>
        <w:t xml:space="preserve">Figure Legends </w:t>
      </w:r>
    </w:p>
    <w:p w:rsidR="00786E21" w:rsidRPr="00B84270" w:rsidRDefault="00C63F4D" w:rsidP="00320782">
      <w:pPr>
        <w:spacing w:after="0" w:line="360" w:lineRule="auto"/>
        <w:rPr>
          <w:rFonts w:ascii="Arial" w:hAnsi="Arial" w:cs="Arial"/>
          <w:b/>
          <w:sz w:val="24"/>
          <w:szCs w:val="24"/>
          <w:lang w:val="en-US"/>
        </w:rPr>
      </w:pPr>
      <w:r w:rsidRPr="00B84270">
        <w:rPr>
          <w:rFonts w:ascii="Arial" w:hAnsi="Arial" w:cs="Arial"/>
          <w:b/>
          <w:sz w:val="24"/>
          <w:szCs w:val="24"/>
          <w:lang w:val="en-US"/>
        </w:rPr>
        <w:t>Fig</w:t>
      </w:r>
      <w:r w:rsidR="0014537D" w:rsidRPr="00B84270">
        <w:rPr>
          <w:rFonts w:ascii="Arial" w:hAnsi="Arial" w:cs="Arial"/>
          <w:b/>
          <w:sz w:val="24"/>
          <w:szCs w:val="24"/>
          <w:lang w:val="en-US"/>
        </w:rPr>
        <w:t xml:space="preserve"> 1</w:t>
      </w:r>
      <w:r w:rsidR="00525C2B" w:rsidRPr="00B84270">
        <w:rPr>
          <w:rFonts w:ascii="Arial" w:hAnsi="Arial" w:cs="Arial"/>
          <w:b/>
          <w:sz w:val="24"/>
          <w:szCs w:val="24"/>
          <w:lang w:val="en-US"/>
        </w:rPr>
        <w:t xml:space="preserve">. Rec-TfR1 HepG2 cells </w:t>
      </w:r>
      <w:r w:rsidR="008B003A" w:rsidRPr="00B84270">
        <w:rPr>
          <w:rFonts w:ascii="Arial" w:hAnsi="Arial" w:cs="Arial"/>
          <w:b/>
          <w:sz w:val="24"/>
          <w:szCs w:val="24"/>
          <w:lang w:val="en-US"/>
        </w:rPr>
        <w:t xml:space="preserve">in </w:t>
      </w:r>
      <w:r w:rsidR="00525C2B" w:rsidRPr="00B84270">
        <w:rPr>
          <w:rFonts w:ascii="Arial" w:hAnsi="Arial" w:cs="Arial"/>
          <w:b/>
          <w:sz w:val="24"/>
          <w:szCs w:val="24"/>
          <w:lang w:val="en-US"/>
        </w:rPr>
        <w:t>basal conditions</w:t>
      </w:r>
      <w:r w:rsidR="008B003A" w:rsidRPr="00B84270">
        <w:rPr>
          <w:rFonts w:ascii="Arial" w:hAnsi="Arial" w:cs="Arial"/>
          <w:b/>
          <w:sz w:val="24"/>
          <w:szCs w:val="24"/>
          <w:lang w:val="en-US"/>
        </w:rPr>
        <w:t xml:space="preserve"> (10%FCS)</w:t>
      </w:r>
      <w:r w:rsidR="00525C2B" w:rsidRPr="00B84270">
        <w:rPr>
          <w:rFonts w:ascii="Arial" w:hAnsi="Arial" w:cs="Arial"/>
          <w:b/>
          <w:sz w:val="24"/>
          <w:szCs w:val="24"/>
          <w:lang w:val="en-US"/>
        </w:rPr>
        <w:t xml:space="preserve">. </w:t>
      </w:r>
    </w:p>
    <w:p w:rsidR="00525C2B" w:rsidRPr="00B84270" w:rsidRDefault="00CD4BDB" w:rsidP="00CD4BDB">
      <w:pPr>
        <w:spacing w:after="0" w:line="360" w:lineRule="auto"/>
        <w:rPr>
          <w:rFonts w:ascii="Arial" w:hAnsi="Arial" w:cs="Arial"/>
          <w:b/>
          <w:sz w:val="24"/>
          <w:szCs w:val="24"/>
        </w:rPr>
      </w:pPr>
      <w:r w:rsidRPr="00B84270">
        <w:rPr>
          <w:rFonts w:ascii="Arial" w:hAnsi="Arial" w:cs="Arial"/>
          <w:sz w:val="24"/>
          <w:szCs w:val="24"/>
          <w:lang w:val="en-US"/>
        </w:rPr>
        <w:t>(A</w:t>
      </w:r>
      <w:r w:rsidRPr="00B84270">
        <w:rPr>
          <w:rFonts w:ascii="Arial" w:hAnsi="Arial" w:cs="Arial"/>
          <w:sz w:val="24"/>
          <w:szCs w:val="24"/>
        </w:rPr>
        <w:t xml:space="preserve">) </w:t>
      </w:r>
      <w:r w:rsidRPr="00B84270">
        <w:rPr>
          <w:rFonts w:ascii="Arial" w:hAnsi="Arial" w:cs="Arial"/>
          <w:i/>
          <w:sz w:val="24"/>
          <w:szCs w:val="24"/>
        </w:rPr>
        <w:t xml:space="preserve">TFRC </w:t>
      </w:r>
      <w:r w:rsidRPr="00B84270">
        <w:rPr>
          <w:rFonts w:ascii="Arial" w:hAnsi="Arial" w:cs="Arial"/>
          <w:sz w:val="24"/>
          <w:szCs w:val="24"/>
        </w:rPr>
        <w:t>mRNA expression, (B)</w:t>
      </w:r>
      <w:r w:rsidR="00941424" w:rsidRPr="00B84270">
        <w:rPr>
          <w:rFonts w:ascii="Arial" w:hAnsi="Arial" w:cs="Arial"/>
          <w:sz w:val="24"/>
          <w:szCs w:val="24"/>
        </w:rPr>
        <w:t xml:space="preserve"> I</w:t>
      </w:r>
      <w:r w:rsidR="00525C2B" w:rsidRPr="00B84270">
        <w:rPr>
          <w:rFonts w:ascii="Arial" w:hAnsi="Arial" w:cs="Arial"/>
          <w:sz w:val="24"/>
          <w:szCs w:val="24"/>
        </w:rPr>
        <w:t xml:space="preserve">ntracellular iron content, </w:t>
      </w:r>
      <w:r w:rsidRPr="00B84270">
        <w:rPr>
          <w:rFonts w:ascii="Arial" w:hAnsi="Arial" w:cs="Arial"/>
          <w:sz w:val="24"/>
          <w:szCs w:val="24"/>
        </w:rPr>
        <w:t>(C</w:t>
      </w:r>
      <w:r w:rsidR="00941424" w:rsidRPr="00B84270">
        <w:rPr>
          <w:rFonts w:ascii="Arial" w:hAnsi="Arial" w:cs="Arial"/>
          <w:sz w:val="24"/>
          <w:szCs w:val="24"/>
        </w:rPr>
        <w:t xml:space="preserve">) </w:t>
      </w:r>
      <w:r w:rsidR="00525C2B" w:rsidRPr="00B84270">
        <w:rPr>
          <w:rFonts w:ascii="Arial" w:hAnsi="Arial" w:cs="Arial"/>
          <w:sz w:val="24"/>
          <w:szCs w:val="24"/>
        </w:rPr>
        <w:t xml:space="preserve">hepcidin peptide secretion, </w:t>
      </w:r>
      <w:r w:rsidR="00013CD8" w:rsidRPr="00B84270">
        <w:rPr>
          <w:rFonts w:ascii="Arial" w:hAnsi="Arial" w:cs="Arial"/>
          <w:sz w:val="24"/>
          <w:szCs w:val="24"/>
        </w:rPr>
        <w:t>(D) mRNA expression of iron-related genes in rec-TfR1 HepG2 cells in comparison with Wt HepG2 cells</w:t>
      </w:r>
      <w:r w:rsidR="00EE59D1" w:rsidRPr="00B84270">
        <w:rPr>
          <w:rFonts w:ascii="Arial" w:hAnsi="Arial" w:cs="Arial"/>
          <w:sz w:val="24"/>
          <w:szCs w:val="24"/>
        </w:rPr>
        <w:t xml:space="preserve"> and </w:t>
      </w:r>
      <w:r w:rsidR="00941424" w:rsidRPr="00B84270">
        <w:rPr>
          <w:rFonts w:ascii="Arial" w:hAnsi="Arial" w:cs="Arial"/>
          <w:sz w:val="24"/>
          <w:szCs w:val="24"/>
        </w:rPr>
        <w:t>(</w:t>
      </w:r>
      <w:r w:rsidR="00013CD8" w:rsidRPr="00B84270">
        <w:rPr>
          <w:rFonts w:ascii="Arial" w:hAnsi="Arial" w:cs="Arial"/>
          <w:sz w:val="24"/>
          <w:szCs w:val="24"/>
        </w:rPr>
        <w:t>E</w:t>
      </w:r>
      <w:r w:rsidR="00941424" w:rsidRPr="00B84270">
        <w:rPr>
          <w:rFonts w:ascii="Arial" w:hAnsi="Arial" w:cs="Arial"/>
          <w:sz w:val="24"/>
          <w:szCs w:val="24"/>
        </w:rPr>
        <w:t xml:space="preserve">) </w:t>
      </w:r>
      <w:r w:rsidR="00525C2B" w:rsidRPr="00B84270">
        <w:rPr>
          <w:rFonts w:ascii="Arial" w:hAnsi="Arial" w:cs="Arial"/>
          <w:sz w:val="24"/>
          <w:szCs w:val="24"/>
        </w:rPr>
        <w:t xml:space="preserve">relative mitochondrial activity and </w:t>
      </w:r>
      <w:r w:rsidR="00890DB5" w:rsidRPr="00B84270">
        <w:rPr>
          <w:rFonts w:ascii="Arial" w:hAnsi="Arial" w:cs="Arial"/>
          <w:sz w:val="24"/>
          <w:szCs w:val="24"/>
        </w:rPr>
        <w:t>are shown</w:t>
      </w:r>
      <w:r w:rsidR="00525C2B" w:rsidRPr="00B84270">
        <w:rPr>
          <w:rFonts w:ascii="Arial" w:hAnsi="Arial" w:cs="Arial"/>
          <w:sz w:val="24"/>
          <w:szCs w:val="24"/>
        </w:rPr>
        <w:t>. Data is presented as mean ± SEM (n=3). *p&lt;0.05 and **p&lt;0.03</w:t>
      </w:r>
      <w:r w:rsidR="00816EA7" w:rsidRPr="00B84270">
        <w:rPr>
          <w:rFonts w:ascii="Arial" w:hAnsi="Arial" w:cs="Arial"/>
          <w:sz w:val="24"/>
          <w:szCs w:val="24"/>
        </w:rPr>
        <w:t xml:space="preserve"> compared to </w:t>
      </w:r>
      <w:r w:rsidR="004A51EF" w:rsidRPr="00B84270">
        <w:rPr>
          <w:rFonts w:ascii="Arial" w:hAnsi="Arial" w:cs="Arial"/>
          <w:sz w:val="24"/>
          <w:szCs w:val="24"/>
        </w:rPr>
        <w:t>Wt</w:t>
      </w:r>
      <w:r w:rsidR="00816EA7" w:rsidRPr="00B84270">
        <w:rPr>
          <w:rFonts w:ascii="Arial" w:hAnsi="Arial" w:cs="Arial"/>
          <w:sz w:val="24"/>
          <w:szCs w:val="24"/>
        </w:rPr>
        <w:t xml:space="preserve"> HepG2 cells. </w:t>
      </w:r>
    </w:p>
    <w:p w:rsidR="00B3029F" w:rsidRPr="00B84270" w:rsidRDefault="00B3029F" w:rsidP="00320782">
      <w:pPr>
        <w:spacing w:after="0" w:line="360" w:lineRule="auto"/>
        <w:rPr>
          <w:rFonts w:ascii="Arial" w:hAnsi="Arial" w:cs="Arial"/>
          <w:b/>
          <w:sz w:val="24"/>
          <w:szCs w:val="24"/>
          <w:lang w:val="en-US"/>
        </w:rPr>
      </w:pPr>
    </w:p>
    <w:p w:rsidR="00786E21" w:rsidRPr="00B84270" w:rsidRDefault="00C63F4D" w:rsidP="00320782">
      <w:pPr>
        <w:spacing w:after="0" w:line="360" w:lineRule="auto"/>
        <w:rPr>
          <w:rFonts w:ascii="Arial" w:hAnsi="Arial" w:cs="Arial"/>
          <w:sz w:val="24"/>
          <w:szCs w:val="24"/>
          <w:lang w:val="en-US"/>
        </w:rPr>
      </w:pPr>
      <w:r w:rsidRPr="00B84270">
        <w:rPr>
          <w:rFonts w:ascii="Arial" w:hAnsi="Arial" w:cs="Arial"/>
          <w:b/>
          <w:sz w:val="24"/>
          <w:szCs w:val="24"/>
          <w:lang w:val="en-US"/>
        </w:rPr>
        <w:t>Fig</w:t>
      </w:r>
      <w:r w:rsidR="0014537D" w:rsidRPr="00B84270">
        <w:rPr>
          <w:rFonts w:ascii="Arial" w:hAnsi="Arial" w:cs="Arial"/>
          <w:b/>
          <w:sz w:val="24"/>
          <w:szCs w:val="24"/>
          <w:lang w:val="en-US"/>
        </w:rPr>
        <w:t>2</w:t>
      </w:r>
      <w:r w:rsidR="00525C2B" w:rsidRPr="00B84270">
        <w:rPr>
          <w:rFonts w:ascii="Arial" w:hAnsi="Arial" w:cs="Arial"/>
          <w:b/>
          <w:sz w:val="24"/>
          <w:szCs w:val="24"/>
          <w:lang w:val="en-US"/>
        </w:rPr>
        <w:t>.</w:t>
      </w:r>
      <w:r w:rsidR="00B3029F" w:rsidRPr="00B84270">
        <w:rPr>
          <w:rFonts w:ascii="Arial" w:hAnsi="Arial" w:cs="Arial"/>
          <w:b/>
          <w:sz w:val="24"/>
          <w:szCs w:val="24"/>
          <w:lang w:val="en-US"/>
        </w:rPr>
        <w:t xml:space="preserve"> </w:t>
      </w:r>
      <w:r w:rsidR="00525C2B" w:rsidRPr="00B84270">
        <w:rPr>
          <w:rFonts w:ascii="Arial" w:hAnsi="Arial" w:cs="Arial"/>
          <w:b/>
          <w:sz w:val="24"/>
          <w:szCs w:val="24"/>
          <w:lang w:val="en-US"/>
        </w:rPr>
        <w:t xml:space="preserve">Effect of holo-Tf treatment on </w:t>
      </w:r>
      <w:r w:rsidR="0072491C" w:rsidRPr="00B84270">
        <w:rPr>
          <w:rFonts w:ascii="Arial" w:hAnsi="Arial" w:cs="Arial"/>
          <w:b/>
          <w:sz w:val="24"/>
          <w:szCs w:val="24"/>
          <w:lang w:val="en-US"/>
        </w:rPr>
        <w:t>TfR1</w:t>
      </w:r>
      <w:r w:rsidR="00525C2B" w:rsidRPr="00B84270">
        <w:rPr>
          <w:rFonts w:ascii="Arial" w:hAnsi="Arial" w:cs="Arial"/>
          <w:b/>
          <w:sz w:val="24"/>
          <w:szCs w:val="24"/>
          <w:lang w:val="en-US"/>
        </w:rPr>
        <w:t xml:space="preserve"> cell-surface expression.</w:t>
      </w:r>
    </w:p>
    <w:p w:rsidR="00525C2B" w:rsidRPr="00B84270" w:rsidRDefault="00525C2B" w:rsidP="00320782">
      <w:pPr>
        <w:spacing w:after="0" w:line="360" w:lineRule="auto"/>
        <w:rPr>
          <w:rFonts w:ascii="Arial" w:hAnsi="Arial" w:cs="Arial"/>
          <w:sz w:val="24"/>
          <w:szCs w:val="24"/>
          <w:lang w:val="en-US"/>
        </w:rPr>
      </w:pPr>
      <w:r w:rsidRPr="00B84270">
        <w:rPr>
          <w:rFonts w:ascii="Arial" w:hAnsi="Arial" w:cs="Arial"/>
          <w:sz w:val="24"/>
          <w:szCs w:val="24"/>
          <w:lang w:val="en-US"/>
        </w:rPr>
        <w:t xml:space="preserve">HepG2 cells were treated with 5 g/L holo-Tf up to 48 h and total cell-surface expression of </w:t>
      </w:r>
      <w:r w:rsidR="0072491C" w:rsidRPr="00B84270">
        <w:rPr>
          <w:rFonts w:ascii="Arial" w:hAnsi="Arial" w:cs="Arial"/>
          <w:sz w:val="24"/>
          <w:szCs w:val="24"/>
          <w:lang w:val="en-US"/>
        </w:rPr>
        <w:t>TfR1</w:t>
      </w:r>
      <w:r w:rsidRPr="00B84270">
        <w:rPr>
          <w:rFonts w:ascii="Arial" w:hAnsi="Arial" w:cs="Arial"/>
          <w:sz w:val="24"/>
          <w:szCs w:val="24"/>
          <w:lang w:val="en-US"/>
        </w:rPr>
        <w:t xml:space="preserve"> before treatment (basal conditions) and after treatment was studied</w:t>
      </w:r>
      <w:r w:rsidR="003213A6" w:rsidRPr="00B84270">
        <w:rPr>
          <w:rFonts w:ascii="Arial" w:hAnsi="Arial" w:cs="Arial"/>
          <w:sz w:val="24"/>
          <w:szCs w:val="24"/>
          <w:lang w:val="en-US"/>
        </w:rPr>
        <w:t xml:space="preserve"> by flow cytometry. </w:t>
      </w:r>
      <w:r w:rsidR="00941424" w:rsidRPr="00B84270">
        <w:rPr>
          <w:rFonts w:ascii="Arial" w:hAnsi="Arial" w:cs="Arial"/>
          <w:sz w:val="24"/>
          <w:szCs w:val="24"/>
          <w:lang w:val="en-US"/>
        </w:rPr>
        <w:t xml:space="preserve">(A-C) </w:t>
      </w:r>
      <w:r w:rsidR="005E3B73" w:rsidRPr="00B84270">
        <w:rPr>
          <w:rFonts w:ascii="Arial" w:eastAsia="SimSun" w:hAnsi="Arial" w:cs="Arial"/>
          <w:sz w:val="24"/>
          <w:szCs w:val="24"/>
          <w:lang w:val="en-US" w:eastAsia="zh-CN"/>
        </w:rPr>
        <w:t xml:space="preserve">Representative images for each treatment for </w:t>
      </w:r>
      <w:proofErr w:type="spellStart"/>
      <w:r w:rsidR="004A51EF" w:rsidRPr="00B84270">
        <w:rPr>
          <w:rFonts w:ascii="Arial" w:hAnsi="Arial" w:cs="Arial"/>
          <w:sz w:val="24"/>
          <w:szCs w:val="24"/>
          <w:lang w:val="en-US"/>
        </w:rPr>
        <w:t>Wt</w:t>
      </w:r>
      <w:proofErr w:type="spellEnd"/>
      <w:r w:rsidR="004A51EF" w:rsidRPr="00B84270">
        <w:rPr>
          <w:rFonts w:ascii="Arial" w:hAnsi="Arial" w:cs="Arial"/>
          <w:sz w:val="24"/>
          <w:szCs w:val="24"/>
          <w:lang w:val="en-US"/>
        </w:rPr>
        <w:t xml:space="preserve"> HepG2 </w:t>
      </w:r>
      <w:proofErr w:type="spellStart"/>
      <w:r w:rsidR="004A51EF" w:rsidRPr="00B84270">
        <w:rPr>
          <w:rFonts w:ascii="Arial" w:hAnsi="Arial" w:cs="Arial"/>
          <w:sz w:val="24"/>
          <w:szCs w:val="24"/>
          <w:lang w:val="en-US"/>
        </w:rPr>
        <w:t>cells</w:t>
      </w:r>
      <w:r w:rsidRPr="00B84270">
        <w:rPr>
          <w:rFonts w:ascii="Arial" w:hAnsi="Arial" w:cs="Arial"/>
          <w:sz w:val="24"/>
          <w:szCs w:val="24"/>
          <w:lang w:val="en-US"/>
        </w:rPr>
        <w:t>and</w:t>
      </w:r>
      <w:proofErr w:type="spellEnd"/>
      <w:r w:rsidRPr="00B84270">
        <w:rPr>
          <w:rFonts w:ascii="Arial" w:hAnsi="Arial" w:cs="Arial"/>
          <w:sz w:val="24"/>
          <w:szCs w:val="24"/>
          <w:lang w:val="en-US"/>
        </w:rPr>
        <w:t xml:space="preserve"> </w:t>
      </w:r>
      <w:r w:rsidR="009D3945" w:rsidRPr="00B84270">
        <w:rPr>
          <w:rFonts w:ascii="Arial" w:hAnsi="Arial" w:cs="Arial"/>
          <w:sz w:val="24"/>
          <w:szCs w:val="24"/>
          <w:lang w:val="en-US"/>
        </w:rPr>
        <w:t xml:space="preserve">(D-F) </w:t>
      </w:r>
      <w:r w:rsidRPr="00B84270">
        <w:rPr>
          <w:rFonts w:ascii="Arial" w:hAnsi="Arial" w:cs="Arial"/>
          <w:sz w:val="24"/>
          <w:szCs w:val="24"/>
          <w:lang w:val="en-US"/>
        </w:rPr>
        <w:t xml:space="preserve">rec-TfR1 HepG2 cells have been shown and the effect of treatment has been </w:t>
      </w:r>
      <w:r w:rsidR="00DE470D" w:rsidRPr="00B84270">
        <w:rPr>
          <w:rFonts w:ascii="Arial" w:hAnsi="Arial" w:cs="Arial"/>
          <w:sz w:val="24"/>
          <w:szCs w:val="24"/>
          <w:lang w:val="en-US"/>
        </w:rPr>
        <w:t>summarized</w:t>
      </w:r>
      <w:r w:rsidRPr="00B84270">
        <w:rPr>
          <w:rFonts w:ascii="Arial" w:hAnsi="Arial" w:cs="Arial"/>
          <w:sz w:val="24"/>
          <w:szCs w:val="24"/>
          <w:lang w:val="en-US"/>
        </w:rPr>
        <w:t xml:space="preserve"> in (G). Data is presented as mean ± SEM (n=3-6). *p&lt;0.03</w:t>
      </w:r>
      <w:r w:rsidR="0091292C" w:rsidRPr="00B84270">
        <w:rPr>
          <w:rFonts w:ascii="Arial" w:hAnsi="Arial" w:cs="Arial"/>
          <w:sz w:val="24"/>
          <w:szCs w:val="24"/>
          <w:lang w:val="en-US"/>
        </w:rPr>
        <w:t xml:space="preserve"> and**p&lt;0.01 </w:t>
      </w:r>
      <w:r w:rsidRPr="00B84270">
        <w:rPr>
          <w:rFonts w:ascii="Arial" w:hAnsi="Arial" w:cs="Arial"/>
          <w:sz w:val="24"/>
          <w:szCs w:val="24"/>
          <w:lang w:val="en-US"/>
        </w:rPr>
        <w:t xml:space="preserve">compared to </w:t>
      </w:r>
      <w:proofErr w:type="spellStart"/>
      <w:r w:rsidR="004A51EF" w:rsidRPr="00B84270">
        <w:rPr>
          <w:rFonts w:ascii="Arial" w:hAnsi="Arial" w:cs="Arial"/>
          <w:sz w:val="24"/>
          <w:szCs w:val="24"/>
          <w:lang w:val="en-US"/>
        </w:rPr>
        <w:t>Wt</w:t>
      </w:r>
      <w:proofErr w:type="spellEnd"/>
      <w:r w:rsidR="004A51EF" w:rsidRPr="00B84270">
        <w:rPr>
          <w:rFonts w:ascii="Arial" w:hAnsi="Arial" w:cs="Arial"/>
          <w:sz w:val="24"/>
          <w:szCs w:val="24"/>
          <w:lang w:val="en-US"/>
        </w:rPr>
        <w:t xml:space="preserve"> HepG2 </w:t>
      </w:r>
      <w:proofErr w:type="spellStart"/>
      <w:r w:rsidR="004A51EF" w:rsidRPr="00B84270">
        <w:rPr>
          <w:rFonts w:ascii="Arial" w:hAnsi="Arial" w:cs="Arial"/>
          <w:sz w:val="24"/>
          <w:szCs w:val="24"/>
          <w:lang w:val="en-US"/>
        </w:rPr>
        <w:t>cells</w:t>
      </w:r>
      <w:r w:rsidRPr="00B84270">
        <w:rPr>
          <w:rFonts w:ascii="Arial" w:hAnsi="Arial" w:cs="Arial"/>
          <w:sz w:val="24"/>
          <w:szCs w:val="24"/>
          <w:lang w:val="en-US"/>
        </w:rPr>
        <w:t>at</w:t>
      </w:r>
      <w:proofErr w:type="spellEnd"/>
      <w:r w:rsidRPr="00B84270">
        <w:rPr>
          <w:rFonts w:ascii="Arial" w:hAnsi="Arial" w:cs="Arial"/>
          <w:sz w:val="24"/>
          <w:szCs w:val="24"/>
          <w:lang w:val="en-US"/>
        </w:rPr>
        <w:t xml:space="preserve"> the corresponding time-point; </w:t>
      </w:r>
      <w:r w:rsidRPr="00B84270">
        <w:rPr>
          <w:rFonts w:ascii="Arial" w:hAnsi="Arial" w:cs="Arial"/>
          <w:sz w:val="24"/>
          <w:szCs w:val="24"/>
          <w:vertAlign w:val="superscript"/>
          <w:lang w:val="en-US"/>
        </w:rPr>
        <w:t>#</w:t>
      </w:r>
      <w:r w:rsidRPr="00B84270">
        <w:rPr>
          <w:rFonts w:ascii="Arial" w:hAnsi="Arial" w:cs="Arial"/>
          <w:sz w:val="24"/>
          <w:szCs w:val="24"/>
          <w:lang w:val="en-US"/>
        </w:rPr>
        <w:t xml:space="preserve">p&lt;0.04 compared to </w:t>
      </w:r>
      <w:proofErr w:type="spellStart"/>
      <w:r w:rsidR="004A51EF" w:rsidRPr="00B84270">
        <w:rPr>
          <w:rFonts w:ascii="Arial" w:hAnsi="Arial" w:cs="Arial"/>
          <w:sz w:val="24"/>
          <w:szCs w:val="24"/>
          <w:lang w:val="en-US"/>
        </w:rPr>
        <w:t>Wt</w:t>
      </w:r>
      <w:proofErr w:type="spellEnd"/>
      <w:r w:rsidR="004A51EF" w:rsidRPr="00B84270">
        <w:rPr>
          <w:rFonts w:ascii="Arial" w:hAnsi="Arial" w:cs="Arial"/>
          <w:sz w:val="24"/>
          <w:szCs w:val="24"/>
          <w:lang w:val="en-US"/>
        </w:rPr>
        <w:t xml:space="preserve"> HepG2 </w:t>
      </w:r>
      <w:proofErr w:type="spellStart"/>
      <w:r w:rsidR="004A51EF" w:rsidRPr="00B84270">
        <w:rPr>
          <w:rFonts w:ascii="Arial" w:hAnsi="Arial" w:cs="Arial"/>
          <w:sz w:val="24"/>
          <w:szCs w:val="24"/>
          <w:lang w:val="en-US"/>
        </w:rPr>
        <w:t>cells</w:t>
      </w:r>
      <w:r w:rsidRPr="00B84270">
        <w:rPr>
          <w:rFonts w:ascii="Arial" w:hAnsi="Arial" w:cs="Arial"/>
          <w:sz w:val="24"/>
          <w:szCs w:val="24"/>
          <w:lang w:val="en-US"/>
        </w:rPr>
        <w:t>in</w:t>
      </w:r>
      <w:proofErr w:type="spellEnd"/>
      <w:r w:rsidRPr="00B84270">
        <w:rPr>
          <w:rFonts w:ascii="Arial" w:hAnsi="Arial" w:cs="Arial"/>
          <w:sz w:val="24"/>
          <w:szCs w:val="24"/>
          <w:lang w:val="en-US"/>
        </w:rPr>
        <w:t xml:space="preserve"> basal conditions; </w:t>
      </w:r>
      <w:r w:rsidRPr="00B84270">
        <w:rPr>
          <w:rFonts w:ascii="Arial" w:hAnsi="Arial" w:cs="Arial"/>
          <w:sz w:val="24"/>
          <w:szCs w:val="24"/>
          <w:vertAlign w:val="superscript"/>
          <w:lang w:val="en-US"/>
        </w:rPr>
        <w:t>##</w:t>
      </w:r>
      <w:r w:rsidRPr="00B84270">
        <w:rPr>
          <w:rFonts w:ascii="Arial" w:hAnsi="Arial" w:cs="Arial"/>
          <w:sz w:val="24"/>
          <w:szCs w:val="24"/>
          <w:lang w:val="en-US"/>
        </w:rPr>
        <w:t xml:space="preserve">p&lt;0.01 compared to </w:t>
      </w:r>
      <w:proofErr w:type="spellStart"/>
      <w:r w:rsidR="004A51EF" w:rsidRPr="00B84270">
        <w:rPr>
          <w:rFonts w:ascii="Arial" w:hAnsi="Arial" w:cs="Arial"/>
          <w:sz w:val="24"/>
          <w:szCs w:val="24"/>
          <w:lang w:val="en-US"/>
        </w:rPr>
        <w:t>Wt</w:t>
      </w:r>
      <w:proofErr w:type="spellEnd"/>
      <w:r w:rsidR="004A51EF" w:rsidRPr="00B84270">
        <w:rPr>
          <w:rFonts w:ascii="Arial" w:hAnsi="Arial" w:cs="Arial"/>
          <w:sz w:val="24"/>
          <w:szCs w:val="24"/>
          <w:lang w:val="en-US"/>
        </w:rPr>
        <w:t xml:space="preserve"> HepG2 </w:t>
      </w:r>
      <w:proofErr w:type="spellStart"/>
      <w:r w:rsidR="004A51EF" w:rsidRPr="00B84270">
        <w:rPr>
          <w:rFonts w:ascii="Arial" w:hAnsi="Arial" w:cs="Arial"/>
          <w:sz w:val="24"/>
          <w:szCs w:val="24"/>
          <w:lang w:val="en-US"/>
        </w:rPr>
        <w:t>cells</w:t>
      </w:r>
      <w:r w:rsidRPr="00B84270">
        <w:rPr>
          <w:rFonts w:ascii="Arial" w:hAnsi="Arial" w:cs="Arial"/>
          <w:sz w:val="24"/>
          <w:szCs w:val="24"/>
          <w:lang w:val="en-US"/>
        </w:rPr>
        <w:t>following</w:t>
      </w:r>
      <w:proofErr w:type="spellEnd"/>
      <w:r w:rsidRPr="00B84270">
        <w:rPr>
          <w:rFonts w:ascii="Arial" w:hAnsi="Arial" w:cs="Arial"/>
          <w:sz w:val="24"/>
          <w:szCs w:val="24"/>
          <w:lang w:val="en-US"/>
        </w:rPr>
        <w:t xml:space="preserve"> treatment at 24 h</w:t>
      </w:r>
      <w:r w:rsidR="00CE66F9" w:rsidRPr="00B84270">
        <w:rPr>
          <w:rFonts w:ascii="Arial" w:hAnsi="Arial" w:cs="Arial"/>
          <w:sz w:val="24"/>
          <w:szCs w:val="24"/>
          <w:lang w:val="en-US"/>
        </w:rPr>
        <w:t>.</w:t>
      </w:r>
    </w:p>
    <w:p w:rsidR="00CD4BDB" w:rsidRPr="00B84270" w:rsidRDefault="00CD4BDB" w:rsidP="00CD4BDB">
      <w:pPr>
        <w:spacing w:after="0" w:line="360" w:lineRule="auto"/>
        <w:rPr>
          <w:rFonts w:ascii="Arial" w:hAnsi="Arial" w:cs="Arial"/>
          <w:b/>
          <w:sz w:val="24"/>
          <w:szCs w:val="24"/>
          <w:lang w:val="en-US"/>
        </w:rPr>
      </w:pPr>
    </w:p>
    <w:p w:rsidR="00CD4BDB" w:rsidRPr="00B84270" w:rsidRDefault="00CD4BDB" w:rsidP="00CD4BDB">
      <w:pPr>
        <w:spacing w:after="0" w:line="360" w:lineRule="auto"/>
        <w:rPr>
          <w:rFonts w:ascii="Arial" w:hAnsi="Arial" w:cs="Arial"/>
          <w:b/>
          <w:sz w:val="24"/>
          <w:szCs w:val="24"/>
          <w:lang w:val="en-US"/>
        </w:rPr>
      </w:pPr>
      <w:r w:rsidRPr="00B84270">
        <w:rPr>
          <w:rFonts w:ascii="Arial" w:hAnsi="Arial" w:cs="Arial"/>
          <w:b/>
          <w:sz w:val="24"/>
          <w:szCs w:val="24"/>
          <w:lang w:val="en-US"/>
        </w:rPr>
        <w:t xml:space="preserve">Fig 3. Effect of holo-Tf treatment on </w:t>
      </w:r>
      <w:r w:rsidRPr="00B84270">
        <w:rPr>
          <w:rFonts w:ascii="Arial" w:hAnsi="Arial" w:cs="Arial"/>
          <w:b/>
          <w:i/>
          <w:sz w:val="24"/>
          <w:szCs w:val="24"/>
          <w:lang w:val="en-US"/>
        </w:rPr>
        <w:t>TFRC</w:t>
      </w:r>
      <w:r w:rsidRPr="00B84270">
        <w:rPr>
          <w:rFonts w:ascii="Arial" w:hAnsi="Arial" w:cs="Arial"/>
          <w:b/>
          <w:sz w:val="24"/>
          <w:szCs w:val="24"/>
          <w:lang w:val="en-US"/>
        </w:rPr>
        <w:t xml:space="preserve"> mRNA expression.</w:t>
      </w:r>
    </w:p>
    <w:p w:rsidR="00CD4BDB" w:rsidRPr="00B84270" w:rsidRDefault="00CD4BDB" w:rsidP="00CD4BDB">
      <w:pPr>
        <w:spacing w:after="0" w:line="360" w:lineRule="auto"/>
        <w:rPr>
          <w:rFonts w:ascii="Arial" w:hAnsi="Arial" w:cs="Arial"/>
          <w:sz w:val="24"/>
          <w:szCs w:val="24"/>
          <w:lang w:val="en-US"/>
        </w:rPr>
      </w:pPr>
      <w:r w:rsidRPr="00B84270">
        <w:rPr>
          <w:rFonts w:ascii="Arial" w:hAnsi="Arial" w:cs="Arial"/>
          <w:sz w:val="24"/>
          <w:szCs w:val="24"/>
          <w:lang w:val="en-US"/>
        </w:rPr>
        <w:t xml:space="preserve">Upon 5 g/L holo-Tf treatment, mRNA expression of </w:t>
      </w:r>
      <w:r w:rsidRPr="00B84270">
        <w:rPr>
          <w:rFonts w:ascii="Arial" w:hAnsi="Arial" w:cs="Arial"/>
          <w:i/>
          <w:sz w:val="24"/>
          <w:szCs w:val="24"/>
          <w:lang w:val="en-US"/>
        </w:rPr>
        <w:t>TFRC</w:t>
      </w:r>
      <w:r w:rsidRPr="00B84270">
        <w:rPr>
          <w:rFonts w:ascii="Arial" w:hAnsi="Arial" w:cs="Arial"/>
          <w:sz w:val="24"/>
          <w:szCs w:val="24"/>
          <w:lang w:val="en-US"/>
        </w:rPr>
        <w:t xml:space="preserve"> was assessed and expressed relative to respective untreated (0 g/L) cells at the corresponding time-point. Data is presented as mean ± SEM (n=3). *p&lt;0.05, **p&lt;0.02 compared to untreated (0 g/L) cells at the corresponding time-point.</w:t>
      </w:r>
    </w:p>
    <w:p w:rsidR="00885043" w:rsidRPr="00B84270" w:rsidRDefault="00885043" w:rsidP="00320782">
      <w:pPr>
        <w:spacing w:after="0" w:line="360" w:lineRule="auto"/>
        <w:rPr>
          <w:rFonts w:ascii="Arial" w:hAnsi="Arial" w:cs="Arial"/>
          <w:b/>
          <w:sz w:val="24"/>
          <w:szCs w:val="24"/>
          <w:lang w:val="en-US"/>
        </w:rPr>
      </w:pPr>
    </w:p>
    <w:p w:rsidR="00390295" w:rsidRPr="00B84270" w:rsidRDefault="0014537D" w:rsidP="00320782">
      <w:pPr>
        <w:spacing w:after="0" w:line="360" w:lineRule="auto"/>
        <w:rPr>
          <w:rFonts w:ascii="Arial" w:hAnsi="Arial" w:cs="Arial"/>
          <w:sz w:val="24"/>
          <w:szCs w:val="24"/>
          <w:lang w:val="en-US"/>
        </w:rPr>
      </w:pPr>
      <w:r w:rsidRPr="00B84270">
        <w:rPr>
          <w:rFonts w:ascii="Arial" w:hAnsi="Arial" w:cs="Arial"/>
          <w:b/>
          <w:sz w:val="24"/>
          <w:szCs w:val="24"/>
          <w:lang w:val="en-US"/>
        </w:rPr>
        <w:t>Fig 4</w:t>
      </w:r>
      <w:r w:rsidR="00390295" w:rsidRPr="00B84270">
        <w:rPr>
          <w:rFonts w:ascii="Arial" w:hAnsi="Arial" w:cs="Arial"/>
          <w:b/>
          <w:sz w:val="24"/>
          <w:szCs w:val="24"/>
          <w:lang w:val="en-US"/>
        </w:rPr>
        <w:t xml:space="preserve">. Effect of holo-Tf treatment on </w:t>
      </w:r>
      <w:r w:rsidR="009C5EEA" w:rsidRPr="00B84270">
        <w:rPr>
          <w:rFonts w:ascii="Arial" w:hAnsi="Arial" w:cs="Arial"/>
          <w:b/>
          <w:sz w:val="24"/>
          <w:szCs w:val="24"/>
          <w:lang w:val="en-US"/>
        </w:rPr>
        <w:t>iron-uptake</w:t>
      </w:r>
      <w:r w:rsidR="009E74DD" w:rsidRPr="00B84270">
        <w:rPr>
          <w:rFonts w:ascii="Arial" w:hAnsi="Arial" w:cs="Arial"/>
          <w:b/>
          <w:sz w:val="24"/>
          <w:szCs w:val="24"/>
          <w:lang w:val="en-US"/>
        </w:rPr>
        <w:t>.</w:t>
      </w:r>
    </w:p>
    <w:p w:rsidR="009E74DD" w:rsidRPr="00B84270" w:rsidRDefault="00D6776B" w:rsidP="009E74DD">
      <w:pPr>
        <w:spacing w:after="0" w:line="360" w:lineRule="auto"/>
        <w:rPr>
          <w:rFonts w:ascii="Arial" w:hAnsi="Arial" w:cs="Arial"/>
          <w:sz w:val="24"/>
          <w:szCs w:val="24"/>
          <w:lang w:val="en-US"/>
        </w:rPr>
      </w:pPr>
      <w:r w:rsidRPr="00B84270">
        <w:rPr>
          <w:rFonts w:ascii="Arial" w:hAnsi="Arial" w:cs="Arial"/>
          <w:sz w:val="24"/>
          <w:szCs w:val="24"/>
          <w:lang w:val="en-US"/>
        </w:rPr>
        <w:t>I</w:t>
      </w:r>
      <w:r w:rsidR="00525C2B" w:rsidRPr="00B84270">
        <w:rPr>
          <w:rFonts w:ascii="Arial" w:hAnsi="Arial" w:cs="Arial"/>
          <w:sz w:val="24"/>
          <w:szCs w:val="24"/>
          <w:lang w:val="en-US"/>
        </w:rPr>
        <w:t xml:space="preserve">ntracellular iron levels were measured following holo-Tf deprivation </w:t>
      </w:r>
      <w:r w:rsidR="004C4F04" w:rsidRPr="00B84270">
        <w:rPr>
          <w:rFonts w:ascii="Arial" w:hAnsi="Arial" w:cs="Arial"/>
          <w:sz w:val="24"/>
          <w:szCs w:val="24"/>
          <w:lang w:val="en-US"/>
        </w:rPr>
        <w:t>and treatment</w:t>
      </w:r>
      <w:r w:rsidR="009E74DD" w:rsidRPr="00B84270">
        <w:rPr>
          <w:rFonts w:ascii="Arial" w:hAnsi="Arial" w:cs="Arial"/>
          <w:sz w:val="24"/>
          <w:szCs w:val="24"/>
          <w:lang w:val="en-US"/>
        </w:rPr>
        <w:t xml:space="preserve">. Data is presented as mean ± SEM (n=3-6). </w:t>
      </w:r>
      <w:r w:rsidR="00525C2B" w:rsidRPr="00B84270">
        <w:rPr>
          <w:rFonts w:ascii="Arial" w:hAnsi="Arial" w:cs="Arial"/>
          <w:sz w:val="24"/>
          <w:szCs w:val="24"/>
          <w:lang w:val="en-US"/>
        </w:rPr>
        <w:t>*p&lt;0.03</w:t>
      </w:r>
      <w:r w:rsidR="00B85881" w:rsidRPr="00B84270">
        <w:rPr>
          <w:rFonts w:ascii="Arial" w:hAnsi="Arial" w:cs="Arial"/>
          <w:sz w:val="24"/>
          <w:szCs w:val="24"/>
          <w:lang w:val="en-US"/>
        </w:rPr>
        <w:t>,</w:t>
      </w:r>
      <w:r w:rsidR="00525C2B" w:rsidRPr="00B84270">
        <w:rPr>
          <w:rFonts w:ascii="Arial" w:hAnsi="Arial" w:cs="Arial"/>
          <w:sz w:val="24"/>
          <w:szCs w:val="24"/>
          <w:lang w:val="en-US"/>
        </w:rPr>
        <w:t xml:space="preserve"> **p&lt;0.01 compared to </w:t>
      </w:r>
      <w:r w:rsidR="004A51EF" w:rsidRPr="00B84270">
        <w:rPr>
          <w:rFonts w:ascii="Arial" w:hAnsi="Arial" w:cs="Arial"/>
          <w:sz w:val="24"/>
          <w:szCs w:val="24"/>
          <w:lang w:val="en-US"/>
        </w:rPr>
        <w:t>Wt HepG2 cells</w:t>
      </w:r>
      <w:r w:rsidR="00B3029F" w:rsidRPr="00B84270">
        <w:rPr>
          <w:rFonts w:ascii="Arial" w:hAnsi="Arial" w:cs="Arial"/>
          <w:sz w:val="24"/>
          <w:szCs w:val="24"/>
          <w:lang w:val="en-US"/>
        </w:rPr>
        <w:t xml:space="preserve"> </w:t>
      </w:r>
      <w:r w:rsidR="00D71ED6" w:rsidRPr="00B84270">
        <w:rPr>
          <w:rFonts w:ascii="Arial" w:hAnsi="Arial" w:cs="Arial"/>
          <w:sz w:val="24"/>
          <w:szCs w:val="24"/>
          <w:lang w:val="en-US"/>
        </w:rPr>
        <w:t xml:space="preserve">at the corresponding time-point and </w:t>
      </w:r>
      <w:r w:rsidR="00525C2B" w:rsidRPr="00B84270">
        <w:rPr>
          <w:rFonts w:ascii="Arial" w:hAnsi="Arial" w:cs="Arial"/>
          <w:sz w:val="24"/>
          <w:szCs w:val="24"/>
          <w:vertAlign w:val="superscript"/>
          <w:lang w:val="en-US"/>
        </w:rPr>
        <w:t>#</w:t>
      </w:r>
      <w:r w:rsidR="00525C2B" w:rsidRPr="00B84270">
        <w:rPr>
          <w:rFonts w:ascii="Arial" w:hAnsi="Arial" w:cs="Arial"/>
          <w:sz w:val="24"/>
          <w:szCs w:val="24"/>
          <w:lang w:val="en-US"/>
        </w:rPr>
        <w:t>p&lt;</w:t>
      </w:r>
      <w:proofErr w:type="gramStart"/>
      <w:r w:rsidR="00525C2B" w:rsidRPr="00B84270">
        <w:rPr>
          <w:rFonts w:ascii="Arial" w:hAnsi="Arial" w:cs="Arial"/>
          <w:sz w:val="24"/>
          <w:szCs w:val="24"/>
          <w:lang w:val="en-US"/>
        </w:rPr>
        <w:t>0.02</w:t>
      </w:r>
      <w:r w:rsidR="00B85881" w:rsidRPr="00B84270">
        <w:rPr>
          <w:rFonts w:ascii="Arial" w:hAnsi="Arial" w:cs="Arial"/>
          <w:sz w:val="24"/>
          <w:szCs w:val="24"/>
          <w:lang w:val="en-US"/>
        </w:rPr>
        <w:t>,</w:t>
      </w:r>
      <w:r w:rsidR="00525C2B" w:rsidRPr="00B84270">
        <w:rPr>
          <w:rFonts w:ascii="Arial" w:hAnsi="Arial" w:cs="Arial"/>
          <w:sz w:val="24"/>
          <w:szCs w:val="24"/>
          <w:vertAlign w:val="superscript"/>
          <w:lang w:val="en-US"/>
        </w:rPr>
        <w:t>#</w:t>
      </w:r>
      <w:proofErr w:type="gramEnd"/>
      <w:r w:rsidR="00525C2B" w:rsidRPr="00B84270">
        <w:rPr>
          <w:rFonts w:ascii="Arial" w:hAnsi="Arial" w:cs="Arial"/>
          <w:sz w:val="24"/>
          <w:szCs w:val="24"/>
          <w:vertAlign w:val="superscript"/>
          <w:lang w:val="en-US"/>
        </w:rPr>
        <w:t>#</w:t>
      </w:r>
      <w:r w:rsidR="00525C2B" w:rsidRPr="00B84270">
        <w:rPr>
          <w:rFonts w:ascii="Arial" w:hAnsi="Arial" w:cs="Arial"/>
          <w:sz w:val="24"/>
          <w:szCs w:val="24"/>
          <w:lang w:val="en-US"/>
        </w:rPr>
        <w:t>p&lt;0.01 compared to untreated (0 g/L) rec-TfR1 cells a</w:t>
      </w:r>
      <w:r w:rsidR="00D71ED6" w:rsidRPr="00B84270">
        <w:rPr>
          <w:rFonts w:ascii="Arial" w:hAnsi="Arial" w:cs="Arial"/>
          <w:sz w:val="24"/>
          <w:szCs w:val="24"/>
          <w:lang w:val="en-US"/>
        </w:rPr>
        <w:t xml:space="preserve">t the corresponding time-point. </w:t>
      </w:r>
    </w:p>
    <w:p w:rsidR="005F5A7A" w:rsidRPr="00B84270" w:rsidRDefault="005F5A7A" w:rsidP="009E74DD">
      <w:pPr>
        <w:spacing w:after="0" w:line="360" w:lineRule="auto"/>
        <w:rPr>
          <w:rFonts w:ascii="Arial" w:hAnsi="Arial" w:cs="Arial"/>
          <w:b/>
          <w:sz w:val="24"/>
          <w:szCs w:val="24"/>
          <w:lang w:val="en-US"/>
        </w:rPr>
      </w:pPr>
    </w:p>
    <w:p w:rsidR="00514A93" w:rsidRPr="00B84270" w:rsidRDefault="00514A93" w:rsidP="00514A93">
      <w:pPr>
        <w:spacing w:after="0" w:line="360" w:lineRule="auto"/>
        <w:rPr>
          <w:rFonts w:ascii="Arial" w:hAnsi="Arial" w:cs="Arial"/>
          <w:sz w:val="24"/>
          <w:szCs w:val="24"/>
          <w:lang w:val="en-US"/>
        </w:rPr>
      </w:pPr>
      <w:r w:rsidRPr="00B84270">
        <w:rPr>
          <w:rFonts w:ascii="Arial" w:hAnsi="Arial" w:cs="Arial"/>
          <w:b/>
          <w:sz w:val="24"/>
          <w:szCs w:val="24"/>
          <w:lang w:val="en-US"/>
        </w:rPr>
        <w:t>Fig 5. Effect of holo-Tf treatment on hepcidin peptide secretion.</w:t>
      </w:r>
    </w:p>
    <w:p w:rsidR="00514A93" w:rsidRPr="00B84270" w:rsidRDefault="00C36862" w:rsidP="00514A93">
      <w:pPr>
        <w:spacing w:after="0" w:line="360" w:lineRule="auto"/>
        <w:rPr>
          <w:rFonts w:ascii="Arial" w:hAnsi="Arial" w:cs="Arial"/>
          <w:sz w:val="24"/>
          <w:szCs w:val="24"/>
          <w:lang w:val="en-US"/>
        </w:rPr>
      </w:pPr>
      <w:r w:rsidRPr="00B84270">
        <w:rPr>
          <w:rFonts w:ascii="Arial" w:hAnsi="Arial" w:cs="Arial"/>
          <w:sz w:val="24"/>
          <w:szCs w:val="24"/>
          <w:lang w:val="en-US"/>
        </w:rPr>
        <w:lastRenderedPageBreak/>
        <w:t xml:space="preserve">Levels of secreted hepcidin </w:t>
      </w:r>
      <w:r w:rsidR="00514A93" w:rsidRPr="00B84270">
        <w:rPr>
          <w:rFonts w:ascii="Arial" w:hAnsi="Arial" w:cs="Arial"/>
          <w:sz w:val="24"/>
          <w:szCs w:val="24"/>
          <w:lang w:val="en-US"/>
        </w:rPr>
        <w:t>were measured following holo-Tf treatment and deprivation</w:t>
      </w:r>
      <w:r w:rsidRPr="00B84270">
        <w:rPr>
          <w:rFonts w:ascii="Arial" w:hAnsi="Arial" w:cs="Arial"/>
          <w:sz w:val="24"/>
          <w:szCs w:val="24"/>
          <w:lang w:val="en-US"/>
        </w:rPr>
        <w:t xml:space="preserve"> in wt HepG2 cells (A) and rec-TfR1HepG2 cells (B). </w:t>
      </w:r>
      <w:r w:rsidR="00514A93" w:rsidRPr="00B84270">
        <w:rPr>
          <w:rFonts w:ascii="Arial" w:hAnsi="Arial" w:cs="Arial"/>
          <w:sz w:val="24"/>
          <w:szCs w:val="24"/>
          <w:lang w:val="en-US"/>
        </w:rPr>
        <w:t xml:space="preserve">Data is presented as mean ± SEM (n=3-6). *p&lt;0.05, **p&lt;0.02 compared to respective untreated (0 g/L) cells at the corresponding time-point; </w:t>
      </w:r>
      <w:r w:rsidR="00514A93" w:rsidRPr="00B84270">
        <w:rPr>
          <w:rFonts w:ascii="Arial" w:hAnsi="Arial" w:cs="Arial"/>
          <w:sz w:val="24"/>
          <w:szCs w:val="24"/>
          <w:vertAlign w:val="superscript"/>
          <w:lang w:val="en-US"/>
        </w:rPr>
        <w:t>#</w:t>
      </w:r>
      <w:r w:rsidR="00514A93" w:rsidRPr="00B84270">
        <w:rPr>
          <w:rFonts w:ascii="Arial" w:hAnsi="Arial" w:cs="Arial"/>
          <w:sz w:val="24"/>
          <w:szCs w:val="24"/>
          <w:lang w:val="en-US"/>
        </w:rPr>
        <w:t>p&lt;</w:t>
      </w:r>
      <w:proofErr w:type="gramStart"/>
      <w:r w:rsidR="00514A93" w:rsidRPr="00B84270">
        <w:rPr>
          <w:rFonts w:ascii="Arial" w:hAnsi="Arial" w:cs="Arial"/>
          <w:sz w:val="24"/>
          <w:szCs w:val="24"/>
          <w:lang w:val="en-US"/>
        </w:rPr>
        <w:t>0.05,</w:t>
      </w:r>
      <w:r w:rsidR="00514A93" w:rsidRPr="00B84270">
        <w:rPr>
          <w:rFonts w:ascii="Arial" w:hAnsi="Arial" w:cs="Arial"/>
          <w:sz w:val="24"/>
          <w:szCs w:val="24"/>
          <w:vertAlign w:val="superscript"/>
          <w:lang w:val="en-US"/>
        </w:rPr>
        <w:t>#</w:t>
      </w:r>
      <w:proofErr w:type="gramEnd"/>
      <w:r w:rsidR="00514A93" w:rsidRPr="00B84270">
        <w:rPr>
          <w:rFonts w:ascii="Arial" w:hAnsi="Arial" w:cs="Arial"/>
          <w:sz w:val="24"/>
          <w:szCs w:val="24"/>
          <w:vertAlign w:val="superscript"/>
          <w:lang w:val="en-US"/>
        </w:rPr>
        <w:t>#</w:t>
      </w:r>
      <w:r w:rsidR="00514A93" w:rsidRPr="00B84270">
        <w:rPr>
          <w:rFonts w:ascii="Arial" w:hAnsi="Arial" w:cs="Arial"/>
          <w:sz w:val="24"/>
          <w:szCs w:val="24"/>
          <w:lang w:val="en-US"/>
        </w:rPr>
        <w:t xml:space="preserve">p&lt;0.02 compared to 2 h of 0 g/L treatment in Wt HepG2 cells; ^p&lt;0.04, ^^p&lt;0.03  compared to 30 min of 0 g/L treatment in rec-TfR1 HepG2 cells. </w:t>
      </w:r>
    </w:p>
    <w:p w:rsidR="002C7FB7" w:rsidRPr="00B84270" w:rsidRDefault="002C7FB7" w:rsidP="005510CB">
      <w:pPr>
        <w:spacing w:after="0" w:line="360" w:lineRule="auto"/>
        <w:rPr>
          <w:rFonts w:ascii="Arial" w:hAnsi="Arial" w:cs="Arial"/>
          <w:b/>
          <w:sz w:val="24"/>
          <w:szCs w:val="24"/>
          <w:lang w:val="en-US"/>
        </w:rPr>
      </w:pPr>
    </w:p>
    <w:p w:rsidR="000E2D65" w:rsidRPr="00B84270" w:rsidRDefault="00CD4BDB" w:rsidP="005510CB">
      <w:pPr>
        <w:spacing w:after="0" w:line="360" w:lineRule="auto"/>
        <w:rPr>
          <w:rFonts w:ascii="Arial" w:hAnsi="Arial" w:cs="Arial"/>
          <w:b/>
          <w:sz w:val="24"/>
          <w:szCs w:val="24"/>
          <w:lang w:val="en-US"/>
        </w:rPr>
      </w:pPr>
      <w:r w:rsidRPr="00B84270">
        <w:rPr>
          <w:rFonts w:ascii="Arial" w:hAnsi="Arial" w:cs="Arial"/>
          <w:b/>
          <w:sz w:val="24"/>
          <w:szCs w:val="24"/>
          <w:lang w:val="en-US"/>
        </w:rPr>
        <w:t>Fig 6</w:t>
      </w:r>
      <w:r w:rsidR="00BA4724" w:rsidRPr="00B84270">
        <w:rPr>
          <w:rFonts w:ascii="Arial" w:hAnsi="Arial" w:cs="Arial"/>
          <w:b/>
          <w:sz w:val="24"/>
          <w:szCs w:val="24"/>
          <w:lang w:val="en-US"/>
        </w:rPr>
        <w:t xml:space="preserve">. </w:t>
      </w:r>
      <w:r w:rsidR="00283E16" w:rsidRPr="00B84270">
        <w:rPr>
          <w:rFonts w:ascii="Arial" w:hAnsi="Arial" w:cs="Arial"/>
          <w:b/>
          <w:sz w:val="24"/>
          <w:szCs w:val="24"/>
          <w:lang w:val="en-US"/>
        </w:rPr>
        <w:t xml:space="preserve">Effect of holo-Tf treatment on </w:t>
      </w:r>
      <w:r w:rsidR="00FC54C2" w:rsidRPr="00B84270">
        <w:rPr>
          <w:rFonts w:ascii="Arial" w:hAnsi="Arial" w:cs="Arial"/>
          <w:b/>
          <w:i/>
          <w:sz w:val="24"/>
          <w:szCs w:val="24"/>
          <w:lang w:val="en-US"/>
        </w:rPr>
        <w:t xml:space="preserve">HAMP </w:t>
      </w:r>
      <w:r w:rsidR="00FC54C2" w:rsidRPr="00B84270">
        <w:rPr>
          <w:rFonts w:ascii="Arial" w:hAnsi="Arial" w:cs="Arial"/>
          <w:b/>
          <w:sz w:val="24"/>
          <w:szCs w:val="24"/>
          <w:lang w:val="en-US"/>
        </w:rPr>
        <w:t>and</w:t>
      </w:r>
      <w:r w:rsidR="00FC54C2" w:rsidRPr="00B84270">
        <w:rPr>
          <w:rFonts w:ascii="Arial" w:hAnsi="Arial" w:cs="Arial"/>
          <w:b/>
          <w:i/>
          <w:sz w:val="24"/>
          <w:szCs w:val="24"/>
          <w:lang w:val="en-US"/>
        </w:rPr>
        <w:t xml:space="preserve"> SLC40A1 </w:t>
      </w:r>
      <w:r w:rsidR="00283E16" w:rsidRPr="00B84270">
        <w:rPr>
          <w:rFonts w:ascii="Arial" w:hAnsi="Arial" w:cs="Arial"/>
          <w:b/>
          <w:sz w:val="24"/>
          <w:szCs w:val="24"/>
          <w:lang w:val="en-US"/>
        </w:rPr>
        <w:t>mRNA expression.</w:t>
      </w:r>
    </w:p>
    <w:p w:rsidR="00A13F88" w:rsidRPr="00B84270" w:rsidRDefault="004C4F04" w:rsidP="005510CB">
      <w:pPr>
        <w:spacing w:after="0" w:line="360" w:lineRule="auto"/>
        <w:rPr>
          <w:rFonts w:ascii="Arial" w:hAnsi="Arial" w:cs="Arial"/>
          <w:sz w:val="24"/>
          <w:szCs w:val="24"/>
          <w:lang w:val="en-US"/>
        </w:rPr>
      </w:pPr>
      <w:r w:rsidRPr="00B84270">
        <w:rPr>
          <w:rFonts w:ascii="Arial" w:hAnsi="Arial" w:cs="Arial"/>
          <w:sz w:val="24"/>
          <w:szCs w:val="24"/>
          <w:lang w:val="en-US"/>
        </w:rPr>
        <w:t xml:space="preserve">Upon 5 g/L holo-Tf treatment, </w:t>
      </w:r>
      <w:r w:rsidR="00283E16" w:rsidRPr="00B84270">
        <w:rPr>
          <w:rFonts w:ascii="Arial" w:hAnsi="Arial" w:cs="Arial"/>
          <w:sz w:val="24"/>
          <w:szCs w:val="24"/>
          <w:lang w:val="en-US"/>
        </w:rPr>
        <w:t xml:space="preserve">mRNA expression of </w:t>
      </w:r>
      <w:r w:rsidRPr="00B84270">
        <w:rPr>
          <w:rFonts w:ascii="Arial" w:hAnsi="Arial" w:cs="Arial"/>
          <w:sz w:val="24"/>
          <w:szCs w:val="24"/>
          <w:lang w:val="en-US"/>
        </w:rPr>
        <w:t xml:space="preserve">(A) </w:t>
      </w:r>
      <w:r w:rsidR="00FC54C2" w:rsidRPr="00B84270">
        <w:rPr>
          <w:rFonts w:ascii="Arial" w:hAnsi="Arial" w:cs="Arial"/>
          <w:i/>
          <w:sz w:val="24"/>
          <w:szCs w:val="24"/>
          <w:lang w:val="en-US"/>
        </w:rPr>
        <w:t>HAMP</w:t>
      </w:r>
      <w:r w:rsidR="00C36862" w:rsidRPr="00B84270">
        <w:rPr>
          <w:rFonts w:ascii="Arial" w:hAnsi="Arial" w:cs="Arial"/>
          <w:i/>
          <w:sz w:val="24"/>
          <w:szCs w:val="24"/>
          <w:lang w:val="en-US"/>
        </w:rPr>
        <w:t xml:space="preserve"> </w:t>
      </w:r>
      <w:r w:rsidR="005F6DC7" w:rsidRPr="00B84270">
        <w:rPr>
          <w:rFonts w:ascii="Arial" w:hAnsi="Arial" w:cs="Arial"/>
          <w:sz w:val="24"/>
          <w:szCs w:val="24"/>
          <w:lang w:val="en-US"/>
        </w:rPr>
        <w:t>and</w:t>
      </w:r>
      <w:r w:rsidR="002C7FB7" w:rsidRPr="00B84270">
        <w:rPr>
          <w:rFonts w:ascii="Arial" w:hAnsi="Arial" w:cs="Arial"/>
          <w:sz w:val="24"/>
          <w:szCs w:val="24"/>
          <w:lang w:val="en-US"/>
        </w:rPr>
        <w:t xml:space="preserve"> (B</w:t>
      </w:r>
      <w:r w:rsidRPr="00B84270">
        <w:rPr>
          <w:rFonts w:ascii="Arial" w:hAnsi="Arial" w:cs="Arial"/>
          <w:sz w:val="24"/>
          <w:szCs w:val="24"/>
          <w:lang w:val="en-US"/>
        </w:rPr>
        <w:t>)</w:t>
      </w:r>
      <w:r w:rsidR="00FC54C2" w:rsidRPr="00B84270">
        <w:rPr>
          <w:rFonts w:ascii="Arial" w:hAnsi="Arial" w:cs="Arial"/>
          <w:i/>
          <w:sz w:val="24"/>
          <w:szCs w:val="24"/>
          <w:lang w:val="en-US"/>
        </w:rPr>
        <w:t>SLC40A1</w:t>
      </w:r>
      <w:r w:rsidR="00283E16" w:rsidRPr="00B84270">
        <w:rPr>
          <w:rFonts w:ascii="Arial" w:hAnsi="Arial" w:cs="Arial"/>
          <w:sz w:val="24"/>
          <w:szCs w:val="24"/>
          <w:lang w:val="en-US"/>
        </w:rPr>
        <w:t>in the HepG2 cells was assessed and expressed relative to respective untreated (0 g/L) cells at the corresponding time-point. Data is presented as mean ± SEM (n=3). *p&lt;0.05, **p&lt;0.02 compared to untreated (0 g/L) cells at the corresponding time-point.</w:t>
      </w:r>
    </w:p>
    <w:p w:rsidR="003E06E6" w:rsidRPr="00B84270" w:rsidRDefault="003E06E6" w:rsidP="005510CB">
      <w:pPr>
        <w:spacing w:after="0" w:line="360" w:lineRule="auto"/>
        <w:rPr>
          <w:rFonts w:ascii="Arial" w:hAnsi="Arial" w:cs="Arial"/>
          <w:sz w:val="24"/>
          <w:szCs w:val="24"/>
          <w:lang w:val="en-US"/>
        </w:rPr>
      </w:pPr>
    </w:p>
    <w:p w:rsidR="00786E21" w:rsidRPr="00B84270" w:rsidRDefault="00C63F4D" w:rsidP="005510CB">
      <w:pPr>
        <w:spacing w:after="0" w:line="360" w:lineRule="auto"/>
        <w:rPr>
          <w:rFonts w:ascii="Arial" w:hAnsi="Arial" w:cs="Arial"/>
          <w:sz w:val="24"/>
          <w:szCs w:val="24"/>
          <w:lang w:val="en-US"/>
        </w:rPr>
      </w:pPr>
      <w:r w:rsidRPr="00B84270">
        <w:rPr>
          <w:rFonts w:ascii="Arial" w:hAnsi="Arial" w:cs="Arial"/>
          <w:b/>
          <w:sz w:val="24"/>
          <w:szCs w:val="24"/>
          <w:lang w:val="en-US"/>
        </w:rPr>
        <w:t xml:space="preserve">Fig </w:t>
      </w:r>
      <w:r w:rsidR="00CD4BDB" w:rsidRPr="00B84270">
        <w:rPr>
          <w:rFonts w:ascii="Arial" w:hAnsi="Arial" w:cs="Arial"/>
          <w:b/>
          <w:sz w:val="24"/>
          <w:szCs w:val="24"/>
          <w:lang w:val="en-US"/>
        </w:rPr>
        <w:t>7</w:t>
      </w:r>
      <w:r w:rsidR="00821816" w:rsidRPr="00B84270">
        <w:rPr>
          <w:rFonts w:ascii="Arial" w:hAnsi="Arial" w:cs="Arial"/>
          <w:b/>
          <w:sz w:val="24"/>
          <w:szCs w:val="24"/>
          <w:lang w:val="en-US"/>
        </w:rPr>
        <w:t xml:space="preserve">. </w:t>
      </w:r>
      <w:r w:rsidR="00525C2B" w:rsidRPr="00B84270">
        <w:rPr>
          <w:rFonts w:ascii="Arial" w:hAnsi="Arial" w:cs="Arial"/>
          <w:b/>
          <w:sz w:val="24"/>
          <w:szCs w:val="24"/>
          <w:lang w:val="en-US"/>
        </w:rPr>
        <w:t xml:space="preserve">Effect of holo-Tf treatment on </w:t>
      </w:r>
      <w:r w:rsidR="00AC055F" w:rsidRPr="00B84270">
        <w:rPr>
          <w:rFonts w:ascii="Arial" w:hAnsi="Arial" w:cs="Arial"/>
          <w:b/>
          <w:i/>
          <w:sz w:val="24"/>
          <w:szCs w:val="24"/>
          <w:lang w:val="en-US"/>
        </w:rPr>
        <w:t>HFE and</w:t>
      </w:r>
      <w:r w:rsidR="00A13F88" w:rsidRPr="00B84270">
        <w:rPr>
          <w:rFonts w:ascii="Arial" w:hAnsi="Arial" w:cs="Arial"/>
          <w:b/>
          <w:i/>
          <w:sz w:val="24"/>
          <w:szCs w:val="24"/>
          <w:lang w:val="en-US"/>
        </w:rPr>
        <w:t xml:space="preserve"> TFR2 </w:t>
      </w:r>
      <w:r w:rsidR="00525C2B" w:rsidRPr="00B84270">
        <w:rPr>
          <w:rFonts w:ascii="Arial" w:hAnsi="Arial" w:cs="Arial"/>
          <w:b/>
          <w:sz w:val="24"/>
          <w:szCs w:val="24"/>
          <w:lang w:val="en-US"/>
        </w:rPr>
        <w:t>mRNA expression.</w:t>
      </w:r>
    </w:p>
    <w:p w:rsidR="00525C2B" w:rsidRPr="00B84270" w:rsidRDefault="00525C2B" w:rsidP="005510CB">
      <w:pPr>
        <w:spacing w:after="0" w:line="360" w:lineRule="auto"/>
        <w:rPr>
          <w:rFonts w:ascii="Arial" w:hAnsi="Arial" w:cs="Arial"/>
          <w:sz w:val="24"/>
          <w:szCs w:val="24"/>
          <w:lang w:val="en-US"/>
        </w:rPr>
      </w:pPr>
      <w:r w:rsidRPr="00B84270">
        <w:rPr>
          <w:rFonts w:ascii="Arial" w:hAnsi="Arial" w:cs="Arial"/>
          <w:sz w:val="24"/>
          <w:szCs w:val="24"/>
          <w:lang w:val="en-US"/>
        </w:rPr>
        <w:t xml:space="preserve">Upon 5 g/L holo-Tf treatment, mRNA expression of </w:t>
      </w:r>
      <w:r w:rsidR="004C4F04" w:rsidRPr="00B84270">
        <w:rPr>
          <w:rFonts w:ascii="Arial" w:hAnsi="Arial" w:cs="Arial"/>
          <w:sz w:val="24"/>
          <w:szCs w:val="24"/>
          <w:lang w:val="en-US"/>
        </w:rPr>
        <w:t>(A)</w:t>
      </w:r>
      <w:r w:rsidR="00A13F88" w:rsidRPr="00B84270">
        <w:rPr>
          <w:rFonts w:ascii="Arial" w:hAnsi="Arial" w:cs="Arial"/>
          <w:i/>
          <w:sz w:val="24"/>
          <w:szCs w:val="24"/>
          <w:lang w:val="en-US"/>
        </w:rPr>
        <w:t xml:space="preserve">HFE </w:t>
      </w:r>
      <w:r w:rsidR="00A13F88" w:rsidRPr="00B84270">
        <w:rPr>
          <w:rFonts w:ascii="Arial" w:hAnsi="Arial" w:cs="Arial"/>
          <w:sz w:val="24"/>
          <w:szCs w:val="24"/>
          <w:lang w:val="en-US"/>
        </w:rPr>
        <w:t>and</w:t>
      </w:r>
      <w:r w:rsidR="004C4F04" w:rsidRPr="00B84270">
        <w:rPr>
          <w:rFonts w:ascii="Arial" w:hAnsi="Arial" w:cs="Arial"/>
          <w:sz w:val="24"/>
          <w:szCs w:val="24"/>
          <w:lang w:val="en-US"/>
        </w:rPr>
        <w:t>(B)</w:t>
      </w:r>
      <w:r w:rsidR="00821816" w:rsidRPr="00B84270">
        <w:rPr>
          <w:rFonts w:ascii="Arial" w:hAnsi="Arial" w:cs="Arial"/>
          <w:i/>
          <w:sz w:val="24"/>
          <w:szCs w:val="24"/>
          <w:lang w:val="en-US"/>
        </w:rPr>
        <w:t xml:space="preserve">TFR2 </w:t>
      </w:r>
      <w:r w:rsidR="00821816" w:rsidRPr="00B84270">
        <w:rPr>
          <w:rFonts w:ascii="Arial" w:hAnsi="Arial" w:cs="Arial"/>
          <w:sz w:val="24"/>
          <w:szCs w:val="24"/>
          <w:lang w:val="en-US"/>
        </w:rPr>
        <w:t>in</w:t>
      </w:r>
      <w:r w:rsidRPr="00B84270">
        <w:rPr>
          <w:rFonts w:ascii="Arial" w:hAnsi="Arial" w:cs="Arial"/>
          <w:sz w:val="24"/>
          <w:szCs w:val="24"/>
          <w:lang w:val="en-US"/>
        </w:rPr>
        <w:t xml:space="preserve"> the HepG2 cells was assessed and expressed relative to respective untreated (0g/L) cells at the corresponding time-point. Data is presented as mean ± SEM (n=3). *p&lt;0.05 compared to untreated (0 g/L) cells at the corresponding time-point.</w:t>
      </w:r>
    </w:p>
    <w:p w:rsidR="00CD4BDB" w:rsidRPr="00B84270" w:rsidRDefault="00CD4BDB" w:rsidP="005510CB">
      <w:pPr>
        <w:spacing w:after="0" w:line="360" w:lineRule="auto"/>
        <w:rPr>
          <w:rFonts w:ascii="Arial" w:hAnsi="Arial" w:cs="Arial"/>
          <w:sz w:val="24"/>
          <w:szCs w:val="24"/>
          <w:lang w:val="en-US"/>
        </w:rPr>
      </w:pPr>
    </w:p>
    <w:p w:rsidR="00CD4BDB" w:rsidRPr="00B84270" w:rsidRDefault="00CD4BDB" w:rsidP="00CD4BDB">
      <w:pPr>
        <w:spacing w:after="0" w:line="360" w:lineRule="auto"/>
        <w:rPr>
          <w:rFonts w:ascii="Arial" w:hAnsi="Arial" w:cs="Arial"/>
          <w:sz w:val="24"/>
          <w:szCs w:val="24"/>
          <w:lang w:val="en-US"/>
        </w:rPr>
      </w:pPr>
      <w:r w:rsidRPr="00B84270">
        <w:rPr>
          <w:rFonts w:ascii="Arial" w:hAnsi="Arial" w:cs="Arial"/>
          <w:b/>
          <w:sz w:val="24"/>
          <w:szCs w:val="24"/>
          <w:lang w:val="en-US"/>
        </w:rPr>
        <w:t>Fig 8. Effect of holo-Tf treatment on mitochondrial activity.</w:t>
      </w:r>
    </w:p>
    <w:p w:rsidR="00CD4BDB" w:rsidRPr="00B84270" w:rsidRDefault="00CD4BDB" w:rsidP="00CD4BDB">
      <w:pPr>
        <w:spacing w:after="0" w:line="360" w:lineRule="auto"/>
        <w:rPr>
          <w:rFonts w:ascii="Arial" w:hAnsi="Arial" w:cs="Arial"/>
          <w:b/>
          <w:sz w:val="24"/>
          <w:szCs w:val="24"/>
          <w:lang w:val="en-US"/>
        </w:rPr>
      </w:pPr>
      <w:r w:rsidRPr="00B84270">
        <w:rPr>
          <w:rFonts w:ascii="Arial" w:hAnsi="Arial" w:cs="Arial"/>
          <w:sz w:val="24"/>
          <w:szCs w:val="24"/>
          <w:lang w:val="en-US"/>
        </w:rPr>
        <w:t xml:space="preserve">Following 5 g/L holo-Tf treatment, mitochondrial activity of HepG2 cells was assessed and expressed in comparison to untreated (0 g/L) cells at the corresponding time-point. Data is presented as mean ± SEM (n=3-6). *p&lt;0.05 compared to Wt HepG2 cells. </w:t>
      </w:r>
    </w:p>
    <w:p w:rsidR="00CD4BDB" w:rsidRPr="00B84270" w:rsidRDefault="00CD4BDB" w:rsidP="005510CB">
      <w:pPr>
        <w:spacing w:after="0" w:line="360" w:lineRule="auto"/>
        <w:rPr>
          <w:rFonts w:ascii="Arial" w:hAnsi="Arial" w:cs="Arial"/>
          <w:sz w:val="24"/>
          <w:szCs w:val="24"/>
          <w:lang w:val="en-US"/>
        </w:rPr>
      </w:pPr>
    </w:p>
    <w:p w:rsidR="00F767CF" w:rsidRPr="00B84270" w:rsidRDefault="00F767CF" w:rsidP="005510CB">
      <w:pPr>
        <w:spacing w:after="0" w:line="360" w:lineRule="auto"/>
        <w:rPr>
          <w:rFonts w:ascii="Arial" w:hAnsi="Arial" w:cs="Arial"/>
          <w:sz w:val="24"/>
          <w:szCs w:val="24"/>
          <w:lang w:val="en-US"/>
        </w:rPr>
      </w:pPr>
    </w:p>
    <w:p w:rsidR="00F767CF" w:rsidRPr="00B84270" w:rsidRDefault="00F767CF" w:rsidP="005510CB">
      <w:pPr>
        <w:spacing w:after="0" w:line="360" w:lineRule="auto"/>
        <w:rPr>
          <w:rFonts w:ascii="Arial" w:hAnsi="Arial" w:cs="Arial"/>
          <w:sz w:val="24"/>
          <w:szCs w:val="24"/>
          <w:lang w:val="en-US"/>
        </w:rPr>
      </w:pPr>
    </w:p>
    <w:p w:rsidR="00F767CF" w:rsidRPr="00B84270" w:rsidRDefault="00F767CF" w:rsidP="005510CB">
      <w:pPr>
        <w:spacing w:after="0" w:line="360" w:lineRule="auto"/>
        <w:rPr>
          <w:rFonts w:ascii="Arial" w:hAnsi="Arial" w:cs="Arial"/>
          <w:sz w:val="24"/>
          <w:szCs w:val="24"/>
          <w:lang w:val="en-US"/>
        </w:rPr>
      </w:pPr>
    </w:p>
    <w:p w:rsidR="00F767CF" w:rsidRPr="00B84270" w:rsidRDefault="00F767CF" w:rsidP="005510CB">
      <w:pPr>
        <w:spacing w:after="0" w:line="360" w:lineRule="auto"/>
        <w:rPr>
          <w:rFonts w:ascii="Arial" w:hAnsi="Arial" w:cs="Arial"/>
          <w:sz w:val="24"/>
          <w:szCs w:val="24"/>
          <w:lang w:val="en-US"/>
        </w:rPr>
      </w:pPr>
    </w:p>
    <w:p w:rsidR="00F767CF" w:rsidRPr="00B84270" w:rsidRDefault="00F767CF" w:rsidP="005510CB">
      <w:pPr>
        <w:spacing w:after="0" w:line="360" w:lineRule="auto"/>
        <w:rPr>
          <w:rFonts w:ascii="Arial" w:hAnsi="Arial" w:cs="Arial"/>
          <w:sz w:val="24"/>
          <w:szCs w:val="24"/>
          <w:lang w:val="en-US"/>
        </w:rPr>
      </w:pPr>
    </w:p>
    <w:p w:rsidR="00F767CF" w:rsidRPr="00B84270" w:rsidRDefault="00F767CF" w:rsidP="005510CB">
      <w:pPr>
        <w:spacing w:after="0" w:line="360" w:lineRule="auto"/>
        <w:rPr>
          <w:rFonts w:ascii="Arial" w:hAnsi="Arial" w:cs="Arial"/>
          <w:sz w:val="24"/>
          <w:szCs w:val="24"/>
          <w:lang w:val="en-US"/>
        </w:rPr>
      </w:pPr>
    </w:p>
    <w:p w:rsidR="00F767CF" w:rsidRPr="00B84270" w:rsidRDefault="00F767CF" w:rsidP="005510CB">
      <w:pPr>
        <w:spacing w:after="0" w:line="360" w:lineRule="auto"/>
        <w:rPr>
          <w:rFonts w:ascii="Arial" w:hAnsi="Arial" w:cs="Arial"/>
          <w:sz w:val="24"/>
          <w:szCs w:val="24"/>
          <w:lang w:val="en-US"/>
        </w:rPr>
      </w:pPr>
    </w:p>
    <w:p w:rsidR="00F767CF" w:rsidRPr="00B84270" w:rsidRDefault="00F767CF" w:rsidP="005510CB">
      <w:pPr>
        <w:spacing w:after="0" w:line="360" w:lineRule="auto"/>
        <w:rPr>
          <w:rFonts w:ascii="Arial" w:hAnsi="Arial" w:cs="Arial"/>
          <w:sz w:val="24"/>
          <w:szCs w:val="24"/>
          <w:lang w:val="en-US"/>
        </w:rPr>
      </w:pPr>
    </w:p>
    <w:p w:rsidR="00F767CF" w:rsidRPr="00B84270" w:rsidRDefault="00F767CF" w:rsidP="005510CB">
      <w:pPr>
        <w:spacing w:after="0" w:line="360" w:lineRule="auto"/>
        <w:rPr>
          <w:rFonts w:ascii="Arial" w:hAnsi="Arial" w:cs="Arial"/>
          <w:sz w:val="24"/>
          <w:szCs w:val="24"/>
          <w:lang w:val="en-US"/>
        </w:rPr>
      </w:pPr>
    </w:p>
    <w:p w:rsidR="00F767CF" w:rsidRPr="00B84270" w:rsidRDefault="00F767CF" w:rsidP="00F767CF">
      <w:pPr>
        <w:spacing w:after="0" w:line="360" w:lineRule="auto"/>
        <w:jc w:val="center"/>
        <w:rPr>
          <w:rFonts w:ascii="Arial" w:hAnsi="Arial" w:cs="Arial"/>
          <w:b/>
          <w:sz w:val="24"/>
          <w:szCs w:val="24"/>
          <w:lang w:val="en-US"/>
        </w:rPr>
        <w:sectPr w:rsidR="00F767CF" w:rsidRPr="00B84270" w:rsidSect="00EC3166">
          <w:headerReference w:type="default" r:id="rId12"/>
          <w:footerReference w:type="default" r:id="rId13"/>
          <w:pgSz w:w="11906" w:h="16838"/>
          <w:pgMar w:top="1418" w:right="1418" w:bottom="1418" w:left="1418" w:header="709" w:footer="709" w:gutter="0"/>
          <w:cols w:space="708"/>
          <w:docGrid w:linePitch="360"/>
        </w:sectPr>
      </w:pPr>
    </w:p>
    <w:p w:rsidR="00F767CF" w:rsidRPr="00B84270" w:rsidRDefault="00F767CF" w:rsidP="00F767CF">
      <w:pPr>
        <w:spacing w:after="0" w:line="360" w:lineRule="auto"/>
        <w:jc w:val="center"/>
        <w:rPr>
          <w:rFonts w:ascii="Arial" w:hAnsi="Arial" w:cs="Arial"/>
          <w:b/>
          <w:sz w:val="24"/>
          <w:szCs w:val="24"/>
          <w:lang w:val="en-US"/>
        </w:rPr>
      </w:pPr>
      <w:r w:rsidRPr="00B84270">
        <w:rPr>
          <w:rFonts w:ascii="Arial" w:hAnsi="Arial" w:cs="Arial"/>
          <w:b/>
          <w:sz w:val="24"/>
          <w:szCs w:val="24"/>
          <w:lang w:val="en-US"/>
        </w:rPr>
        <w:lastRenderedPageBreak/>
        <w:t xml:space="preserve">Characterization of hepcidin response to </w:t>
      </w:r>
      <w:proofErr w:type="spellStart"/>
      <w:r w:rsidRPr="00B84270">
        <w:rPr>
          <w:rFonts w:ascii="Arial" w:hAnsi="Arial" w:cs="Arial"/>
          <w:b/>
          <w:sz w:val="24"/>
          <w:szCs w:val="24"/>
          <w:lang w:val="en-US"/>
        </w:rPr>
        <w:t>holotransferrin</w:t>
      </w:r>
      <w:proofErr w:type="spellEnd"/>
      <w:r w:rsidRPr="00B84270">
        <w:rPr>
          <w:rFonts w:ascii="Arial" w:hAnsi="Arial" w:cs="Arial"/>
          <w:b/>
          <w:sz w:val="24"/>
          <w:szCs w:val="24"/>
          <w:lang w:val="en-US"/>
        </w:rPr>
        <w:t xml:space="preserve"> in novel recombinant TfR1 HepG2 cells</w:t>
      </w:r>
    </w:p>
    <w:p w:rsidR="00F767CF" w:rsidRPr="00B84270" w:rsidRDefault="00F767CF" w:rsidP="00F767CF">
      <w:pPr>
        <w:jc w:val="center"/>
        <w:rPr>
          <w:rFonts w:ascii="Arial" w:hAnsi="Arial" w:cs="Arial"/>
          <w:b/>
          <w:sz w:val="24"/>
          <w:szCs w:val="24"/>
          <w:lang w:eastAsia="zh-CN"/>
        </w:rPr>
      </w:pPr>
    </w:p>
    <w:p w:rsidR="00F767CF" w:rsidRPr="00B84270" w:rsidRDefault="00F767CF" w:rsidP="00F767CF">
      <w:pPr>
        <w:jc w:val="center"/>
        <w:rPr>
          <w:rFonts w:ascii="Arial" w:hAnsi="Arial" w:cs="Arial"/>
          <w:b/>
          <w:sz w:val="24"/>
          <w:szCs w:val="24"/>
          <w:lang w:eastAsia="zh-CN"/>
        </w:rPr>
      </w:pPr>
      <w:r w:rsidRPr="00B84270">
        <w:rPr>
          <w:rFonts w:ascii="Arial" w:hAnsi="Arial" w:cs="Arial"/>
          <w:b/>
          <w:sz w:val="24"/>
          <w:szCs w:val="24"/>
          <w:lang w:eastAsia="zh-CN"/>
        </w:rPr>
        <w:t>Revised Figures</w:t>
      </w:r>
    </w:p>
    <w:p w:rsidR="00F767CF" w:rsidRPr="00B84270" w:rsidRDefault="00F767CF" w:rsidP="00F767CF">
      <w:pPr>
        <w:spacing w:after="0" w:line="240" w:lineRule="auto"/>
        <w:rPr>
          <w:rFonts w:ascii="Times New Roman" w:hAnsi="Times New Roman"/>
          <w:b/>
          <w:sz w:val="24"/>
          <w:szCs w:val="24"/>
        </w:rPr>
      </w:pPr>
    </w:p>
    <w:p w:rsidR="00F767CF" w:rsidRPr="00B84270" w:rsidRDefault="00F767CF" w:rsidP="00F767CF">
      <w:pPr>
        <w:spacing w:after="0" w:line="240" w:lineRule="auto"/>
        <w:rPr>
          <w:rFonts w:ascii="Arial" w:hAnsi="Arial" w:cs="Arial"/>
          <w:sz w:val="24"/>
          <w:szCs w:val="24"/>
        </w:rPr>
      </w:pPr>
    </w:p>
    <w:p w:rsidR="00F767CF" w:rsidRPr="00B84270" w:rsidRDefault="006623B1" w:rsidP="00F767CF">
      <w:pPr>
        <w:spacing w:after="0" w:line="240" w:lineRule="auto"/>
        <w:rPr>
          <w:rFonts w:ascii="Times New Roman" w:hAnsi="Times New Roman"/>
          <w:b/>
          <w:sz w:val="24"/>
          <w:szCs w:val="24"/>
        </w:rPr>
      </w:pPr>
      <w:r>
        <w:rPr>
          <w:noProof/>
          <w:lang w:eastAsia="zh-CN"/>
        </w:rPr>
        <w:pict>
          <v:rect id="Rectangle 1596" o:spid="_x0000_s1026" style="position:absolute;margin-left:178.9pt;margin-top:3.65pt;width:2.3pt;height:25.45pt;z-index:251623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" filled="f" stroked="f">
            <v:textbox style="mso-fit-shape-to-text:t" inset="0,0,0,0">
              <w:txbxContent>
                <w:p w:rsidR="00967941" w:rsidRDefault="00967941" w:rsidP="00F767CF"/>
              </w:txbxContent>
            </v:textbox>
          </v:rect>
        </w:pict>
      </w:r>
      <w:r w:rsidR="00F767CF" w:rsidRPr="00B84270">
        <w:rPr>
          <w:rFonts w:ascii="Times New Roman" w:hAnsi="Times New Roman"/>
          <w:b/>
          <w:sz w:val="24"/>
          <w:szCs w:val="24"/>
        </w:rPr>
        <w:t>Fig. 1</w:t>
      </w:r>
    </w:p>
    <w:p w:rsidR="00F767CF" w:rsidRPr="00B84270" w:rsidRDefault="00F767CF" w:rsidP="00F767CF">
      <w:pPr>
        <w:spacing w:after="0" w:line="240" w:lineRule="auto"/>
        <w:rPr>
          <w:rFonts w:ascii="Times New Roman" w:hAnsi="Times New Roman"/>
          <w:b/>
          <w:sz w:val="24"/>
          <w:szCs w:val="24"/>
        </w:rPr>
      </w:pPr>
    </w:p>
    <w:p w:rsidR="00F767CF" w:rsidRPr="00B84270" w:rsidRDefault="00F767CF" w:rsidP="00F767CF">
      <w:pPr>
        <w:spacing w:after="0" w:line="240" w:lineRule="auto"/>
        <w:rPr>
          <w:rFonts w:ascii="Times New Roman" w:hAnsi="Times New Roman"/>
          <w:b/>
          <w:sz w:val="28"/>
          <w:szCs w:val="28"/>
        </w:rPr>
      </w:pPr>
      <w:r w:rsidRPr="00B84270">
        <w:rPr>
          <w:rFonts w:ascii="Times New Roman" w:hAnsi="Times New Roman"/>
          <w:sz w:val="28"/>
          <w:szCs w:val="28"/>
        </w:rPr>
        <w:t xml:space="preserve">        </w:t>
      </w:r>
      <w:r w:rsidRPr="00B84270">
        <w:rPr>
          <w:rFonts w:ascii="Times New Roman" w:hAnsi="Times New Roman"/>
          <w:b/>
          <w:sz w:val="28"/>
          <w:szCs w:val="28"/>
        </w:rPr>
        <w:t>A                                               B                                             C</w:t>
      </w:r>
    </w:p>
    <w:p w:rsidR="00F767CF" w:rsidRPr="00B84270" w:rsidRDefault="00F767CF" w:rsidP="00F767CF">
      <w:pPr>
        <w:spacing w:after="0" w:line="240" w:lineRule="auto"/>
        <w:rPr>
          <w:rFonts w:ascii="Times New Roman" w:hAnsi="Times New Roman"/>
          <w:b/>
          <w:sz w:val="28"/>
          <w:szCs w:val="28"/>
        </w:rPr>
      </w:pPr>
    </w:p>
    <w:p w:rsidR="00F767CF" w:rsidRPr="00B84270" w:rsidRDefault="006623B1" w:rsidP="00F767CF">
      <w:pPr>
        <w:spacing w:after="0" w:line="240" w:lineRule="auto"/>
        <w:rPr>
          <w:rFonts w:ascii="Times New Roman" w:hAnsi="Times New Roman"/>
          <w:sz w:val="24"/>
          <w:szCs w:val="24"/>
        </w:rPr>
      </w:pPr>
      <w:r>
        <w:rPr>
          <w:noProof/>
          <w:lang w:eastAsia="zh-CN"/>
        </w:rPr>
        <w:pict>
          <v:shapetype id="_x0000_t202" coordsize="21600,21600" o:spt="202" path="m,l,21600r21600,l21600,xe">
            <v:stroke joinstyle="miter"/>
            <v:path gradientshapeok="t" o:connecttype="rect"/>
          </v:shapetype>
          <v:shape id="Text Box 47" o:spid="_x0000_s1027" type="#_x0000_t202" style="position:absolute;margin-left:297.65pt;margin-top:20.3pt;width:29.7pt;height:20.6pt;z-index:25162496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" filled="f" stroked="f">
            <v:textbox style="mso-next-textbox:#Text Box 47">
              <w:txbxContent>
                <w:p w:rsidR="00967941" w:rsidRPr="00F4317E" w:rsidRDefault="00967941" w:rsidP="00F767CF">
                  <w:pPr>
                    <w:rPr>
                      <w:b/>
                      <w:sz w:val="28"/>
                      <w:szCs w:val="28"/>
                    </w:rPr>
                  </w:pPr>
                  <w:r w:rsidRPr="00F4317E">
                    <w:rPr>
                      <w:b/>
                      <w:sz w:val="28"/>
                      <w:szCs w:val="28"/>
                    </w:rPr>
                    <w:t>*</w:t>
                  </w:r>
                  <w:r>
                    <w:rPr>
                      <w:b/>
                      <w:sz w:val="28"/>
                      <w:szCs w:val="28"/>
                    </w:rPr>
                    <w:t>*</w:t>
                  </w:r>
                </w:p>
              </w:txbxContent>
            </v:textbox>
          </v:shape>
        </w:pict>
      </w:r>
      <w:r>
        <w:rPr>
          <w:rFonts w:ascii="Times New Roman" w:hAnsi="Times New Roman"/>
          <w:b/>
          <w:noProof/>
          <w:sz w:val="24"/>
          <w:szCs w:val="24"/>
        </w:rPr>
        <w:pict>
          <v:shape id="_x0000_s1057" type="#_x0000_t202" style="position:absolute;margin-left:122.9pt;margin-top:24.6pt;width:37.6pt;height:20.6pt;z-index:251655680;visibility:visible;mso-height-percent:0;mso-wrap-distance-left:9pt;mso-wrap-distance-top:0;mso-wrap-distance-right:9pt;mso-wrap-distance-bottom:0;mso-position-horizontal-relative:text;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EAquwIAAMI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" filled="f" stroked="f">
            <v:textbox style="mso-next-textbox:#_x0000_s1057">
              <w:txbxContent>
                <w:p w:rsidR="00967941" w:rsidRPr="00F4317E" w:rsidRDefault="00967941" w:rsidP="00F767CF">
                  <w:pPr>
                    <w:rPr>
                      <w:b/>
                      <w:sz w:val="28"/>
                      <w:szCs w:val="28"/>
                    </w:rPr>
                  </w:pPr>
                  <w:r w:rsidRPr="00F4317E">
                    <w:rPr>
                      <w:b/>
                      <w:sz w:val="28"/>
                      <w:szCs w:val="28"/>
                    </w:rPr>
                    <w:t>*</w:t>
                  </w:r>
                  <w:r>
                    <w:rPr>
                      <w:b/>
                      <w:sz w:val="28"/>
                      <w:szCs w:val="28"/>
                    </w:rPr>
                    <w:t>*</w:t>
                  </w:r>
                </w:p>
              </w:txbxContent>
            </v:textbox>
          </v:shape>
        </w:pict>
      </w:r>
      <w:r w:rsidR="00F767CF" w:rsidRPr="00B84270">
        <w:rPr>
          <w:noProof/>
        </w:rPr>
        <w:t xml:space="preserve"> </w:t>
      </w:r>
      <w:r w:rsidR="00F767CF" w:rsidRPr="00B84270">
        <w:rPr>
          <w:rFonts w:ascii="Times New Roman" w:hAnsi="Times New Roman"/>
          <w:b/>
          <w:noProof/>
          <w:sz w:val="24"/>
          <w:szCs w:val="24"/>
        </w:rPr>
        <w:drawing>
          <wp:inline distT="0" distB="0" distL="0" distR="0" wp14:anchorId="6A705D69" wp14:editId="73BC76BC">
            <wp:extent cx="2124075" cy="2520000"/>
            <wp:effectExtent l="0" t="0" r="0" b="0"/>
            <wp:docPr id="1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F767CF" w:rsidRPr="00B84270">
        <w:rPr>
          <w:rFonts w:ascii="Times New Roman" w:hAnsi="Times New Roman"/>
          <w:b/>
          <w:sz w:val="24"/>
          <w:szCs w:val="24"/>
        </w:rPr>
        <w:t xml:space="preserve">  </w:t>
      </w:r>
      <w:r w:rsidR="00F767CF" w:rsidRPr="00B84270">
        <w:rPr>
          <w:rFonts w:ascii="Times New Roman" w:hAnsi="Times New Roman"/>
          <w:noProof/>
          <w:sz w:val="24"/>
          <w:szCs w:val="24"/>
        </w:rPr>
        <w:drawing>
          <wp:inline distT="0" distB="0" distL="0" distR="0" wp14:anchorId="2023F23A" wp14:editId="1E104C27">
            <wp:extent cx="2152650" cy="2524125"/>
            <wp:effectExtent l="0" t="0" r="0" b="0"/>
            <wp:docPr id="114"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F767CF" w:rsidRPr="00B84270">
        <w:rPr>
          <w:rFonts w:ascii="Times New Roman" w:hAnsi="Times New Roman"/>
          <w:noProof/>
          <w:sz w:val="24"/>
          <w:szCs w:val="24"/>
        </w:rPr>
        <w:drawing>
          <wp:inline distT="0" distB="0" distL="0" distR="0" wp14:anchorId="724626AB" wp14:editId="0846584C">
            <wp:extent cx="2038350" cy="2524125"/>
            <wp:effectExtent l="0" t="0" r="0" b="0"/>
            <wp:docPr id="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767CF" w:rsidRPr="00B84270" w:rsidRDefault="00F767CF" w:rsidP="00F767CF">
      <w:pPr>
        <w:spacing w:after="0" w:line="240" w:lineRule="auto"/>
        <w:rPr>
          <w:rFonts w:ascii="Times New Roman" w:hAnsi="Times New Roman"/>
          <w:sz w:val="24"/>
          <w:szCs w:val="24"/>
        </w:rPr>
      </w:pPr>
    </w:p>
    <w:p w:rsidR="00F767CF" w:rsidRPr="00B84270" w:rsidRDefault="00F767CF" w:rsidP="00F767CF">
      <w:pPr>
        <w:spacing w:after="0" w:line="240" w:lineRule="auto"/>
        <w:rPr>
          <w:rFonts w:ascii="Times New Roman" w:hAnsi="Times New Roman"/>
          <w:sz w:val="24"/>
          <w:szCs w:val="24"/>
        </w:rPr>
      </w:pPr>
    </w:p>
    <w:p w:rsidR="00F767CF" w:rsidRPr="00B84270" w:rsidRDefault="00F767CF" w:rsidP="00F767CF">
      <w:pPr>
        <w:spacing w:after="0" w:line="240" w:lineRule="auto"/>
        <w:rPr>
          <w:rFonts w:ascii="Times New Roman" w:hAnsi="Times New Roman"/>
          <w:sz w:val="24"/>
          <w:szCs w:val="24"/>
        </w:rPr>
      </w:pPr>
    </w:p>
    <w:p w:rsidR="00F767CF" w:rsidRPr="00B84270" w:rsidRDefault="00F767CF" w:rsidP="00F767CF">
      <w:pPr>
        <w:spacing w:after="0" w:line="240" w:lineRule="auto"/>
        <w:rPr>
          <w:rFonts w:ascii="Times New Roman" w:hAnsi="Times New Roman"/>
          <w:b/>
          <w:sz w:val="28"/>
          <w:szCs w:val="28"/>
        </w:rPr>
      </w:pPr>
      <w:r w:rsidRPr="00B84270">
        <w:rPr>
          <w:rFonts w:ascii="Times New Roman" w:hAnsi="Times New Roman"/>
          <w:b/>
          <w:sz w:val="28"/>
          <w:szCs w:val="28"/>
        </w:rPr>
        <w:t xml:space="preserve">              D                       </w:t>
      </w:r>
      <w:r w:rsidRPr="00B84270">
        <w:rPr>
          <w:rFonts w:ascii="Times New Roman" w:hAnsi="Times New Roman"/>
          <w:b/>
          <w:sz w:val="28"/>
          <w:szCs w:val="28"/>
        </w:rPr>
        <w:tab/>
      </w:r>
      <w:r w:rsidRPr="00B84270">
        <w:rPr>
          <w:rFonts w:ascii="Times New Roman" w:hAnsi="Times New Roman"/>
          <w:b/>
          <w:sz w:val="28"/>
          <w:szCs w:val="28"/>
        </w:rPr>
        <w:tab/>
      </w:r>
      <w:r w:rsidRPr="00B84270">
        <w:rPr>
          <w:rFonts w:ascii="Times New Roman" w:hAnsi="Times New Roman"/>
          <w:b/>
          <w:sz w:val="28"/>
          <w:szCs w:val="28"/>
        </w:rPr>
        <w:tab/>
      </w:r>
      <w:r w:rsidRPr="00B84270">
        <w:rPr>
          <w:rFonts w:ascii="Times New Roman" w:hAnsi="Times New Roman"/>
          <w:b/>
          <w:sz w:val="28"/>
          <w:szCs w:val="28"/>
        </w:rPr>
        <w:tab/>
        <w:t xml:space="preserve">                         E</w:t>
      </w:r>
    </w:p>
    <w:p w:rsidR="00F767CF" w:rsidRPr="00B84270" w:rsidRDefault="00F767CF" w:rsidP="00F767CF">
      <w:pPr>
        <w:spacing w:after="0" w:line="240" w:lineRule="auto"/>
        <w:rPr>
          <w:rFonts w:ascii="Times New Roman" w:hAnsi="Times New Roman"/>
          <w:sz w:val="24"/>
          <w:szCs w:val="24"/>
        </w:rPr>
      </w:pPr>
    </w:p>
    <w:p w:rsidR="00F767CF" w:rsidRPr="00B84270" w:rsidRDefault="006623B1" w:rsidP="00F767CF">
      <w:pPr>
        <w:spacing w:after="0" w:line="240" w:lineRule="auto"/>
        <w:rPr>
          <w:rFonts w:ascii="Times New Roman" w:hAnsi="Times New Roman"/>
          <w:sz w:val="24"/>
          <w:szCs w:val="24"/>
        </w:rPr>
      </w:pPr>
      <w:r>
        <w:rPr>
          <w:rFonts w:ascii="Times New Roman" w:hAnsi="Times New Roman"/>
          <w:b/>
          <w:noProof/>
          <w:sz w:val="28"/>
          <w:szCs w:val="28"/>
        </w:rPr>
        <w:pict>
          <v:shape id="_x0000_s1058" type="#_x0000_t202" style="position:absolute;margin-left:439.15pt;margin-top:15.1pt;width:23.7pt;height:20.6pt;z-index:25165670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v6muwIAAMI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" filled="f" stroked="f">
            <v:textbox style="mso-next-textbox:#_x0000_s1058">
              <w:txbxContent>
                <w:p w:rsidR="00967941" w:rsidRPr="00F4317E" w:rsidRDefault="00967941" w:rsidP="00F767CF">
                  <w:pPr>
                    <w:rPr>
                      <w:b/>
                      <w:sz w:val="28"/>
                      <w:szCs w:val="28"/>
                    </w:rPr>
                  </w:pPr>
                  <w:r w:rsidRPr="00F4317E">
                    <w:rPr>
                      <w:b/>
                      <w:sz w:val="28"/>
                      <w:szCs w:val="28"/>
                    </w:rPr>
                    <w:t>*</w:t>
                  </w:r>
                </w:p>
              </w:txbxContent>
            </v:textbox>
          </v:shape>
        </w:pict>
      </w:r>
      <w:r>
        <w:rPr>
          <w:rFonts w:ascii="Arial" w:hAnsi="Arial" w:cs="Arial"/>
          <w:b/>
          <w:noProof/>
          <w:sz w:val="24"/>
          <w:szCs w:val="24"/>
        </w:rPr>
        <w:pict>
          <v:shape id="_x0000_s1056" type="#_x0000_t202" style="position:absolute;margin-left:141.8pt;margin-top:20.7pt;width:23.7pt;height:20.6pt;z-index:25165465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v6muwIAAMI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" filled="f" stroked="f">
            <v:textbox style="mso-next-textbox:#_x0000_s1056">
              <w:txbxContent>
                <w:p w:rsidR="00967941" w:rsidRPr="00F4317E" w:rsidRDefault="00967941" w:rsidP="00F767CF">
                  <w:pPr>
                    <w:rPr>
                      <w:b/>
                      <w:sz w:val="28"/>
                      <w:szCs w:val="28"/>
                    </w:rPr>
                  </w:pPr>
                  <w:r w:rsidRPr="00F4317E">
                    <w:rPr>
                      <w:b/>
                      <w:sz w:val="28"/>
                      <w:szCs w:val="28"/>
                    </w:rPr>
                    <w:t>*</w:t>
                  </w:r>
                </w:p>
              </w:txbxContent>
            </v:textbox>
          </v:shape>
        </w:pict>
      </w:r>
      <w:r w:rsidR="00F767CF" w:rsidRPr="00B84270">
        <w:rPr>
          <w:rFonts w:ascii="Times New Roman" w:hAnsi="Times New Roman"/>
          <w:noProof/>
          <w:sz w:val="24"/>
          <w:szCs w:val="24"/>
        </w:rPr>
        <w:drawing>
          <wp:inline distT="0" distB="0" distL="0" distR="0" wp14:anchorId="0DB61DED" wp14:editId="1EA6B70F">
            <wp:extent cx="3905250" cy="2438400"/>
            <wp:effectExtent l="0" t="0" r="0" b="0"/>
            <wp:docPr id="12"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F767CF" w:rsidRPr="00B84270">
        <w:rPr>
          <w:rFonts w:ascii="Times New Roman" w:hAnsi="Times New Roman"/>
          <w:sz w:val="24"/>
          <w:szCs w:val="24"/>
        </w:rPr>
        <w:t xml:space="preserve">   </w:t>
      </w:r>
      <w:r w:rsidR="00F767CF" w:rsidRPr="00B84270">
        <w:rPr>
          <w:rFonts w:ascii="Times New Roman" w:hAnsi="Times New Roman"/>
          <w:noProof/>
          <w:sz w:val="24"/>
          <w:szCs w:val="24"/>
        </w:rPr>
        <w:drawing>
          <wp:inline distT="0" distB="0" distL="0" distR="0" wp14:anchorId="7CC9897F" wp14:editId="5AACBF2D">
            <wp:extent cx="2105025" cy="2524125"/>
            <wp:effectExtent l="0" t="0" r="0" b="0"/>
            <wp:docPr id="17"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767CF" w:rsidRPr="00B84270" w:rsidRDefault="00F767CF" w:rsidP="00F767CF">
      <w:pPr>
        <w:spacing w:after="0" w:line="240" w:lineRule="auto"/>
        <w:rPr>
          <w:rFonts w:ascii="Times New Roman" w:hAnsi="Times New Roman"/>
          <w:sz w:val="24"/>
          <w:szCs w:val="24"/>
        </w:rPr>
      </w:pPr>
      <w:r w:rsidRPr="00B84270">
        <w:rPr>
          <w:rFonts w:ascii="Times New Roman" w:hAnsi="Times New Roman"/>
          <w:sz w:val="24"/>
          <w:szCs w:val="24"/>
        </w:rPr>
        <w:t xml:space="preserve">                                                                                                         </w:t>
      </w:r>
    </w:p>
    <w:p w:rsidR="00F767CF" w:rsidRPr="00B84270" w:rsidRDefault="00F767CF" w:rsidP="00F767CF">
      <w:pPr>
        <w:spacing w:after="0" w:line="240" w:lineRule="auto"/>
        <w:rPr>
          <w:rFonts w:ascii="Times New Roman" w:hAnsi="Times New Roman"/>
          <w:sz w:val="24"/>
          <w:szCs w:val="24"/>
        </w:rPr>
      </w:pPr>
    </w:p>
    <w:p w:rsidR="00F767CF" w:rsidRPr="00B84270" w:rsidRDefault="00F767CF" w:rsidP="00F767CF">
      <w:pPr>
        <w:spacing w:after="0" w:line="240" w:lineRule="auto"/>
        <w:rPr>
          <w:rFonts w:ascii="Times New Roman" w:hAnsi="Times New Roman"/>
          <w:sz w:val="24"/>
          <w:szCs w:val="24"/>
        </w:rPr>
      </w:pPr>
    </w:p>
    <w:p w:rsidR="00F767CF" w:rsidRPr="00B84270" w:rsidRDefault="00F767CF" w:rsidP="00F767CF">
      <w:pPr>
        <w:spacing w:after="0" w:line="240" w:lineRule="auto"/>
        <w:rPr>
          <w:rFonts w:ascii="Times New Roman" w:hAnsi="Times New Roman"/>
          <w:sz w:val="24"/>
          <w:szCs w:val="24"/>
        </w:rPr>
      </w:pPr>
    </w:p>
    <w:p w:rsidR="00F767CF" w:rsidRPr="00B84270" w:rsidRDefault="00F767CF" w:rsidP="00F767CF">
      <w:pPr>
        <w:spacing w:after="0" w:line="240" w:lineRule="auto"/>
        <w:rPr>
          <w:rFonts w:ascii="Times New Roman" w:hAnsi="Times New Roman"/>
          <w:sz w:val="24"/>
          <w:szCs w:val="24"/>
        </w:rPr>
      </w:pPr>
    </w:p>
    <w:p w:rsidR="00F767CF" w:rsidRPr="00B84270" w:rsidRDefault="00F767CF" w:rsidP="00F767CF">
      <w:pPr>
        <w:spacing w:after="0" w:line="240" w:lineRule="auto"/>
        <w:rPr>
          <w:rFonts w:ascii="Times New Roman" w:hAnsi="Times New Roman"/>
          <w:sz w:val="24"/>
          <w:szCs w:val="24"/>
        </w:rPr>
      </w:pPr>
      <w:bookmarkStart w:id="0" w:name="_GoBack"/>
      <w:bookmarkEnd w:id="0"/>
    </w:p>
    <w:p w:rsidR="00F767CF" w:rsidRPr="00B84270" w:rsidRDefault="00F767CF" w:rsidP="00F767CF">
      <w:pPr>
        <w:spacing w:after="0" w:line="240" w:lineRule="auto"/>
        <w:rPr>
          <w:rFonts w:ascii="Times New Roman" w:hAnsi="Times New Roman"/>
          <w:sz w:val="24"/>
          <w:szCs w:val="24"/>
        </w:rPr>
      </w:pPr>
    </w:p>
    <w:p w:rsidR="00F767CF" w:rsidRPr="00B84270" w:rsidRDefault="00F767CF" w:rsidP="00F767CF">
      <w:pPr>
        <w:spacing w:after="0" w:line="240" w:lineRule="auto"/>
        <w:rPr>
          <w:rFonts w:ascii="Times New Roman" w:hAnsi="Times New Roman"/>
          <w:sz w:val="24"/>
          <w:szCs w:val="24"/>
        </w:rPr>
      </w:pPr>
    </w:p>
    <w:p w:rsidR="00F767CF" w:rsidRPr="00B84270" w:rsidRDefault="00F767CF" w:rsidP="00F767CF">
      <w:pPr>
        <w:spacing w:after="0" w:line="240" w:lineRule="auto"/>
        <w:rPr>
          <w:rFonts w:ascii="Times New Roman" w:hAnsi="Times New Roman"/>
          <w:sz w:val="24"/>
          <w:szCs w:val="24"/>
        </w:rPr>
      </w:pPr>
    </w:p>
    <w:p w:rsidR="00F767CF" w:rsidRPr="00B84270" w:rsidRDefault="00F767CF" w:rsidP="00F767CF">
      <w:pPr>
        <w:spacing w:after="0" w:line="240" w:lineRule="auto"/>
        <w:rPr>
          <w:rFonts w:ascii="Times New Roman" w:hAnsi="Times New Roman"/>
          <w:b/>
          <w:sz w:val="24"/>
          <w:szCs w:val="24"/>
          <w:lang w:val="it-IT"/>
        </w:rPr>
      </w:pPr>
      <w:r w:rsidRPr="00B84270">
        <w:rPr>
          <w:rFonts w:ascii="Times New Roman" w:hAnsi="Times New Roman"/>
          <w:b/>
          <w:sz w:val="24"/>
          <w:szCs w:val="24"/>
          <w:lang w:val="it-IT"/>
        </w:rPr>
        <w:t>Fig. 2</w:t>
      </w:r>
    </w:p>
    <w:p w:rsidR="00F767CF" w:rsidRPr="00B84270" w:rsidRDefault="00F767CF" w:rsidP="00F767CF">
      <w:pPr>
        <w:spacing w:after="0" w:line="240" w:lineRule="auto"/>
        <w:rPr>
          <w:rFonts w:ascii="Times New Roman" w:hAnsi="Times New Roman"/>
          <w:sz w:val="24"/>
          <w:szCs w:val="24"/>
          <w:lang w:val="it-IT"/>
        </w:rPr>
      </w:pPr>
    </w:p>
    <w:p w:rsidR="00F767CF" w:rsidRPr="00B84270" w:rsidRDefault="00F767CF" w:rsidP="00F767CF">
      <w:pPr>
        <w:tabs>
          <w:tab w:val="left" w:pos="9390"/>
        </w:tabs>
        <w:spacing w:after="0" w:line="240" w:lineRule="auto"/>
        <w:rPr>
          <w:rFonts w:ascii="Times New Roman" w:hAnsi="Times New Roman"/>
          <w:sz w:val="24"/>
          <w:szCs w:val="24"/>
          <w:lang w:val="it-IT"/>
        </w:rPr>
      </w:pPr>
    </w:p>
    <w:p w:rsidR="00F767CF" w:rsidRPr="00B84270" w:rsidRDefault="00F767CF" w:rsidP="00F767CF">
      <w:pPr>
        <w:tabs>
          <w:tab w:val="left" w:pos="9390"/>
        </w:tabs>
        <w:spacing w:after="0" w:line="240" w:lineRule="auto"/>
        <w:rPr>
          <w:rFonts w:ascii="Times New Roman" w:hAnsi="Times New Roman"/>
          <w:b/>
          <w:sz w:val="24"/>
          <w:szCs w:val="24"/>
        </w:rPr>
      </w:pPr>
      <w:r w:rsidRPr="00B84270">
        <w:rPr>
          <w:rFonts w:ascii="Times New Roman" w:hAnsi="Times New Roman"/>
          <w:b/>
          <w:sz w:val="24"/>
          <w:szCs w:val="24"/>
        </w:rPr>
        <w:t xml:space="preserve">                              </w:t>
      </w:r>
    </w:p>
    <w:p w:rsidR="00F767CF" w:rsidRPr="00B84270" w:rsidRDefault="00F767CF" w:rsidP="00F767CF">
      <w:pPr>
        <w:tabs>
          <w:tab w:val="left" w:pos="9390"/>
        </w:tabs>
        <w:spacing w:after="0" w:line="240" w:lineRule="auto"/>
        <w:rPr>
          <w:rFonts w:ascii="Times New Roman" w:hAnsi="Times New Roman"/>
          <w:sz w:val="24"/>
          <w:szCs w:val="24"/>
        </w:rPr>
      </w:pPr>
    </w:p>
    <w:p w:rsidR="00F767CF" w:rsidRPr="00B84270" w:rsidRDefault="006623B1" w:rsidP="00F767CF">
      <w:pPr>
        <w:tabs>
          <w:tab w:val="left" w:pos="9390"/>
        </w:tabs>
        <w:spacing w:after="0" w:line="240" w:lineRule="auto"/>
        <w:rPr>
          <w:rFonts w:ascii="Times New Roman" w:hAnsi="Times New Roman"/>
          <w:sz w:val="24"/>
          <w:szCs w:val="24"/>
        </w:rPr>
      </w:pPr>
      <w:r>
        <w:rPr>
          <w:noProof/>
          <w:lang w:eastAsia="zh-CN"/>
        </w:rPr>
        <w:pict>
          <v:shape id="Text Box 52" o:spid="_x0000_s1030" type="#_x0000_t202" style="position:absolute;margin-left:178.4pt;margin-top:52.8pt;width:17.55pt;height:16.5pt;z-index:25162803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" filled="f" stroked="f">
            <v:textbox>
              <w:txbxContent>
                <w:p w:rsidR="00967941" w:rsidRPr="00F4317E" w:rsidRDefault="00967941" w:rsidP="00F767CF">
                  <w:pPr>
                    <w:rPr>
                      <w:b/>
                      <w:sz w:val="28"/>
                      <w:szCs w:val="28"/>
                    </w:rPr>
                  </w:pPr>
                  <w:r>
                    <w:rPr>
                      <w:b/>
                      <w:sz w:val="28"/>
                      <w:szCs w:val="28"/>
                    </w:rPr>
                    <w:t>*</w:t>
                  </w:r>
                </w:p>
                <w:p w:rsidR="00967941" w:rsidRPr="00F4317E" w:rsidRDefault="00967941" w:rsidP="00F767CF">
                  <w:pPr>
                    <w:rPr>
                      <w:b/>
                      <w:sz w:val="28"/>
                      <w:szCs w:val="28"/>
                    </w:rPr>
                  </w:pPr>
                </w:p>
                <w:p w:rsidR="00967941" w:rsidRPr="00F4317E" w:rsidRDefault="00967941" w:rsidP="00F767CF"/>
              </w:txbxContent>
            </v:textbox>
          </v:shape>
        </w:pict>
      </w:r>
      <w:r>
        <w:rPr>
          <w:noProof/>
          <w:lang w:eastAsia="zh-CN"/>
        </w:rPr>
        <w:pict>
          <v:shape id="Text Box 55" o:spid="_x0000_s1029" type="#_x0000_t202" style="position:absolute;margin-left:248.35pt;margin-top:107.55pt;width:23.7pt;height:21.75pt;z-index:25162700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" filled="f" stroked="f">
            <v:textbox>
              <w:txbxContent>
                <w:p w:rsidR="00967941" w:rsidRPr="00535C7A" w:rsidRDefault="00967941" w:rsidP="00F767CF">
                  <w:pPr>
                    <w:rPr>
                      <w:b/>
                      <w:sz w:val="24"/>
                      <w:szCs w:val="24"/>
                    </w:rPr>
                  </w:pPr>
                  <w:r w:rsidRPr="00535C7A">
                    <w:rPr>
                      <w:b/>
                      <w:sz w:val="24"/>
                      <w:szCs w:val="24"/>
                    </w:rPr>
                    <w:t>#</w:t>
                  </w:r>
                </w:p>
                <w:p w:rsidR="00967941" w:rsidRPr="00F4317E" w:rsidRDefault="00967941" w:rsidP="00F767CF">
                  <w:pPr>
                    <w:rPr>
                      <w:b/>
                      <w:sz w:val="28"/>
                      <w:szCs w:val="28"/>
                    </w:rPr>
                  </w:pPr>
                </w:p>
                <w:p w:rsidR="00967941" w:rsidRPr="00F4317E" w:rsidRDefault="00967941" w:rsidP="00F767CF"/>
              </w:txbxContent>
            </v:textbox>
          </v:shape>
        </w:pict>
      </w:r>
      <w:r>
        <w:rPr>
          <w:noProof/>
          <w:lang w:eastAsia="zh-CN"/>
        </w:rPr>
        <w:pict>
          <v:shape id="Text Box 54" o:spid="_x0000_s1028" type="#_x0000_t202" style="position:absolute;margin-left:339.4pt;margin-top:117pt;width:29.7pt;height:21.75pt;z-index:25162598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pG5uQIAAMI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" filled="f" stroked="f">
            <v:textbox>
              <w:txbxContent>
                <w:p w:rsidR="00967941" w:rsidRPr="00535C7A" w:rsidRDefault="00967941" w:rsidP="00F767CF">
                  <w:pPr>
                    <w:rPr>
                      <w:b/>
                      <w:sz w:val="24"/>
                      <w:szCs w:val="24"/>
                    </w:rPr>
                  </w:pPr>
                  <w:r w:rsidRPr="00535C7A">
                    <w:rPr>
                      <w:b/>
                      <w:sz w:val="24"/>
                      <w:szCs w:val="24"/>
                    </w:rPr>
                    <w:t>#</w:t>
                  </w:r>
                  <w:r>
                    <w:rPr>
                      <w:b/>
                      <w:sz w:val="24"/>
                      <w:szCs w:val="24"/>
                    </w:rPr>
                    <w:t>#</w:t>
                  </w:r>
                </w:p>
                <w:p w:rsidR="00967941" w:rsidRPr="00F4317E" w:rsidRDefault="00967941" w:rsidP="00F767CF">
                  <w:pPr>
                    <w:rPr>
                      <w:b/>
                      <w:sz w:val="28"/>
                      <w:szCs w:val="28"/>
                    </w:rPr>
                  </w:pPr>
                </w:p>
                <w:p w:rsidR="00967941" w:rsidRPr="00F4317E" w:rsidRDefault="00967941" w:rsidP="00F767CF"/>
              </w:txbxContent>
            </v:textbox>
          </v:shape>
        </w:pict>
      </w:r>
      <w:r>
        <w:rPr>
          <w:noProof/>
          <w:lang w:eastAsia="zh-CN"/>
        </w:rPr>
        <w:pict>
          <v:shape id="_x0000_s1054" type="#_x0000_t202" style="position:absolute;margin-left:365.35pt;margin-top:37.55pt;width:29.7pt;height:20.6pt;z-index:25165260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" filled="f" stroked="f">
            <v:textbox style="mso-next-textbox:#_x0000_s1054">
              <w:txbxContent>
                <w:p w:rsidR="00967941" w:rsidRPr="00F4317E" w:rsidRDefault="00967941" w:rsidP="00F767CF">
                  <w:pPr>
                    <w:rPr>
                      <w:b/>
                      <w:sz w:val="28"/>
                      <w:szCs w:val="28"/>
                    </w:rPr>
                  </w:pPr>
                  <w:r w:rsidRPr="00F4317E">
                    <w:rPr>
                      <w:b/>
                      <w:sz w:val="28"/>
                      <w:szCs w:val="28"/>
                    </w:rPr>
                    <w:t>*</w:t>
                  </w:r>
                  <w:r>
                    <w:rPr>
                      <w:b/>
                      <w:sz w:val="28"/>
                      <w:szCs w:val="28"/>
                    </w:rPr>
                    <w:t>*</w:t>
                  </w:r>
                </w:p>
              </w:txbxContent>
            </v:textbox>
          </v:shape>
        </w:pict>
      </w:r>
      <w:r>
        <w:rPr>
          <w:noProof/>
          <w:lang w:eastAsia="zh-CN"/>
        </w:rPr>
        <w:pict>
          <v:shape id="_x0000_s1055" type="#_x0000_t202" style="position:absolute;margin-left:269.65pt;margin-top:39.55pt;width:29.7pt;height:20.6pt;z-index:25165363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" filled="f" stroked="f">
            <v:textbox style="mso-next-textbox:#_x0000_s1055">
              <w:txbxContent>
                <w:p w:rsidR="00967941" w:rsidRPr="00F4317E" w:rsidRDefault="00967941" w:rsidP="00F767CF">
                  <w:pPr>
                    <w:rPr>
                      <w:b/>
                      <w:sz w:val="28"/>
                      <w:szCs w:val="28"/>
                    </w:rPr>
                  </w:pPr>
                  <w:r w:rsidRPr="00F4317E">
                    <w:rPr>
                      <w:b/>
                      <w:sz w:val="28"/>
                      <w:szCs w:val="28"/>
                    </w:rPr>
                    <w:t>*</w:t>
                  </w:r>
                  <w:r>
                    <w:rPr>
                      <w:b/>
                      <w:sz w:val="28"/>
                      <w:szCs w:val="28"/>
                    </w:rPr>
                    <w:t>*</w:t>
                  </w:r>
                </w:p>
              </w:txbxContent>
            </v:textbox>
          </v:shape>
        </w:pict>
      </w:r>
      <w:r w:rsidR="00F767CF" w:rsidRPr="00B84270">
        <w:rPr>
          <w:rFonts w:ascii="Times New Roman" w:hAnsi="Times New Roman"/>
          <w:sz w:val="24"/>
          <w:szCs w:val="24"/>
        </w:rPr>
        <w:t xml:space="preserve">                    </w:t>
      </w:r>
      <w:r w:rsidR="00F767CF" w:rsidRPr="00B84270">
        <w:rPr>
          <w:rFonts w:ascii="Times New Roman" w:hAnsi="Times New Roman"/>
          <w:noProof/>
          <w:sz w:val="24"/>
          <w:szCs w:val="24"/>
        </w:rPr>
        <w:drawing>
          <wp:inline distT="0" distB="0" distL="0" distR="0" wp14:anchorId="302F0CDF" wp14:editId="180D9397">
            <wp:extent cx="4572000" cy="25200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767CF" w:rsidRPr="00B84270" w:rsidRDefault="00F767CF" w:rsidP="00F767CF">
      <w:pPr>
        <w:tabs>
          <w:tab w:val="left" w:pos="9390"/>
        </w:tabs>
        <w:spacing w:after="0" w:line="240" w:lineRule="auto"/>
        <w:rPr>
          <w:rFonts w:ascii="Times New Roman" w:hAnsi="Times New Roman"/>
          <w:sz w:val="24"/>
          <w:szCs w:val="24"/>
        </w:rPr>
      </w:pPr>
      <w:r w:rsidRPr="00B84270">
        <w:rPr>
          <w:rFonts w:ascii="Times New Roman" w:hAnsi="Times New Roman"/>
          <w:sz w:val="24"/>
          <w:szCs w:val="24"/>
        </w:rPr>
        <w:t xml:space="preserve">           </w:t>
      </w:r>
    </w:p>
    <w:p w:rsidR="00F767CF" w:rsidRPr="00B84270" w:rsidRDefault="00F767CF" w:rsidP="00F767CF">
      <w:pPr>
        <w:tabs>
          <w:tab w:val="left" w:pos="9390"/>
        </w:tabs>
        <w:spacing w:after="0" w:line="240" w:lineRule="auto"/>
        <w:rPr>
          <w:rFonts w:ascii="Times New Roman" w:hAnsi="Times New Roman"/>
          <w:sz w:val="24"/>
          <w:szCs w:val="24"/>
        </w:rPr>
      </w:pPr>
    </w:p>
    <w:p w:rsidR="00F767CF" w:rsidRPr="00B84270" w:rsidRDefault="00F767CF" w:rsidP="00F767CF">
      <w:pPr>
        <w:tabs>
          <w:tab w:val="left" w:pos="9390"/>
        </w:tabs>
        <w:spacing w:after="0" w:line="240" w:lineRule="auto"/>
        <w:rPr>
          <w:rFonts w:ascii="Times New Roman" w:hAnsi="Times New Roman"/>
          <w:sz w:val="24"/>
          <w:szCs w:val="24"/>
        </w:rPr>
      </w:pPr>
    </w:p>
    <w:p w:rsidR="00F767CF" w:rsidRPr="00B84270" w:rsidRDefault="00F767CF" w:rsidP="00F767CF">
      <w:pPr>
        <w:tabs>
          <w:tab w:val="left" w:pos="9390"/>
        </w:tabs>
        <w:spacing w:after="0" w:line="240" w:lineRule="auto"/>
        <w:rPr>
          <w:rFonts w:ascii="Times New Roman" w:hAnsi="Times New Roman"/>
          <w:sz w:val="24"/>
          <w:szCs w:val="24"/>
        </w:rPr>
      </w:pPr>
    </w:p>
    <w:p w:rsidR="00F767CF" w:rsidRPr="00B84270" w:rsidRDefault="00F767CF" w:rsidP="00F767CF">
      <w:pPr>
        <w:tabs>
          <w:tab w:val="left" w:pos="9390"/>
        </w:tabs>
        <w:spacing w:after="0" w:line="240" w:lineRule="auto"/>
        <w:rPr>
          <w:rFonts w:ascii="Times New Roman" w:hAnsi="Times New Roman"/>
          <w:sz w:val="24"/>
          <w:szCs w:val="24"/>
        </w:rPr>
      </w:pPr>
    </w:p>
    <w:p w:rsidR="00F767CF" w:rsidRPr="00B84270" w:rsidRDefault="00F767CF" w:rsidP="00F767CF">
      <w:pPr>
        <w:tabs>
          <w:tab w:val="left" w:pos="9390"/>
        </w:tabs>
        <w:spacing w:after="0" w:line="240" w:lineRule="auto"/>
        <w:rPr>
          <w:rFonts w:ascii="Times New Roman" w:hAnsi="Times New Roman"/>
          <w:sz w:val="24"/>
          <w:szCs w:val="24"/>
        </w:rPr>
      </w:pPr>
    </w:p>
    <w:p w:rsidR="00F767CF" w:rsidRPr="00B84270" w:rsidRDefault="00F767CF" w:rsidP="00F767CF">
      <w:pPr>
        <w:tabs>
          <w:tab w:val="left" w:pos="9390"/>
        </w:tabs>
        <w:spacing w:after="0" w:line="240" w:lineRule="auto"/>
        <w:rPr>
          <w:rFonts w:ascii="Times New Roman" w:hAnsi="Times New Roman"/>
          <w:sz w:val="24"/>
          <w:szCs w:val="24"/>
        </w:rPr>
      </w:pPr>
    </w:p>
    <w:p w:rsidR="00F767CF" w:rsidRPr="00B84270" w:rsidRDefault="00F767CF" w:rsidP="00F767CF">
      <w:pPr>
        <w:tabs>
          <w:tab w:val="left" w:pos="9390"/>
        </w:tabs>
        <w:spacing w:after="0" w:line="240" w:lineRule="auto"/>
        <w:rPr>
          <w:rFonts w:ascii="Times New Roman" w:hAnsi="Times New Roman"/>
          <w:sz w:val="24"/>
          <w:szCs w:val="24"/>
        </w:rPr>
      </w:pPr>
    </w:p>
    <w:p w:rsidR="00F767CF" w:rsidRPr="00B84270" w:rsidRDefault="00F767CF" w:rsidP="00F767CF">
      <w:pPr>
        <w:tabs>
          <w:tab w:val="left" w:pos="9390"/>
        </w:tabs>
        <w:spacing w:after="0" w:line="240" w:lineRule="auto"/>
        <w:rPr>
          <w:rFonts w:ascii="Times New Roman" w:hAnsi="Times New Roman"/>
          <w:sz w:val="24"/>
          <w:szCs w:val="24"/>
        </w:rPr>
      </w:pPr>
    </w:p>
    <w:p w:rsidR="00F767CF" w:rsidRPr="00B84270" w:rsidRDefault="00F767CF" w:rsidP="00F767CF">
      <w:pPr>
        <w:tabs>
          <w:tab w:val="left" w:pos="9390"/>
        </w:tabs>
        <w:spacing w:after="0" w:line="240" w:lineRule="auto"/>
        <w:rPr>
          <w:rFonts w:ascii="Times New Roman" w:hAnsi="Times New Roman"/>
          <w:sz w:val="24"/>
          <w:szCs w:val="24"/>
        </w:rPr>
      </w:pPr>
    </w:p>
    <w:p w:rsidR="00F767CF" w:rsidRPr="00B84270" w:rsidRDefault="00F767CF" w:rsidP="00F767CF">
      <w:pPr>
        <w:tabs>
          <w:tab w:val="left" w:pos="9390"/>
        </w:tabs>
        <w:spacing w:after="0" w:line="240" w:lineRule="auto"/>
        <w:rPr>
          <w:rFonts w:ascii="Times New Roman" w:hAnsi="Times New Roman"/>
          <w:sz w:val="24"/>
          <w:szCs w:val="24"/>
        </w:rPr>
      </w:pPr>
    </w:p>
    <w:p w:rsidR="00F767CF" w:rsidRPr="00B84270" w:rsidRDefault="00F767CF" w:rsidP="00F767CF">
      <w:pPr>
        <w:tabs>
          <w:tab w:val="left" w:pos="9390"/>
        </w:tabs>
        <w:spacing w:after="0" w:line="240" w:lineRule="auto"/>
        <w:rPr>
          <w:rFonts w:ascii="Times New Roman" w:hAnsi="Times New Roman"/>
          <w:sz w:val="24"/>
          <w:szCs w:val="24"/>
        </w:rPr>
      </w:pPr>
    </w:p>
    <w:p w:rsidR="00F767CF" w:rsidRPr="00B84270" w:rsidRDefault="00F767CF" w:rsidP="00F767CF">
      <w:pPr>
        <w:tabs>
          <w:tab w:val="left" w:pos="9390"/>
        </w:tabs>
        <w:spacing w:after="0" w:line="240" w:lineRule="auto"/>
        <w:rPr>
          <w:rFonts w:ascii="Times New Roman" w:hAnsi="Times New Roman"/>
          <w:sz w:val="24"/>
          <w:szCs w:val="24"/>
        </w:rPr>
      </w:pPr>
    </w:p>
    <w:p w:rsidR="00F767CF" w:rsidRPr="00B84270" w:rsidRDefault="00F767CF" w:rsidP="00F767CF">
      <w:pPr>
        <w:tabs>
          <w:tab w:val="left" w:pos="9390"/>
        </w:tabs>
        <w:spacing w:after="0" w:line="240" w:lineRule="auto"/>
        <w:rPr>
          <w:rFonts w:ascii="Times New Roman" w:hAnsi="Times New Roman"/>
          <w:sz w:val="24"/>
          <w:szCs w:val="24"/>
        </w:rPr>
      </w:pPr>
    </w:p>
    <w:p w:rsidR="00F767CF" w:rsidRPr="00B84270" w:rsidRDefault="00F767CF" w:rsidP="00F767CF">
      <w:pPr>
        <w:tabs>
          <w:tab w:val="left" w:pos="9390"/>
        </w:tabs>
        <w:spacing w:after="0" w:line="240" w:lineRule="auto"/>
        <w:rPr>
          <w:rFonts w:ascii="Times New Roman" w:hAnsi="Times New Roman"/>
          <w:sz w:val="24"/>
          <w:szCs w:val="24"/>
        </w:rPr>
      </w:pPr>
    </w:p>
    <w:p w:rsidR="00F767CF" w:rsidRPr="00B84270" w:rsidRDefault="00F767CF" w:rsidP="00F767CF">
      <w:pPr>
        <w:tabs>
          <w:tab w:val="left" w:pos="9390"/>
        </w:tabs>
        <w:spacing w:after="0" w:line="240" w:lineRule="auto"/>
        <w:rPr>
          <w:rFonts w:ascii="Times New Roman" w:hAnsi="Times New Roman"/>
          <w:sz w:val="24"/>
          <w:szCs w:val="24"/>
        </w:rPr>
      </w:pPr>
    </w:p>
    <w:p w:rsidR="00F767CF" w:rsidRPr="00B84270" w:rsidRDefault="00F767CF" w:rsidP="00F767CF">
      <w:pPr>
        <w:tabs>
          <w:tab w:val="left" w:pos="9390"/>
        </w:tabs>
        <w:spacing w:after="0" w:line="240" w:lineRule="auto"/>
        <w:rPr>
          <w:rFonts w:ascii="Times New Roman" w:hAnsi="Times New Roman"/>
          <w:sz w:val="24"/>
          <w:szCs w:val="24"/>
        </w:rPr>
      </w:pPr>
    </w:p>
    <w:p w:rsidR="00F767CF" w:rsidRPr="00B84270" w:rsidRDefault="00F767CF" w:rsidP="00F767CF">
      <w:pPr>
        <w:tabs>
          <w:tab w:val="left" w:pos="9390"/>
        </w:tabs>
        <w:spacing w:after="0" w:line="240" w:lineRule="auto"/>
        <w:rPr>
          <w:rFonts w:ascii="Times New Roman" w:hAnsi="Times New Roman"/>
          <w:sz w:val="24"/>
          <w:szCs w:val="24"/>
        </w:rPr>
      </w:pPr>
    </w:p>
    <w:p w:rsidR="00F767CF" w:rsidRPr="00B84270" w:rsidRDefault="00F767CF" w:rsidP="00F767CF">
      <w:pPr>
        <w:tabs>
          <w:tab w:val="left" w:pos="9390"/>
        </w:tabs>
        <w:spacing w:after="0" w:line="240" w:lineRule="auto"/>
        <w:rPr>
          <w:rFonts w:ascii="Times New Roman" w:hAnsi="Times New Roman"/>
          <w:sz w:val="24"/>
          <w:szCs w:val="24"/>
        </w:rPr>
      </w:pPr>
    </w:p>
    <w:p w:rsidR="00F767CF" w:rsidRPr="00B84270" w:rsidRDefault="00F767CF" w:rsidP="00F767CF">
      <w:pPr>
        <w:tabs>
          <w:tab w:val="left" w:pos="9390"/>
        </w:tabs>
        <w:spacing w:after="0" w:line="240" w:lineRule="auto"/>
        <w:rPr>
          <w:rFonts w:ascii="Times New Roman" w:hAnsi="Times New Roman"/>
          <w:sz w:val="24"/>
          <w:szCs w:val="24"/>
        </w:rPr>
      </w:pPr>
    </w:p>
    <w:p w:rsidR="00F767CF" w:rsidRPr="00B84270" w:rsidRDefault="00F767CF" w:rsidP="00F767CF">
      <w:pPr>
        <w:tabs>
          <w:tab w:val="left" w:pos="9390"/>
        </w:tabs>
        <w:spacing w:after="0" w:line="240" w:lineRule="auto"/>
        <w:rPr>
          <w:rFonts w:ascii="Times New Roman" w:hAnsi="Times New Roman"/>
          <w:sz w:val="24"/>
          <w:szCs w:val="24"/>
        </w:rPr>
      </w:pPr>
    </w:p>
    <w:p w:rsidR="00F767CF" w:rsidRPr="00B84270" w:rsidRDefault="00F767CF" w:rsidP="00F767CF">
      <w:pPr>
        <w:tabs>
          <w:tab w:val="left" w:pos="9390"/>
        </w:tabs>
        <w:spacing w:after="0" w:line="240" w:lineRule="auto"/>
        <w:rPr>
          <w:rFonts w:ascii="Times New Roman" w:hAnsi="Times New Roman"/>
          <w:sz w:val="24"/>
          <w:szCs w:val="24"/>
        </w:rPr>
      </w:pPr>
    </w:p>
    <w:p w:rsidR="00F767CF" w:rsidRPr="00B84270" w:rsidRDefault="00F767CF" w:rsidP="00F767CF">
      <w:pPr>
        <w:tabs>
          <w:tab w:val="left" w:pos="9390"/>
        </w:tabs>
        <w:spacing w:after="0" w:line="240" w:lineRule="auto"/>
        <w:rPr>
          <w:rFonts w:ascii="Times New Roman" w:hAnsi="Times New Roman"/>
          <w:sz w:val="24"/>
          <w:szCs w:val="24"/>
        </w:rPr>
      </w:pPr>
    </w:p>
    <w:p w:rsidR="00F767CF" w:rsidRPr="00B84270" w:rsidRDefault="00F767CF" w:rsidP="00F767CF">
      <w:pPr>
        <w:tabs>
          <w:tab w:val="left" w:pos="9390"/>
        </w:tabs>
        <w:spacing w:after="0" w:line="240" w:lineRule="auto"/>
        <w:rPr>
          <w:rFonts w:ascii="Times New Roman" w:hAnsi="Times New Roman"/>
          <w:sz w:val="24"/>
          <w:szCs w:val="24"/>
        </w:rPr>
      </w:pPr>
    </w:p>
    <w:p w:rsidR="00F767CF" w:rsidRPr="00B84270" w:rsidRDefault="00F767CF" w:rsidP="00F767CF">
      <w:pPr>
        <w:tabs>
          <w:tab w:val="left" w:pos="9390"/>
        </w:tabs>
        <w:spacing w:after="0" w:line="240" w:lineRule="auto"/>
        <w:rPr>
          <w:rFonts w:ascii="Times New Roman" w:hAnsi="Times New Roman"/>
          <w:sz w:val="24"/>
          <w:szCs w:val="24"/>
        </w:rPr>
      </w:pPr>
    </w:p>
    <w:p w:rsidR="00F767CF" w:rsidRPr="00B84270" w:rsidRDefault="00F767CF" w:rsidP="00F767CF">
      <w:pPr>
        <w:tabs>
          <w:tab w:val="left" w:pos="9390"/>
        </w:tabs>
        <w:spacing w:after="0" w:line="240" w:lineRule="auto"/>
        <w:rPr>
          <w:rFonts w:ascii="Times New Roman" w:hAnsi="Times New Roman"/>
          <w:sz w:val="24"/>
          <w:szCs w:val="24"/>
        </w:rPr>
      </w:pPr>
    </w:p>
    <w:p w:rsidR="00F767CF" w:rsidRPr="00B84270" w:rsidRDefault="00F767CF" w:rsidP="00F767CF">
      <w:pPr>
        <w:tabs>
          <w:tab w:val="left" w:pos="9390"/>
        </w:tabs>
        <w:spacing w:after="0" w:line="240" w:lineRule="auto"/>
        <w:rPr>
          <w:rFonts w:ascii="Times New Roman" w:hAnsi="Times New Roman"/>
          <w:sz w:val="24"/>
          <w:szCs w:val="24"/>
        </w:rPr>
      </w:pPr>
    </w:p>
    <w:p w:rsidR="00F767CF" w:rsidRPr="00B84270" w:rsidRDefault="00F767CF" w:rsidP="00F767CF">
      <w:pPr>
        <w:tabs>
          <w:tab w:val="left" w:pos="9390"/>
        </w:tabs>
        <w:spacing w:after="0" w:line="240" w:lineRule="auto"/>
        <w:rPr>
          <w:rFonts w:ascii="Times New Roman" w:hAnsi="Times New Roman"/>
          <w:sz w:val="24"/>
          <w:szCs w:val="24"/>
        </w:rPr>
      </w:pPr>
    </w:p>
    <w:p w:rsidR="00F767CF" w:rsidRPr="00B84270" w:rsidRDefault="00F767CF" w:rsidP="00F767CF">
      <w:pPr>
        <w:tabs>
          <w:tab w:val="left" w:pos="9390"/>
        </w:tabs>
        <w:spacing w:after="0" w:line="240" w:lineRule="auto"/>
        <w:rPr>
          <w:rFonts w:ascii="Times New Roman" w:hAnsi="Times New Roman"/>
          <w:sz w:val="24"/>
          <w:szCs w:val="24"/>
        </w:rPr>
      </w:pPr>
    </w:p>
    <w:p w:rsidR="00F767CF" w:rsidRPr="00B84270" w:rsidRDefault="00F767CF" w:rsidP="00F767CF">
      <w:pPr>
        <w:tabs>
          <w:tab w:val="left" w:pos="9390"/>
        </w:tabs>
        <w:spacing w:after="0" w:line="240" w:lineRule="auto"/>
        <w:rPr>
          <w:rFonts w:ascii="Times New Roman" w:hAnsi="Times New Roman"/>
          <w:sz w:val="24"/>
          <w:szCs w:val="24"/>
        </w:rPr>
      </w:pPr>
    </w:p>
    <w:p w:rsidR="00F767CF" w:rsidRPr="00B84270" w:rsidRDefault="00F767CF" w:rsidP="00F767CF">
      <w:pPr>
        <w:tabs>
          <w:tab w:val="left" w:pos="9390"/>
        </w:tabs>
        <w:spacing w:after="0" w:line="240" w:lineRule="auto"/>
        <w:rPr>
          <w:rFonts w:ascii="Times New Roman" w:hAnsi="Times New Roman"/>
          <w:sz w:val="24"/>
          <w:szCs w:val="24"/>
        </w:rPr>
      </w:pPr>
    </w:p>
    <w:p w:rsidR="00F767CF" w:rsidRPr="00B84270" w:rsidRDefault="00F767CF" w:rsidP="00F767CF">
      <w:pPr>
        <w:tabs>
          <w:tab w:val="left" w:pos="9390"/>
        </w:tabs>
        <w:spacing w:after="0" w:line="240" w:lineRule="auto"/>
        <w:rPr>
          <w:rFonts w:ascii="Times New Roman" w:hAnsi="Times New Roman"/>
          <w:sz w:val="24"/>
          <w:szCs w:val="24"/>
        </w:rPr>
      </w:pPr>
    </w:p>
    <w:p w:rsidR="00F767CF" w:rsidRPr="00B84270" w:rsidRDefault="00F767CF" w:rsidP="00F767CF">
      <w:pPr>
        <w:spacing w:after="0" w:line="240" w:lineRule="auto"/>
        <w:rPr>
          <w:rFonts w:ascii="Times New Roman" w:hAnsi="Times New Roman"/>
          <w:b/>
          <w:sz w:val="24"/>
          <w:szCs w:val="24"/>
        </w:rPr>
      </w:pPr>
    </w:p>
    <w:p w:rsidR="00F767CF" w:rsidRPr="00B84270" w:rsidRDefault="00F767CF" w:rsidP="00F767CF">
      <w:pPr>
        <w:spacing w:after="0" w:line="240" w:lineRule="auto"/>
        <w:rPr>
          <w:rFonts w:ascii="Times New Roman" w:hAnsi="Times New Roman"/>
          <w:b/>
          <w:sz w:val="24"/>
          <w:szCs w:val="24"/>
        </w:rPr>
      </w:pPr>
    </w:p>
    <w:p w:rsidR="00F767CF" w:rsidRPr="00B84270" w:rsidRDefault="00F767CF" w:rsidP="00F767CF">
      <w:pPr>
        <w:spacing w:after="0" w:line="240" w:lineRule="auto"/>
        <w:rPr>
          <w:rFonts w:ascii="Times New Roman" w:hAnsi="Times New Roman"/>
          <w:b/>
          <w:sz w:val="24"/>
          <w:szCs w:val="24"/>
        </w:rPr>
      </w:pPr>
    </w:p>
    <w:p w:rsidR="00F767CF" w:rsidRPr="00B84270" w:rsidRDefault="00F767CF" w:rsidP="00F767CF">
      <w:pPr>
        <w:spacing w:after="0" w:line="240" w:lineRule="auto"/>
        <w:rPr>
          <w:rFonts w:ascii="Times New Roman" w:hAnsi="Times New Roman"/>
          <w:b/>
          <w:sz w:val="24"/>
          <w:szCs w:val="24"/>
        </w:rPr>
      </w:pPr>
    </w:p>
    <w:p w:rsidR="00F767CF" w:rsidRPr="00B84270" w:rsidRDefault="00F767CF" w:rsidP="00F767CF">
      <w:pPr>
        <w:spacing w:after="0" w:line="240" w:lineRule="auto"/>
        <w:rPr>
          <w:rFonts w:ascii="Times New Roman" w:hAnsi="Times New Roman"/>
          <w:b/>
          <w:sz w:val="24"/>
          <w:szCs w:val="24"/>
        </w:rPr>
      </w:pPr>
      <w:r w:rsidRPr="00B84270">
        <w:rPr>
          <w:rFonts w:ascii="Times New Roman" w:hAnsi="Times New Roman"/>
          <w:b/>
          <w:sz w:val="24"/>
          <w:szCs w:val="24"/>
        </w:rPr>
        <w:t>Fig. 3</w:t>
      </w:r>
    </w:p>
    <w:p w:rsidR="00F767CF" w:rsidRPr="00B84270" w:rsidRDefault="00F767CF" w:rsidP="00F767CF">
      <w:pPr>
        <w:spacing w:after="0" w:line="240" w:lineRule="auto"/>
        <w:rPr>
          <w:rFonts w:ascii="Times New Roman" w:hAnsi="Times New Roman"/>
          <w:b/>
          <w:sz w:val="24"/>
          <w:szCs w:val="24"/>
        </w:rPr>
      </w:pPr>
    </w:p>
    <w:p w:rsidR="00F767CF" w:rsidRPr="00B84270" w:rsidRDefault="00F767CF" w:rsidP="00F767CF">
      <w:pPr>
        <w:spacing w:after="0" w:line="240" w:lineRule="auto"/>
        <w:rPr>
          <w:rFonts w:ascii="Times New Roman" w:hAnsi="Times New Roman"/>
          <w:b/>
          <w:sz w:val="24"/>
          <w:szCs w:val="24"/>
        </w:rPr>
      </w:pPr>
    </w:p>
    <w:p w:rsidR="00F767CF" w:rsidRPr="00B84270" w:rsidRDefault="006623B1" w:rsidP="00F767CF">
      <w:pPr>
        <w:tabs>
          <w:tab w:val="left" w:pos="9390"/>
        </w:tabs>
        <w:spacing w:after="0" w:line="240" w:lineRule="auto"/>
        <w:rPr>
          <w:rFonts w:ascii="Times New Roman" w:hAnsi="Times New Roman"/>
          <w:sz w:val="24"/>
          <w:szCs w:val="24"/>
        </w:rPr>
      </w:pPr>
      <w:r>
        <w:rPr>
          <w:noProof/>
          <w:lang w:eastAsia="zh-CN"/>
        </w:rPr>
        <w:pict>
          <v:shape id="Text Box 40" o:spid="_x0000_s1061" type="#_x0000_t202" style="position:absolute;margin-left:390.1pt;margin-top:36.05pt;width:29.7pt;height:20.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" filled="f" stroked="f">
            <v:textbox>
              <w:txbxContent>
                <w:p w:rsidR="00967941" w:rsidRPr="001D3372" w:rsidRDefault="00967941" w:rsidP="00F767CF">
                  <w:pPr>
                    <w:rPr>
                      <w:b/>
                      <w:sz w:val="28"/>
                      <w:szCs w:val="28"/>
                    </w:rPr>
                  </w:pPr>
                  <w:r w:rsidRPr="001D3372">
                    <w:rPr>
                      <w:b/>
                      <w:sz w:val="28"/>
                      <w:szCs w:val="28"/>
                    </w:rPr>
                    <w:t>**</w:t>
                  </w:r>
                </w:p>
                <w:p w:rsidR="00967941" w:rsidRPr="00F4317E" w:rsidRDefault="00967941" w:rsidP="00F767CF">
                  <w:pPr>
                    <w:rPr>
                      <w:b/>
                      <w:sz w:val="28"/>
                      <w:szCs w:val="28"/>
                    </w:rPr>
                  </w:pPr>
                </w:p>
                <w:p w:rsidR="00967941" w:rsidRPr="00F4317E" w:rsidRDefault="00967941" w:rsidP="00F767CF"/>
              </w:txbxContent>
            </v:textbox>
          </v:shape>
        </w:pict>
      </w:r>
      <w:r>
        <w:rPr>
          <w:noProof/>
          <w:lang w:eastAsia="zh-CN"/>
        </w:rPr>
        <w:pict>
          <v:shape id="Text Box 37" o:spid="_x0000_s1060" type="#_x0000_t202" style="position:absolute;margin-left:381.3pt;margin-top:113.3pt;width:23.7pt;height:20.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" filled="f" stroked="f">
            <v:textbox>
              <w:txbxContent>
                <w:p w:rsidR="00967941" w:rsidRPr="001D3372" w:rsidRDefault="00967941" w:rsidP="00F767CF">
                  <w:pPr>
                    <w:rPr>
                      <w:b/>
                      <w:sz w:val="28"/>
                      <w:szCs w:val="28"/>
                    </w:rPr>
                  </w:pPr>
                  <w:r w:rsidRPr="001D3372">
                    <w:rPr>
                      <w:b/>
                      <w:sz w:val="28"/>
                      <w:szCs w:val="28"/>
                    </w:rPr>
                    <w:t>*</w:t>
                  </w:r>
                </w:p>
              </w:txbxContent>
            </v:textbox>
          </v:shape>
        </w:pict>
      </w:r>
      <w:r>
        <w:rPr>
          <w:noProof/>
          <w:lang w:eastAsia="zh-CN"/>
        </w:rPr>
        <w:pict>
          <v:shape id="Text Box 39" o:spid="_x0000_s1063" type="#_x0000_t202" style="position:absolute;margin-left:290.6pt;margin-top:113.3pt;width:23.7pt;height:20.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" filled="f" stroked="f">
            <v:textbox>
              <w:txbxContent>
                <w:p w:rsidR="00967941" w:rsidRPr="001D3372" w:rsidRDefault="00967941" w:rsidP="00F767CF">
                  <w:pPr>
                    <w:rPr>
                      <w:b/>
                      <w:sz w:val="28"/>
                      <w:szCs w:val="28"/>
                    </w:rPr>
                  </w:pPr>
                  <w:r w:rsidRPr="001D3372">
                    <w:rPr>
                      <w:b/>
                      <w:sz w:val="28"/>
                      <w:szCs w:val="28"/>
                    </w:rPr>
                    <w:t>*</w:t>
                  </w:r>
                </w:p>
              </w:txbxContent>
            </v:textbox>
          </v:shape>
        </w:pict>
      </w:r>
      <w:r>
        <w:rPr>
          <w:noProof/>
          <w:lang w:eastAsia="zh-CN"/>
        </w:rPr>
        <w:pict>
          <v:shape id="_x0000_s1062" type="#_x0000_t202" style="position:absolute;margin-left:213.95pt;margin-top:30.05pt;width:23.7pt;height:20.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" filled="f" stroked="f">
            <v:textbox>
              <w:txbxContent>
                <w:p w:rsidR="00967941" w:rsidRPr="001D3372" w:rsidRDefault="00967941" w:rsidP="00F767CF">
                  <w:pPr>
                    <w:rPr>
                      <w:b/>
                      <w:sz w:val="28"/>
                      <w:szCs w:val="28"/>
                    </w:rPr>
                  </w:pPr>
                  <w:r w:rsidRPr="001D3372">
                    <w:rPr>
                      <w:b/>
                      <w:sz w:val="28"/>
                      <w:szCs w:val="28"/>
                    </w:rPr>
                    <w:t>*</w:t>
                  </w:r>
                </w:p>
              </w:txbxContent>
            </v:textbox>
          </v:shape>
        </w:pict>
      </w:r>
      <w:r>
        <w:rPr>
          <w:noProof/>
          <w:lang w:eastAsia="zh-CN"/>
        </w:rPr>
        <w:pict>
          <v:shape id="_x0000_s1064" type="#_x0000_t202" style="position:absolute;margin-left:201.2pt;margin-top:110.3pt;width:23.7pt;height:20.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" filled="f" stroked="f">
            <v:textbox>
              <w:txbxContent>
                <w:p w:rsidR="00967941" w:rsidRPr="001D3372" w:rsidRDefault="00967941" w:rsidP="00F767CF">
                  <w:pPr>
                    <w:rPr>
                      <w:b/>
                      <w:sz w:val="28"/>
                      <w:szCs w:val="28"/>
                    </w:rPr>
                  </w:pPr>
                  <w:r w:rsidRPr="001D3372">
                    <w:rPr>
                      <w:b/>
                      <w:sz w:val="28"/>
                      <w:szCs w:val="28"/>
                    </w:rPr>
                    <w:t>*</w:t>
                  </w:r>
                </w:p>
              </w:txbxContent>
            </v:textbox>
          </v:shape>
        </w:pict>
      </w:r>
      <w:r w:rsidR="00F767CF" w:rsidRPr="00B84270">
        <w:rPr>
          <w:rFonts w:ascii="Times New Roman" w:hAnsi="Times New Roman"/>
          <w:noProof/>
          <w:sz w:val="24"/>
          <w:szCs w:val="24"/>
        </w:rPr>
        <w:drawing>
          <wp:inline distT="0" distB="0" distL="0" distR="0" wp14:anchorId="5BE3D3C2" wp14:editId="4E3F9364">
            <wp:extent cx="6554470" cy="2553335"/>
            <wp:effectExtent l="0" t="0" r="0" b="0"/>
            <wp:docPr id="19"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767CF" w:rsidRPr="00B84270" w:rsidRDefault="00F767CF" w:rsidP="00F767CF">
      <w:pPr>
        <w:spacing w:after="0" w:line="240" w:lineRule="auto"/>
        <w:rPr>
          <w:rFonts w:ascii="Times New Roman" w:hAnsi="Times New Roman"/>
          <w:b/>
          <w:sz w:val="24"/>
          <w:szCs w:val="24"/>
        </w:rPr>
      </w:pPr>
    </w:p>
    <w:p w:rsidR="00F767CF" w:rsidRPr="00B84270" w:rsidRDefault="00F767CF" w:rsidP="00F767CF">
      <w:pPr>
        <w:spacing w:after="0" w:line="240" w:lineRule="auto"/>
        <w:rPr>
          <w:rFonts w:ascii="Times New Roman" w:hAnsi="Times New Roman"/>
          <w:b/>
          <w:sz w:val="24"/>
          <w:szCs w:val="24"/>
        </w:rPr>
      </w:pPr>
    </w:p>
    <w:p w:rsidR="00F767CF" w:rsidRPr="00B84270" w:rsidRDefault="00F767CF" w:rsidP="00F767CF">
      <w:pPr>
        <w:spacing w:after="0" w:line="240" w:lineRule="auto"/>
        <w:rPr>
          <w:rFonts w:ascii="Times New Roman" w:hAnsi="Times New Roman"/>
          <w:b/>
          <w:sz w:val="24"/>
          <w:szCs w:val="24"/>
        </w:rPr>
      </w:pPr>
    </w:p>
    <w:p w:rsidR="00F767CF" w:rsidRPr="00B84270" w:rsidRDefault="00F767CF" w:rsidP="00F767CF">
      <w:pPr>
        <w:spacing w:after="0" w:line="240" w:lineRule="auto"/>
        <w:rPr>
          <w:rFonts w:ascii="Times New Roman" w:hAnsi="Times New Roman"/>
          <w:b/>
          <w:sz w:val="24"/>
          <w:szCs w:val="24"/>
        </w:rPr>
      </w:pPr>
    </w:p>
    <w:p w:rsidR="00F767CF" w:rsidRPr="00B84270" w:rsidRDefault="00F767CF" w:rsidP="00F767CF">
      <w:pPr>
        <w:spacing w:after="0" w:line="240" w:lineRule="auto"/>
        <w:rPr>
          <w:rFonts w:ascii="Times New Roman" w:hAnsi="Times New Roman"/>
          <w:b/>
          <w:sz w:val="24"/>
          <w:szCs w:val="24"/>
        </w:rPr>
      </w:pPr>
    </w:p>
    <w:p w:rsidR="00F767CF" w:rsidRPr="00B84270" w:rsidRDefault="00F767CF" w:rsidP="00F767CF">
      <w:pPr>
        <w:spacing w:after="0" w:line="240" w:lineRule="auto"/>
        <w:rPr>
          <w:rFonts w:ascii="Times New Roman" w:hAnsi="Times New Roman"/>
          <w:b/>
          <w:sz w:val="24"/>
          <w:szCs w:val="24"/>
        </w:rPr>
      </w:pPr>
    </w:p>
    <w:p w:rsidR="00F767CF" w:rsidRPr="00B84270" w:rsidRDefault="00F767CF" w:rsidP="00F767CF">
      <w:pPr>
        <w:spacing w:after="0" w:line="240" w:lineRule="auto"/>
        <w:rPr>
          <w:rFonts w:ascii="Times New Roman" w:hAnsi="Times New Roman"/>
          <w:b/>
          <w:sz w:val="24"/>
          <w:szCs w:val="24"/>
        </w:rPr>
      </w:pPr>
    </w:p>
    <w:p w:rsidR="00F767CF" w:rsidRPr="00B84270" w:rsidRDefault="00F767CF" w:rsidP="00F767CF">
      <w:pPr>
        <w:spacing w:after="0" w:line="240" w:lineRule="auto"/>
        <w:rPr>
          <w:rFonts w:ascii="Times New Roman" w:hAnsi="Times New Roman"/>
          <w:b/>
          <w:sz w:val="24"/>
          <w:szCs w:val="24"/>
        </w:rPr>
      </w:pPr>
      <w:r w:rsidRPr="00B84270">
        <w:rPr>
          <w:rFonts w:ascii="Times New Roman" w:hAnsi="Times New Roman"/>
          <w:b/>
          <w:sz w:val="24"/>
          <w:szCs w:val="24"/>
        </w:rPr>
        <w:t>Fig. 4</w:t>
      </w:r>
    </w:p>
    <w:p w:rsidR="00F767CF" w:rsidRPr="00B84270" w:rsidRDefault="00F767CF" w:rsidP="00F767CF">
      <w:pPr>
        <w:tabs>
          <w:tab w:val="left" w:pos="9390"/>
        </w:tabs>
        <w:spacing w:after="0" w:line="240" w:lineRule="auto"/>
        <w:rPr>
          <w:rFonts w:ascii="Times New Roman" w:hAnsi="Times New Roman"/>
          <w:b/>
          <w:sz w:val="24"/>
          <w:szCs w:val="24"/>
        </w:rPr>
      </w:pPr>
    </w:p>
    <w:p w:rsidR="00F767CF" w:rsidRPr="00B84270" w:rsidRDefault="00F767CF" w:rsidP="00F767CF">
      <w:pPr>
        <w:tabs>
          <w:tab w:val="left" w:pos="9390"/>
        </w:tabs>
        <w:spacing w:after="0" w:line="240" w:lineRule="auto"/>
        <w:rPr>
          <w:rFonts w:ascii="Times New Roman" w:hAnsi="Times New Roman"/>
          <w:b/>
          <w:sz w:val="24"/>
          <w:szCs w:val="24"/>
        </w:rPr>
      </w:pPr>
    </w:p>
    <w:p w:rsidR="00F767CF" w:rsidRPr="00B84270" w:rsidRDefault="006623B1" w:rsidP="00F767CF">
      <w:pPr>
        <w:tabs>
          <w:tab w:val="left" w:pos="9390"/>
        </w:tabs>
        <w:spacing w:after="0" w:line="240" w:lineRule="auto"/>
        <w:rPr>
          <w:rFonts w:ascii="Times New Roman" w:hAnsi="Times New Roman"/>
          <w:sz w:val="24"/>
          <w:szCs w:val="24"/>
        </w:rPr>
      </w:pPr>
      <w:r>
        <w:rPr>
          <w:noProof/>
          <w:lang w:eastAsia="zh-CN"/>
        </w:rPr>
        <w:pict>
          <v:shape id="Text Box 57" o:spid="_x0000_s1034" type="#_x0000_t202" style="position:absolute;margin-left:209.7pt;margin-top:76.5pt;width:29pt;height:20.2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" filled="f" stroked="f">
            <v:textbox>
              <w:txbxContent>
                <w:p w:rsidR="00967941" w:rsidRPr="00566DFE" w:rsidRDefault="00967941" w:rsidP="00F767CF">
                  <w:pPr>
                    <w:rPr>
                      <w:b/>
                      <w:sz w:val="28"/>
                      <w:szCs w:val="28"/>
                    </w:rPr>
                  </w:pPr>
                  <w:r w:rsidRPr="00566DFE">
                    <w:rPr>
                      <w:b/>
                      <w:sz w:val="28"/>
                      <w:szCs w:val="28"/>
                    </w:rPr>
                    <w:t>*</w:t>
                  </w:r>
                  <w:r>
                    <w:rPr>
                      <w:b/>
                      <w:sz w:val="28"/>
                      <w:szCs w:val="28"/>
                    </w:rPr>
                    <w:t>*</w:t>
                  </w:r>
                </w:p>
                <w:p w:rsidR="00967941" w:rsidRPr="00566DFE" w:rsidRDefault="00967941" w:rsidP="00F767CF">
                  <w:pPr>
                    <w:rPr>
                      <w:b/>
                      <w:sz w:val="28"/>
                      <w:szCs w:val="28"/>
                    </w:rPr>
                  </w:pPr>
                </w:p>
                <w:p w:rsidR="00967941" w:rsidRPr="00566DFE" w:rsidRDefault="00967941" w:rsidP="00F767CF">
                  <w:pPr>
                    <w:rPr>
                      <w:sz w:val="28"/>
                      <w:szCs w:val="28"/>
                    </w:rPr>
                  </w:pPr>
                </w:p>
              </w:txbxContent>
            </v:textbox>
          </v:shape>
        </w:pict>
      </w:r>
      <w:r>
        <w:rPr>
          <w:noProof/>
          <w:lang w:eastAsia="zh-CN"/>
        </w:rPr>
        <w:pict>
          <v:shape id="Text Box 69" o:spid="_x0000_s1041" type="#_x0000_t202" style="position:absolute;margin-left:214.2pt;margin-top:65.4pt;width:23.7pt;height:20.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" filled="f" stroked="f">
            <v:textbox>
              <w:txbxContent>
                <w:p w:rsidR="00967941" w:rsidRPr="00F4317E" w:rsidRDefault="00967941" w:rsidP="00F767CF">
                  <w:pPr>
                    <w:rPr>
                      <w:b/>
                      <w:sz w:val="24"/>
                      <w:szCs w:val="24"/>
                    </w:rPr>
                  </w:pPr>
                  <w:r>
                    <w:rPr>
                      <w:b/>
                      <w:sz w:val="24"/>
                      <w:szCs w:val="24"/>
                    </w:rPr>
                    <w:t>#</w:t>
                  </w:r>
                </w:p>
                <w:p w:rsidR="00967941" w:rsidRPr="00F4317E" w:rsidRDefault="00967941" w:rsidP="00F767CF">
                  <w:pPr>
                    <w:rPr>
                      <w:b/>
                      <w:sz w:val="28"/>
                      <w:szCs w:val="28"/>
                    </w:rPr>
                  </w:pPr>
                </w:p>
                <w:p w:rsidR="00967941" w:rsidRPr="00F4317E" w:rsidRDefault="00967941" w:rsidP="00F767CF"/>
              </w:txbxContent>
            </v:textbox>
          </v:shape>
        </w:pict>
      </w:r>
      <w:r>
        <w:rPr>
          <w:noProof/>
          <w:lang w:eastAsia="zh-CN"/>
        </w:rPr>
        <w:pict>
          <v:shape id="_x0000_s1031" type="#_x0000_t202" style="position:absolute;margin-left:479.05pt;margin-top:86.3pt;width:29pt;height:20.2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" filled="f" stroked="f">
            <v:textbox>
              <w:txbxContent>
                <w:p w:rsidR="00967941" w:rsidRPr="00566DFE" w:rsidRDefault="00967941" w:rsidP="00F767CF">
                  <w:pPr>
                    <w:rPr>
                      <w:b/>
                      <w:sz w:val="28"/>
                      <w:szCs w:val="28"/>
                    </w:rPr>
                  </w:pPr>
                  <w:r w:rsidRPr="00566DFE">
                    <w:rPr>
                      <w:b/>
                      <w:sz w:val="28"/>
                      <w:szCs w:val="28"/>
                    </w:rPr>
                    <w:t>*</w:t>
                  </w:r>
                  <w:r>
                    <w:rPr>
                      <w:b/>
                      <w:sz w:val="28"/>
                      <w:szCs w:val="28"/>
                    </w:rPr>
                    <w:t>*</w:t>
                  </w:r>
                </w:p>
                <w:p w:rsidR="00967941" w:rsidRPr="00566DFE" w:rsidRDefault="00967941" w:rsidP="00F767CF">
                  <w:pPr>
                    <w:rPr>
                      <w:b/>
                      <w:sz w:val="28"/>
                      <w:szCs w:val="28"/>
                    </w:rPr>
                  </w:pPr>
                </w:p>
                <w:p w:rsidR="00967941" w:rsidRPr="00566DFE" w:rsidRDefault="00967941" w:rsidP="00F767CF">
                  <w:pPr>
                    <w:rPr>
                      <w:sz w:val="28"/>
                      <w:szCs w:val="28"/>
                    </w:rPr>
                  </w:pPr>
                </w:p>
              </w:txbxContent>
            </v:textbox>
          </v:shape>
        </w:pict>
      </w:r>
      <w:r>
        <w:rPr>
          <w:noProof/>
          <w:lang w:eastAsia="zh-CN"/>
        </w:rPr>
        <w:pict>
          <v:shape id="_x0000_s1037" type="#_x0000_t202" style="position:absolute;margin-left:437.9pt;margin-top:90.05pt;width:18.1pt;height:20.2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" filled="f" stroked="f">
            <v:textbox>
              <w:txbxContent>
                <w:p w:rsidR="00967941" w:rsidRPr="00566DFE" w:rsidRDefault="00967941" w:rsidP="00F767CF">
                  <w:pPr>
                    <w:rPr>
                      <w:b/>
                      <w:sz w:val="28"/>
                      <w:szCs w:val="28"/>
                    </w:rPr>
                  </w:pPr>
                  <w:r w:rsidRPr="00566DFE">
                    <w:rPr>
                      <w:b/>
                      <w:sz w:val="28"/>
                      <w:szCs w:val="28"/>
                    </w:rPr>
                    <w:t>*</w:t>
                  </w:r>
                </w:p>
                <w:p w:rsidR="00967941" w:rsidRPr="00566DFE" w:rsidRDefault="00967941" w:rsidP="00F767CF">
                  <w:pPr>
                    <w:rPr>
                      <w:b/>
                      <w:sz w:val="28"/>
                      <w:szCs w:val="28"/>
                    </w:rPr>
                  </w:pPr>
                </w:p>
                <w:p w:rsidR="00967941" w:rsidRPr="00566DFE" w:rsidRDefault="00967941" w:rsidP="00F767CF">
                  <w:pPr>
                    <w:rPr>
                      <w:sz w:val="28"/>
                      <w:szCs w:val="28"/>
                    </w:rPr>
                  </w:pPr>
                </w:p>
              </w:txbxContent>
            </v:textbox>
          </v:shape>
        </w:pict>
      </w:r>
      <w:r>
        <w:rPr>
          <w:noProof/>
          <w:lang w:eastAsia="zh-CN"/>
        </w:rPr>
        <w:pict>
          <v:shape id="_x0000_s1033" type="#_x0000_t202" style="position:absolute;margin-left:389.55pt;margin-top:45.05pt;width:29pt;height:20.2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" filled="f" stroked="f">
            <v:textbox>
              <w:txbxContent>
                <w:p w:rsidR="00967941" w:rsidRPr="00566DFE" w:rsidRDefault="00967941" w:rsidP="00F767CF">
                  <w:pPr>
                    <w:rPr>
                      <w:b/>
                      <w:sz w:val="28"/>
                      <w:szCs w:val="28"/>
                    </w:rPr>
                  </w:pPr>
                  <w:r w:rsidRPr="00566DFE">
                    <w:rPr>
                      <w:b/>
                      <w:sz w:val="28"/>
                      <w:szCs w:val="28"/>
                    </w:rPr>
                    <w:t>*</w:t>
                  </w:r>
                  <w:r>
                    <w:rPr>
                      <w:b/>
                      <w:sz w:val="28"/>
                      <w:szCs w:val="28"/>
                    </w:rPr>
                    <w:t>*</w:t>
                  </w:r>
                </w:p>
                <w:p w:rsidR="00967941" w:rsidRPr="00566DFE" w:rsidRDefault="00967941" w:rsidP="00F767CF">
                  <w:pPr>
                    <w:rPr>
                      <w:b/>
                      <w:sz w:val="28"/>
                      <w:szCs w:val="28"/>
                    </w:rPr>
                  </w:pPr>
                </w:p>
                <w:p w:rsidR="00967941" w:rsidRPr="00566DFE" w:rsidRDefault="00967941" w:rsidP="00F767CF">
                  <w:pPr>
                    <w:rPr>
                      <w:sz w:val="28"/>
                      <w:szCs w:val="28"/>
                    </w:rPr>
                  </w:pPr>
                </w:p>
              </w:txbxContent>
            </v:textbox>
          </v:shape>
        </w:pict>
      </w:r>
      <w:r>
        <w:rPr>
          <w:noProof/>
          <w:lang w:eastAsia="zh-CN"/>
        </w:rPr>
        <w:pict>
          <v:shape id="_x0000_s1032" type="#_x0000_t202" style="position:absolute;margin-left:344.55pt;margin-top:90.05pt;width:29pt;height:20.2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fB0uAIAAMM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" filled="f" stroked="f">
            <v:textbox>
              <w:txbxContent>
                <w:p w:rsidR="00967941" w:rsidRPr="00566DFE" w:rsidRDefault="00967941" w:rsidP="00F767CF">
                  <w:pPr>
                    <w:rPr>
                      <w:b/>
                      <w:sz w:val="28"/>
                      <w:szCs w:val="28"/>
                    </w:rPr>
                  </w:pPr>
                  <w:r w:rsidRPr="00566DFE">
                    <w:rPr>
                      <w:b/>
                      <w:sz w:val="28"/>
                      <w:szCs w:val="28"/>
                    </w:rPr>
                    <w:t>*</w:t>
                  </w:r>
                  <w:r>
                    <w:rPr>
                      <w:b/>
                      <w:sz w:val="28"/>
                      <w:szCs w:val="28"/>
                    </w:rPr>
                    <w:t>*</w:t>
                  </w:r>
                </w:p>
                <w:p w:rsidR="00967941" w:rsidRPr="00566DFE" w:rsidRDefault="00967941" w:rsidP="00F767CF">
                  <w:pPr>
                    <w:rPr>
                      <w:b/>
                      <w:sz w:val="28"/>
                      <w:szCs w:val="28"/>
                    </w:rPr>
                  </w:pPr>
                </w:p>
                <w:p w:rsidR="00967941" w:rsidRPr="00566DFE" w:rsidRDefault="00967941" w:rsidP="00F767CF">
                  <w:pPr>
                    <w:rPr>
                      <w:sz w:val="28"/>
                      <w:szCs w:val="28"/>
                    </w:rPr>
                  </w:pPr>
                </w:p>
              </w:txbxContent>
            </v:textbox>
          </v:shape>
        </w:pict>
      </w:r>
      <w:r>
        <w:rPr>
          <w:noProof/>
          <w:lang w:eastAsia="zh-CN"/>
        </w:rPr>
        <w:pict>
          <v:shape id="_x0000_s1036" type="#_x0000_t202" style="position:absolute;margin-left:299.7pt;margin-top:12.8pt;width:29pt;height:20.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" filled="f" stroked="f">
            <v:textbox>
              <w:txbxContent>
                <w:p w:rsidR="00967941" w:rsidRPr="00566DFE" w:rsidRDefault="00967941" w:rsidP="00F767CF">
                  <w:pPr>
                    <w:rPr>
                      <w:b/>
                      <w:sz w:val="28"/>
                      <w:szCs w:val="28"/>
                    </w:rPr>
                  </w:pPr>
                  <w:r w:rsidRPr="00566DFE">
                    <w:rPr>
                      <w:b/>
                      <w:sz w:val="28"/>
                      <w:szCs w:val="28"/>
                    </w:rPr>
                    <w:t>*</w:t>
                  </w:r>
                  <w:r>
                    <w:rPr>
                      <w:b/>
                      <w:sz w:val="28"/>
                      <w:szCs w:val="28"/>
                    </w:rPr>
                    <w:t>*</w:t>
                  </w:r>
                </w:p>
                <w:p w:rsidR="00967941" w:rsidRPr="00566DFE" w:rsidRDefault="00967941" w:rsidP="00F767CF">
                  <w:pPr>
                    <w:rPr>
                      <w:b/>
                      <w:sz w:val="28"/>
                      <w:szCs w:val="28"/>
                    </w:rPr>
                  </w:pPr>
                </w:p>
                <w:p w:rsidR="00967941" w:rsidRPr="00566DFE" w:rsidRDefault="00967941" w:rsidP="00F767CF">
                  <w:pPr>
                    <w:rPr>
                      <w:sz w:val="28"/>
                      <w:szCs w:val="28"/>
                    </w:rPr>
                  </w:pPr>
                </w:p>
              </w:txbxContent>
            </v:textbox>
          </v:shape>
        </w:pict>
      </w:r>
      <w:r>
        <w:rPr>
          <w:noProof/>
          <w:lang w:eastAsia="zh-CN"/>
        </w:rPr>
        <w:pict>
          <v:shape id="_x0000_s1035" type="#_x0000_t202" style="position:absolute;margin-left:253.95pt;margin-top:82.55pt;width:29pt;height:20.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" filled="f" stroked="f">
            <v:textbox>
              <w:txbxContent>
                <w:p w:rsidR="00967941" w:rsidRPr="00566DFE" w:rsidRDefault="00967941" w:rsidP="00F767CF">
                  <w:pPr>
                    <w:rPr>
                      <w:b/>
                      <w:sz w:val="28"/>
                      <w:szCs w:val="28"/>
                    </w:rPr>
                  </w:pPr>
                  <w:r w:rsidRPr="00566DFE">
                    <w:rPr>
                      <w:b/>
                      <w:sz w:val="28"/>
                      <w:szCs w:val="28"/>
                    </w:rPr>
                    <w:t>*</w:t>
                  </w:r>
                  <w:r>
                    <w:rPr>
                      <w:b/>
                      <w:sz w:val="28"/>
                      <w:szCs w:val="28"/>
                    </w:rPr>
                    <w:t>*</w:t>
                  </w:r>
                </w:p>
                <w:p w:rsidR="00967941" w:rsidRPr="00566DFE" w:rsidRDefault="00967941" w:rsidP="00F767CF">
                  <w:pPr>
                    <w:rPr>
                      <w:b/>
                      <w:sz w:val="28"/>
                      <w:szCs w:val="28"/>
                    </w:rPr>
                  </w:pPr>
                </w:p>
                <w:p w:rsidR="00967941" w:rsidRPr="00566DFE" w:rsidRDefault="00967941" w:rsidP="00F767CF">
                  <w:pPr>
                    <w:rPr>
                      <w:sz w:val="28"/>
                      <w:szCs w:val="28"/>
                    </w:rPr>
                  </w:pPr>
                </w:p>
              </w:txbxContent>
            </v:textbox>
          </v:shape>
        </w:pict>
      </w:r>
      <w:r>
        <w:rPr>
          <w:noProof/>
          <w:lang w:eastAsia="zh-CN"/>
        </w:rPr>
        <w:pict>
          <v:shape id="_x0000_s1053" type="#_x0000_t202" style="position:absolute;margin-left:164.55pt;margin-top:89.3pt;width:29pt;height:20.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HuPuAIAAMM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" filled="f" stroked="f">
            <v:textbox>
              <w:txbxContent>
                <w:p w:rsidR="00967941" w:rsidRPr="00566DFE" w:rsidRDefault="00967941" w:rsidP="00F767CF">
                  <w:pPr>
                    <w:rPr>
                      <w:b/>
                      <w:sz w:val="28"/>
                      <w:szCs w:val="28"/>
                    </w:rPr>
                  </w:pPr>
                  <w:r w:rsidRPr="00566DFE">
                    <w:rPr>
                      <w:b/>
                      <w:sz w:val="28"/>
                      <w:szCs w:val="28"/>
                    </w:rPr>
                    <w:t>*</w:t>
                  </w:r>
                  <w:r>
                    <w:rPr>
                      <w:b/>
                      <w:sz w:val="28"/>
                      <w:szCs w:val="28"/>
                    </w:rPr>
                    <w:t>*</w:t>
                  </w:r>
                </w:p>
                <w:p w:rsidR="00967941" w:rsidRPr="00566DFE" w:rsidRDefault="00967941" w:rsidP="00F767CF">
                  <w:pPr>
                    <w:rPr>
                      <w:b/>
                      <w:sz w:val="28"/>
                      <w:szCs w:val="28"/>
                    </w:rPr>
                  </w:pPr>
                </w:p>
                <w:p w:rsidR="00967941" w:rsidRPr="00566DFE" w:rsidRDefault="00967941" w:rsidP="00F767CF">
                  <w:pPr>
                    <w:rPr>
                      <w:sz w:val="28"/>
                      <w:szCs w:val="28"/>
                    </w:rPr>
                  </w:pPr>
                </w:p>
              </w:txbxContent>
            </v:textbox>
          </v:shape>
        </w:pict>
      </w:r>
      <w:r>
        <w:rPr>
          <w:noProof/>
          <w:lang w:eastAsia="zh-CN"/>
        </w:rPr>
        <w:pict>
          <v:shape id="_x0000_s1038" type="#_x0000_t202" style="position:absolute;margin-left:122.9pt;margin-top:70.55pt;width:18.1pt;height:20.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" filled="f" stroked="f">
            <v:textbox>
              <w:txbxContent>
                <w:p w:rsidR="00967941" w:rsidRPr="00566DFE" w:rsidRDefault="00967941" w:rsidP="00F767CF">
                  <w:pPr>
                    <w:rPr>
                      <w:b/>
                      <w:sz w:val="28"/>
                      <w:szCs w:val="28"/>
                    </w:rPr>
                  </w:pPr>
                  <w:r w:rsidRPr="00566DFE">
                    <w:rPr>
                      <w:b/>
                      <w:sz w:val="28"/>
                      <w:szCs w:val="28"/>
                    </w:rPr>
                    <w:t>*</w:t>
                  </w:r>
                </w:p>
                <w:p w:rsidR="00967941" w:rsidRPr="00566DFE" w:rsidRDefault="00967941" w:rsidP="00F767CF">
                  <w:pPr>
                    <w:rPr>
                      <w:b/>
                      <w:sz w:val="28"/>
                      <w:szCs w:val="28"/>
                    </w:rPr>
                  </w:pPr>
                </w:p>
                <w:p w:rsidR="00967941" w:rsidRPr="00566DFE" w:rsidRDefault="00967941" w:rsidP="00F767CF">
                  <w:pPr>
                    <w:rPr>
                      <w:sz w:val="28"/>
                      <w:szCs w:val="28"/>
                    </w:rPr>
                  </w:pPr>
                </w:p>
              </w:txbxContent>
            </v:textbox>
          </v:shape>
        </w:pict>
      </w:r>
      <w:r>
        <w:rPr>
          <w:noProof/>
          <w:lang w:eastAsia="zh-CN"/>
        </w:rPr>
        <w:pict>
          <v:shape id="_x0000_s1052" type="#_x0000_t202" style="position:absolute;margin-left:73.8pt;margin-top:81.8pt;width:29pt;height:20.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" filled="f" stroked="f">
            <v:textbox>
              <w:txbxContent>
                <w:p w:rsidR="00967941" w:rsidRPr="00566DFE" w:rsidRDefault="00967941" w:rsidP="00F767CF">
                  <w:pPr>
                    <w:rPr>
                      <w:b/>
                      <w:sz w:val="28"/>
                      <w:szCs w:val="28"/>
                    </w:rPr>
                  </w:pPr>
                  <w:r w:rsidRPr="00566DFE">
                    <w:rPr>
                      <w:b/>
                      <w:sz w:val="28"/>
                      <w:szCs w:val="28"/>
                    </w:rPr>
                    <w:t>*</w:t>
                  </w:r>
                  <w:r>
                    <w:rPr>
                      <w:b/>
                      <w:sz w:val="28"/>
                      <w:szCs w:val="28"/>
                    </w:rPr>
                    <w:t>*</w:t>
                  </w:r>
                </w:p>
                <w:p w:rsidR="00967941" w:rsidRPr="00566DFE" w:rsidRDefault="00967941" w:rsidP="00F767CF">
                  <w:pPr>
                    <w:rPr>
                      <w:b/>
                      <w:sz w:val="28"/>
                      <w:szCs w:val="28"/>
                    </w:rPr>
                  </w:pPr>
                </w:p>
                <w:p w:rsidR="00967941" w:rsidRPr="00566DFE" w:rsidRDefault="00967941" w:rsidP="00F767CF">
                  <w:pPr>
                    <w:rPr>
                      <w:sz w:val="28"/>
                      <w:szCs w:val="28"/>
                    </w:rPr>
                  </w:pPr>
                </w:p>
              </w:txbxContent>
            </v:textbox>
          </v:shape>
        </w:pict>
      </w:r>
      <w:r>
        <w:rPr>
          <w:noProof/>
          <w:lang w:eastAsia="zh-CN"/>
        </w:rPr>
        <w:pict>
          <v:shape id="_x0000_s1040" type="#_x0000_t202" style="position:absolute;margin-left:390.3pt;margin-top:33.8pt;width:34.15pt;height:20.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" filled="f" stroked="f">
            <v:textbox>
              <w:txbxContent>
                <w:p w:rsidR="00967941" w:rsidRPr="00F4317E" w:rsidRDefault="00967941" w:rsidP="00F767CF">
                  <w:pPr>
                    <w:rPr>
                      <w:b/>
                      <w:sz w:val="24"/>
                      <w:szCs w:val="24"/>
                    </w:rPr>
                  </w:pPr>
                  <w:r>
                    <w:rPr>
                      <w:b/>
                      <w:sz w:val="24"/>
                      <w:szCs w:val="24"/>
                    </w:rPr>
                    <w:t>##</w:t>
                  </w:r>
                </w:p>
                <w:p w:rsidR="00967941" w:rsidRPr="00F4317E" w:rsidRDefault="00967941" w:rsidP="00F767CF">
                  <w:pPr>
                    <w:rPr>
                      <w:b/>
                      <w:sz w:val="28"/>
                      <w:szCs w:val="28"/>
                    </w:rPr>
                  </w:pPr>
                </w:p>
                <w:p w:rsidR="00967941" w:rsidRPr="00F4317E" w:rsidRDefault="00967941" w:rsidP="00F767CF"/>
              </w:txbxContent>
            </v:textbox>
          </v:shape>
        </w:pict>
      </w:r>
      <w:r>
        <w:rPr>
          <w:noProof/>
          <w:lang w:eastAsia="zh-CN"/>
        </w:rPr>
        <w:pict>
          <v:shape id="_x0000_s1039" type="#_x0000_t202" style="position:absolute;margin-left:300.45pt;margin-top:2.3pt;width:34.15pt;height:20.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" filled="f" stroked="f">
            <v:textbox>
              <w:txbxContent>
                <w:p w:rsidR="00967941" w:rsidRPr="00F4317E" w:rsidRDefault="00967941" w:rsidP="00F767CF">
                  <w:pPr>
                    <w:rPr>
                      <w:b/>
                      <w:sz w:val="24"/>
                      <w:szCs w:val="24"/>
                    </w:rPr>
                  </w:pPr>
                  <w:r>
                    <w:rPr>
                      <w:b/>
                      <w:sz w:val="24"/>
                      <w:szCs w:val="24"/>
                    </w:rPr>
                    <w:t>##</w:t>
                  </w:r>
                </w:p>
                <w:p w:rsidR="00967941" w:rsidRPr="00F4317E" w:rsidRDefault="00967941" w:rsidP="00F767CF">
                  <w:pPr>
                    <w:rPr>
                      <w:b/>
                      <w:sz w:val="28"/>
                      <w:szCs w:val="28"/>
                    </w:rPr>
                  </w:pPr>
                </w:p>
                <w:p w:rsidR="00967941" w:rsidRPr="00F4317E" w:rsidRDefault="00967941" w:rsidP="00F767CF"/>
              </w:txbxContent>
            </v:textbox>
          </v:shape>
        </w:pict>
      </w:r>
      <w:r w:rsidR="00F767CF" w:rsidRPr="00B84270">
        <w:rPr>
          <w:rFonts w:ascii="Times New Roman" w:hAnsi="Times New Roman"/>
          <w:noProof/>
          <w:sz w:val="24"/>
          <w:szCs w:val="24"/>
        </w:rPr>
        <w:drawing>
          <wp:inline distT="0" distB="0" distL="0" distR="0" wp14:anchorId="78063BF7" wp14:editId="22376E5D">
            <wp:extent cx="6554470" cy="2553335"/>
            <wp:effectExtent l="0" t="0" r="0" b="0"/>
            <wp:docPr id="108"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767CF" w:rsidRPr="00B84270" w:rsidRDefault="00F767CF" w:rsidP="00F767CF">
      <w:pPr>
        <w:tabs>
          <w:tab w:val="left" w:pos="9390"/>
        </w:tabs>
        <w:spacing w:after="0" w:line="240" w:lineRule="auto"/>
        <w:rPr>
          <w:rFonts w:ascii="Times New Roman" w:hAnsi="Times New Roman"/>
          <w:sz w:val="24"/>
          <w:szCs w:val="24"/>
        </w:rPr>
      </w:pPr>
    </w:p>
    <w:p w:rsidR="00F767CF" w:rsidRPr="00B84270" w:rsidRDefault="00F767CF" w:rsidP="00F767CF">
      <w:pPr>
        <w:spacing w:after="0" w:line="240" w:lineRule="auto"/>
        <w:rPr>
          <w:rFonts w:ascii="Times New Roman" w:hAnsi="Times New Roman"/>
          <w:b/>
          <w:sz w:val="24"/>
          <w:szCs w:val="24"/>
        </w:rPr>
      </w:pPr>
    </w:p>
    <w:p w:rsidR="00F767CF" w:rsidRPr="00B84270" w:rsidRDefault="00F767CF" w:rsidP="00F767CF">
      <w:pPr>
        <w:spacing w:after="0" w:line="240" w:lineRule="auto"/>
        <w:rPr>
          <w:rFonts w:ascii="Times New Roman" w:hAnsi="Times New Roman"/>
          <w:b/>
          <w:sz w:val="24"/>
          <w:szCs w:val="24"/>
        </w:rPr>
      </w:pPr>
    </w:p>
    <w:p w:rsidR="00F767CF" w:rsidRPr="00B84270" w:rsidRDefault="00F767CF" w:rsidP="00F767CF">
      <w:pPr>
        <w:spacing w:after="0" w:line="240" w:lineRule="auto"/>
        <w:rPr>
          <w:rFonts w:ascii="Times New Roman" w:hAnsi="Times New Roman"/>
          <w:b/>
          <w:sz w:val="24"/>
          <w:szCs w:val="24"/>
        </w:rPr>
      </w:pPr>
    </w:p>
    <w:p w:rsidR="00F767CF" w:rsidRPr="00B84270" w:rsidRDefault="00F767CF" w:rsidP="00F767CF">
      <w:pPr>
        <w:spacing w:after="0" w:line="240" w:lineRule="auto"/>
        <w:rPr>
          <w:rFonts w:ascii="Times New Roman" w:hAnsi="Times New Roman"/>
          <w:b/>
          <w:sz w:val="24"/>
          <w:szCs w:val="24"/>
        </w:rPr>
      </w:pPr>
    </w:p>
    <w:p w:rsidR="00F767CF" w:rsidRPr="00B84270" w:rsidRDefault="00F767CF" w:rsidP="00F767CF">
      <w:pPr>
        <w:tabs>
          <w:tab w:val="left" w:pos="9390"/>
        </w:tabs>
        <w:spacing w:after="0" w:line="240" w:lineRule="auto"/>
        <w:rPr>
          <w:rFonts w:ascii="Times New Roman" w:hAnsi="Times New Roman"/>
          <w:sz w:val="24"/>
          <w:szCs w:val="24"/>
        </w:rPr>
      </w:pPr>
    </w:p>
    <w:p w:rsidR="00F767CF" w:rsidRPr="00B84270" w:rsidRDefault="00F767CF" w:rsidP="00F767CF">
      <w:pPr>
        <w:tabs>
          <w:tab w:val="left" w:pos="9390"/>
        </w:tabs>
        <w:spacing w:after="0" w:line="240" w:lineRule="auto"/>
        <w:rPr>
          <w:rFonts w:ascii="Times New Roman" w:hAnsi="Times New Roman"/>
          <w:sz w:val="24"/>
          <w:szCs w:val="24"/>
        </w:rPr>
      </w:pPr>
    </w:p>
    <w:p w:rsidR="00F767CF" w:rsidRPr="00B84270" w:rsidRDefault="00F767CF" w:rsidP="00F767CF">
      <w:pPr>
        <w:tabs>
          <w:tab w:val="left" w:pos="9390"/>
        </w:tabs>
        <w:spacing w:after="0" w:line="240" w:lineRule="auto"/>
        <w:rPr>
          <w:rFonts w:ascii="Times New Roman" w:hAnsi="Times New Roman"/>
          <w:sz w:val="24"/>
          <w:szCs w:val="24"/>
        </w:rPr>
      </w:pPr>
    </w:p>
    <w:p w:rsidR="00F767CF" w:rsidRPr="00B84270" w:rsidRDefault="00F767CF" w:rsidP="00F767CF">
      <w:pPr>
        <w:spacing w:after="0" w:line="240" w:lineRule="auto"/>
        <w:rPr>
          <w:rFonts w:ascii="Times New Roman" w:hAnsi="Times New Roman"/>
          <w:b/>
          <w:sz w:val="24"/>
          <w:szCs w:val="24"/>
        </w:rPr>
      </w:pPr>
      <w:r w:rsidRPr="00B84270">
        <w:rPr>
          <w:rFonts w:ascii="Times New Roman" w:hAnsi="Times New Roman"/>
          <w:b/>
          <w:sz w:val="24"/>
          <w:szCs w:val="24"/>
        </w:rPr>
        <w:t>Fig. 5A</w:t>
      </w:r>
    </w:p>
    <w:p w:rsidR="00F767CF" w:rsidRPr="00B84270" w:rsidRDefault="00F767CF" w:rsidP="00F767CF">
      <w:pPr>
        <w:spacing w:after="0" w:line="240" w:lineRule="auto"/>
        <w:rPr>
          <w:rFonts w:ascii="Times New Roman" w:hAnsi="Times New Roman"/>
          <w:b/>
          <w:sz w:val="24"/>
          <w:szCs w:val="24"/>
        </w:rPr>
      </w:pPr>
    </w:p>
    <w:p w:rsidR="00F767CF" w:rsidRPr="00B84270" w:rsidRDefault="00F767CF" w:rsidP="00F767CF">
      <w:pPr>
        <w:spacing w:after="0" w:line="240" w:lineRule="auto"/>
        <w:rPr>
          <w:rFonts w:ascii="Times New Roman" w:hAnsi="Times New Roman"/>
          <w:b/>
          <w:sz w:val="24"/>
          <w:szCs w:val="24"/>
        </w:rPr>
      </w:pPr>
    </w:p>
    <w:p w:rsidR="00F767CF" w:rsidRPr="00B84270" w:rsidRDefault="006623B1" w:rsidP="00F767CF">
      <w:pPr>
        <w:tabs>
          <w:tab w:val="left" w:pos="9390"/>
        </w:tabs>
        <w:spacing w:after="0" w:line="240" w:lineRule="auto"/>
        <w:rPr>
          <w:rFonts w:ascii="Times New Roman" w:hAnsi="Times New Roman"/>
          <w:sz w:val="24"/>
          <w:szCs w:val="24"/>
        </w:rPr>
      </w:pPr>
      <w:r>
        <w:rPr>
          <w:noProof/>
          <w:lang w:eastAsia="zh-CN"/>
        </w:rPr>
        <w:pict>
          <v:shape id="_x0000_s1070" type="#_x0000_t202" style="position:absolute;margin-left:428.8pt;margin-top:92.15pt;width:28.45pt;height:20.3pt;z-index:25166899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" filled="f" stroked="f">
            <v:textbox>
              <w:txbxContent>
                <w:p w:rsidR="00967941" w:rsidRPr="00DE05E7" w:rsidRDefault="00967941" w:rsidP="00F767CF">
                  <w:pPr>
                    <w:rPr>
                      <w:b/>
                      <w:bCs/>
                      <w:sz w:val="24"/>
                      <w:szCs w:val="24"/>
                    </w:rPr>
                  </w:pPr>
                  <w:r w:rsidRPr="00DE05E7">
                    <w:rPr>
                      <w:b/>
                      <w:bCs/>
                      <w:sz w:val="24"/>
                      <w:szCs w:val="24"/>
                    </w:rPr>
                    <w:t>#</w:t>
                  </w:r>
                  <w:r>
                    <w:rPr>
                      <w:b/>
                      <w:bCs/>
                      <w:sz w:val="24"/>
                      <w:szCs w:val="24"/>
                    </w:rPr>
                    <w:t>#</w:t>
                  </w:r>
                </w:p>
                <w:p w:rsidR="00967941" w:rsidRPr="00F4317E" w:rsidRDefault="00967941" w:rsidP="00F767CF">
                  <w:pPr>
                    <w:rPr>
                      <w:b/>
                      <w:sz w:val="28"/>
                      <w:szCs w:val="28"/>
                    </w:rPr>
                  </w:pPr>
                </w:p>
                <w:p w:rsidR="00967941" w:rsidRPr="00F4317E" w:rsidRDefault="00967941" w:rsidP="00F767CF"/>
              </w:txbxContent>
            </v:textbox>
          </v:shape>
        </w:pict>
      </w:r>
      <w:r>
        <w:rPr>
          <w:noProof/>
          <w:lang w:eastAsia="zh-CN"/>
        </w:rPr>
        <w:pict>
          <v:shape id="_x0000_s1069" type="#_x0000_t202" style="position:absolute;margin-left:341.8pt;margin-top:83.9pt;width:22pt;height:20.3pt;z-index:25166796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douwIAAMM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" filled="f" stroked="f">
            <v:textbox>
              <w:txbxContent>
                <w:p w:rsidR="00967941" w:rsidRPr="00DE05E7" w:rsidRDefault="00967941" w:rsidP="00F767CF">
                  <w:pPr>
                    <w:rPr>
                      <w:b/>
                      <w:bCs/>
                      <w:sz w:val="24"/>
                      <w:szCs w:val="24"/>
                    </w:rPr>
                  </w:pPr>
                  <w:r w:rsidRPr="00DE05E7">
                    <w:rPr>
                      <w:b/>
                      <w:bCs/>
                      <w:sz w:val="24"/>
                      <w:szCs w:val="24"/>
                    </w:rPr>
                    <w:t>#</w:t>
                  </w:r>
                </w:p>
                <w:p w:rsidR="00967941" w:rsidRPr="00F4317E" w:rsidRDefault="00967941" w:rsidP="00F767CF">
                  <w:pPr>
                    <w:rPr>
                      <w:b/>
                      <w:sz w:val="28"/>
                      <w:szCs w:val="28"/>
                    </w:rPr>
                  </w:pPr>
                </w:p>
                <w:p w:rsidR="00967941" w:rsidRPr="00F4317E" w:rsidRDefault="00967941" w:rsidP="00F767CF"/>
              </w:txbxContent>
            </v:textbox>
          </v:shape>
        </w:pict>
      </w:r>
      <w:r>
        <w:rPr>
          <w:noProof/>
          <w:lang w:eastAsia="zh-CN"/>
        </w:rPr>
        <w:pict>
          <v:shape id="_x0000_s1068" type="#_x0000_t202" style="position:absolute;margin-left:473.05pt;margin-top:44pt;width:29.5pt;height:20.25pt;z-index:25166694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" filled="f" stroked="f">
            <v:textbox>
              <w:txbxContent>
                <w:p w:rsidR="00967941" w:rsidRPr="001A427F" w:rsidRDefault="00967941" w:rsidP="00F767CF">
                  <w:pPr>
                    <w:rPr>
                      <w:b/>
                      <w:bCs/>
                      <w:sz w:val="28"/>
                      <w:szCs w:val="28"/>
                    </w:rPr>
                  </w:pPr>
                  <w:r w:rsidRPr="001A427F">
                    <w:rPr>
                      <w:b/>
                      <w:bCs/>
                      <w:sz w:val="28"/>
                      <w:szCs w:val="28"/>
                    </w:rPr>
                    <w:t>**</w:t>
                  </w:r>
                </w:p>
                <w:p w:rsidR="00967941" w:rsidRPr="00F4317E" w:rsidRDefault="00967941" w:rsidP="00F767CF">
                  <w:pPr>
                    <w:rPr>
                      <w:b/>
                      <w:sz w:val="28"/>
                      <w:szCs w:val="28"/>
                    </w:rPr>
                  </w:pPr>
                </w:p>
                <w:p w:rsidR="00967941" w:rsidRPr="00F4317E" w:rsidRDefault="00967941" w:rsidP="00F767CF"/>
              </w:txbxContent>
            </v:textbox>
          </v:shape>
        </w:pict>
      </w:r>
      <w:r>
        <w:rPr>
          <w:noProof/>
          <w:lang w:eastAsia="zh-CN"/>
        </w:rPr>
        <w:pict>
          <v:shape id="_x0000_s1067" type="#_x0000_t202" style="position:absolute;margin-left:383pt;margin-top:36.35pt;width:29.5pt;height:20.25pt;z-index:25166592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" filled="f" stroked="f">
            <v:textbox>
              <w:txbxContent>
                <w:p w:rsidR="00967941" w:rsidRPr="001A427F" w:rsidRDefault="00967941" w:rsidP="00F767CF">
                  <w:pPr>
                    <w:rPr>
                      <w:b/>
                      <w:bCs/>
                      <w:sz w:val="28"/>
                      <w:szCs w:val="28"/>
                    </w:rPr>
                  </w:pPr>
                  <w:r w:rsidRPr="001A427F">
                    <w:rPr>
                      <w:b/>
                      <w:bCs/>
                      <w:sz w:val="28"/>
                      <w:szCs w:val="28"/>
                    </w:rPr>
                    <w:t>**</w:t>
                  </w:r>
                </w:p>
                <w:p w:rsidR="00967941" w:rsidRPr="00F4317E" w:rsidRDefault="00967941" w:rsidP="00F767CF">
                  <w:pPr>
                    <w:rPr>
                      <w:b/>
                      <w:sz w:val="28"/>
                      <w:szCs w:val="28"/>
                    </w:rPr>
                  </w:pPr>
                </w:p>
                <w:p w:rsidR="00967941" w:rsidRPr="00F4317E" w:rsidRDefault="00967941" w:rsidP="00F767CF"/>
              </w:txbxContent>
            </v:textbox>
          </v:shape>
        </w:pict>
      </w:r>
      <w:r>
        <w:rPr>
          <w:noProof/>
          <w:lang w:eastAsia="zh-CN"/>
        </w:rPr>
        <w:pict>
          <v:shape id="_x0000_s1066" type="#_x0000_t202" style="position:absolute;margin-left:290.05pt;margin-top:7.1pt;width:29.5pt;height:20.25pt;z-index:25166489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VC9ugIAAMM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" filled="f" stroked="f">
            <v:textbox>
              <w:txbxContent>
                <w:p w:rsidR="00967941" w:rsidRPr="001A427F" w:rsidRDefault="00967941" w:rsidP="00F767CF">
                  <w:pPr>
                    <w:rPr>
                      <w:b/>
                      <w:bCs/>
                      <w:sz w:val="28"/>
                      <w:szCs w:val="28"/>
                    </w:rPr>
                  </w:pPr>
                  <w:r w:rsidRPr="001A427F">
                    <w:rPr>
                      <w:b/>
                      <w:bCs/>
                      <w:sz w:val="28"/>
                      <w:szCs w:val="28"/>
                    </w:rPr>
                    <w:t>**</w:t>
                  </w:r>
                </w:p>
                <w:p w:rsidR="00967941" w:rsidRPr="00F4317E" w:rsidRDefault="00967941" w:rsidP="00F767CF">
                  <w:pPr>
                    <w:rPr>
                      <w:b/>
                      <w:sz w:val="28"/>
                      <w:szCs w:val="28"/>
                    </w:rPr>
                  </w:pPr>
                </w:p>
                <w:p w:rsidR="00967941" w:rsidRPr="00F4317E" w:rsidRDefault="00967941" w:rsidP="00F767CF"/>
              </w:txbxContent>
            </v:textbox>
          </v:shape>
        </w:pict>
      </w:r>
      <w:r>
        <w:rPr>
          <w:noProof/>
          <w:lang w:eastAsia="zh-CN"/>
        </w:rPr>
        <w:pict>
          <v:shape id="_x0000_s1065" type="#_x0000_t202" style="position:absolute;margin-left:199.15pt;margin-top:7.1pt;width:29.5pt;height:20.25pt;z-index:25166387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pFpuQIAAMM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" filled="f" stroked="f">
            <v:textbox>
              <w:txbxContent>
                <w:p w:rsidR="00967941" w:rsidRPr="001A427F" w:rsidRDefault="00967941" w:rsidP="00F767CF">
                  <w:pPr>
                    <w:rPr>
                      <w:b/>
                      <w:bCs/>
                      <w:sz w:val="28"/>
                      <w:szCs w:val="28"/>
                    </w:rPr>
                  </w:pPr>
                  <w:r w:rsidRPr="001A427F">
                    <w:rPr>
                      <w:b/>
                      <w:bCs/>
                      <w:sz w:val="28"/>
                      <w:szCs w:val="28"/>
                    </w:rPr>
                    <w:t>**</w:t>
                  </w:r>
                </w:p>
                <w:p w:rsidR="00967941" w:rsidRPr="00F4317E" w:rsidRDefault="00967941" w:rsidP="00F767CF">
                  <w:pPr>
                    <w:rPr>
                      <w:b/>
                      <w:sz w:val="28"/>
                      <w:szCs w:val="28"/>
                    </w:rPr>
                  </w:pPr>
                </w:p>
                <w:p w:rsidR="00967941" w:rsidRPr="00F4317E" w:rsidRDefault="00967941" w:rsidP="00F767CF"/>
              </w:txbxContent>
            </v:textbox>
          </v:shape>
        </w:pict>
      </w:r>
      <w:r w:rsidR="00F767CF" w:rsidRPr="00B84270">
        <w:rPr>
          <w:rFonts w:ascii="Times New Roman" w:hAnsi="Times New Roman"/>
          <w:noProof/>
          <w:sz w:val="24"/>
          <w:szCs w:val="24"/>
        </w:rPr>
        <w:drawing>
          <wp:inline distT="0" distB="0" distL="0" distR="0" wp14:anchorId="4391B489" wp14:editId="47C7C1F0">
            <wp:extent cx="6554470" cy="2553335"/>
            <wp:effectExtent l="0" t="0" r="0" b="0"/>
            <wp:docPr id="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767CF" w:rsidRPr="00B84270" w:rsidRDefault="00F767CF" w:rsidP="00F767CF">
      <w:pPr>
        <w:spacing w:after="0" w:line="240" w:lineRule="auto"/>
        <w:rPr>
          <w:rFonts w:ascii="Times New Roman" w:hAnsi="Times New Roman"/>
          <w:b/>
          <w:sz w:val="24"/>
          <w:szCs w:val="24"/>
        </w:rPr>
      </w:pPr>
    </w:p>
    <w:p w:rsidR="00F767CF" w:rsidRPr="00B84270" w:rsidRDefault="00F767CF" w:rsidP="00F767CF">
      <w:pPr>
        <w:tabs>
          <w:tab w:val="left" w:pos="9390"/>
        </w:tabs>
        <w:spacing w:after="0" w:line="240" w:lineRule="auto"/>
        <w:rPr>
          <w:rFonts w:ascii="Times New Roman" w:hAnsi="Times New Roman"/>
          <w:sz w:val="24"/>
          <w:szCs w:val="24"/>
        </w:rPr>
      </w:pPr>
    </w:p>
    <w:p w:rsidR="00F767CF" w:rsidRPr="00B84270" w:rsidRDefault="00F767CF" w:rsidP="00F767CF">
      <w:pPr>
        <w:tabs>
          <w:tab w:val="left" w:pos="9390"/>
        </w:tabs>
        <w:spacing w:after="0" w:line="240" w:lineRule="auto"/>
        <w:rPr>
          <w:rFonts w:ascii="Times New Roman" w:hAnsi="Times New Roman"/>
          <w:sz w:val="24"/>
          <w:szCs w:val="24"/>
        </w:rPr>
      </w:pPr>
    </w:p>
    <w:p w:rsidR="00F767CF" w:rsidRPr="00B84270" w:rsidRDefault="00F767CF" w:rsidP="00F767CF">
      <w:pPr>
        <w:tabs>
          <w:tab w:val="left" w:pos="9390"/>
        </w:tabs>
        <w:spacing w:after="0" w:line="240" w:lineRule="auto"/>
        <w:rPr>
          <w:rFonts w:ascii="Times New Roman" w:hAnsi="Times New Roman"/>
          <w:sz w:val="24"/>
          <w:szCs w:val="24"/>
        </w:rPr>
      </w:pPr>
    </w:p>
    <w:p w:rsidR="00F767CF" w:rsidRPr="00B84270" w:rsidRDefault="00F767CF" w:rsidP="00F767CF">
      <w:pPr>
        <w:spacing w:after="0" w:line="240" w:lineRule="auto"/>
        <w:rPr>
          <w:rFonts w:ascii="Times New Roman" w:hAnsi="Times New Roman"/>
          <w:b/>
          <w:sz w:val="24"/>
          <w:szCs w:val="24"/>
        </w:rPr>
      </w:pPr>
      <w:r w:rsidRPr="00B84270">
        <w:rPr>
          <w:rFonts w:ascii="Times New Roman" w:hAnsi="Times New Roman"/>
          <w:b/>
          <w:sz w:val="24"/>
          <w:szCs w:val="24"/>
        </w:rPr>
        <w:t>Fig. 5B</w:t>
      </w:r>
    </w:p>
    <w:p w:rsidR="00F767CF" w:rsidRPr="00B84270" w:rsidRDefault="00F767CF" w:rsidP="00F767CF">
      <w:pPr>
        <w:spacing w:after="0" w:line="240" w:lineRule="auto"/>
        <w:rPr>
          <w:rFonts w:ascii="Times New Roman" w:hAnsi="Times New Roman"/>
          <w:b/>
          <w:sz w:val="24"/>
          <w:szCs w:val="24"/>
        </w:rPr>
      </w:pPr>
    </w:p>
    <w:p w:rsidR="00F767CF" w:rsidRPr="00B84270" w:rsidRDefault="00F767CF" w:rsidP="00F767CF">
      <w:pPr>
        <w:spacing w:after="0" w:line="240" w:lineRule="auto"/>
        <w:rPr>
          <w:rFonts w:ascii="Times New Roman" w:hAnsi="Times New Roman"/>
          <w:b/>
          <w:sz w:val="24"/>
          <w:szCs w:val="24"/>
        </w:rPr>
      </w:pPr>
    </w:p>
    <w:p w:rsidR="00F767CF" w:rsidRPr="00B84270" w:rsidRDefault="006623B1" w:rsidP="00F767CF">
      <w:pPr>
        <w:tabs>
          <w:tab w:val="left" w:pos="9390"/>
        </w:tabs>
        <w:spacing w:after="0" w:line="240" w:lineRule="auto"/>
        <w:rPr>
          <w:rFonts w:ascii="Times New Roman" w:hAnsi="Times New Roman"/>
          <w:sz w:val="24"/>
          <w:szCs w:val="24"/>
        </w:rPr>
      </w:pPr>
      <w:r>
        <w:rPr>
          <w:rFonts w:ascii="Times New Roman" w:hAnsi="Times New Roman"/>
          <w:noProof/>
          <w:sz w:val="24"/>
          <w:szCs w:val="24"/>
        </w:rPr>
        <w:pict>
          <v:shape id="_x0000_s1077" type="#_x0000_t202" style="position:absolute;margin-left:382.05pt;margin-top:56.25pt;width:29.5pt;height:20.25pt;z-index:25167616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" filled="f" stroked="f">
            <v:textbox>
              <w:txbxContent>
                <w:p w:rsidR="00967941" w:rsidRPr="001A427F" w:rsidRDefault="00967941" w:rsidP="00F767CF">
                  <w:pPr>
                    <w:rPr>
                      <w:b/>
                      <w:bCs/>
                      <w:sz w:val="28"/>
                      <w:szCs w:val="28"/>
                    </w:rPr>
                  </w:pPr>
                  <w:r w:rsidRPr="001A427F">
                    <w:rPr>
                      <w:b/>
                      <w:bCs/>
                      <w:sz w:val="28"/>
                      <w:szCs w:val="28"/>
                    </w:rPr>
                    <w:t>**</w:t>
                  </w:r>
                </w:p>
                <w:p w:rsidR="00967941" w:rsidRPr="00F4317E" w:rsidRDefault="00967941" w:rsidP="00F767CF">
                  <w:pPr>
                    <w:rPr>
                      <w:b/>
                      <w:sz w:val="28"/>
                      <w:szCs w:val="28"/>
                    </w:rPr>
                  </w:pPr>
                </w:p>
                <w:p w:rsidR="00967941" w:rsidRPr="00F4317E" w:rsidRDefault="00967941" w:rsidP="00F767CF"/>
              </w:txbxContent>
            </v:textbox>
          </v:shape>
        </w:pict>
      </w:r>
      <w:r>
        <w:rPr>
          <w:noProof/>
          <w:lang w:eastAsia="zh-CN"/>
        </w:rPr>
        <w:pict>
          <v:shape id="_x0000_s1074" type="#_x0000_t202" style="position:absolute;margin-left:111.55pt;margin-top:25.25pt;width:23.5pt;height:20.25pt;z-index:25167308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" filled="f" stroked="f">
            <v:textbox>
              <w:txbxContent>
                <w:p w:rsidR="00967941" w:rsidRPr="00F4317E" w:rsidRDefault="00967941" w:rsidP="00F767CF">
                  <w:pPr>
                    <w:rPr>
                      <w:b/>
                      <w:sz w:val="28"/>
                      <w:szCs w:val="28"/>
                    </w:rPr>
                  </w:pPr>
                  <w:r>
                    <w:rPr>
                      <w:b/>
                      <w:bCs/>
                      <w:sz w:val="28"/>
                      <w:szCs w:val="28"/>
                    </w:rPr>
                    <w:t>*</w:t>
                  </w:r>
                </w:p>
                <w:p w:rsidR="00967941" w:rsidRPr="00F4317E" w:rsidRDefault="00967941" w:rsidP="00F767CF"/>
              </w:txbxContent>
            </v:textbox>
          </v:shape>
        </w:pict>
      </w:r>
      <w:r>
        <w:rPr>
          <w:noProof/>
          <w:lang w:eastAsia="zh-CN"/>
        </w:rPr>
        <w:pict>
          <v:shape id="Text Box 68" o:spid="_x0000_s1072" type="#_x0000_t202" style="position:absolute;margin-left:473.75pt;margin-top:19.15pt;width:29.5pt;height:20.25pt;z-index:25167104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" filled="f" stroked="f">
            <v:textbox>
              <w:txbxContent>
                <w:p w:rsidR="00967941" w:rsidRPr="001A427F" w:rsidRDefault="00967941" w:rsidP="00F767CF">
                  <w:pPr>
                    <w:rPr>
                      <w:b/>
                      <w:bCs/>
                      <w:sz w:val="28"/>
                      <w:szCs w:val="28"/>
                    </w:rPr>
                  </w:pPr>
                  <w:r w:rsidRPr="001A427F">
                    <w:rPr>
                      <w:b/>
                      <w:bCs/>
                      <w:sz w:val="28"/>
                      <w:szCs w:val="28"/>
                    </w:rPr>
                    <w:t>**</w:t>
                  </w:r>
                </w:p>
                <w:p w:rsidR="00967941" w:rsidRPr="00F4317E" w:rsidRDefault="00967941" w:rsidP="00F767CF">
                  <w:pPr>
                    <w:rPr>
                      <w:b/>
                      <w:sz w:val="28"/>
                      <w:szCs w:val="28"/>
                    </w:rPr>
                  </w:pPr>
                </w:p>
                <w:p w:rsidR="00967941" w:rsidRPr="00F4317E" w:rsidRDefault="00967941" w:rsidP="00F767CF"/>
              </w:txbxContent>
            </v:textbox>
          </v:shape>
        </w:pict>
      </w:r>
      <w:r>
        <w:rPr>
          <w:noProof/>
          <w:lang w:eastAsia="zh-CN"/>
        </w:rPr>
        <w:pict>
          <v:shape id="_x0000_s1076" type="#_x0000_t202" style="position:absolute;margin-left:431.15pt;margin-top:108.7pt;width:28.35pt;height:20.3pt;z-index:25167513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M7vAIAAMM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" filled="f" stroked="f">
            <v:textbox>
              <w:txbxContent>
                <w:p w:rsidR="00967941" w:rsidRPr="00DE05E7" w:rsidRDefault="00967941" w:rsidP="00F767CF">
                  <w:pPr>
                    <w:rPr>
                      <w:b/>
                      <w:bCs/>
                      <w:sz w:val="24"/>
                      <w:szCs w:val="24"/>
                    </w:rPr>
                  </w:pPr>
                  <w:r>
                    <w:rPr>
                      <w:b/>
                      <w:bCs/>
                      <w:sz w:val="24"/>
                      <w:szCs w:val="24"/>
                    </w:rPr>
                    <w:t>^^</w:t>
                  </w:r>
                </w:p>
                <w:p w:rsidR="00967941" w:rsidRPr="00F4317E" w:rsidRDefault="00967941" w:rsidP="00F767CF">
                  <w:pPr>
                    <w:rPr>
                      <w:b/>
                      <w:sz w:val="28"/>
                      <w:szCs w:val="28"/>
                    </w:rPr>
                  </w:pPr>
                </w:p>
                <w:p w:rsidR="00967941" w:rsidRPr="00F4317E" w:rsidRDefault="00967941" w:rsidP="00F767CF"/>
              </w:txbxContent>
            </v:textbox>
          </v:shape>
        </w:pict>
      </w:r>
      <w:r>
        <w:rPr>
          <w:noProof/>
          <w:lang w:eastAsia="zh-CN"/>
        </w:rPr>
        <w:pict>
          <v:shape id="_x0000_s1075" type="#_x0000_t202" style="position:absolute;margin-left:341.9pt;margin-top:103.45pt;width:22pt;height:20.3pt;z-index:25167411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" filled="f" stroked="f">
            <v:textbox>
              <w:txbxContent>
                <w:p w:rsidR="00967941" w:rsidRPr="00DE05E7" w:rsidRDefault="00967941" w:rsidP="00F767CF">
                  <w:pPr>
                    <w:rPr>
                      <w:b/>
                      <w:bCs/>
                      <w:sz w:val="24"/>
                      <w:szCs w:val="24"/>
                    </w:rPr>
                  </w:pPr>
                  <w:r>
                    <w:rPr>
                      <w:b/>
                      <w:bCs/>
                      <w:sz w:val="24"/>
                      <w:szCs w:val="24"/>
                    </w:rPr>
                    <w:t>^</w:t>
                  </w:r>
                </w:p>
                <w:p w:rsidR="00967941" w:rsidRPr="00F4317E" w:rsidRDefault="00967941" w:rsidP="00F767CF">
                  <w:pPr>
                    <w:rPr>
                      <w:b/>
                      <w:sz w:val="28"/>
                      <w:szCs w:val="28"/>
                    </w:rPr>
                  </w:pPr>
                </w:p>
                <w:p w:rsidR="00967941" w:rsidRPr="00F4317E" w:rsidRDefault="00967941" w:rsidP="00F767CF"/>
              </w:txbxContent>
            </v:textbox>
          </v:shape>
        </w:pict>
      </w:r>
      <w:r>
        <w:rPr>
          <w:noProof/>
          <w:lang w:eastAsia="zh-CN"/>
        </w:rPr>
        <w:pict>
          <v:shape id="_x0000_s1071" type="#_x0000_t202" style="position:absolute;margin-left:290.4pt;margin-top:15.4pt;width:29.5pt;height:20.25pt;z-index:25167001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" filled="f" stroked="f">
            <v:textbox>
              <w:txbxContent>
                <w:p w:rsidR="00967941" w:rsidRPr="001A427F" w:rsidRDefault="00967941" w:rsidP="00F767CF">
                  <w:pPr>
                    <w:rPr>
                      <w:b/>
                      <w:bCs/>
                      <w:sz w:val="28"/>
                      <w:szCs w:val="28"/>
                    </w:rPr>
                  </w:pPr>
                  <w:r w:rsidRPr="001A427F">
                    <w:rPr>
                      <w:b/>
                      <w:bCs/>
                      <w:sz w:val="28"/>
                      <w:szCs w:val="28"/>
                    </w:rPr>
                    <w:t>**</w:t>
                  </w:r>
                </w:p>
                <w:p w:rsidR="00967941" w:rsidRPr="00F4317E" w:rsidRDefault="00967941" w:rsidP="00F767CF">
                  <w:pPr>
                    <w:rPr>
                      <w:b/>
                      <w:sz w:val="28"/>
                      <w:szCs w:val="28"/>
                    </w:rPr>
                  </w:pPr>
                </w:p>
                <w:p w:rsidR="00967941" w:rsidRPr="00F4317E" w:rsidRDefault="00967941" w:rsidP="00F767CF"/>
              </w:txbxContent>
            </v:textbox>
          </v:shape>
        </w:pict>
      </w:r>
      <w:r>
        <w:rPr>
          <w:noProof/>
          <w:lang w:eastAsia="zh-CN"/>
        </w:rPr>
        <w:pict>
          <v:shape id="_x0000_s1073" type="#_x0000_t202" style="position:absolute;margin-left:199.9pt;margin-top:17.6pt;width:29.5pt;height:20.25pt;z-index:25167206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" filled="f" stroked="f">
            <v:textbox>
              <w:txbxContent>
                <w:p w:rsidR="00967941" w:rsidRPr="001A427F" w:rsidRDefault="00967941" w:rsidP="00F767CF">
                  <w:pPr>
                    <w:rPr>
                      <w:b/>
                      <w:bCs/>
                      <w:sz w:val="28"/>
                      <w:szCs w:val="28"/>
                    </w:rPr>
                  </w:pPr>
                  <w:r w:rsidRPr="001A427F">
                    <w:rPr>
                      <w:b/>
                      <w:bCs/>
                      <w:sz w:val="28"/>
                      <w:szCs w:val="28"/>
                    </w:rPr>
                    <w:t>**</w:t>
                  </w:r>
                </w:p>
                <w:p w:rsidR="00967941" w:rsidRPr="00F4317E" w:rsidRDefault="00967941" w:rsidP="00F767CF">
                  <w:pPr>
                    <w:rPr>
                      <w:b/>
                      <w:sz w:val="28"/>
                      <w:szCs w:val="28"/>
                    </w:rPr>
                  </w:pPr>
                </w:p>
                <w:p w:rsidR="00967941" w:rsidRPr="00F4317E" w:rsidRDefault="00967941" w:rsidP="00F767CF"/>
              </w:txbxContent>
            </v:textbox>
          </v:shape>
        </w:pict>
      </w:r>
      <w:r w:rsidR="00F767CF" w:rsidRPr="00B84270">
        <w:rPr>
          <w:rFonts w:ascii="Times New Roman" w:hAnsi="Times New Roman"/>
          <w:noProof/>
          <w:sz w:val="24"/>
          <w:szCs w:val="24"/>
        </w:rPr>
        <w:drawing>
          <wp:inline distT="0" distB="0" distL="0" distR="0" wp14:anchorId="5567E9AE" wp14:editId="0E7C9BB8">
            <wp:extent cx="6554470" cy="2553335"/>
            <wp:effectExtent l="0" t="0" r="0" b="0"/>
            <wp:docPr id="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767CF" w:rsidRPr="00B84270" w:rsidRDefault="00F767CF" w:rsidP="00F767CF">
      <w:pPr>
        <w:spacing w:after="0" w:line="240" w:lineRule="auto"/>
        <w:rPr>
          <w:rFonts w:ascii="Times New Roman" w:hAnsi="Times New Roman"/>
          <w:b/>
          <w:sz w:val="24"/>
          <w:szCs w:val="24"/>
        </w:rPr>
      </w:pPr>
    </w:p>
    <w:p w:rsidR="00F767CF" w:rsidRPr="00B84270" w:rsidRDefault="00F767CF" w:rsidP="00F767CF">
      <w:pPr>
        <w:tabs>
          <w:tab w:val="left" w:pos="9390"/>
        </w:tabs>
        <w:spacing w:after="0" w:line="240" w:lineRule="auto"/>
        <w:rPr>
          <w:rFonts w:ascii="Times New Roman" w:hAnsi="Times New Roman"/>
          <w:sz w:val="24"/>
          <w:szCs w:val="24"/>
        </w:rPr>
      </w:pPr>
    </w:p>
    <w:p w:rsidR="00F767CF" w:rsidRPr="00B84270" w:rsidRDefault="00F767CF" w:rsidP="00F767CF">
      <w:pPr>
        <w:tabs>
          <w:tab w:val="left" w:pos="9390"/>
        </w:tabs>
        <w:spacing w:after="0" w:line="240" w:lineRule="auto"/>
        <w:rPr>
          <w:rFonts w:ascii="Times New Roman" w:hAnsi="Times New Roman"/>
          <w:sz w:val="24"/>
          <w:szCs w:val="24"/>
        </w:rPr>
      </w:pPr>
    </w:p>
    <w:p w:rsidR="00F767CF" w:rsidRPr="00B84270" w:rsidRDefault="00F767CF" w:rsidP="00F767CF">
      <w:pPr>
        <w:tabs>
          <w:tab w:val="left" w:pos="9390"/>
        </w:tabs>
        <w:spacing w:after="0" w:line="240" w:lineRule="auto"/>
        <w:rPr>
          <w:rFonts w:ascii="Times New Roman" w:hAnsi="Times New Roman"/>
          <w:sz w:val="24"/>
          <w:szCs w:val="24"/>
        </w:rPr>
      </w:pPr>
    </w:p>
    <w:p w:rsidR="00F767CF" w:rsidRPr="00B84270" w:rsidRDefault="00F767CF" w:rsidP="00F767CF">
      <w:pPr>
        <w:tabs>
          <w:tab w:val="left" w:pos="9390"/>
        </w:tabs>
        <w:spacing w:after="0" w:line="240" w:lineRule="auto"/>
        <w:rPr>
          <w:rFonts w:ascii="Times New Roman" w:hAnsi="Times New Roman"/>
          <w:sz w:val="24"/>
          <w:szCs w:val="24"/>
        </w:rPr>
      </w:pPr>
    </w:p>
    <w:p w:rsidR="00F767CF" w:rsidRPr="00B84270" w:rsidRDefault="00F767CF" w:rsidP="00F767CF">
      <w:pPr>
        <w:spacing w:after="0" w:line="240" w:lineRule="auto"/>
        <w:rPr>
          <w:rFonts w:ascii="Times New Roman" w:hAnsi="Times New Roman"/>
          <w:b/>
          <w:sz w:val="24"/>
          <w:szCs w:val="24"/>
        </w:rPr>
      </w:pPr>
      <w:r w:rsidRPr="00B84270">
        <w:rPr>
          <w:rFonts w:ascii="Times New Roman" w:hAnsi="Times New Roman"/>
          <w:b/>
          <w:sz w:val="24"/>
          <w:szCs w:val="24"/>
        </w:rPr>
        <w:lastRenderedPageBreak/>
        <w:t>Fig. 6A</w:t>
      </w:r>
    </w:p>
    <w:p w:rsidR="00F767CF" w:rsidRPr="00B84270" w:rsidRDefault="00F767CF" w:rsidP="00F767CF">
      <w:pPr>
        <w:spacing w:after="0" w:line="240" w:lineRule="auto"/>
        <w:rPr>
          <w:rFonts w:ascii="Times New Roman" w:hAnsi="Times New Roman"/>
          <w:b/>
          <w:sz w:val="24"/>
          <w:szCs w:val="24"/>
        </w:rPr>
      </w:pPr>
    </w:p>
    <w:p w:rsidR="00F767CF" w:rsidRPr="00B84270" w:rsidRDefault="00F767CF" w:rsidP="00F767CF">
      <w:pPr>
        <w:spacing w:after="0" w:line="240" w:lineRule="auto"/>
        <w:rPr>
          <w:rFonts w:ascii="Times New Roman" w:hAnsi="Times New Roman"/>
          <w:b/>
          <w:sz w:val="24"/>
          <w:szCs w:val="24"/>
        </w:rPr>
      </w:pPr>
    </w:p>
    <w:p w:rsidR="00F767CF" w:rsidRPr="00B84270" w:rsidRDefault="006623B1" w:rsidP="00F767CF">
      <w:pPr>
        <w:spacing w:after="0" w:line="240" w:lineRule="auto"/>
        <w:rPr>
          <w:rFonts w:ascii="Times New Roman" w:hAnsi="Times New Roman"/>
          <w:sz w:val="24"/>
          <w:szCs w:val="24"/>
        </w:rPr>
      </w:pPr>
      <w:r>
        <w:rPr>
          <w:noProof/>
          <w:lang w:eastAsia="zh-CN"/>
        </w:rPr>
        <w:pict>
          <v:shape id="_x0000_s1042" type="#_x0000_t202" style="position:absolute;margin-left:209.25pt;margin-top:52.1pt;width:29.7pt;height:20.6pt;z-index:25164032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" filled="f" stroked="f">
            <v:textbox>
              <w:txbxContent>
                <w:p w:rsidR="00967941" w:rsidRPr="001D3372" w:rsidRDefault="00967941" w:rsidP="00F767CF">
                  <w:pPr>
                    <w:rPr>
                      <w:b/>
                      <w:sz w:val="28"/>
                      <w:szCs w:val="28"/>
                    </w:rPr>
                  </w:pPr>
                  <w:r w:rsidRPr="001D3372">
                    <w:rPr>
                      <w:b/>
                      <w:sz w:val="28"/>
                      <w:szCs w:val="28"/>
                    </w:rPr>
                    <w:t>**</w:t>
                  </w:r>
                </w:p>
                <w:p w:rsidR="00967941" w:rsidRPr="00F4317E" w:rsidRDefault="00967941" w:rsidP="00F767CF">
                  <w:pPr>
                    <w:rPr>
                      <w:b/>
                      <w:sz w:val="28"/>
                      <w:szCs w:val="28"/>
                    </w:rPr>
                  </w:pPr>
                </w:p>
                <w:p w:rsidR="00967941" w:rsidRPr="00F4317E" w:rsidRDefault="00967941" w:rsidP="00F767CF"/>
              </w:txbxContent>
            </v:textbox>
          </v:shape>
        </w:pict>
      </w:r>
      <w:r>
        <w:rPr>
          <w:noProof/>
          <w:lang w:eastAsia="zh-CN"/>
        </w:rPr>
        <w:pict>
          <v:shape id="Text Box 41" o:spid="_x0000_s1044" type="#_x0000_t202" style="position:absolute;margin-left:382.65pt;margin-top:51.35pt;width:29.7pt;height:20.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" filled="f" stroked="f">
            <v:textbox>
              <w:txbxContent>
                <w:p w:rsidR="00967941" w:rsidRPr="00563012" w:rsidRDefault="00967941" w:rsidP="00F767CF">
                  <w:pPr>
                    <w:rPr>
                      <w:b/>
                      <w:sz w:val="28"/>
                      <w:szCs w:val="28"/>
                    </w:rPr>
                  </w:pPr>
                  <w:r>
                    <w:rPr>
                      <w:b/>
                      <w:sz w:val="28"/>
                      <w:szCs w:val="28"/>
                    </w:rPr>
                    <w:t>*</w:t>
                  </w:r>
                </w:p>
                <w:p w:rsidR="00967941" w:rsidRPr="00F4317E" w:rsidRDefault="00967941" w:rsidP="00F767CF">
                  <w:pPr>
                    <w:rPr>
                      <w:b/>
                      <w:sz w:val="28"/>
                      <w:szCs w:val="28"/>
                    </w:rPr>
                  </w:pPr>
                </w:p>
                <w:p w:rsidR="00967941" w:rsidRPr="00F4317E" w:rsidRDefault="00967941" w:rsidP="00F767CF"/>
              </w:txbxContent>
            </v:textbox>
          </v:shape>
        </w:pict>
      </w:r>
      <w:r>
        <w:rPr>
          <w:noProof/>
          <w:lang w:eastAsia="zh-CN"/>
        </w:rPr>
        <w:pict>
          <v:shape id="_x0000_s1043" type="#_x0000_t202" style="position:absolute;margin-left:291.65pt;margin-top:23.6pt;width:21.45pt;height:20.6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" filled="f" stroked="f">
            <v:textbox>
              <w:txbxContent>
                <w:p w:rsidR="00967941" w:rsidRPr="00563012" w:rsidRDefault="00967941" w:rsidP="00F767CF">
                  <w:pPr>
                    <w:rPr>
                      <w:b/>
                      <w:sz w:val="28"/>
                      <w:szCs w:val="28"/>
                    </w:rPr>
                  </w:pPr>
                  <w:r w:rsidRPr="00563012">
                    <w:rPr>
                      <w:b/>
                      <w:sz w:val="28"/>
                      <w:szCs w:val="28"/>
                    </w:rPr>
                    <w:t>*</w:t>
                  </w:r>
                </w:p>
                <w:p w:rsidR="00967941" w:rsidRPr="00F4317E" w:rsidRDefault="00967941" w:rsidP="00F767CF">
                  <w:pPr>
                    <w:rPr>
                      <w:b/>
                      <w:sz w:val="28"/>
                      <w:szCs w:val="28"/>
                    </w:rPr>
                  </w:pPr>
                </w:p>
                <w:p w:rsidR="00967941" w:rsidRPr="00F4317E" w:rsidRDefault="00967941" w:rsidP="00F767CF"/>
              </w:txbxContent>
            </v:textbox>
          </v:shape>
        </w:pict>
      </w:r>
      <w:r w:rsidR="00F767CF" w:rsidRPr="00B84270">
        <w:rPr>
          <w:rFonts w:ascii="Times New Roman" w:hAnsi="Times New Roman"/>
          <w:noProof/>
          <w:sz w:val="24"/>
          <w:szCs w:val="24"/>
        </w:rPr>
        <w:drawing>
          <wp:inline distT="0" distB="0" distL="0" distR="0" wp14:anchorId="5D6E9DB6" wp14:editId="77A52DF9">
            <wp:extent cx="6554470" cy="2553335"/>
            <wp:effectExtent l="0" t="0" r="0" b="0"/>
            <wp:docPr id="105"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767CF" w:rsidRPr="00B84270" w:rsidRDefault="00F767CF" w:rsidP="00F767CF">
      <w:pPr>
        <w:spacing w:after="0" w:line="240" w:lineRule="auto"/>
        <w:rPr>
          <w:rFonts w:ascii="Times New Roman" w:hAnsi="Times New Roman"/>
          <w:sz w:val="24"/>
          <w:szCs w:val="24"/>
        </w:rPr>
      </w:pPr>
    </w:p>
    <w:p w:rsidR="00F767CF" w:rsidRPr="00B84270" w:rsidRDefault="00F767CF" w:rsidP="00F767CF">
      <w:pPr>
        <w:spacing w:after="0" w:line="240" w:lineRule="auto"/>
        <w:rPr>
          <w:rFonts w:ascii="Times New Roman" w:hAnsi="Times New Roman"/>
          <w:sz w:val="24"/>
          <w:szCs w:val="24"/>
        </w:rPr>
      </w:pPr>
    </w:p>
    <w:p w:rsidR="00F767CF" w:rsidRPr="00B84270" w:rsidRDefault="00F767CF" w:rsidP="00F767CF">
      <w:pPr>
        <w:spacing w:after="0" w:line="240" w:lineRule="auto"/>
        <w:rPr>
          <w:rFonts w:ascii="Times New Roman" w:hAnsi="Times New Roman"/>
          <w:b/>
          <w:sz w:val="24"/>
          <w:szCs w:val="24"/>
        </w:rPr>
      </w:pPr>
      <w:r w:rsidRPr="00B84270">
        <w:rPr>
          <w:rFonts w:ascii="Times New Roman" w:hAnsi="Times New Roman"/>
          <w:b/>
          <w:sz w:val="24"/>
          <w:szCs w:val="24"/>
        </w:rPr>
        <w:t>Fig. 6B</w:t>
      </w:r>
    </w:p>
    <w:p w:rsidR="00F767CF" w:rsidRPr="00B84270" w:rsidRDefault="00F767CF" w:rsidP="00F767CF">
      <w:pPr>
        <w:spacing w:after="0" w:line="240" w:lineRule="auto"/>
        <w:rPr>
          <w:rFonts w:ascii="Times New Roman" w:hAnsi="Times New Roman"/>
          <w:b/>
          <w:sz w:val="24"/>
          <w:szCs w:val="24"/>
        </w:rPr>
      </w:pPr>
    </w:p>
    <w:p w:rsidR="00F767CF" w:rsidRPr="00B84270" w:rsidRDefault="00F767CF" w:rsidP="00F767CF">
      <w:pPr>
        <w:spacing w:after="0" w:line="240" w:lineRule="auto"/>
        <w:rPr>
          <w:rFonts w:ascii="Times New Roman" w:hAnsi="Times New Roman"/>
          <w:b/>
          <w:sz w:val="24"/>
          <w:szCs w:val="24"/>
        </w:rPr>
      </w:pPr>
    </w:p>
    <w:p w:rsidR="00F767CF" w:rsidRPr="00B84270" w:rsidRDefault="006623B1" w:rsidP="00F767CF">
      <w:pPr>
        <w:tabs>
          <w:tab w:val="left" w:pos="9390"/>
        </w:tabs>
        <w:spacing w:after="0" w:line="240" w:lineRule="auto"/>
        <w:rPr>
          <w:rFonts w:ascii="Times New Roman" w:hAnsi="Times New Roman"/>
          <w:sz w:val="24"/>
          <w:szCs w:val="24"/>
        </w:rPr>
      </w:pPr>
      <w:r>
        <w:rPr>
          <w:noProof/>
          <w:lang w:eastAsia="zh-CN"/>
        </w:rPr>
        <w:pict>
          <v:shape id="Text Box 77" o:spid="_x0000_s1046" type="#_x0000_t202" style="position:absolute;margin-left:300.6pt;margin-top:16.95pt;width:23.7pt;height:16.5pt;z-index:25164441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RGkuwIAAMM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" filled="f" stroked="f">
            <v:textbox>
              <w:txbxContent>
                <w:p w:rsidR="00967941" w:rsidRPr="00D52616" w:rsidRDefault="00967941" w:rsidP="00F767CF">
                  <w:pPr>
                    <w:rPr>
                      <w:b/>
                      <w:sz w:val="28"/>
                      <w:szCs w:val="28"/>
                    </w:rPr>
                  </w:pPr>
                  <w:r w:rsidRPr="00D52616">
                    <w:rPr>
                      <w:b/>
                      <w:sz w:val="28"/>
                      <w:szCs w:val="28"/>
                    </w:rPr>
                    <w:t>*</w:t>
                  </w:r>
                </w:p>
                <w:p w:rsidR="00967941" w:rsidRPr="00F4317E" w:rsidRDefault="00967941" w:rsidP="00F767CF">
                  <w:pPr>
                    <w:rPr>
                      <w:b/>
                      <w:sz w:val="28"/>
                      <w:szCs w:val="28"/>
                    </w:rPr>
                  </w:pPr>
                </w:p>
                <w:p w:rsidR="00967941" w:rsidRPr="00F4317E" w:rsidRDefault="00967941" w:rsidP="00F767CF"/>
              </w:txbxContent>
            </v:textbox>
          </v:shape>
        </w:pict>
      </w:r>
      <w:r>
        <w:rPr>
          <w:noProof/>
          <w:lang w:eastAsia="zh-CN"/>
        </w:rPr>
        <w:pict>
          <v:shape id="_x0000_s1045" type="#_x0000_t202" style="position:absolute;margin-left:210pt;margin-top:61.95pt;width:23.7pt;height:16.5pt;z-index:25164339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PtQugIAAMM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" filled="f" stroked="f">
            <v:textbox>
              <w:txbxContent>
                <w:p w:rsidR="00967941" w:rsidRPr="00D52616" w:rsidRDefault="00967941" w:rsidP="00F767CF">
                  <w:pPr>
                    <w:rPr>
                      <w:b/>
                      <w:sz w:val="28"/>
                      <w:szCs w:val="28"/>
                    </w:rPr>
                  </w:pPr>
                  <w:r w:rsidRPr="00D52616">
                    <w:rPr>
                      <w:b/>
                      <w:sz w:val="28"/>
                      <w:szCs w:val="28"/>
                    </w:rPr>
                    <w:t>*</w:t>
                  </w:r>
                </w:p>
                <w:p w:rsidR="00967941" w:rsidRPr="00F4317E" w:rsidRDefault="00967941" w:rsidP="00F767CF">
                  <w:pPr>
                    <w:rPr>
                      <w:b/>
                      <w:sz w:val="28"/>
                      <w:szCs w:val="28"/>
                    </w:rPr>
                  </w:pPr>
                </w:p>
                <w:p w:rsidR="00967941" w:rsidRPr="00F4317E" w:rsidRDefault="00967941" w:rsidP="00F767CF"/>
              </w:txbxContent>
            </v:textbox>
          </v:shape>
        </w:pict>
      </w:r>
      <w:r w:rsidR="00F767CF" w:rsidRPr="00B84270">
        <w:rPr>
          <w:rFonts w:ascii="Times New Roman" w:hAnsi="Times New Roman"/>
          <w:noProof/>
          <w:sz w:val="24"/>
          <w:szCs w:val="24"/>
        </w:rPr>
        <w:drawing>
          <wp:inline distT="0" distB="0" distL="0" distR="0" wp14:anchorId="16E1A804" wp14:editId="69F74CFC">
            <wp:extent cx="6554470" cy="2553335"/>
            <wp:effectExtent l="0" t="0" r="0" b="0"/>
            <wp:docPr id="10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767CF" w:rsidRPr="00B84270" w:rsidRDefault="00F767CF" w:rsidP="00F767CF">
      <w:pPr>
        <w:tabs>
          <w:tab w:val="left" w:pos="9390"/>
        </w:tabs>
        <w:spacing w:after="0" w:line="240" w:lineRule="auto"/>
        <w:rPr>
          <w:rFonts w:ascii="Times New Roman" w:hAnsi="Times New Roman"/>
          <w:sz w:val="24"/>
          <w:szCs w:val="24"/>
        </w:rPr>
      </w:pPr>
    </w:p>
    <w:p w:rsidR="00F767CF" w:rsidRPr="00B84270" w:rsidRDefault="00F767CF" w:rsidP="00F767CF">
      <w:pPr>
        <w:tabs>
          <w:tab w:val="left" w:pos="9390"/>
        </w:tabs>
        <w:spacing w:after="0" w:line="240" w:lineRule="auto"/>
        <w:rPr>
          <w:rFonts w:ascii="Times New Roman" w:hAnsi="Times New Roman"/>
          <w:sz w:val="24"/>
          <w:szCs w:val="24"/>
        </w:rPr>
      </w:pPr>
    </w:p>
    <w:p w:rsidR="00F767CF" w:rsidRPr="00B84270" w:rsidRDefault="00F767CF" w:rsidP="00F767CF">
      <w:pPr>
        <w:tabs>
          <w:tab w:val="left" w:pos="9390"/>
        </w:tabs>
        <w:spacing w:after="0" w:line="240" w:lineRule="auto"/>
        <w:rPr>
          <w:rFonts w:ascii="Times New Roman" w:hAnsi="Times New Roman"/>
          <w:sz w:val="24"/>
          <w:szCs w:val="24"/>
        </w:rPr>
      </w:pPr>
    </w:p>
    <w:p w:rsidR="00F767CF" w:rsidRPr="00B84270" w:rsidRDefault="00F767CF" w:rsidP="00F767CF">
      <w:pPr>
        <w:tabs>
          <w:tab w:val="left" w:pos="9390"/>
        </w:tabs>
        <w:spacing w:after="0" w:line="240" w:lineRule="auto"/>
        <w:rPr>
          <w:rFonts w:ascii="Times New Roman" w:hAnsi="Times New Roman"/>
          <w:sz w:val="24"/>
          <w:szCs w:val="24"/>
        </w:rPr>
      </w:pPr>
    </w:p>
    <w:p w:rsidR="00F767CF" w:rsidRPr="00B84270" w:rsidRDefault="00F767CF" w:rsidP="00F767CF">
      <w:pPr>
        <w:tabs>
          <w:tab w:val="left" w:pos="9390"/>
        </w:tabs>
        <w:spacing w:after="0" w:line="240" w:lineRule="auto"/>
        <w:rPr>
          <w:rFonts w:ascii="Times New Roman" w:hAnsi="Times New Roman"/>
          <w:sz w:val="24"/>
          <w:szCs w:val="24"/>
        </w:rPr>
      </w:pPr>
    </w:p>
    <w:p w:rsidR="00F767CF" w:rsidRPr="00B84270" w:rsidRDefault="00F767CF" w:rsidP="00F767CF">
      <w:pPr>
        <w:tabs>
          <w:tab w:val="left" w:pos="9390"/>
        </w:tabs>
        <w:spacing w:after="0" w:line="240" w:lineRule="auto"/>
        <w:rPr>
          <w:rFonts w:ascii="Times New Roman" w:hAnsi="Times New Roman"/>
          <w:sz w:val="24"/>
          <w:szCs w:val="24"/>
        </w:rPr>
      </w:pPr>
    </w:p>
    <w:p w:rsidR="00F767CF" w:rsidRPr="00B84270" w:rsidRDefault="00F767CF" w:rsidP="00F767CF">
      <w:pPr>
        <w:tabs>
          <w:tab w:val="left" w:pos="9390"/>
        </w:tabs>
        <w:spacing w:after="0" w:line="240" w:lineRule="auto"/>
        <w:rPr>
          <w:rFonts w:ascii="Times New Roman" w:hAnsi="Times New Roman"/>
          <w:sz w:val="24"/>
          <w:szCs w:val="24"/>
        </w:rPr>
      </w:pPr>
    </w:p>
    <w:p w:rsidR="00F767CF" w:rsidRPr="00B84270" w:rsidRDefault="00F767CF" w:rsidP="00F767CF">
      <w:pPr>
        <w:tabs>
          <w:tab w:val="left" w:pos="9390"/>
        </w:tabs>
        <w:spacing w:after="0" w:line="240" w:lineRule="auto"/>
        <w:rPr>
          <w:rFonts w:ascii="Times New Roman" w:hAnsi="Times New Roman"/>
          <w:sz w:val="24"/>
          <w:szCs w:val="24"/>
        </w:rPr>
      </w:pPr>
    </w:p>
    <w:p w:rsidR="00F767CF" w:rsidRPr="00B84270" w:rsidRDefault="00F767CF" w:rsidP="00F767CF">
      <w:pPr>
        <w:tabs>
          <w:tab w:val="left" w:pos="9390"/>
        </w:tabs>
        <w:spacing w:after="0" w:line="240" w:lineRule="auto"/>
        <w:rPr>
          <w:rFonts w:ascii="Times New Roman" w:hAnsi="Times New Roman"/>
          <w:sz w:val="24"/>
          <w:szCs w:val="24"/>
        </w:rPr>
      </w:pPr>
    </w:p>
    <w:p w:rsidR="00F767CF" w:rsidRPr="00B84270" w:rsidRDefault="00F767CF" w:rsidP="00F767CF">
      <w:pPr>
        <w:tabs>
          <w:tab w:val="left" w:pos="9390"/>
        </w:tabs>
        <w:spacing w:after="0" w:line="240" w:lineRule="auto"/>
        <w:rPr>
          <w:rFonts w:ascii="Times New Roman" w:hAnsi="Times New Roman"/>
          <w:sz w:val="24"/>
          <w:szCs w:val="24"/>
        </w:rPr>
      </w:pPr>
    </w:p>
    <w:p w:rsidR="00F767CF" w:rsidRPr="00B84270" w:rsidRDefault="00F767CF" w:rsidP="00F767CF">
      <w:pPr>
        <w:tabs>
          <w:tab w:val="left" w:pos="9390"/>
        </w:tabs>
        <w:spacing w:after="0" w:line="240" w:lineRule="auto"/>
        <w:rPr>
          <w:rFonts w:ascii="Times New Roman" w:hAnsi="Times New Roman"/>
          <w:sz w:val="24"/>
          <w:szCs w:val="24"/>
        </w:rPr>
      </w:pPr>
    </w:p>
    <w:p w:rsidR="00F767CF" w:rsidRPr="00B84270" w:rsidRDefault="00F767CF" w:rsidP="00F767CF">
      <w:pPr>
        <w:tabs>
          <w:tab w:val="left" w:pos="9390"/>
        </w:tabs>
        <w:spacing w:after="0" w:line="240" w:lineRule="auto"/>
        <w:rPr>
          <w:rFonts w:ascii="Times New Roman" w:hAnsi="Times New Roman"/>
          <w:sz w:val="24"/>
          <w:szCs w:val="24"/>
        </w:rPr>
      </w:pPr>
    </w:p>
    <w:p w:rsidR="00F767CF" w:rsidRPr="00B84270" w:rsidRDefault="00F767CF" w:rsidP="00F767CF">
      <w:pPr>
        <w:tabs>
          <w:tab w:val="left" w:pos="9390"/>
        </w:tabs>
        <w:spacing w:after="0" w:line="240" w:lineRule="auto"/>
        <w:rPr>
          <w:rFonts w:ascii="Times New Roman" w:hAnsi="Times New Roman"/>
          <w:sz w:val="24"/>
          <w:szCs w:val="24"/>
        </w:rPr>
      </w:pPr>
    </w:p>
    <w:p w:rsidR="00F767CF" w:rsidRPr="00B84270" w:rsidRDefault="00F767CF" w:rsidP="00F767CF">
      <w:pPr>
        <w:tabs>
          <w:tab w:val="left" w:pos="9390"/>
        </w:tabs>
        <w:spacing w:after="0" w:line="240" w:lineRule="auto"/>
        <w:rPr>
          <w:rFonts w:ascii="Times New Roman" w:hAnsi="Times New Roman"/>
          <w:sz w:val="24"/>
          <w:szCs w:val="24"/>
        </w:rPr>
      </w:pPr>
    </w:p>
    <w:p w:rsidR="00F767CF" w:rsidRPr="00B84270" w:rsidRDefault="00F767CF" w:rsidP="00F767CF">
      <w:pPr>
        <w:tabs>
          <w:tab w:val="left" w:pos="9390"/>
        </w:tabs>
        <w:spacing w:after="0" w:line="240" w:lineRule="auto"/>
        <w:rPr>
          <w:rFonts w:ascii="Times New Roman" w:hAnsi="Times New Roman"/>
          <w:sz w:val="24"/>
          <w:szCs w:val="24"/>
        </w:rPr>
      </w:pPr>
    </w:p>
    <w:p w:rsidR="00F767CF" w:rsidRPr="00B84270" w:rsidRDefault="00F767CF" w:rsidP="00F767CF">
      <w:pPr>
        <w:tabs>
          <w:tab w:val="left" w:pos="9390"/>
        </w:tabs>
        <w:spacing w:after="0" w:line="240" w:lineRule="auto"/>
        <w:rPr>
          <w:rFonts w:ascii="Times New Roman" w:hAnsi="Times New Roman"/>
          <w:sz w:val="24"/>
          <w:szCs w:val="24"/>
        </w:rPr>
      </w:pPr>
    </w:p>
    <w:p w:rsidR="00F767CF" w:rsidRPr="00B84270" w:rsidRDefault="00F767CF" w:rsidP="00F767CF">
      <w:pPr>
        <w:tabs>
          <w:tab w:val="left" w:pos="9390"/>
        </w:tabs>
        <w:spacing w:after="0" w:line="240" w:lineRule="auto"/>
        <w:rPr>
          <w:rFonts w:ascii="Times New Roman" w:hAnsi="Times New Roman"/>
          <w:sz w:val="24"/>
          <w:szCs w:val="24"/>
        </w:rPr>
      </w:pPr>
    </w:p>
    <w:p w:rsidR="00F767CF" w:rsidRPr="00B84270" w:rsidRDefault="00F767CF" w:rsidP="00F767CF">
      <w:pPr>
        <w:tabs>
          <w:tab w:val="left" w:pos="9390"/>
        </w:tabs>
        <w:spacing w:after="0" w:line="240" w:lineRule="auto"/>
        <w:rPr>
          <w:rFonts w:ascii="Times New Roman" w:hAnsi="Times New Roman"/>
          <w:sz w:val="24"/>
          <w:szCs w:val="24"/>
        </w:rPr>
      </w:pPr>
    </w:p>
    <w:p w:rsidR="00F767CF" w:rsidRPr="00B84270" w:rsidRDefault="00F767CF" w:rsidP="00F767CF">
      <w:pPr>
        <w:spacing w:after="0" w:line="240" w:lineRule="auto"/>
        <w:rPr>
          <w:rFonts w:ascii="Times New Roman" w:hAnsi="Times New Roman"/>
          <w:b/>
          <w:sz w:val="24"/>
          <w:szCs w:val="24"/>
        </w:rPr>
      </w:pPr>
      <w:r w:rsidRPr="00B84270">
        <w:rPr>
          <w:rFonts w:ascii="Times New Roman" w:hAnsi="Times New Roman"/>
          <w:b/>
          <w:sz w:val="24"/>
          <w:szCs w:val="24"/>
        </w:rPr>
        <w:t>Fig. 7A</w:t>
      </w:r>
    </w:p>
    <w:p w:rsidR="00F767CF" w:rsidRPr="00B84270" w:rsidRDefault="00F767CF" w:rsidP="00F767CF">
      <w:pPr>
        <w:spacing w:after="0" w:line="240" w:lineRule="auto"/>
        <w:rPr>
          <w:rFonts w:ascii="Times New Roman" w:hAnsi="Times New Roman"/>
          <w:b/>
          <w:sz w:val="24"/>
          <w:szCs w:val="24"/>
        </w:rPr>
      </w:pPr>
    </w:p>
    <w:p w:rsidR="00F767CF" w:rsidRPr="00B84270" w:rsidRDefault="00F767CF" w:rsidP="00F767CF">
      <w:pPr>
        <w:spacing w:after="0" w:line="240" w:lineRule="auto"/>
        <w:rPr>
          <w:rFonts w:ascii="Times New Roman" w:hAnsi="Times New Roman"/>
          <w:sz w:val="24"/>
          <w:szCs w:val="24"/>
        </w:rPr>
      </w:pPr>
    </w:p>
    <w:p w:rsidR="00F767CF" w:rsidRPr="00B84270" w:rsidRDefault="006623B1" w:rsidP="00F767CF">
      <w:pPr>
        <w:tabs>
          <w:tab w:val="left" w:pos="9390"/>
        </w:tabs>
        <w:spacing w:after="0" w:line="240" w:lineRule="auto"/>
        <w:rPr>
          <w:rFonts w:ascii="Times New Roman" w:hAnsi="Times New Roman"/>
          <w:sz w:val="24"/>
          <w:szCs w:val="24"/>
        </w:rPr>
      </w:pPr>
      <w:r>
        <w:rPr>
          <w:noProof/>
          <w:lang w:eastAsia="zh-CN"/>
        </w:rPr>
        <w:pict>
          <v:shape id="Text Box 43" o:spid="_x0000_s1048" type="#_x0000_t202" style="position:absolute;margin-left:388.85pt;margin-top:82.85pt;width:21.45pt;height:20.6pt;z-index:25164646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" filled="f" stroked="f">
            <v:textbox>
              <w:txbxContent>
                <w:p w:rsidR="00967941" w:rsidRPr="000901A7" w:rsidRDefault="00967941" w:rsidP="00F767CF">
                  <w:pPr>
                    <w:rPr>
                      <w:b/>
                      <w:sz w:val="28"/>
                      <w:szCs w:val="28"/>
                    </w:rPr>
                  </w:pPr>
                  <w:r w:rsidRPr="000901A7">
                    <w:rPr>
                      <w:b/>
                      <w:sz w:val="28"/>
                      <w:szCs w:val="28"/>
                    </w:rPr>
                    <w:t>*</w:t>
                  </w:r>
                </w:p>
                <w:p w:rsidR="00967941" w:rsidRPr="00F4317E" w:rsidRDefault="00967941" w:rsidP="00F767CF">
                  <w:pPr>
                    <w:rPr>
                      <w:b/>
                      <w:sz w:val="28"/>
                      <w:szCs w:val="28"/>
                    </w:rPr>
                  </w:pPr>
                </w:p>
                <w:p w:rsidR="00967941" w:rsidRPr="00F4317E" w:rsidRDefault="00967941" w:rsidP="00F767CF"/>
              </w:txbxContent>
            </v:textbox>
          </v:shape>
        </w:pict>
      </w:r>
      <w:r>
        <w:rPr>
          <w:noProof/>
          <w:lang w:eastAsia="zh-CN"/>
        </w:rPr>
        <w:pict>
          <v:shape id="_x0000_s1047" type="#_x0000_t202" style="position:absolute;margin-left:466.85pt;margin-top:86.6pt;width:21.45pt;height:20.6pt;z-index:25164544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" filled="f" stroked="f">
            <v:textbox>
              <w:txbxContent>
                <w:p w:rsidR="00967941" w:rsidRPr="000901A7" w:rsidRDefault="00967941" w:rsidP="00F767CF">
                  <w:pPr>
                    <w:rPr>
                      <w:b/>
                      <w:sz w:val="28"/>
                      <w:szCs w:val="28"/>
                    </w:rPr>
                  </w:pPr>
                  <w:r w:rsidRPr="000901A7">
                    <w:rPr>
                      <w:b/>
                      <w:sz w:val="28"/>
                      <w:szCs w:val="28"/>
                    </w:rPr>
                    <w:t>*</w:t>
                  </w:r>
                </w:p>
                <w:p w:rsidR="00967941" w:rsidRPr="00F4317E" w:rsidRDefault="00967941" w:rsidP="00F767CF">
                  <w:pPr>
                    <w:rPr>
                      <w:b/>
                      <w:sz w:val="28"/>
                      <w:szCs w:val="28"/>
                    </w:rPr>
                  </w:pPr>
                </w:p>
                <w:p w:rsidR="00967941" w:rsidRPr="00F4317E" w:rsidRDefault="00967941" w:rsidP="00F767CF"/>
              </w:txbxContent>
            </v:textbox>
          </v:shape>
        </w:pict>
      </w:r>
      <w:r w:rsidR="00F767CF" w:rsidRPr="00B84270">
        <w:rPr>
          <w:rFonts w:ascii="Times New Roman" w:hAnsi="Times New Roman"/>
          <w:noProof/>
          <w:sz w:val="24"/>
          <w:szCs w:val="24"/>
        </w:rPr>
        <w:drawing>
          <wp:inline distT="0" distB="0" distL="0" distR="0" wp14:anchorId="4F514DD7" wp14:editId="7D241954">
            <wp:extent cx="6554470" cy="2553335"/>
            <wp:effectExtent l="0" t="0" r="0" b="0"/>
            <wp:docPr id="103"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767CF" w:rsidRPr="00B84270" w:rsidRDefault="00F767CF" w:rsidP="00F767CF">
      <w:pPr>
        <w:spacing w:after="0" w:line="240" w:lineRule="auto"/>
        <w:rPr>
          <w:rFonts w:ascii="Times New Roman" w:hAnsi="Times New Roman"/>
          <w:sz w:val="24"/>
          <w:szCs w:val="24"/>
        </w:rPr>
      </w:pPr>
    </w:p>
    <w:p w:rsidR="00F767CF" w:rsidRPr="00B84270" w:rsidRDefault="00F767CF" w:rsidP="00F767CF">
      <w:pPr>
        <w:spacing w:after="0" w:line="240" w:lineRule="auto"/>
        <w:rPr>
          <w:rFonts w:ascii="Times New Roman" w:hAnsi="Times New Roman"/>
          <w:b/>
          <w:sz w:val="24"/>
          <w:szCs w:val="24"/>
        </w:rPr>
      </w:pPr>
    </w:p>
    <w:p w:rsidR="00F767CF" w:rsidRPr="00B84270" w:rsidRDefault="00F767CF" w:rsidP="00F767CF">
      <w:pPr>
        <w:spacing w:after="0" w:line="240" w:lineRule="auto"/>
        <w:rPr>
          <w:rFonts w:ascii="Times New Roman" w:hAnsi="Times New Roman"/>
          <w:b/>
          <w:sz w:val="24"/>
          <w:szCs w:val="24"/>
        </w:rPr>
      </w:pPr>
    </w:p>
    <w:p w:rsidR="00F767CF" w:rsidRPr="00B84270" w:rsidRDefault="00F767CF" w:rsidP="00F767CF">
      <w:pPr>
        <w:spacing w:after="0" w:line="240" w:lineRule="auto"/>
        <w:rPr>
          <w:rFonts w:ascii="Times New Roman" w:hAnsi="Times New Roman"/>
          <w:b/>
          <w:sz w:val="24"/>
          <w:szCs w:val="24"/>
        </w:rPr>
      </w:pPr>
    </w:p>
    <w:p w:rsidR="00F767CF" w:rsidRPr="00B84270" w:rsidRDefault="00F767CF" w:rsidP="00F767CF">
      <w:pPr>
        <w:spacing w:after="0" w:line="240" w:lineRule="auto"/>
        <w:rPr>
          <w:rFonts w:ascii="Times New Roman" w:hAnsi="Times New Roman"/>
          <w:b/>
          <w:sz w:val="24"/>
          <w:szCs w:val="24"/>
        </w:rPr>
      </w:pPr>
    </w:p>
    <w:p w:rsidR="00F767CF" w:rsidRPr="00B84270" w:rsidRDefault="00F767CF" w:rsidP="00F767CF">
      <w:pPr>
        <w:spacing w:after="0" w:line="240" w:lineRule="auto"/>
        <w:rPr>
          <w:rFonts w:ascii="Times New Roman" w:hAnsi="Times New Roman"/>
          <w:b/>
          <w:sz w:val="24"/>
          <w:szCs w:val="24"/>
        </w:rPr>
      </w:pPr>
    </w:p>
    <w:p w:rsidR="00F767CF" w:rsidRPr="00B84270" w:rsidRDefault="00F767CF" w:rsidP="00F767CF">
      <w:pPr>
        <w:spacing w:after="0" w:line="240" w:lineRule="auto"/>
        <w:rPr>
          <w:rFonts w:ascii="Times New Roman" w:hAnsi="Times New Roman"/>
          <w:b/>
          <w:sz w:val="24"/>
          <w:szCs w:val="24"/>
        </w:rPr>
      </w:pPr>
      <w:r w:rsidRPr="00B84270">
        <w:rPr>
          <w:rFonts w:ascii="Times New Roman" w:hAnsi="Times New Roman"/>
          <w:b/>
          <w:sz w:val="24"/>
          <w:szCs w:val="24"/>
        </w:rPr>
        <w:t>Fig. 7B</w:t>
      </w:r>
    </w:p>
    <w:p w:rsidR="00F767CF" w:rsidRPr="00B84270" w:rsidRDefault="00F767CF" w:rsidP="00F767CF">
      <w:pPr>
        <w:spacing w:after="0" w:line="240" w:lineRule="auto"/>
        <w:rPr>
          <w:rFonts w:ascii="Times New Roman" w:hAnsi="Times New Roman"/>
          <w:b/>
          <w:sz w:val="24"/>
          <w:szCs w:val="24"/>
        </w:rPr>
      </w:pPr>
    </w:p>
    <w:p w:rsidR="00F767CF" w:rsidRPr="00B84270" w:rsidRDefault="00F767CF" w:rsidP="00F767CF">
      <w:pPr>
        <w:spacing w:after="0" w:line="240" w:lineRule="auto"/>
        <w:rPr>
          <w:rFonts w:ascii="Times New Roman" w:hAnsi="Times New Roman"/>
          <w:b/>
          <w:sz w:val="24"/>
          <w:szCs w:val="24"/>
        </w:rPr>
      </w:pPr>
    </w:p>
    <w:p w:rsidR="00F767CF" w:rsidRPr="00B84270" w:rsidRDefault="006623B1" w:rsidP="00F767CF">
      <w:pPr>
        <w:tabs>
          <w:tab w:val="left" w:pos="9390"/>
        </w:tabs>
        <w:spacing w:after="0" w:line="240" w:lineRule="auto"/>
        <w:rPr>
          <w:rFonts w:ascii="Times New Roman" w:hAnsi="Times New Roman"/>
          <w:sz w:val="24"/>
          <w:szCs w:val="24"/>
        </w:rPr>
      </w:pPr>
      <w:r>
        <w:rPr>
          <w:noProof/>
          <w:lang w:eastAsia="zh-CN"/>
        </w:rPr>
        <w:pict>
          <v:shape id="Text Box 45" o:spid="_x0000_s1049" type="#_x0000_t202" style="position:absolute;margin-left:113.9pt;margin-top:39.8pt;width:23.7pt;height:16.5pt;z-index:25164748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" filled="f" stroked="f">
            <v:textbox>
              <w:txbxContent>
                <w:p w:rsidR="00967941" w:rsidRPr="00242CBC" w:rsidRDefault="00967941" w:rsidP="00F767CF">
                  <w:pPr>
                    <w:rPr>
                      <w:b/>
                      <w:sz w:val="28"/>
                      <w:szCs w:val="28"/>
                    </w:rPr>
                  </w:pPr>
                  <w:r w:rsidRPr="00242CBC">
                    <w:rPr>
                      <w:b/>
                      <w:sz w:val="28"/>
                      <w:szCs w:val="28"/>
                    </w:rPr>
                    <w:t>*</w:t>
                  </w:r>
                </w:p>
                <w:p w:rsidR="00967941" w:rsidRPr="00F4317E" w:rsidRDefault="00967941" w:rsidP="00F767CF">
                  <w:pPr>
                    <w:rPr>
                      <w:b/>
                      <w:sz w:val="28"/>
                      <w:szCs w:val="28"/>
                    </w:rPr>
                  </w:pPr>
                </w:p>
                <w:p w:rsidR="00967941" w:rsidRPr="00F4317E" w:rsidRDefault="00967941" w:rsidP="00F767CF"/>
              </w:txbxContent>
            </v:textbox>
          </v:shape>
        </w:pict>
      </w:r>
      <w:r>
        <w:rPr>
          <w:noProof/>
          <w:lang w:eastAsia="zh-CN"/>
        </w:rPr>
        <w:pict>
          <v:shape id="Text Box 44" o:spid="_x0000_s1051" type="#_x0000_t202" style="position:absolute;margin-left:299.55pt;margin-top:110.3pt;width:29.7pt;height:20.6pt;z-index:25164953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qKhvAIAAMM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" filled="f" stroked="f">
            <v:textbox>
              <w:txbxContent>
                <w:p w:rsidR="00967941" w:rsidRPr="00242CBC" w:rsidRDefault="00967941" w:rsidP="00F767CF">
                  <w:pPr>
                    <w:rPr>
                      <w:b/>
                      <w:sz w:val="28"/>
                      <w:szCs w:val="28"/>
                    </w:rPr>
                  </w:pPr>
                  <w:r w:rsidRPr="00242CBC">
                    <w:rPr>
                      <w:b/>
                      <w:sz w:val="28"/>
                      <w:szCs w:val="28"/>
                    </w:rPr>
                    <w:t>**</w:t>
                  </w:r>
                </w:p>
                <w:p w:rsidR="00967941" w:rsidRPr="00F4317E" w:rsidRDefault="00967941" w:rsidP="00F767CF">
                  <w:pPr>
                    <w:rPr>
                      <w:b/>
                      <w:sz w:val="28"/>
                      <w:szCs w:val="28"/>
                    </w:rPr>
                  </w:pPr>
                </w:p>
                <w:p w:rsidR="00967941" w:rsidRPr="00F4317E" w:rsidRDefault="00967941" w:rsidP="00F767CF"/>
              </w:txbxContent>
            </v:textbox>
          </v:shape>
        </w:pict>
      </w:r>
      <w:r>
        <w:rPr>
          <w:noProof/>
          <w:lang w:eastAsia="zh-CN"/>
        </w:rPr>
        <w:pict>
          <v:shape id="Text Box 46" o:spid="_x0000_s1050" type="#_x0000_t202" style="position:absolute;margin-left:289.3pt;margin-top:20.3pt;width:23.7pt;height:16.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lh9uwIAAMM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" filled="f" stroked="f">
            <v:textbox>
              <w:txbxContent>
                <w:p w:rsidR="00967941" w:rsidRPr="00242CBC" w:rsidRDefault="00967941" w:rsidP="00F767CF">
                  <w:pPr>
                    <w:rPr>
                      <w:b/>
                      <w:sz w:val="28"/>
                      <w:szCs w:val="28"/>
                    </w:rPr>
                  </w:pPr>
                  <w:r w:rsidRPr="00242CBC">
                    <w:rPr>
                      <w:b/>
                      <w:sz w:val="28"/>
                      <w:szCs w:val="28"/>
                    </w:rPr>
                    <w:t>*</w:t>
                  </w:r>
                </w:p>
                <w:p w:rsidR="00967941" w:rsidRPr="00F4317E" w:rsidRDefault="00967941" w:rsidP="00F767CF">
                  <w:pPr>
                    <w:rPr>
                      <w:b/>
                      <w:sz w:val="28"/>
                      <w:szCs w:val="28"/>
                    </w:rPr>
                  </w:pPr>
                </w:p>
                <w:p w:rsidR="00967941" w:rsidRPr="00F4317E" w:rsidRDefault="00967941" w:rsidP="00F767CF"/>
              </w:txbxContent>
            </v:textbox>
          </v:shape>
        </w:pict>
      </w:r>
      <w:r w:rsidR="00F767CF" w:rsidRPr="00B84270">
        <w:rPr>
          <w:rFonts w:ascii="Times New Roman" w:hAnsi="Times New Roman"/>
          <w:noProof/>
          <w:sz w:val="24"/>
          <w:szCs w:val="24"/>
        </w:rPr>
        <w:drawing>
          <wp:inline distT="0" distB="0" distL="0" distR="0" wp14:anchorId="6CEC9EC1" wp14:editId="4C933A0A">
            <wp:extent cx="6554470" cy="2553335"/>
            <wp:effectExtent l="0" t="0" r="0" b="0"/>
            <wp:docPr id="101"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767CF" w:rsidRPr="00B84270" w:rsidRDefault="00F767CF" w:rsidP="00F767CF">
      <w:pPr>
        <w:tabs>
          <w:tab w:val="left" w:pos="9390"/>
        </w:tabs>
        <w:spacing w:after="0" w:line="240" w:lineRule="auto"/>
        <w:rPr>
          <w:rFonts w:ascii="Times New Roman" w:hAnsi="Times New Roman"/>
          <w:sz w:val="24"/>
          <w:szCs w:val="24"/>
        </w:rPr>
      </w:pPr>
    </w:p>
    <w:p w:rsidR="00F767CF" w:rsidRPr="00B84270" w:rsidRDefault="00F767CF" w:rsidP="00F767CF">
      <w:pPr>
        <w:tabs>
          <w:tab w:val="left" w:pos="9390"/>
        </w:tabs>
        <w:spacing w:after="0" w:line="240" w:lineRule="auto"/>
        <w:rPr>
          <w:rFonts w:ascii="Times New Roman" w:hAnsi="Times New Roman"/>
          <w:sz w:val="24"/>
          <w:szCs w:val="24"/>
        </w:rPr>
      </w:pPr>
    </w:p>
    <w:p w:rsidR="00F767CF" w:rsidRPr="00B84270" w:rsidRDefault="00F767CF" w:rsidP="00F767CF">
      <w:pPr>
        <w:tabs>
          <w:tab w:val="left" w:pos="9390"/>
        </w:tabs>
        <w:spacing w:after="0" w:line="240" w:lineRule="auto"/>
        <w:rPr>
          <w:rFonts w:ascii="Times New Roman" w:hAnsi="Times New Roman"/>
          <w:sz w:val="24"/>
          <w:szCs w:val="24"/>
        </w:rPr>
      </w:pPr>
    </w:p>
    <w:p w:rsidR="00F767CF" w:rsidRPr="00B84270" w:rsidRDefault="00F767CF" w:rsidP="00F767CF">
      <w:pPr>
        <w:tabs>
          <w:tab w:val="left" w:pos="9390"/>
        </w:tabs>
        <w:spacing w:after="0" w:line="240" w:lineRule="auto"/>
        <w:rPr>
          <w:rFonts w:ascii="Times New Roman" w:hAnsi="Times New Roman"/>
          <w:sz w:val="24"/>
          <w:szCs w:val="24"/>
        </w:rPr>
      </w:pPr>
    </w:p>
    <w:p w:rsidR="00F767CF" w:rsidRPr="00B84270" w:rsidRDefault="00F767CF" w:rsidP="00F767CF">
      <w:pPr>
        <w:spacing w:after="0" w:line="240" w:lineRule="auto"/>
        <w:rPr>
          <w:rFonts w:ascii="Times New Roman" w:hAnsi="Times New Roman"/>
          <w:b/>
          <w:sz w:val="24"/>
          <w:szCs w:val="24"/>
        </w:rPr>
      </w:pPr>
    </w:p>
    <w:p w:rsidR="00F767CF" w:rsidRPr="00B84270" w:rsidRDefault="00F767CF" w:rsidP="00F767CF">
      <w:pPr>
        <w:spacing w:after="0" w:line="240" w:lineRule="auto"/>
        <w:rPr>
          <w:rFonts w:ascii="Times New Roman" w:hAnsi="Times New Roman"/>
          <w:b/>
          <w:sz w:val="24"/>
          <w:szCs w:val="24"/>
        </w:rPr>
      </w:pPr>
    </w:p>
    <w:p w:rsidR="00F767CF" w:rsidRPr="00B84270" w:rsidRDefault="00F767CF" w:rsidP="00F767CF">
      <w:pPr>
        <w:spacing w:after="0" w:line="240" w:lineRule="auto"/>
        <w:rPr>
          <w:rFonts w:ascii="Times New Roman" w:hAnsi="Times New Roman"/>
          <w:b/>
          <w:sz w:val="24"/>
          <w:szCs w:val="24"/>
        </w:rPr>
      </w:pPr>
    </w:p>
    <w:p w:rsidR="00F767CF" w:rsidRPr="00B84270" w:rsidRDefault="00F767CF" w:rsidP="00F767CF">
      <w:pPr>
        <w:spacing w:after="0" w:line="240" w:lineRule="auto"/>
        <w:rPr>
          <w:rFonts w:ascii="Times New Roman" w:hAnsi="Times New Roman"/>
          <w:b/>
          <w:sz w:val="24"/>
          <w:szCs w:val="24"/>
        </w:rPr>
      </w:pPr>
    </w:p>
    <w:p w:rsidR="00F767CF" w:rsidRPr="00B84270" w:rsidRDefault="00F767CF" w:rsidP="00F767CF">
      <w:pPr>
        <w:spacing w:after="0" w:line="240" w:lineRule="auto"/>
        <w:rPr>
          <w:rFonts w:ascii="Times New Roman" w:hAnsi="Times New Roman"/>
          <w:b/>
          <w:sz w:val="24"/>
          <w:szCs w:val="24"/>
        </w:rPr>
      </w:pPr>
    </w:p>
    <w:p w:rsidR="00F767CF" w:rsidRPr="00B84270" w:rsidRDefault="00F767CF" w:rsidP="00F767CF">
      <w:pPr>
        <w:spacing w:after="0" w:line="240" w:lineRule="auto"/>
        <w:rPr>
          <w:rFonts w:ascii="Times New Roman" w:hAnsi="Times New Roman"/>
          <w:b/>
          <w:sz w:val="24"/>
          <w:szCs w:val="24"/>
        </w:rPr>
      </w:pPr>
    </w:p>
    <w:p w:rsidR="00F767CF" w:rsidRPr="00B84270" w:rsidRDefault="00F767CF" w:rsidP="00F767CF">
      <w:pPr>
        <w:spacing w:after="0" w:line="240" w:lineRule="auto"/>
        <w:rPr>
          <w:rFonts w:ascii="Times New Roman" w:hAnsi="Times New Roman"/>
          <w:b/>
          <w:sz w:val="24"/>
          <w:szCs w:val="24"/>
        </w:rPr>
      </w:pPr>
    </w:p>
    <w:p w:rsidR="00F767CF" w:rsidRPr="00B84270" w:rsidRDefault="00F767CF" w:rsidP="00F767CF">
      <w:pPr>
        <w:spacing w:after="0" w:line="240" w:lineRule="auto"/>
        <w:rPr>
          <w:rFonts w:ascii="Times New Roman" w:hAnsi="Times New Roman"/>
          <w:b/>
          <w:sz w:val="24"/>
          <w:szCs w:val="24"/>
        </w:rPr>
      </w:pPr>
    </w:p>
    <w:p w:rsidR="00F767CF" w:rsidRPr="00B84270" w:rsidRDefault="00F767CF" w:rsidP="00F767CF">
      <w:pPr>
        <w:spacing w:after="0" w:line="240" w:lineRule="auto"/>
        <w:rPr>
          <w:rFonts w:ascii="Times New Roman" w:hAnsi="Times New Roman"/>
          <w:b/>
          <w:sz w:val="24"/>
          <w:szCs w:val="24"/>
        </w:rPr>
      </w:pPr>
      <w:r w:rsidRPr="00B84270">
        <w:rPr>
          <w:rFonts w:ascii="Times New Roman" w:hAnsi="Times New Roman"/>
          <w:b/>
          <w:sz w:val="24"/>
          <w:szCs w:val="24"/>
        </w:rPr>
        <w:t>Fig. 8</w:t>
      </w:r>
    </w:p>
    <w:p w:rsidR="00F767CF" w:rsidRPr="00B84270" w:rsidRDefault="00F767CF" w:rsidP="00F767CF">
      <w:pPr>
        <w:spacing w:after="0" w:line="240" w:lineRule="auto"/>
        <w:rPr>
          <w:rFonts w:ascii="Times New Roman" w:hAnsi="Times New Roman"/>
          <w:b/>
          <w:sz w:val="24"/>
          <w:szCs w:val="24"/>
        </w:rPr>
      </w:pPr>
    </w:p>
    <w:p w:rsidR="00F767CF" w:rsidRPr="00B84270" w:rsidRDefault="00F767CF" w:rsidP="00F767CF">
      <w:pPr>
        <w:spacing w:after="0" w:line="240" w:lineRule="auto"/>
        <w:rPr>
          <w:rFonts w:ascii="Times New Roman" w:hAnsi="Times New Roman"/>
          <w:sz w:val="24"/>
          <w:szCs w:val="24"/>
        </w:rPr>
      </w:pPr>
    </w:p>
    <w:p w:rsidR="00F767CF" w:rsidRPr="00B84270" w:rsidRDefault="006623B1" w:rsidP="00F767CF">
      <w:pPr>
        <w:tabs>
          <w:tab w:val="left" w:pos="9390"/>
        </w:tabs>
        <w:spacing w:after="0" w:line="240" w:lineRule="auto"/>
        <w:rPr>
          <w:rFonts w:ascii="Times New Roman" w:hAnsi="Times New Roman"/>
          <w:b/>
          <w:sz w:val="24"/>
          <w:szCs w:val="24"/>
        </w:rPr>
      </w:pPr>
      <w:r>
        <w:rPr>
          <w:rFonts w:ascii="Times New Roman" w:hAnsi="Times New Roman"/>
          <w:b/>
          <w:noProof/>
          <w:sz w:val="24"/>
          <w:szCs w:val="24"/>
        </w:rPr>
        <w:pict>
          <v:shape id="_x0000_s1059" type="#_x0000_t202" style="position:absolute;margin-left:475.4pt;margin-top:26.15pt;width:17.55pt;height:16.5pt;z-index:25165772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" filled="f" stroked="f">
            <v:textbox>
              <w:txbxContent>
                <w:p w:rsidR="00967941" w:rsidRPr="00F4317E" w:rsidRDefault="00967941" w:rsidP="00F767CF">
                  <w:pPr>
                    <w:rPr>
                      <w:b/>
                      <w:sz w:val="28"/>
                      <w:szCs w:val="28"/>
                    </w:rPr>
                  </w:pPr>
                  <w:r>
                    <w:rPr>
                      <w:b/>
                      <w:sz w:val="28"/>
                      <w:szCs w:val="28"/>
                    </w:rPr>
                    <w:t>*</w:t>
                  </w:r>
                </w:p>
                <w:p w:rsidR="00967941" w:rsidRPr="00F4317E" w:rsidRDefault="00967941" w:rsidP="00F767CF">
                  <w:pPr>
                    <w:rPr>
                      <w:b/>
                      <w:sz w:val="28"/>
                      <w:szCs w:val="28"/>
                    </w:rPr>
                  </w:pPr>
                </w:p>
                <w:p w:rsidR="00967941" w:rsidRPr="00F4317E" w:rsidRDefault="00967941" w:rsidP="00F767CF"/>
              </w:txbxContent>
            </v:textbox>
          </v:shape>
        </w:pict>
      </w:r>
      <w:r w:rsidR="00F767CF" w:rsidRPr="00B84270">
        <w:rPr>
          <w:rFonts w:ascii="Times New Roman" w:hAnsi="Times New Roman"/>
          <w:b/>
          <w:noProof/>
          <w:sz w:val="24"/>
          <w:szCs w:val="24"/>
        </w:rPr>
        <w:drawing>
          <wp:inline distT="0" distB="0" distL="0" distR="0" wp14:anchorId="47266913" wp14:editId="2799D6C5">
            <wp:extent cx="6554470" cy="2553335"/>
            <wp:effectExtent l="0" t="0" r="0" b="0"/>
            <wp:docPr id="18"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767CF" w:rsidRPr="00B84270" w:rsidRDefault="00F767CF" w:rsidP="00F767CF">
      <w:pPr>
        <w:tabs>
          <w:tab w:val="left" w:pos="9390"/>
        </w:tabs>
        <w:spacing w:after="0" w:line="240" w:lineRule="auto"/>
        <w:rPr>
          <w:rFonts w:ascii="Times New Roman" w:hAnsi="Times New Roman"/>
          <w:b/>
          <w:sz w:val="24"/>
          <w:szCs w:val="24"/>
        </w:rPr>
      </w:pPr>
    </w:p>
    <w:p w:rsidR="00F767CF" w:rsidRPr="00B84270" w:rsidRDefault="00F767CF" w:rsidP="00F767CF">
      <w:pPr>
        <w:tabs>
          <w:tab w:val="left" w:pos="9390"/>
        </w:tabs>
        <w:spacing w:after="0" w:line="240" w:lineRule="auto"/>
        <w:rPr>
          <w:rFonts w:ascii="Times New Roman" w:hAnsi="Times New Roman"/>
          <w:b/>
          <w:sz w:val="24"/>
          <w:szCs w:val="24"/>
        </w:rPr>
      </w:pPr>
    </w:p>
    <w:p w:rsidR="00F767CF" w:rsidRPr="00B84270" w:rsidRDefault="00F767CF" w:rsidP="00F767CF">
      <w:pPr>
        <w:spacing w:after="0" w:line="240" w:lineRule="auto"/>
        <w:rPr>
          <w:rFonts w:ascii="Times New Roman" w:hAnsi="Times New Roman"/>
          <w:b/>
          <w:sz w:val="24"/>
          <w:szCs w:val="24"/>
        </w:rPr>
      </w:pPr>
    </w:p>
    <w:p w:rsidR="00F767CF" w:rsidRPr="00B84270" w:rsidRDefault="00F767CF" w:rsidP="00F767CF">
      <w:pPr>
        <w:spacing w:after="0" w:line="240" w:lineRule="auto"/>
        <w:rPr>
          <w:rFonts w:ascii="Times New Roman" w:hAnsi="Times New Roman"/>
          <w:b/>
          <w:sz w:val="24"/>
          <w:szCs w:val="24"/>
        </w:rPr>
      </w:pPr>
    </w:p>
    <w:p w:rsidR="00F767CF" w:rsidRPr="00B84270" w:rsidRDefault="00F767CF" w:rsidP="00F767CF">
      <w:pPr>
        <w:spacing w:after="0" w:line="240" w:lineRule="auto"/>
        <w:rPr>
          <w:rFonts w:ascii="Times New Roman" w:hAnsi="Times New Roman"/>
          <w:b/>
          <w:sz w:val="24"/>
          <w:szCs w:val="24"/>
        </w:rPr>
      </w:pPr>
    </w:p>
    <w:p w:rsidR="00F767CF" w:rsidRPr="00B84270" w:rsidRDefault="00F767CF" w:rsidP="00F767CF">
      <w:pPr>
        <w:spacing w:after="0" w:line="240" w:lineRule="auto"/>
        <w:rPr>
          <w:rFonts w:ascii="Times New Roman" w:hAnsi="Times New Roman"/>
          <w:b/>
          <w:sz w:val="24"/>
          <w:szCs w:val="24"/>
        </w:rPr>
      </w:pPr>
    </w:p>
    <w:p w:rsidR="00F767CF" w:rsidRPr="00B84270" w:rsidRDefault="00F767CF" w:rsidP="00F767CF">
      <w:pPr>
        <w:spacing w:after="0" w:line="240" w:lineRule="auto"/>
        <w:rPr>
          <w:rFonts w:ascii="Times New Roman" w:hAnsi="Times New Roman"/>
          <w:b/>
          <w:sz w:val="24"/>
          <w:szCs w:val="24"/>
        </w:rPr>
      </w:pPr>
    </w:p>
    <w:p w:rsidR="00F767CF" w:rsidRPr="00B84270" w:rsidRDefault="00F767CF" w:rsidP="00F767CF">
      <w:pPr>
        <w:spacing w:after="0" w:line="240" w:lineRule="auto"/>
        <w:rPr>
          <w:rFonts w:ascii="Times New Roman" w:hAnsi="Times New Roman"/>
          <w:b/>
          <w:sz w:val="24"/>
          <w:szCs w:val="24"/>
        </w:rPr>
      </w:pPr>
    </w:p>
    <w:p w:rsidR="00F767CF" w:rsidRPr="00B84270" w:rsidRDefault="00F767CF" w:rsidP="00F767CF">
      <w:pPr>
        <w:spacing w:after="0" w:line="240" w:lineRule="auto"/>
        <w:rPr>
          <w:rFonts w:ascii="Times New Roman" w:hAnsi="Times New Roman"/>
          <w:b/>
          <w:sz w:val="24"/>
          <w:szCs w:val="24"/>
        </w:rPr>
      </w:pPr>
    </w:p>
    <w:p w:rsidR="00F767CF" w:rsidRPr="00B84270" w:rsidRDefault="00F767CF" w:rsidP="00F767CF">
      <w:pPr>
        <w:spacing w:after="0" w:line="240" w:lineRule="auto"/>
        <w:rPr>
          <w:rFonts w:ascii="Times New Roman" w:hAnsi="Times New Roman"/>
          <w:b/>
          <w:sz w:val="24"/>
          <w:szCs w:val="24"/>
        </w:rPr>
      </w:pPr>
    </w:p>
    <w:p w:rsidR="00F767CF" w:rsidRPr="00B84270" w:rsidRDefault="00F767CF" w:rsidP="00F767CF">
      <w:pPr>
        <w:spacing w:after="0" w:line="240" w:lineRule="auto"/>
        <w:rPr>
          <w:rFonts w:ascii="Times New Roman" w:hAnsi="Times New Roman"/>
          <w:b/>
          <w:sz w:val="24"/>
          <w:szCs w:val="24"/>
        </w:rPr>
      </w:pPr>
    </w:p>
    <w:p w:rsidR="00F767CF" w:rsidRPr="00B84270" w:rsidRDefault="00F767CF" w:rsidP="00F767CF">
      <w:pPr>
        <w:spacing w:after="0" w:line="240" w:lineRule="auto"/>
        <w:rPr>
          <w:rFonts w:ascii="Times New Roman" w:hAnsi="Times New Roman"/>
          <w:b/>
          <w:sz w:val="24"/>
          <w:szCs w:val="24"/>
        </w:rPr>
      </w:pPr>
    </w:p>
    <w:p w:rsidR="00F767CF" w:rsidRPr="00B84270" w:rsidRDefault="00F767CF" w:rsidP="00F767CF">
      <w:pPr>
        <w:spacing w:after="0" w:line="240" w:lineRule="auto"/>
        <w:rPr>
          <w:rFonts w:ascii="Times New Roman" w:hAnsi="Times New Roman"/>
          <w:b/>
          <w:sz w:val="24"/>
          <w:szCs w:val="24"/>
        </w:rPr>
      </w:pPr>
    </w:p>
    <w:p w:rsidR="00F767CF" w:rsidRPr="00B84270" w:rsidRDefault="00F767CF" w:rsidP="00F767CF">
      <w:pPr>
        <w:spacing w:after="0" w:line="240" w:lineRule="auto"/>
        <w:rPr>
          <w:rFonts w:ascii="Times New Roman" w:hAnsi="Times New Roman"/>
          <w:b/>
          <w:sz w:val="24"/>
          <w:szCs w:val="24"/>
        </w:rPr>
      </w:pPr>
    </w:p>
    <w:p w:rsidR="00F767CF" w:rsidRPr="00B84270" w:rsidRDefault="00F767CF" w:rsidP="00F767CF">
      <w:pPr>
        <w:spacing w:after="0" w:line="240" w:lineRule="auto"/>
        <w:rPr>
          <w:rFonts w:ascii="Times New Roman" w:hAnsi="Times New Roman"/>
          <w:b/>
          <w:sz w:val="24"/>
          <w:szCs w:val="24"/>
        </w:rPr>
      </w:pPr>
    </w:p>
    <w:p w:rsidR="00F767CF" w:rsidRPr="00B84270" w:rsidRDefault="00F767CF" w:rsidP="00F767CF">
      <w:pPr>
        <w:spacing w:after="0" w:line="240" w:lineRule="auto"/>
        <w:rPr>
          <w:rFonts w:ascii="Times New Roman" w:hAnsi="Times New Roman"/>
          <w:b/>
          <w:sz w:val="24"/>
          <w:szCs w:val="24"/>
        </w:rPr>
      </w:pPr>
    </w:p>
    <w:p w:rsidR="00F767CF" w:rsidRPr="00B84270" w:rsidRDefault="00F767CF" w:rsidP="00F767CF">
      <w:pPr>
        <w:tabs>
          <w:tab w:val="left" w:pos="9390"/>
        </w:tabs>
        <w:spacing w:after="0" w:line="240" w:lineRule="auto"/>
        <w:rPr>
          <w:rFonts w:ascii="Times New Roman" w:hAnsi="Times New Roman"/>
          <w:sz w:val="24"/>
          <w:szCs w:val="24"/>
        </w:rPr>
      </w:pPr>
    </w:p>
    <w:p w:rsidR="00F767CF" w:rsidRPr="00B84270" w:rsidRDefault="00F767CF" w:rsidP="005510CB">
      <w:pPr>
        <w:spacing w:after="0" w:line="360" w:lineRule="auto"/>
        <w:rPr>
          <w:rFonts w:ascii="Arial" w:hAnsi="Arial" w:cs="Arial"/>
          <w:sz w:val="24"/>
          <w:szCs w:val="24"/>
          <w:lang w:val="en-US"/>
        </w:rPr>
      </w:pPr>
    </w:p>
    <w:p w:rsidR="00F767CF" w:rsidRPr="00B84270" w:rsidRDefault="00F767CF" w:rsidP="005510CB">
      <w:pPr>
        <w:spacing w:after="0" w:line="360" w:lineRule="auto"/>
        <w:rPr>
          <w:rFonts w:ascii="Arial" w:hAnsi="Arial" w:cs="Arial"/>
          <w:sz w:val="24"/>
          <w:szCs w:val="24"/>
          <w:lang w:val="en-US"/>
        </w:rPr>
      </w:pPr>
    </w:p>
    <w:p w:rsidR="00F767CF" w:rsidRPr="00B84270" w:rsidRDefault="00F767CF" w:rsidP="005510CB">
      <w:pPr>
        <w:spacing w:after="0" w:line="360" w:lineRule="auto"/>
        <w:rPr>
          <w:rFonts w:ascii="Arial" w:hAnsi="Arial" w:cs="Arial"/>
          <w:sz w:val="24"/>
          <w:szCs w:val="24"/>
          <w:lang w:val="en-US"/>
        </w:rPr>
      </w:pPr>
    </w:p>
    <w:p w:rsidR="00C64B9A" w:rsidRPr="00B84270" w:rsidRDefault="00C64B9A" w:rsidP="005510CB">
      <w:pPr>
        <w:spacing w:after="0" w:line="360" w:lineRule="auto"/>
        <w:rPr>
          <w:rFonts w:ascii="Arial" w:hAnsi="Arial" w:cs="Arial"/>
          <w:sz w:val="24"/>
          <w:szCs w:val="24"/>
          <w:lang w:val="en-US"/>
        </w:rPr>
      </w:pPr>
    </w:p>
    <w:p w:rsidR="00C64B9A" w:rsidRPr="00B84270" w:rsidRDefault="00C64B9A" w:rsidP="005510CB">
      <w:pPr>
        <w:spacing w:after="0" w:line="360" w:lineRule="auto"/>
        <w:rPr>
          <w:rFonts w:ascii="Arial" w:hAnsi="Arial" w:cs="Arial"/>
          <w:sz w:val="24"/>
          <w:szCs w:val="24"/>
          <w:lang w:val="en-US"/>
        </w:rPr>
      </w:pPr>
    </w:p>
    <w:p w:rsidR="00C64B9A" w:rsidRPr="00B84270" w:rsidRDefault="00C64B9A" w:rsidP="005510CB">
      <w:pPr>
        <w:spacing w:after="0" w:line="360" w:lineRule="auto"/>
        <w:rPr>
          <w:rFonts w:ascii="Arial" w:hAnsi="Arial" w:cs="Arial"/>
          <w:sz w:val="24"/>
          <w:szCs w:val="24"/>
          <w:lang w:val="en-US"/>
        </w:rPr>
      </w:pPr>
    </w:p>
    <w:p w:rsidR="00C64B9A" w:rsidRPr="00B84270" w:rsidRDefault="00C64B9A" w:rsidP="005510CB">
      <w:pPr>
        <w:spacing w:after="0" w:line="360" w:lineRule="auto"/>
        <w:rPr>
          <w:rFonts w:ascii="Arial" w:hAnsi="Arial" w:cs="Arial"/>
          <w:sz w:val="24"/>
          <w:szCs w:val="24"/>
          <w:lang w:val="en-US"/>
        </w:rPr>
      </w:pPr>
    </w:p>
    <w:p w:rsidR="00C64B9A" w:rsidRPr="00B84270" w:rsidRDefault="00C64B9A" w:rsidP="005510CB">
      <w:pPr>
        <w:spacing w:after="0" w:line="360" w:lineRule="auto"/>
        <w:rPr>
          <w:rFonts w:ascii="Arial" w:hAnsi="Arial" w:cs="Arial"/>
          <w:sz w:val="24"/>
          <w:szCs w:val="24"/>
          <w:lang w:val="en-US"/>
        </w:rPr>
      </w:pPr>
    </w:p>
    <w:p w:rsidR="00C64B9A" w:rsidRPr="00B84270" w:rsidRDefault="00C64B9A" w:rsidP="005510CB">
      <w:pPr>
        <w:spacing w:after="0" w:line="360" w:lineRule="auto"/>
        <w:rPr>
          <w:rFonts w:ascii="Arial" w:hAnsi="Arial" w:cs="Arial"/>
          <w:sz w:val="24"/>
          <w:szCs w:val="24"/>
          <w:lang w:val="en-US"/>
        </w:rPr>
        <w:sectPr w:rsidR="00C64B9A" w:rsidRPr="00B84270" w:rsidSect="00F767CF">
          <w:pgSz w:w="11906" w:h="16838"/>
          <w:pgMar w:top="851" w:right="851" w:bottom="851" w:left="851" w:header="709" w:footer="709" w:gutter="0"/>
          <w:cols w:space="708"/>
          <w:docGrid w:linePitch="360"/>
        </w:sectPr>
      </w:pPr>
    </w:p>
    <w:p w:rsidR="00C64B9A" w:rsidRPr="00B84270" w:rsidRDefault="00C64B9A" w:rsidP="005510CB">
      <w:pPr>
        <w:spacing w:after="0" w:line="360" w:lineRule="auto"/>
        <w:rPr>
          <w:rFonts w:ascii="Arial" w:hAnsi="Arial" w:cs="Arial"/>
          <w:sz w:val="24"/>
          <w:szCs w:val="24"/>
          <w:lang w:val="en-US"/>
        </w:rPr>
      </w:pPr>
    </w:p>
    <w:p w:rsidR="00C64B9A" w:rsidRPr="00B84270" w:rsidRDefault="00C64B9A" w:rsidP="00C64B9A">
      <w:pPr>
        <w:spacing w:after="0" w:line="360" w:lineRule="auto"/>
        <w:jc w:val="center"/>
        <w:rPr>
          <w:rFonts w:ascii="Arial" w:hAnsi="Arial" w:cs="Arial"/>
          <w:b/>
          <w:sz w:val="24"/>
          <w:szCs w:val="24"/>
          <w:lang w:val="en-US"/>
        </w:rPr>
      </w:pPr>
      <w:r w:rsidRPr="00B84270">
        <w:rPr>
          <w:rFonts w:ascii="Arial" w:hAnsi="Arial" w:cs="Arial"/>
          <w:b/>
          <w:sz w:val="24"/>
          <w:szCs w:val="24"/>
          <w:lang w:val="en-US"/>
        </w:rPr>
        <w:t xml:space="preserve">Characterization of hepcidin response to </w:t>
      </w:r>
      <w:proofErr w:type="spellStart"/>
      <w:r w:rsidRPr="00B84270">
        <w:rPr>
          <w:rFonts w:ascii="Arial" w:hAnsi="Arial" w:cs="Arial"/>
          <w:b/>
          <w:sz w:val="24"/>
          <w:szCs w:val="24"/>
          <w:lang w:val="en-US"/>
        </w:rPr>
        <w:t>holotransferrin</w:t>
      </w:r>
      <w:proofErr w:type="spellEnd"/>
      <w:r w:rsidRPr="00B84270">
        <w:rPr>
          <w:rFonts w:ascii="Arial" w:hAnsi="Arial" w:cs="Arial"/>
          <w:b/>
          <w:sz w:val="24"/>
          <w:szCs w:val="24"/>
          <w:lang w:val="en-US"/>
        </w:rPr>
        <w:t xml:space="preserve"> in novel recombinant TfR1 HepG2 cells</w:t>
      </w:r>
    </w:p>
    <w:p w:rsidR="00C64B9A" w:rsidRPr="00B84270" w:rsidRDefault="00C64B9A" w:rsidP="00C64B9A">
      <w:pPr>
        <w:spacing w:after="0" w:line="360" w:lineRule="auto"/>
        <w:jc w:val="center"/>
        <w:rPr>
          <w:rFonts w:ascii="Arial" w:hAnsi="Arial" w:cs="Arial"/>
          <w:b/>
          <w:sz w:val="24"/>
          <w:szCs w:val="24"/>
          <w:lang w:val="en-US"/>
        </w:rPr>
      </w:pPr>
    </w:p>
    <w:p w:rsidR="00C64B9A" w:rsidRPr="00B84270" w:rsidRDefault="00C64B9A" w:rsidP="00C64B9A">
      <w:pPr>
        <w:spacing w:after="0" w:line="360" w:lineRule="auto"/>
        <w:jc w:val="center"/>
        <w:rPr>
          <w:rFonts w:ascii="Arial" w:hAnsi="Arial" w:cs="Arial"/>
          <w:b/>
          <w:sz w:val="24"/>
          <w:szCs w:val="24"/>
          <w:lang w:val="en-US"/>
        </w:rPr>
      </w:pPr>
      <w:r w:rsidRPr="00B84270">
        <w:rPr>
          <w:rFonts w:ascii="Arial" w:hAnsi="Arial" w:cs="Arial"/>
          <w:b/>
          <w:sz w:val="24"/>
          <w:szCs w:val="24"/>
          <w:lang w:val="en-US"/>
        </w:rPr>
        <w:t xml:space="preserve">Revised supplementary information </w:t>
      </w:r>
    </w:p>
    <w:p w:rsidR="00C64B9A" w:rsidRPr="00B84270" w:rsidRDefault="00C64B9A" w:rsidP="00C64B9A">
      <w:pPr>
        <w:spacing w:after="0" w:line="360" w:lineRule="auto"/>
        <w:rPr>
          <w:rFonts w:ascii="Arial" w:hAnsi="Arial" w:cs="Arial"/>
          <w:b/>
          <w:sz w:val="24"/>
          <w:szCs w:val="24"/>
          <w:lang w:val="en-US"/>
        </w:rPr>
      </w:pPr>
    </w:p>
    <w:p w:rsidR="00C64B9A" w:rsidRPr="00B84270" w:rsidRDefault="00C64B9A" w:rsidP="00C64B9A">
      <w:pPr>
        <w:spacing w:after="0" w:line="360" w:lineRule="auto"/>
        <w:rPr>
          <w:rFonts w:ascii="Arial" w:hAnsi="Arial" w:cs="Arial"/>
          <w:b/>
          <w:sz w:val="24"/>
          <w:szCs w:val="24"/>
          <w:lang w:val="en-US"/>
        </w:rPr>
      </w:pPr>
      <w:r w:rsidRPr="00B84270">
        <w:rPr>
          <w:rFonts w:ascii="Arial" w:hAnsi="Arial" w:cs="Arial"/>
          <w:b/>
          <w:sz w:val="24"/>
          <w:szCs w:val="24"/>
          <w:lang w:val="en-US"/>
        </w:rPr>
        <w:t xml:space="preserve">Supplementary data-1: Creation of recombinant–TfR1 HepG2 cells </w:t>
      </w:r>
    </w:p>
    <w:p w:rsidR="00C64B9A" w:rsidRPr="00B84270" w:rsidRDefault="00C64B9A" w:rsidP="00C64B9A">
      <w:pPr>
        <w:spacing w:after="0" w:line="360" w:lineRule="auto"/>
        <w:rPr>
          <w:rFonts w:ascii="Arial" w:hAnsi="Arial" w:cs="Arial"/>
          <w:sz w:val="24"/>
          <w:szCs w:val="24"/>
          <w:lang w:val="en-US"/>
        </w:rPr>
      </w:pPr>
      <w:r w:rsidRPr="00B84270">
        <w:rPr>
          <w:rFonts w:ascii="Arial" w:hAnsi="Arial" w:cs="Arial"/>
          <w:sz w:val="24"/>
          <w:szCs w:val="24"/>
        </w:rPr>
        <w:t xml:space="preserve">Principally, the protein coding region of human </w:t>
      </w:r>
      <w:r w:rsidRPr="00B84270">
        <w:rPr>
          <w:rFonts w:ascii="Arial" w:hAnsi="Arial" w:cs="Arial"/>
          <w:i/>
          <w:sz w:val="24"/>
          <w:szCs w:val="24"/>
        </w:rPr>
        <w:t xml:space="preserve">TFRC </w:t>
      </w:r>
      <w:r w:rsidRPr="00B84270">
        <w:rPr>
          <w:rFonts w:ascii="Arial" w:hAnsi="Arial" w:cs="Arial"/>
          <w:sz w:val="24"/>
          <w:szCs w:val="24"/>
        </w:rPr>
        <w:t xml:space="preserve">devoid of its </w:t>
      </w:r>
      <w:r w:rsidRPr="00B84270">
        <w:rPr>
          <w:rFonts w:ascii="Arial" w:hAnsi="Arial" w:cs="Arial"/>
          <w:i/>
          <w:sz w:val="24"/>
          <w:szCs w:val="24"/>
        </w:rPr>
        <w:t>IRE</w:t>
      </w:r>
      <w:r w:rsidRPr="00B84270">
        <w:rPr>
          <w:rFonts w:ascii="Arial" w:hAnsi="Arial" w:cs="Arial"/>
          <w:sz w:val="24"/>
          <w:szCs w:val="24"/>
        </w:rPr>
        <w:t xml:space="preserve"> region was cloned into the plasmid vector pCEP4 (Invitrogen-Life technologies, UK) and transfected into </w:t>
      </w:r>
      <w:proofErr w:type="spellStart"/>
      <w:r w:rsidRPr="00B84270">
        <w:rPr>
          <w:rFonts w:ascii="Arial" w:hAnsi="Arial" w:cs="Arial"/>
          <w:sz w:val="24"/>
          <w:szCs w:val="24"/>
        </w:rPr>
        <w:t>Wt</w:t>
      </w:r>
      <w:proofErr w:type="spellEnd"/>
      <w:r w:rsidRPr="00B84270">
        <w:rPr>
          <w:rFonts w:ascii="Arial" w:hAnsi="Arial" w:cs="Arial"/>
          <w:sz w:val="24"/>
          <w:szCs w:val="24"/>
        </w:rPr>
        <w:t xml:space="preserve"> HepG2 cells, resultantly giving rise to the rec-TfR1 HepG2 cells. </w:t>
      </w:r>
      <w:r w:rsidRPr="00B84270">
        <w:rPr>
          <w:rFonts w:ascii="Arial" w:hAnsi="Arial" w:cs="Arial"/>
          <w:sz w:val="24"/>
          <w:szCs w:val="24"/>
          <w:lang w:val="en-US"/>
        </w:rPr>
        <w:t xml:space="preserve">Briefly, the primers (Invitrogen-Life technologies, UK) TfR1F (TGATATATGCGGCCGCACCATGGATCAAGCTAGATCAGCATTCTC) incorporating a </w:t>
      </w:r>
      <w:proofErr w:type="spellStart"/>
      <w:r w:rsidRPr="00B84270">
        <w:rPr>
          <w:rFonts w:ascii="Arial" w:hAnsi="Arial" w:cs="Arial"/>
          <w:sz w:val="24"/>
          <w:szCs w:val="24"/>
          <w:lang w:val="en-US"/>
        </w:rPr>
        <w:t>NotI</w:t>
      </w:r>
      <w:proofErr w:type="spellEnd"/>
      <w:r w:rsidRPr="00B84270">
        <w:rPr>
          <w:rFonts w:ascii="Arial" w:hAnsi="Arial" w:cs="Arial"/>
          <w:sz w:val="24"/>
          <w:szCs w:val="24"/>
          <w:lang w:val="en-US"/>
        </w:rPr>
        <w:t xml:space="preserve"> site and a Kozak sequence and TfR1R (GCGCGCGGATCCTTATTAAAACTCATTGTC AATGTCCCAAACGTC) incorporating a </w:t>
      </w:r>
      <w:proofErr w:type="spellStart"/>
      <w:r w:rsidRPr="00B84270">
        <w:rPr>
          <w:rFonts w:ascii="Arial" w:hAnsi="Arial" w:cs="Arial"/>
          <w:sz w:val="24"/>
          <w:szCs w:val="24"/>
          <w:lang w:val="en-US"/>
        </w:rPr>
        <w:t>BamHI</w:t>
      </w:r>
      <w:proofErr w:type="spellEnd"/>
      <w:r w:rsidRPr="00B84270">
        <w:rPr>
          <w:rFonts w:ascii="Arial" w:hAnsi="Arial" w:cs="Arial"/>
          <w:sz w:val="24"/>
          <w:szCs w:val="24"/>
          <w:lang w:val="en-US"/>
        </w:rPr>
        <w:t xml:space="preserve"> site were used for PCR amplification of the specific section of full length </w:t>
      </w:r>
      <w:r w:rsidRPr="00B84270">
        <w:rPr>
          <w:rFonts w:ascii="Arial" w:hAnsi="Arial" w:cs="Arial"/>
          <w:i/>
          <w:sz w:val="24"/>
          <w:szCs w:val="24"/>
          <w:lang w:val="en-US"/>
        </w:rPr>
        <w:t>TFRC</w:t>
      </w:r>
      <w:r w:rsidRPr="00B84270">
        <w:rPr>
          <w:rFonts w:ascii="Arial" w:hAnsi="Arial" w:cs="Arial"/>
          <w:sz w:val="24"/>
          <w:szCs w:val="24"/>
          <w:lang w:val="en-US"/>
        </w:rPr>
        <w:t xml:space="preserve"> gene from human MGC verified cDNA (clone ID 3354176, Invitrogen-Life technologies, UK). PCR was carried out with KOD DNA hot start polymerase mix (</w:t>
      </w:r>
      <w:proofErr w:type="spellStart"/>
      <w:r w:rsidRPr="00B84270">
        <w:rPr>
          <w:rFonts w:ascii="Arial" w:hAnsi="Arial" w:cs="Arial"/>
          <w:sz w:val="24"/>
          <w:szCs w:val="24"/>
          <w:lang w:val="en-US"/>
        </w:rPr>
        <w:t>Novagen</w:t>
      </w:r>
      <w:proofErr w:type="spellEnd"/>
      <w:r w:rsidRPr="00B84270">
        <w:rPr>
          <w:rFonts w:ascii="Arial" w:hAnsi="Arial" w:cs="Arial"/>
          <w:sz w:val="24"/>
          <w:szCs w:val="24"/>
          <w:lang w:val="en-US"/>
        </w:rPr>
        <w:t xml:space="preserve">, UK) as follows: Initial denaturation at 95 ºC for 3 min, then 30 cycles of denaturation at 95 ºC for 30 </w:t>
      </w:r>
      <w:proofErr w:type="gramStart"/>
      <w:r w:rsidRPr="00B84270">
        <w:rPr>
          <w:rFonts w:ascii="Arial" w:hAnsi="Arial" w:cs="Arial"/>
          <w:sz w:val="24"/>
          <w:szCs w:val="24"/>
          <w:lang w:val="en-US"/>
        </w:rPr>
        <w:t>sec</w:t>
      </w:r>
      <w:proofErr w:type="gramEnd"/>
      <w:r w:rsidRPr="00B84270">
        <w:rPr>
          <w:rFonts w:ascii="Arial" w:hAnsi="Arial" w:cs="Arial"/>
          <w:sz w:val="24"/>
          <w:szCs w:val="24"/>
          <w:lang w:val="en-US"/>
        </w:rPr>
        <w:t>, annealing at 58 ºC for 1 min and extension at 72 ºC for 1 min, followed by a final extension at 72 ºC for 5 min. The PCR product was gel extracted and purified by using PCR product purification kit (Qiagen, UK), then cut with HF-</w:t>
      </w:r>
      <w:proofErr w:type="spellStart"/>
      <w:r w:rsidRPr="00B84270">
        <w:rPr>
          <w:rFonts w:ascii="Arial" w:hAnsi="Arial" w:cs="Arial"/>
          <w:sz w:val="24"/>
          <w:szCs w:val="24"/>
          <w:lang w:val="en-US"/>
        </w:rPr>
        <w:t>NotI</w:t>
      </w:r>
      <w:proofErr w:type="spellEnd"/>
      <w:r w:rsidRPr="00B84270">
        <w:rPr>
          <w:rFonts w:ascii="Arial" w:hAnsi="Arial" w:cs="Arial"/>
          <w:sz w:val="24"/>
          <w:szCs w:val="24"/>
          <w:lang w:val="en-US"/>
        </w:rPr>
        <w:t>/HF-BamH1 (New England Biolabs, UK) and ligated into HF-</w:t>
      </w:r>
      <w:proofErr w:type="spellStart"/>
      <w:r w:rsidRPr="00B84270">
        <w:rPr>
          <w:rFonts w:ascii="Arial" w:hAnsi="Arial" w:cs="Arial"/>
          <w:sz w:val="24"/>
          <w:szCs w:val="24"/>
          <w:lang w:val="en-US"/>
        </w:rPr>
        <w:t>NotI</w:t>
      </w:r>
      <w:proofErr w:type="spellEnd"/>
      <w:r w:rsidRPr="00B84270">
        <w:rPr>
          <w:rFonts w:ascii="Arial" w:hAnsi="Arial" w:cs="Arial"/>
          <w:sz w:val="24"/>
          <w:szCs w:val="24"/>
          <w:lang w:val="en-US"/>
        </w:rPr>
        <w:t>/</w:t>
      </w:r>
      <w:proofErr w:type="spellStart"/>
      <w:r w:rsidRPr="00B84270">
        <w:rPr>
          <w:rFonts w:ascii="Arial" w:hAnsi="Arial" w:cs="Arial"/>
          <w:sz w:val="24"/>
          <w:szCs w:val="24"/>
          <w:lang w:val="en-US"/>
        </w:rPr>
        <w:t>BamHI</w:t>
      </w:r>
      <w:proofErr w:type="spellEnd"/>
      <w:r w:rsidRPr="00B84270">
        <w:rPr>
          <w:rFonts w:ascii="Arial" w:hAnsi="Arial" w:cs="Arial"/>
          <w:sz w:val="24"/>
          <w:szCs w:val="24"/>
          <w:lang w:val="en-US"/>
        </w:rPr>
        <w:t xml:space="preserve"> cut and </w:t>
      </w:r>
      <w:proofErr w:type="spellStart"/>
      <w:r w:rsidRPr="00B84270">
        <w:rPr>
          <w:rFonts w:ascii="Arial" w:hAnsi="Arial" w:cs="Arial"/>
          <w:sz w:val="24"/>
          <w:szCs w:val="24"/>
          <w:lang w:val="en-US"/>
        </w:rPr>
        <w:t>phosphatased</w:t>
      </w:r>
      <w:proofErr w:type="spellEnd"/>
      <w:r w:rsidRPr="00B84270">
        <w:rPr>
          <w:rFonts w:ascii="Arial" w:hAnsi="Arial" w:cs="Arial"/>
          <w:sz w:val="24"/>
          <w:szCs w:val="24"/>
          <w:lang w:val="en-US"/>
        </w:rPr>
        <w:t xml:space="preserve"> pCEP4. The ligation mixture was used to transform </w:t>
      </w:r>
      <w:r w:rsidRPr="00B84270">
        <w:rPr>
          <w:rFonts w:ascii="Arial" w:hAnsi="Arial" w:cs="Arial"/>
          <w:i/>
          <w:sz w:val="24"/>
          <w:szCs w:val="24"/>
          <w:lang w:val="en-US"/>
        </w:rPr>
        <w:t>Escherichia coli</w:t>
      </w:r>
      <w:r w:rsidRPr="00B84270">
        <w:rPr>
          <w:rFonts w:ascii="Arial" w:hAnsi="Arial" w:cs="Arial"/>
          <w:sz w:val="24"/>
          <w:szCs w:val="24"/>
          <w:lang w:val="en-US"/>
        </w:rPr>
        <w:t xml:space="preserve"> KRX cells (Promega Ltd, UK) and colonies were selected on </w:t>
      </w:r>
      <w:r w:rsidRPr="00B84270">
        <w:rPr>
          <w:rFonts w:ascii="Arial" w:hAnsi="Arial" w:cs="Arial"/>
          <w:bCs/>
          <w:sz w:val="24"/>
          <w:szCs w:val="24"/>
          <w:lang w:val="en-US"/>
        </w:rPr>
        <w:t xml:space="preserve">Luria-Bertani </w:t>
      </w:r>
      <w:r w:rsidRPr="00B84270">
        <w:rPr>
          <w:rFonts w:ascii="Arial" w:hAnsi="Arial" w:cs="Arial"/>
          <w:sz w:val="24"/>
          <w:szCs w:val="24"/>
          <w:lang w:val="en-US"/>
        </w:rPr>
        <w:t xml:space="preserve">medium containing </w:t>
      </w:r>
      <w:r w:rsidRPr="00B84270">
        <w:rPr>
          <w:rFonts w:ascii="Arial" w:hAnsi="Arial" w:cs="Arial"/>
          <w:bCs/>
          <w:sz w:val="24"/>
          <w:szCs w:val="24"/>
          <w:lang w:val="en-US"/>
        </w:rPr>
        <w:t xml:space="preserve">100 µg/mL </w:t>
      </w:r>
      <w:r w:rsidRPr="00B84270">
        <w:rPr>
          <w:rFonts w:ascii="Arial" w:hAnsi="Arial" w:cs="Arial"/>
          <w:sz w:val="24"/>
          <w:szCs w:val="24"/>
          <w:lang w:val="en-US"/>
        </w:rPr>
        <w:t xml:space="preserve">ampicillin (Sigma-Aldrich UK). Recombinant plasmid from one colony was sequenced to confirm the presence of the </w:t>
      </w:r>
      <w:r w:rsidRPr="00B84270">
        <w:rPr>
          <w:rFonts w:ascii="Arial" w:hAnsi="Arial" w:cs="Arial"/>
          <w:i/>
          <w:sz w:val="24"/>
          <w:szCs w:val="24"/>
          <w:lang w:val="en-US"/>
        </w:rPr>
        <w:t xml:space="preserve">TFRC </w:t>
      </w:r>
      <w:r w:rsidRPr="00B84270">
        <w:rPr>
          <w:rFonts w:ascii="Arial" w:hAnsi="Arial" w:cs="Arial"/>
          <w:sz w:val="24"/>
          <w:szCs w:val="24"/>
          <w:lang w:val="en-US"/>
        </w:rPr>
        <w:t>gene. HepG2 cells were transfected with recombinant pCEP4 by using X-tremeGENE-9 DNA transfection reagent (</w:t>
      </w:r>
      <w:proofErr w:type="spellStart"/>
      <w:proofErr w:type="gramStart"/>
      <w:r w:rsidRPr="00B84270">
        <w:rPr>
          <w:rFonts w:ascii="Arial" w:hAnsi="Arial" w:cs="Arial"/>
          <w:sz w:val="24"/>
          <w:szCs w:val="24"/>
          <w:lang w:val="en-US"/>
        </w:rPr>
        <w:t>Roche,UK</w:t>
      </w:r>
      <w:proofErr w:type="spellEnd"/>
      <w:proofErr w:type="gramEnd"/>
      <w:r w:rsidRPr="00B84270">
        <w:rPr>
          <w:rFonts w:ascii="Arial" w:hAnsi="Arial" w:cs="Arial"/>
          <w:sz w:val="24"/>
          <w:szCs w:val="24"/>
          <w:lang w:val="en-US"/>
        </w:rPr>
        <w:t xml:space="preserve">) as per manufacturer’s protocol. </w:t>
      </w:r>
    </w:p>
    <w:p w:rsidR="00C64B9A" w:rsidRPr="00B84270" w:rsidRDefault="00C64B9A" w:rsidP="00C64B9A">
      <w:pPr>
        <w:spacing w:after="0" w:line="360" w:lineRule="auto"/>
        <w:rPr>
          <w:rFonts w:ascii="Arial" w:hAnsi="Arial" w:cs="Arial"/>
          <w:b/>
          <w:sz w:val="24"/>
          <w:szCs w:val="24"/>
          <w:lang w:val="en-US"/>
        </w:rPr>
      </w:pPr>
    </w:p>
    <w:p w:rsidR="00C64B9A" w:rsidRPr="00B84270" w:rsidRDefault="00C64B9A" w:rsidP="00C64B9A">
      <w:pPr>
        <w:spacing w:after="0" w:line="360" w:lineRule="auto"/>
        <w:rPr>
          <w:rFonts w:ascii="Arial" w:hAnsi="Arial" w:cs="Arial"/>
          <w:b/>
          <w:sz w:val="24"/>
          <w:szCs w:val="24"/>
          <w:lang w:val="en-US"/>
        </w:rPr>
      </w:pPr>
    </w:p>
    <w:p w:rsidR="00C64B9A" w:rsidRPr="00B84270" w:rsidRDefault="00C64B9A" w:rsidP="00C64B9A">
      <w:pPr>
        <w:spacing w:after="0" w:line="360" w:lineRule="auto"/>
        <w:rPr>
          <w:rFonts w:ascii="Arial" w:hAnsi="Arial" w:cs="Arial"/>
          <w:b/>
          <w:sz w:val="24"/>
          <w:szCs w:val="24"/>
          <w:lang w:val="en-US"/>
        </w:rPr>
      </w:pPr>
    </w:p>
    <w:p w:rsidR="00C64B9A" w:rsidRPr="00B84270" w:rsidRDefault="00C64B9A" w:rsidP="00C64B9A">
      <w:pPr>
        <w:spacing w:after="0" w:line="360" w:lineRule="auto"/>
        <w:rPr>
          <w:rFonts w:ascii="Arial" w:hAnsi="Arial" w:cs="Arial"/>
          <w:b/>
          <w:sz w:val="24"/>
          <w:szCs w:val="24"/>
          <w:lang w:val="en-US"/>
        </w:rPr>
      </w:pPr>
    </w:p>
    <w:p w:rsidR="00C64B9A" w:rsidRPr="00B84270" w:rsidRDefault="00C64B9A" w:rsidP="00C64B9A">
      <w:pPr>
        <w:spacing w:after="0" w:line="360" w:lineRule="auto"/>
        <w:rPr>
          <w:rFonts w:ascii="Arial" w:hAnsi="Arial" w:cs="Arial"/>
          <w:b/>
          <w:sz w:val="24"/>
          <w:szCs w:val="24"/>
          <w:lang w:val="en-US"/>
        </w:rPr>
      </w:pPr>
    </w:p>
    <w:p w:rsidR="00C64B9A" w:rsidRPr="00B84270" w:rsidRDefault="00C64B9A" w:rsidP="00C64B9A">
      <w:pPr>
        <w:spacing w:after="0" w:line="360" w:lineRule="auto"/>
        <w:rPr>
          <w:rFonts w:ascii="Arial" w:hAnsi="Arial" w:cs="Arial"/>
          <w:b/>
          <w:sz w:val="24"/>
          <w:szCs w:val="24"/>
          <w:lang w:val="en-US"/>
        </w:rPr>
      </w:pPr>
    </w:p>
    <w:p w:rsidR="00C64B9A" w:rsidRPr="00B84270" w:rsidRDefault="00C64B9A" w:rsidP="00C64B9A">
      <w:pPr>
        <w:spacing w:after="0" w:line="360" w:lineRule="auto"/>
        <w:rPr>
          <w:rFonts w:ascii="Arial" w:hAnsi="Arial" w:cs="Arial"/>
          <w:b/>
          <w:sz w:val="24"/>
          <w:szCs w:val="24"/>
          <w:lang w:val="en-US"/>
        </w:rPr>
      </w:pPr>
    </w:p>
    <w:p w:rsidR="00C64B9A" w:rsidRPr="00B84270" w:rsidRDefault="00C64B9A" w:rsidP="00C64B9A">
      <w:pPr>
        <w:spacing w:after="0" w:line="360" w:lineRule="auto"/>
        <w:rPr>
          <w:rFonts w:ascii="Arial" w:hAnsi="Arial" w:cs="Arial"/>
          <w:b/>
          <w:sz w:val="24"/>
          <w:szCs w:val="24"/>
          <w:lang w:val="en-US"/>
        </w:rPr>
      </w:pPr>
    </w:p>
    <w:p w:rsidR="00C64B9A" w:rsidRPr="00B84270" w:rsidRDefault="00C64B9A" w:rsidP="00C64B9A">
      <w:pPr>
        <w:spacing w:after="0" w:line="360" w:lineRule="auto"/>
        <w:rPr>
          <w:rFonts w:ascii="Arial" w:hAnsi="Arial" w:cs="Arial"/>
          <w:b/>
          <w:sz w:val="24"/>
          <w:szCs w:val="24"/>
          <w:lang w:val="en-US"/>
        </w:rPr>
      </w:pPr>
    </w:p>
    <w:p w:rsidR="00C64B9A" w:rsidRPr="00B84270" w:rsidRDefault="006623B1" w:rsidP="00C64B9A">
      <w:pPr>
        <w:spacing w:after="0" w:line="360" w:lineRule="auto"/>
        <w:rPr>
          <w:rFonts w:ascii="Arial" w:hAnsi="Arial" w:cs="Arial"/>
          <w:b/>
          <w:sz w:val="24"/>
          <w:szCs w:val="24"/>
          <w:lang w:val="en-US"/>
        </w:rPr>
      </w:pPr>
      <w:r>
        <w:rPr>
          <w:rFonts w:ascii="Arial" w:hAnsi="Arial" w:cs="Arial"/>
          <w:noProof/>
        </w:rPr>
        <w:pict>
          <v:rect id="_x0000_s1078" style="position:absolute;margin-left:178.9pt;margin-top:3.65pt;width:6.45pt;height:25.45pt;z-index:251677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" filled="f" stroked="f">
            <v:textbox style="mso-fit-shape-to-text:t" inset="0,0,0,0">
              <w:txbxContent>
                <w:p w:rsidR="00967941" w:rsidRDefault="00967941" w:rsidP="00C64B9A"/>
              </w:txbxContent>
            </v:textbox>
          </v:rect>
        </w:pict>
      </w:r>
      <w:r w:rsidR="00C64B9A" w:rsidRPr="00B84270">
        <w:rPr>
          <w:rFonts w:ascii="Arial" w:hAnsi="Arial" w:cs="Arial"/>
          <w:b/>
          <w:sz w:val="24"/>
          <w:szCs w:val="24"/>
          <w:lang w:val="en-US"/>
        </w:rPr>
        <w:t>Supplementary Fig. 1</w:t>
      </w:r>
    </w:p>
    <w:p w:rsidR="00C64B9A" w:rsidRPr="00B84270" w:rsidRDefault="00C64B9A" w:rsidP="00C64B9A">
      <w:pPr>
        <w:spacing w:after="0" w:line="360" w:lineRule="auto"/>
        <w:rPr>
          <w:rFonts w:ascii="Arial" w:hAnsi="Arial" w:cs="Arial"/>
          <w:b/>
          <w:sz w:val="24"/>
          <w:szCs w:val="24"/>
        </w:rPr>
      </w:pPr>
      <w:r w:rsidRPr="00B84270">
        <w:rPr>
          <w:rFonts w:ascii="Arial" w:hAnsi="Arial" w:cs="Arial"/>
          <w:sz w:val="24"/>
          <w:szCs w:val="24"/>
        </w:rPr>
        <w:t xml:space="preserve">  </w:t>
      </w:r>
      <w:r w:rsidRPr="00B84270">
        <w:rPr>
          <w:rFonts w:ascii="Arial" w:hAnsi="Arial" w:cs="Arial"/>
          <w:b/>
          <w:sz w:val="24"/>
          <w:szCs w:val="24"/>
        </w:rPr>
        <w:t xml:space="preserve">A                                                                 B </w:t>
      </w:r>
    </w:p>
    <w:p w:rsidR="00C64B9A" w:rsidRPr="00B84270" w:rsidRDefault="00991296" w:rsidP="00C64B9A">
      <w:pPr>
        <w:spacing w:after="0" w:line="360" w:lineRule="auto"/>
        <w:rPr>
          <w:rFonts w:ascii="Arial" w:hAnsi="Arial" w:cs="Arial"/>
          <w:sz w:val="24"/>
          <w:szCs w:val="24"/>
        </w:rPr>
      </w:pPr>
      <w:r>
        <w:rPr>
          <w:rFonts w:ascii="Arial" w:hAnsi="Arial" w:cs="Arial"/>
          <w:noProof/>
          <w:sz w:val="20"/>
          <w:szCs w:val="20"/>
        </w:rPr>
        <w:pict>
          <v:shape id="_x0000_s1106" type="#_x0000_t202" style="position:absolute;margin-left:427.95pt;margin-top:91.4pt;width:24.25pt;height:17.05pt;z-index:25169356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" filled="f" stroked="f">
            <v:textbox style="mso-next-textbox:#_x0000_s1106">
              <w:txbxContent>
                <w:p w:rsidR="00967941" w:rsidRPr="006C31B4" w:rsidRDefault="00967941" w:rsidP="00C64B9A">
                  <w:pPr>
                    <w:rPr>
                      <w:sz w:val="24"/>
                      <w:szCs w:val="24"/>
                    </w:rPr>
                  </w:pPr>
                  <w:r w:rsidRPr="006C31B4">
                    <w:rPr>
                      <w:sz w:val="24"/>
                      <w:szCs w:val="24"/>
                    </w:rPr>
                    <w:t>*</w:t>
                  </w:r>
                </w:p>
              </w:txbxContent>
            </v:textbox>
          </v:shape>
        </w:pict>
      </w:r>
      <w:r>
        <w:rPr>
          <w:rFonts w:ascii="Arial" w:hAnsi="Arial" w:cs="Arial"/>
          <w:noProof/>
          <w:sz w:val="20"/>
          <w:szCs w:val="20"/>
        </w:rPr>
        <w:pict>
          <v:shape id="_x0000_s1104" type="#_x0000_t202" style="position:absolute;margin-left:421.2pt;margin-top:95.9pt;width:24.25pt;height:17.05pt;z-index:25169152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" filled="f" stroked="f">
            <v:textbox style="mso-next-textbox:#_x0000_s1104">
              <w:txbxContent>
                <w:p w:rsidR="00967941" w:rsidRPr="006C31B4" w:rsidRDefault="00967941" w:rsidP="00C64B9A">
                  <w:pPr>
                    <w:rPr>
                      <w:sz w:val="24"/>
                      <w:szCs w:val="24"/>
                    </w:rPr>
                  </w:pPr>
                  <w:r w:rsidRPr="006C31B4">
                    <w:rPr>
                      <w:sz w:val="24"/>
                      <w:szCs w:val="24"/>
                    </w:rPr>
                    <w:t>*</w:t>
                  </w:r>
                </w:p>
              </w:txbxContent>
            </v:textbox>
          </v:shape>
        </w:pict>
      </w:r>
      <w:r>
        <w:rPr>
          <w:rFonts w:ascii="Arial" w:hAnsi="Arial" w:cs="Arial"/>
          <w:noProof/>
          <w:sz w:val="20"/>
          <w:szCs w:val="20"/>
        </w:rPr>
        <w:pict>
          <v:shape id="_x0000_s1105" type="#_x0000_t202" style="position:absolute;margin-left:356.45pt;margin-top:89.15pt;width:24.25pt;height:17.05pt;z-index:25169254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" filled="f" stroked="f">
            <v:textbox style="mso-next-textbox:#_x0000_s1105">
              <w:txbxContent>
                <w:p w:rsidR="00967941" w:rsidRPr="006C31B4" w:rsidRDefault="00967941" w:rsidP="00C64B9A">
                  <w:pPr>
                    <w:rPr>
                      <w:sz w:val="24"/>
                      <w:szCs w:val="24"/>
                    </w:rPr>
                  </w:pPr>
                  <w:r w:rsidRPr="006C31B4">
                    <w:rPr>
                      <w:sz w:val="24"/>
                      <w:szCs w:val="24"/>
                    </w:rPr>
                    <w:t>*</w:t>
                  </w:r>
                </w:p>
              </w:txbxContent>
            </v:textbox>
          </v:shape>
        </w:pict>
      </w:r>
      <w:r>
        <w:rPr>
          <w:rFonts w:ascii="Arial" w:hAnsi="Arial" w:cs="Arial"/>
          <w:b/>
          <w:noProof/>
          <w:sz w:val="20"/>
          <w:szCs w:val="20"/>
        </w:rPr>
        <w:pict>
          <v:shape id="_x0000_s1099" type="#_x0000_t202" style="position:absolute;margin-left:200.7pt;margin-top:87.65pt;width:24.25pt;height:17.05pt;z-index:25168640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" filled="f" stroked="f">
            <v:textbox style="mso-next-textbox:#_x0000_s1099">
              <w:txbxContent>
                <w:p w:rsidR="00967941" w:rsidRPr="006C31B4" w:rsidRDefault="00967941" w:rsidP="00C64B9A">
                  <w:pPr>
                    <w:rPr>
                      <w:sz w:val="24"/>
                      <w:szCs w:val="24"/>
                    </w:rPr>
                  </w:pPr>
                  <w:r w:rsidRPr="006C31B4">
                    <w:rPr>
                      <w:sz w:val="24"/>
                      <w:szCs w:val="24"/>
                    </w:rPr>
                    <w:t>*</w:t>
                  </w:r>
                </w:p>
              </w:txbxContent>
            </v:textbox>
          </v:shape>
        </w:pict>
      </w:r>
      <w:r>
        <w:rPr>
          <w:rFonts w:ascii="Arial" w:hAnsi="Arial" w:cs="Arial"/>
          <w:noProof/>
          <w:sz w:val="20"/>
          <w:szCs w:val="20"/>
        </w:rPr>
        <w:pict>
          <v:shape id="_x0000_s1097" type="#_x0000_t202" style="position:absolute;margin-left:136.95pt;margin-top:91.4pt;width:24.25pt;height:17.05pt;z-index:25168435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" filled="f" stroked="f">
            <v:textbox>
              <w:txbxContent>
                <w:p w:rsidR="00967941" w:rsidRPr="006C31B4" w:rsidRDefault="00967941" w:rsidP="00C64B9A">
                  <w:pPr>
                    <w:rPr>
                      <w:sz w:val="24"/>
                      <w:szCs w:val="24"/>
                    </w:rPr>
                  </w:pPr>
                  <w:r w:rsidRPr="006C31B4">
                    <w:rPr>
                      <w:sz w:val="24"/>
                      <w:szCs w:val="24"/>
                    </w:rPr>
                    <w:t>*</w:t>
                  </w:r>
                </w:p>
              </w:txbxContent>
            </v:textbox>
          </v:shape>
        </w:pict>
      </w:r>
      <w:r>
        <w:rPr>
          <w:rFonts w:ascii="Arial" w:hAnsi="Arial" w:cs="Arial"/>
          <w:noProof/>
          <w:sz w:val="20"/>
          <w:szCs w:val="20"/>
        </w:rPr>
        <w:pict>
          <v:shape id="_x0000_s1098" type="#_x0000_t202" style="position:absolute;margin-left:67.2pt;margin-top:47.9pt;width:24.25pt;height:17.05pt;z-index:25168537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" filled="f" stroked="f">
            <v:textbox style="mso-next-textbox:#_x0000_s1098">
              <w:txbxContent>
                <w:p w:rsidR="00967941" w:rsidRPr="006C31B4" w:rsidRDefault="00967941" w:rsidP="00C64B9A">
                  <w:pPr>
                    <w:rPr>
                      <w:sz w:val="24"/>
                      <w:szCs w:val="24"/>
                    </w:rPr>
                  </w:pPr>
                  <w:r w:rsidRPr="006C31B4">
                    <w:rPr>
                      <w:sz w:val="24"/>
                      <w:szCs w:val="24"/>
                    </w:rPr>
                    <w:t>*</w:t>
                  </w:r>
                </w:p>
              </w:txbxContent>
            </v:textbox>
          </v:shape>
        </w:pict>
      </w:r>
      <w:r w:rsidR="006623B1">
        <w:rPr>
          <w:rFonts w:ascii="Arial" w:hAnsi="Arial" w:cs="Arial"/>
          <w:noProof/>
          <w:sz w:val="20"/>
          <w:szCs w:val="20"/>
        </w:rPr>
        <w:pict>
          <v:shape id="_x0000_s1096" type="#_x0000_t202" style="position:absolute;margin-left:130.2pt;margin-top:6.65pt;width:28.25pt;height:17.05pt;z-index:251683328;visibility:visible;mso-height-percent:0;mso-wrap-distance-left:9pt;mso-wrap-distance-top:0;mso-wrap-distance-right:9pt;mso-wrap-distance-bottom:0;mso-position-horizontal-relative:text;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" filled="f" stroked="f">
            <v:textbox style="mso-next-textbox:#_x0000_s1096">
              <w:txbxContent>
                <w:p w:rsidR="00967941" w:rsidRPr="006C31B4" w:rsidRDefault="00967941" w:rsidP="00C64B9A">
                  <w:pPr>
                    <w:rPr>
                      <w:sz w:val="24"/>
                      <w:szCs w:val="24"/>
                    </w:rPr>
                  </w:pPr>
                  <w:r w:rsidRPr="006C31B4">
                    <w:rPr>
                      <w:sz w:val="24"/>
                      <w:szCs w:val="24"/>
                    </w:rPr>
                    <w:t>*</w:t>
                  </w:r>
                  <w:r>
                    <w:rPr>
                      <w:sz w:val="24"/>
                      <w:szCs w:val="24"/>
                    </w:rPr>
                    <w:t>*</w:t>
                  </w:r>
                </w:p>
              </w:txbxContent>
            </v:textbox>
          </v:shape>
        </w:pict>
      </w:r>
      <w:r w:rsidR="00C64B9A" w:rsidRPr="00B84270">
        <w:rPr>
          <w:noProof/>
          <w:szCs w:val="24"/>
        </w:rPr>
        <w:t xml:space="preserve"> </w:t>
      </w:r>
      <w:r w:rsidR="00C64B9A" w:rsidRPr="00B84270">
        <w:rPr>
          <w:noProof/>
        </w:rPr>
        <w:t xml:space="preserve"> </w:t>
      </w:r>
      <w:r w:rsidR="00C64B9A" w:rsidRPr="00B84270">
        <w:rPr>
          <w:noProof/>
        </w:rPr>
        <w:drawing>
          <wp:inline distT="0" distB="0" distL="0" distR="0" wp14:anchorId="549B837C" wp14:editId="6D10013D">
            <wp:extent cx="2736905" cy="2143705"/>
            <wp:effectExtent l="38100" t="19050" r="25345" b="8945"/>
            <wp:docPr id="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C64B9A" w:rsidRPr="00B84270">
        <w:rPr>
          <w:noProof/>
        </w:rPr>
        <w:drawing>
          <wp:inline distT="0" distB="0" distL="0" distR="0" wp14:anchorId="1A0C6F28" wp14:editId="6A111DE2">
            <wp:extent cx="2808000" cy="2146301"/>
            <wp:effectExtent l="38100" t="19050" r="11400" b="6349"/>
            <wp:docPr id="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64B9A" w:rsidRPr="00B84270" w:rsidRDefault="00C64B9A" w:rsidP="00C64B9A">
      <w:pPr>
        <w:spacing w:after="0" w:line="360" w:lineRule="auto"/>
        <w:rPr>
          <w:rFonts w:ascii="Arial" w:hAnsi="Arial" w:cs="Arial"/>
          <w:b/>
          <w:sz w:val="20"/>
          <w:szCs w:val="20"/>
          <w:lang w:val="en-US"/>
        </w:rPr>
      </w:pPr>
    </w:p>
    <w:p w:rsidR="00C64B9A" w:rsidRPr="00B84270" w:rsidRDefault="00C64B9A" w:rsidP="00C64B9A">
      <w:pPr>
        <w:spacing w:after="0" w:line="360" w:lineRule="auto"/>
        <w:rPr>
          <w:rFonts w:ascii="Arial" w:hAnsi="Arial" w:cs="Arial"/>
          <w:b/>
          <w:sz w:val="20"/>
          <w:szCs w:val="20"/>
          <w:lang w:val="en-US"/>
        </w:rPr>
      </w:pPr>
      <w:r w:rsidRPr="00B84270">
        <w:rPr>
          <w:rFonts w:ascii="Arial" w:hAnsi="Arial" w:cs="Arial"/>
          <w:b/>
          <w:sz w:val="20"/>
          <w:szCs w:val="20"/>
          <w:lang w:val="en-US"/>
        </w:rPr>
        <w:t xml:space="preserve">Supplementary Fig 1. </w:t>
      </w:r>
      <w:r w:rsidRPr="00B84270">
        <w:rPr>
          <w:rFonts w:ascii="Arial" w:hAnsi="Arial" w:cs="Arial"/>
          <w:b/>
          <w:i/>
          <w:sz w:val="20"/>
          <w:szCs w:val="20"/>
          <w:lang w:val="en-US"/>
        </w:rPr>
        <w:t>TFRC-IRE</w:t>
      </w:r>
      <w:r w:rsidRPr="00B84270">
        <w:rPr>
          <w:rFonts w:ascii="Arial" w:hAnsi="Arial" w:cs="Arial"/>
          <w:b/>
          <w:sz w:val="20"/>
          <w:szCs w:val="20"/>
          <w:lang w:val="en-US"/>
        </w:rPr>
        <w:t xml:space="preserve"> responses in rec-TfR1 HepG2 cells </w:t>
      </w:r>
    </w:p>
    <w:p w:rsidR="00C64B9A" w:rsidRPr="00B84270" w:rsidRDefault="00C64B9A" w:rsidP="00C64B9A">
      <w:pPr>
        <w:spacing w:after="0" w:line="360" w:lineRule="auto"/>
        <w:rPr>
          <w:rFonts w:ascii="Arial" w:hAnsi="Arial" w:cs="Arial"/>
          <w:sz w:val="20"/>
          <w:szCs w:val="20"/>
          <w:lang w:val="en-US"/>
        </w:rPr>
      </w:pPr>
      <w:r w:rsidRPr="00B84270">
        <w:rPr>
          <w:rFonts w:ascii="Arial" w:hAnsi="Arial" w:cs="Arial"/>
          <w:sz w:val="20"/>
          <w:szCs w:val="20"/>
          <w:lang w:val="en-US"/>
        </w:rPr>
        <w:t>Following holo-</w:t>
      </w:r>
      <w:proofErr w:type="spellStart"/>
      <w:r w:rsidRPr="00B84270">
        <w:rPr>
          <w:rFonts w:ascii="Arial" w:hAnsi="Arial" w:cs="Arial"/>
          <w:sz w:val="20"/>
          <w:szCs w:val="20"/>
          <w:lang w:val="en-US"/>
        </w:rPr>
        <w:t>Tf</w:t>
      </w:r>
      <w:proofErr w:type="spellEnd"/>
      <w:r w:rsidRPr="00B84270">
        <w:rPr>
          <w:rFonts w:ascii="Arial" w:hAnsi="Arial" w:cs="Arial"/>
          <w:sz w:val="20"/>
          <w:szCs w:val="20"/>
          <w:lang w:val="en-US"/>
        </w:rPr>
        <w:t xml:space="preserve"> treatments, the rec-TfR1 HepG2 (A) and </w:t>
      </w:r>
      <w:proofErr w:type="spellStart"/>
      <w:r w:rsidRPr="00B84270">
        <w:rPr>
          <w:rFonts w:ascii="Arial" w:hAnsi="Arial" w:cs="Arial"/>
          <w:sz w:val="20"/>
          <w:szCs w:val="20"/>
          <w:lang w:val="en-US"/>
        </w:rPr>
        <w:t>Wt</w:t>
      </w:r>
      <w:proofErr w:type="spellEnd"/>
      <w:r w:rsidRPr="00B84270">
        <w:rPr>
          <w:rFonts w:ascii="Arial" w:hAnsi="Arial" w:cs="Arial"/>
          <w:sz w:val="20"/>
          <w:szCs w:val="20"/>
          <w:lang w:val="en-US"/>
        </w:rPr>
        <w:t xml:space="preserve"> HepG2 cells (B) were probed with </w:t>
      </w:r>
      <w:r w:rsidRPr="00B84270">
        <w:rPr>
          <w:rFonts w:ascii="Arial" w:hAnsi="Arial" w:cs="Arial"/>
          <w:i/>
          <w:sz w:val="20"/>
          <w:szCs w:val="20"/>
          <w:lang w:val="en-US"/>
        </w:rPr>
        <w:t>TFRC</w:t>
      </w:r>
      <w:r w:rsidRPr="00B84270">
        <w:rPr>
          <w:rFonts w:ascii="Arial" w:hAnsi="Arial" w:cs="Arial"/>
          <w:sz w:val="20"/>
          <w:szCs w:val="20"/>
          <w:lang w:val="en-US"/>
        </w:rPr>
        <w:t xml:space="preserve">-specific and </w:t>
      </w:r>
      <w:r w:rsidRPr="00B84270">
        <w:rPr>
          <w:rFonts w:ascii="Arial" w:hAnsi="Arial" w:cs="Arial"/>
          <w:i/>
          <w:sz w:val="20"/>
          <w:szCs w:val="20"/>
          <w:lang w:val="en-US"/>
        </w:rPr>
        <w:t>IRE-</w:t>
      </w:r>
      <w:r w:rsidRPr="00B84270">
        <w:rPr>
          <w:rFonts w:ascii="Arial" w:hAnsi="Arial" w:cs="Arial"/>
          <w:sz w:val="20"/>
          <w:szCs w:val="20"/>
          <w:lang w:val="en-US"/>
        </w:rPr>
        <w:t>specific (TFRC-IRE) primers and the expressions were measured, as explained in the methods. Data is presented as mean ± SEM (n=3). *p &lt;=0.05 and **p &lt;0.01 compared to untreated cells (0 g/L) at the same time-point.</w:t>
      </w:r>
    </w:p>
    <w:p w:rsidR="00C64B9A" w:rsidRPr="00B84270" w:rsidRDefault="00C64B9A" w:rsidP="00C64B9A">
      <w:pPr>
        <w:spacing w:after="0" w:line="360" w:lineRule="auto"/>
      </w:pPr>
    </w:p>
    <w:p w:rsidR="00C64B9A" w:rsidRPr="00B84270" w:rsidRDefault="00C64B9A" w:rsidP="00C64B9A">
      <w:pPr>
        <w:spacing w:after="0" w:line="360" w:lineRule="auto"/>
        <w:rPr>
          <w:rFonts w:ascii="Arial" w:hAnsi="Arial" w:cs="Arial"/>
          <w:b/>
          <w:sz w:val="24"/>
          <w:szCs w:val="24"/>
          <w:lang w:val="en-US"/>
        </w:rPr>
      </w:pPr>
      <w:r w:rsidRPr="00B84270">
        <w:rPr>
          <w:rFonts w:ascii="Arial" w:hAnsi="Arial" w:cs="Arial"/>
          <w:b/>
          <w:sz w:val="24"/>
          <w:szCs w:val="24"/>
          <w:lang w:val="en-US"/>
        </w:rPr>
        <w:t xml:space="preserve">Supplementary data-2-Pre-iron supplementation studies </w:t>
      </w:r>
    </w:p>
    <w:p w:rsidR="00C64B9A" w:rsidRPr="00B84270" w:rsidRDefault="00C64B9A" w:rsidP="00C64B9A">
      <w:pPr>
        <w:spacing w:after="0" w:line="360" w:lineRule="auto"/>
        <w:rPr>
          <w:rFonts w:ascii="Arial" w:hAnsi="Arial" w:cs="Arial"/>
          <w:sz w:val="24"/>
          <w:szCs w:val="24"/>
        </w:rPr>
      </w:pPr>
      <w:r w:rsidRPr="00B84270">
        <w:rPr>
          <w:rFonts w:ascii="Arial" w:hAnsi="Arial" w:cs="Arial"/>
          <w:sz w:val="24"/>
          <w:szCs w:val="24"/>
        </w:rPr>
        <w:t xml:space="preserve">A HepG2 cell line with the unmodified plasmid vector was created for reference and referred to as HepG2 (p) cells. Study of the main iron-related parameters in the HepG2 (p) cells showed no difference from the </w:t>
      </w:r>
      <w:proofErr w:type="spellStart"/>
      <w:r w:rsidRPr="00B84270">
        <w:rPr>
          <w:rFonts w:ascii="Arial" w:hAnsi="Arial" w:cs="Arial"/>
          <w:sz w:val="24"/>
          <w:szCs w:val="24"/>
        </w:rPr>
        <w:t>Wt</w:t>
      </w:r>
      <w:proofErr w:type="spellEnd"/>
      <w:r w:rsidRPr="00B84270">
        <w:rPr>
          <w:rFonts w:ascii="Arial" w:hAnsi="Arial" w:cs="Arial"/>
          <w:sz w:val="24"/>
          <w:szCs w:val="24"/>
        </w:rPr>
        <w:t xml:space="preserve"> HepG2 cells (supplementary Fig.2). For example, similarities with the </w:t>
      </w:r>
      <w:proofErr w:type="spellStart"/>
      <w:r w:rsidRPr="00B84270">
        <w:rPr>
          <w:rFonts w:ascii="Arial" w:hAnsi="Arial" w:cs="Arial"/>
          <w:sz w:val="24"/>
          <w:szCs w:val="24"/>
        </w:rPr>
        <w:t>Wt</w:t>
      </w:r>
      <w:proofErr w:type="spellEnd"/>
      <w:r w:rsidRPr="00B84270">
        <w:rPr>
          <w:rFonts w:ascii="Arial" w:hAnsi="Arial" w:cs="Arial"/>
          <w:sz w:val="24"/>
          <w:szCs w:val="24"/>
        </w:rPr>
        <w:t xml:space="preserve"> HepG2 cells were observed in cell-surface TfR1 levels under basal conditions (</w:t>
      </w:r>
      <w:r w:rsidRPr="00B84270">
        <w:rPr>
          <w:rFonts w:ascii="Arial" w:hAnsi="Arial" w:cs="Arial"/>
          <w:sz w:val="24"/>
          <w:szCs w:val="24"/>
          <w:lang w:val="en-US"/>
        </w:rPr>
        <w:t xml:space="preserve">supplementary </w:t>
      </w:r>
      <w:r w:rsidRPr="00B84270">
        <w:rPr>
          <w:rFonts w:ascii="Arial" w:hAnsi="Arial" w:cs="Arial"/>
          <w:sz w:val="24"/>
          <w:szCs w:val="24"/>
        </w:rPr>
        <w:t>Fig.2A) and following iron-supplementation over time (</w:t>
      </w:r>
      <w:r w:rsidRPr="00B84270">
        <w:rPr>
          <w:rFonts w:ascii="Arial" w:hAnsi="Arial" w:cs="Arial"/>
          <w:sz w:val="24"/>
          <w:szCs w:val="24"/>
          <w:lang w:val="en-US"/>
        </w:rPr>
        <w:t xml:space="preserve">supplementary </w:t>
      </w:r>
      <w:r w:rsidRPr="00B84270">
        <w:rPr>
          <w:rFonts w:ascii="Arial" w:hAnsi="Arial" w:cs="Arial"/>
          <w:sz w:val="24"/>
          <w:szCs w:val="24"/>
        </w:rPr>
        <w:t>Fig.2B). Moreover, following holo-</w:t>
      </w:r>
      <w:proofErr w:type="spellStart"/>
      <w:r w:rsidRPr="00B84270">
        <w:rPr>
          <w:rFonts w:ascii="Arial" w:hAnsi="Arial" w:cs="Arial"/>
          <w:sz w:val="24"/>
          <w:szCs w:val="24"/>
        </w:rPr>
        <w:t>Tf</w:t>
      </w:r>
      <w:proofErr w:type="spellEnd"/>
      <w:r w:rsidRPr="00B84270">
        <w:rPr>
          <w:rFonts w:ascii="Arial" w:hAnsi="Arial" w:cs="Arial"/>
          <w:sz w:val="24"/>
          <w:szCs w:val="24"/>
        </w:rPr>
        <w:t xml:space="preserve"> treatment, hepcidin peptide levels in the HepG2 (p) cells matched levels in the </w:t>
      </w:r>
      <w:proofErr w:type="spellStart"/>
      <w:r w:rsidRPr="00B84270">
        <w:rPr>
          <w:rFonts w:ascii="Arial" w:hAnsi="Arial" w:cs="Arial"/>
          <w:sz w:val="24"/>
          <w:szCs w:val="24"/>
        </w:rPr>
        <w:t>Wt</w:t>
      </w:r>
      <w:proofErr w:type="spellEnd"/>
      <w:r w:rsidRPr="00B84270">
        <w:rPr>
          <w:rFonts w:ascii="Arial" w:hAnsi="Arial" w:cs="Arial"/>
          <w:sz w:val="24"/>
          <w:szCs w:val="24"/>
        </w:rPr>
        <w:t xml:space="preserve"> HepG2 cells (</w:t>
      </w:r>
      <w:r w:rsidRPr="00B84270">
        <w:rPr>
          <w:rFonts w:ascii="Arial" w:hAnsi="Arial" w:cs="Arial"/>
          <w:sz w:val="24"/>
          <w:szCs w:val="24"/>
          <w:lang w:val="en-US"/>
        </w:rPr>
        <w:t xml:space="preserve">supplementary </w:t>
      </w:r>
      <w:r w:rsidRPr="00B84270">
        <w:rPr>
          <w:rFonts w:ascii="Arial" w:hAnsi="Arial" w:cs="Arial"/>
          <w:sz w:val="24"/>
          <w:szCs w:val="24"/>
        </w:rPr>
        <w:t xml:space="preserve">Fig.2C). In addition, intracellular iron levels in the HepG2 (p) cells were </w:t>
      </w:r>
      <w:proofErr w:type="gramStart"/>
      <w:r w:rsidRPr="00B84270">
        <w:rPr>
          <w:rFonts w:ascii="Arial" w:hAnsi="Arial" w:cs="Arial"/>
          <w:sz w:val="24"/>
          <w:szCs w:val="24"/>
        </w:rPr>
        <w:t>similar to</w:t>
      </w:r>
      <w:proofErr w:type="gramEnd"/>
      <w:r w:rsidRPr="00B84270">
        <w:rPr>
          <w:rFonts w:ascii="Arial" w:hAnsi="Arial" w:cs="Arial"/>
          <w:sz w:val="24"/>
          <w:szCs w:val="24"/>
        </w:rPr>
        <w:t xml:space="preserve"> </w:t>
      </w:r>
      <w:proofErr w:type="spellStart"/>
      <w:r w:rsidRPr="00B84270">
        <w:rPr>
          <w:rFonts w:ascii="Arial" w:hAnsi="Arial" w:cs="Arial"/>
          <w:sz w:val="24"/>
          <w:szCs w:val="24"/>
        </w:rPr>
        <w:t>Wt</w:t>
      </w:r>
      <w:proofErr w:type="spellEnd"/>
      <w:r w:rsidRPr="00B84270">
        <w:rPr>
          <w:rFonts w:ascii="Arial" w:hAnsi="Arial" w:cs="Arial"/>
          <w:sz w:val="24"/>
          <w:szCs w:val="24"/>
        </w:rPr>
        <w:t xml:space="preserve"> HepG2 cells under basal conditions over time (4.7 to 6 </w:t>
      </w:r>
      <w:proofErr w:type="spellStart"/>
      <w:r w:rsidRPr="00B84270">
        <w:rPr>
          <w:rFonts w:ascii="Arial" w:hAnsi="Arial" w:cs="Arial"/>
          <w:sz w:val="24"/>
          <w:szCs w:val="24"/>
        </w:rPr>
        <w:t>nmoles</w:t>
      </w:r>
      <w:proofErr w:type="spellEnd"/>
      <w:r w:rsidRPr="00B84270">
        <w:rPr>
          <w:rFonts w:ascii="Arial" w:hAnsi="Arial" w:cs="Arial"/>
          <w:sz w:val="24"/>
          <w:szCs w:val="24"/>
        </w:rPr>
        <w:t>/ mg protein) and upon holo-</w:t>
      </w:r>
      <w:proofErr w:type="spellStart"/>
      <w:r w:rsidRPr="00B84270">
        <w:rPr>
          <w:rFonts w:ascii="Arial" w:hAnsi="Arial" w:cs="Arial"/>
          <w:sz w:val="24"/>
          <w:szCs w:val="24"/>
        </w:rPr>
        <w:t>Tf</w:t>
      </w:r>
      <w:proofErr w:type="spellEnd"/>
      <w:r w:rsidRPr="00B84270">
        <w:rPr>
          <w:rFonts w:ascii="Arial" w:hAnsi="Arial" w:cs="Arial"/>
          <w:sz w:val="24"/>
          <w:szCs w:val="24"/>
        </w:rPr>
        <w:t xml:space="preserve"> treatment (6.5 </w:t>
      </w:r>
      <w:proofErr w:type="spellStart"/>
      <w:r w:rsidRPr="00B84270">
        <w:rPr>
          <w:rFonts w:ascii="Arial" w:hAnsi="Arial" w:cs="Arial"/>
          <w:sz w:val="24"/>
          <w:szCs w:val="24"/>
        </w:rPr>
        <w:t>nmoles</w:t>
      </w:r>
      <w:proofErr w:type="spellEnd"/>
      <w:r w:rsidRPr="00B84270">
        <w:rPr>
          <w:rFonts w:ascii="Arial" w:hAnsi="Arial" w:cs="Arial"/>
          <w:sz w:val="24"/>
          <w:szCs w:val="24"/>
        </w:rPr>
        <w:t xml:space="preserve">/ mg protein). The relative mitochondrial activity was either 90-95 % similar or showed no difference from the </w:t>
      </w:r>
      <w:proofErr w:type="spellStart"/>
      <w:r w:rsidRPr="00B84270">
        <w:rPr>
          <w:rFonts w:ascii="Arial" w:hAnsi="Arial" w:cs="Arial"/>
          <w:sz w:val="24"/>
          <w:szCs w:val="24"/>
        </w:rPr>
        <w:t>Wt</w:t>
      </w:r>
      <w:proofErr w:type="spellEnd"/>
      <w:r w:rsidRPr="00B84270">
        <w:rPr>
          <w:rFonts w:ascii="Arial" w:hAnsi="Arial" w:cs="Arial"/>
          <w:sz w:val="24"/>
          <w:szCs w:val="24"/>
        </w:rPr>
        <w:t xml:space="preserve"> HepG2 cells (data not shown for brevity). Thus, further parameters in HepG2 (p) cells were not studied and subsequent studies were conducted using </w:t>
      </w:r>
      <w:proofErr w:type="spellStart"/>
      <w:r w:rsidRPr="00B84270">
        <w:rPr>
          <w:rFonts w:ascii="Arial" w:hAnsi="Arial" w:cs="Arial"/>
          <w:sz w:val="24"/>
          <w:szCs w:val="24"/>
        </w:rPr>
        <w:t>Wt</w:t>
      </w:r>
      <w:proofErr w:type="spellEnd"/>
      <w:r w:rsidRPr="00B84270">
        <w:rPr>
          <w:rFonts w:ascii="Arial" w:hAnsi="Arial" w:cs="Arial"/>
          <w:sz w:val="24"/>
          <w:szCs w:val="24"/>
        </w:rPr>
        <w:t xml:space="preserve"> HepG2 cells as reference to enable comparison with other groups that have also used </w:t>
      </w:r>
      <w:proofErr w:type="spellStart"/>
      <w:r w:rsidRPr="00B84270">
        <w:rPr>
          <w:rFonts w:ascii="Arial" w:hAnsi="Arial" w:cs="Arial"/>
          <w:sz w:val="24"/>
          <w:szCs w:val="24"/>
        </w:rPr>
        <w:t>Wt</w:t>
      </w:r>
      <w:proofErr w:type="spellEnd"/>
      <w:r w:rsidRPr="00B84270">
        <w:rPr>
          <w:rFonts w:ascii="Arial" w:hAnsi="Arial" w:cs="Arial"/>
          <w:sz w:val="24"/>
          <w:szCs w:val="24"/>
        </w:rPr>
        <w:t xml:space="preserve"> HepG2 cells for iron supplementation studies. </w:t>
      </w:r>
    </w:p>
    <w:p w:rsidR="00C64B9A" w:rsidRPr="00B84270" w:rsidRDefault="00C64B9A" w:rsidP="00C64B9A">
      <w:pPr>
        <w:spacing w:after="0" w:line="360" w:lineRule="auto"/>
        <w:rPr>
          <w:rFonts w:ascii="Arial" w:hAnsi="Arial" w:cs="Arial"/>
          <w:sz w:val="24"/>
          <w:szCs w:val="24"/>
        </w:rPr>
      </w:pPr>
    </w:p>
    <w:p w:rsidR="00C64B9A" w:rsidRPr="00B84270" w:rsidRDefault="00C64B9A" w:rsidP="00C64B9A">
      <w:pPr>
        <w:spacing w:after="0" w:line="360" w:lineRule="auto"/>
        <w:rPr>
          <w:rFonts w:ascii="Arial" w:hAnsi="Arial" w:cs="Arial"/>
          <w:sz w:val="24"/>
          <w:szCs w:val="24"/>
        </w:rPr>
      </w:pPr>
    </w:p>
    <w:p w:rsidR="00C64B9A" w:rsidRPr="00B84270" w:rsidRDefault="00C64B9A" w:rsidP="00C64B9A">
      <w:pPr>
        <w:spacing w:after="0" w:line="360" w:lineRule="auto"/>
        <w:rPr>
          <w:rFonts w:ascii="Arial" w:hAnsi="Arial" w:cs="Arial"/>
          <w:sz w:val="24"/>
          <w:szCs w:val="24"/>
        </w:rPr>
      </w:pPr>
    </w:p>
    <w:p w:rsidR="00C64B9A" w:rsidRPr="00B84270" w:rsidRDefault="006623B1" w:rsidP="00C64B9A">
      <w:pPr>
        <w:spacing w:after="0" w:line="360" w:lineRule="auto"/>
        <w:rPr>
          <w:rFonts w:ascii="Arial" w:hAnsi="Arial" w:cs="Arial"/>
          <w:b/>
          <w:sz w:val="24"/>
          <w:szCs w:val="24"/>
          <w:lang w:val="en-US"/>
        </w:rPr>
      </w:pPr>
      <w:r>
        <w:rPr>
          <w:rFonts w:ascii="Arial" w:hAnsi="Arial" w:cs="Arial"/>
          <w:noProof/>
        </w:rPr>
        <w:pict>
          <v:rect id="Rectangle 170" o:spid="_x0000_s1092" style="position:absolute;margin-left:178.9pt;margin-top:3.65pt;width:6.45pt;height:25.45pt;z-index:251679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" filled="f" stroked="f">
            <v:textbox style="mso-fit-shape-to-text:t" inset="0,0,0,0">
              <w:txbxContent>
                <w:p w:rsidR="00967941" w:rsidRDefault="00967941" w:rsidP="00C64B9A"/>
              </w:txbxContent>
            </v:textbox>
          </v:rect>
        </w:pict>
      </w:r>
      <w:r w:rsidR="00C64B9A" w:rsidRPr="00B84270">
        <w:rPr>
          <w:rFonts w:ascii="Arial" w:hAnsi="Arial" w:cs="Arial"/>
          <w:b/>
          <w:sz w:val="24"/>
          <w:szCs w:val="24"/>
          <w:lang w:val="en-US"/>
        </w:rPr>
        <w:t>Supplementary Fig. 2</w:t>
      </w:r>
    </w:p>
    <w:p w:rsidR="00C64B9A" w:rsidRPr="00B84270" w:rsidRDefault="00C64B9A" w:rsidP="00C64B9A">
      <w:pPr>
        <w:spacing w:after="0" w:line="360" w:lineRule="auto"/>
        <w:rPr>
          <w:rFonts w:ascii="Arial" w:hAnsi="Arial" w:cs="Arial"/>
          <w:b/>
          <w:sz w:val="24"/>
          <w:szCs w:val="24"/>
          <w:lang w:val="en-US"/>
        </w:rPr>
      </w:pPr>
    </w:p>
    <w:p w:rsidR="00C64B9A" w:rsidRPr="00B84270" w:rsidRDefault="00C64B9A" w:rsidP="00C64B9A">
      <w:pPr>
        <w:spacing w:after="0" w:line="360" w:lineRule="auto"/>
        <w:rPr>
          <w:rFonts w:ascii="Arial" w:hAnsi="Arial" w:cs="Arial"/>
          <w:b/>
          <w:sz w:val="24"/>
          <w:szCs w:val="24"/>
          <w:lang w:val="en-US"/>
        </w:rPr>
      </w:pPr>
      <w:r w:rsidRPr="00B84270">
        <w:rPr>
          <w:rFonts w:ascii="Arial" w:hAnsi="Arial" w:cs="Arial"/>
          <w:b/>
          <w:sz w:val="24"/>
          <w:szCs w:val="24"/>
          <w:lang w:val="en-US"/>
        </w:rPr>
        <w:t xml:space="preserve">   A                                                               B</w:t>
      </w:r>
    </w:p>
    <w:p w:rsidR="00C64B9A" w:rsidRPr="00B84270" w:rsidRDefault="00991296" w:rsidP="00C64B9A">
      <w:pPr>
        <w:spacing w:after="0" w:line="360" w:lineRule="auto"/>
        <w:rPr>
          <w:rFonts w:ascii="Arial" w:hAnsi="Arial" w:cs="Arial"/>
          <w:b/>
          <w:sz w:val="24"/>
          <w:szCs w:val="24"/>
          <w:lang w:val="en-US"/>
        </w:rPr>
      </w:pPr>
      <w:r>
        <w:rPr>
          <w:rFonts w:ascii="Arial" w:hAnsi="Arial" w:cs="Arial"/>
          <w:b/>
          <w:noProof/>
          <w:sz w:val="24"/>
          <w:szCs w:val="24"/>
        </w:rPr>
        <w:pict>
          <v:shape id="Text Box 18" o:spid="_x0000_s1094" type="#_x0000_t202" style="position:absolute;margin-left:460.2pt;margin-top:102.05pt;width:24.25pt;height:17.05pt;z-index:25168128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" filled="f" stroked="f">
            <v:textbox>
              <w:txbxContent>
                <w:p w:rsidR="00967941" w:rsidRPr="006C31B4" w:rsidRDefault="00967941" w:rsidP="00C64B9A">
                  <w:pPr>
                    <w:rPr>
                      <w:sz w:val="24"/>
                      <w:szCs w:val="24"/>
                    </w:rPr>
                  </w:pPr>
                  <w:r w:rsidRPr="006C31B4">
                    <w:rPr>
                      <w:sz w:val="24"/>
                      <w:szCs w:val="24"/>
                    </w:rPr>
                    <w:t>*</w:t>
                  </w:r>
                </w:p>
              </w:txbxContent>
            </v:textbox>
          </v:shape>
        </w:pict>
      </w:r>
      <w:r w:rsidR="006623B1">
        <w:rPr>
          <w:rFonts w:ascii="Arial" w:hAnsi="Arial" w:cs="Arial"/>
          <w:b/>
          <w:noProof/>
          <w:sz w:val="24"/>
          <w:szCs w:val="24"/>
        </w:rPr>
        <w:pict>
          <v:shape id="Text Box 16" o:spid="_x0000_s1093" type="#_x0000_t202" style="position:absolute;margin-left:460.4pt;margin-top:92.1pt;width:24.25pt;height:21pt;z-index:25168025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" filled="f" stroked="f">
            <v:textbox>
              <w:txbxContent>
                <w:p w:rsidR="00967941" w:rsidRPr="006C31B4" w:rsidRDefault="00967941" w:rsidP="00C64B9A">
                  <w:pPr>
                    <w:rPr>
                      <w:sz w:val="24"/>
                      <w:szCs w:val="24"/>
                    </w:rPr>
                  </w:pPr>
                  <w:r>
                    <w:rPr>
                      <w:sz w:val="24"/>
                      <w:szCs w:val="24"/>
                    </w:rPr>
                    <w:t>#</w:t>
                  </w:r>
                </w:p>
              </w:txbxContent>
            </v:textbox>
          </v:shape>
        </w:pict>
      </w:r>
      <w:r w:rsidR="00C64B9A" w:rsidRPr="00B84270">
        <w:rPr>
          <w:rFonts w:ascii="Arial" w:hAnsi="Arial" w:cs="Arial"/>
          <w:b/>
          <w:noProof/>
          <w:sz w:val="24"/>
          <w:szCs w:val="24"/>
        </w:rPr>
        <w:drawing>
          <wp:inline distT="0" distB="0" distL="0" distR="0" wp14:anchorId="2DB44477" wp14:editId="77B34924">
            <wp:extent cx="2686050" cy="2486024"/>
            <wp:effectExtent l="0" t="0" r="0" b="0"/>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C64B9A" w:rsidRPr="00B84270">
        <w:rPr>
          <w:noProof/>
        </w:rPr>
        <w:drawing>
          <wp:inline distT="0" distB="0" distL="0" distR="0" wp14:anchorId="3409E7F5" wp14:editId="7B1481D5">
            <wp:extent cx="3715657" cy="2489200"/>
            <wp:effectExtent l="0" t="0" r="0" b="0"/>
            <wp:docPr id="2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64B9A" w:rsidRPr="00B84270" w:rsidRDefault="00C64B9A" w:rsidP="00C64B9A">
      <w:pPr>
        <w:spacing w:after="0" w:line="360" w:lineRule="auto"/>
        <w:rPr>
          <w:rFonts w:ascii="Arial" w:hAnsi="Arial" w:cs="Arial"/>
          <w:b/>
          <w:sz w:val="24"/>
          <w:szCs w:val="24"/>
          <w:lang w:val="en-US"/>
        </w:rPr>
      </w:pPr>
      <w:r w:rsidRPr="00B84270">
        <w:rPr>
          <w:rFonts w:ascii="Arial" w:hAnsi="Arial" w:cs="Arial"/>
          <w:b/>
          <w:sz w:val="24"/>
          <w:szCs w:val="24"/>
          <w:lang w:val="en-US"/>
        </w:rPr>
        <w:t xml:space="preserve"> C</w:t>
      </w:r>
    </w:p>
    <w:p w:rsidR="00C64B9A" w:rsidRPr="00B84270" w:rsidRDefault="00C64B9A" w:rsidP="00C64B9A">
      <w:pPr>
        <w:spacing w:after="0" w:line="360" w:lineRule="auto"/>
        <w:rPr>
          <w:rFonts w:ascii="Arial" w:hAnsi="Arial" w:cs="Arial"/>
          <w:sz w:val="24"/>
          <w:szCs w:val="24"/>
          <w:lang w:val="en-US"/>
        </w:rPr>
      </w:pPr>
      <w:r w:rsidRPr="00B84270">
        <w:rPr>
          <w:rFonts w:ascii="Arial" w:hAnsi="Arial" w:cs="Arial"/>
          <w:noProof/>
          <w:sz w:val="24"/>
          <w:szCs w:val="24"/>
        </w:rPr>
        <w:drawing>
          <wp:inline distT="0" distB="0" distL="0" distR="0" wp14:anchorId="5CC5D4CB" wp14:editId="2C8158DF">
            <wp:extent cx="4362450" cy="230505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64B9A" w:rsidRPr="00B84270" w:rsidRDefault="00C64B9A" w:rsidP="00C64B9A">
      <w:pPr>
        <w:spacing w:after="0" w:line="360" w:lineRule="auto"/>
        <w:rPr>
          <w:rFonts w:ascii="Arial" w:hAnsi="Arial" w:cs="Arial"/>
          <w:b/>
          <w:sz w:val="24"/>
          <w:szCs w:val="24"/>
          <w:lang w:val="en-US"/>
        </w:rPr>
      </w:pPr>
    </w:p>
    <w:p w:rsidR="00C64B9A" w:rsidRPr="00B84270" w:rsidRDefault="00C64B9A" w:rsidP="00C64B9A">
      <w:pPr>
        <w:spacing w:after="0" w:line="360" w:lineRule="auto"/>
        <w:rPr>
          <w:rFonts w:ascii="Arial" w:hAnsi="Arial" w:cs="Arial"/>
          <w:b/>
          <w:sz w:val="20"/>
          <w:szCs w:val="20"/>
          <w:lang w:val="en-US"/>
        </w:rPr>
      </w:pPr>
      <w:r w:rsidRPr="00B84270">
        <w:rPr>
          <w:rFonts w:ascii="Arial" w:hAnsi="Arial" w:cs="Arial"/>
          <w:b/>
          <w:sz w:val="20"/>
          <w:szCs w:val="20"/>
          <w:lang w:val="en-US"/>
        </w:rPr>
        <w:t>Supplementary Fig 2. Cell-surface TfR1 and hepcidin expression in HepG2 (p) cells.</w:t>
      </w:r>
    </w:p>
    <w:p w:rsidR="00C64B9A" w:rsidRPr="00B84270" w:rsidRDefault="00C64B9A" w:rsidP="00C64B9A">
      <w:pPr>
        <w:spacing w:after="0" w:line="360" w:lineRule="auto"/>
        <w:rPr>
          <w:rFonts w:ascii="Arial" w:hAnsi="Arial" w:cs="Arial"/>
          <w:sz w:val="20"/>
          <w:szCs w:val="20"/>
          <w:lang w:val="en-US"/>
        </w:rPr>
      </w:pPr>
      <w:r w:rsidRPr="00B84270">
        <w:rPr>
          <w:rFonts w:ascii="Arial" w:hAnsi="Arial" w:cs="Arial"/>
          <w:sz w:val="20"/>
          <w:szCs w:val="20"/>
          <w:lang w:val="en-US"/>
        </w:rPr>
        <w:t xml:space="preserve">(A) Cell-surface TfR1 expression in HepG2 (p) cells in comparison to </w:t>
      </w:r>
      <w:proofErr w:type="spellStart"/>
      <w:r w:rsidRPr="00B84270">
        <w:rPr>
          <w:rFonts w:ascii="Arial" w:hAnsi="Arial" w:cs="Arial"/>
          <w:sz w:val="20"/>
          <w:szCs w:val="20"/>
          <w:lang w:val="en-US"/>
        </w:rPr>
        <w:t>Wt</w:t>
      </w:r>
      <w:proofErr w:type="spellEnd"/>
      <w:r w:rsidRPr="00B84270">
        <w:rPr>
          <w:rFonts w:ascii="Arial" w:hAnsi="Arial" w:cs="Arial"/>
          <w:sz w:val="20"/>
          <w:szCs w:val="20"/>
          <w:lang w:val="en-US"/>
        </w:rPr>
        <w:t xml:space="preserve"> HepG2 cells under basal conditions and (B) </w:t>
      </w:r>
      <w:proofErr w:type="gramStart"/>
      <w:r w:rsidRPr="00B84270">
        <w:rPr>
          <w:rFonts w:ascii="Arial" w:hAnsi="Arial" w:cs="Arial"/>
          <w:sz w:val="20"/>
          <w:szCs w:val="20"/>
          <w:lang w:val="en-US"/>
        </w:rPr>
        <w:t>following  5</w:t>
      </w:r>
      <w:proofErr w:type="gramEnd"/>
      <w:r w:rsidRPr="00B84270">
        <w:rPr>
          <w:rFonts w:ascii="Arial" w:hAnsi="Arial" w:cs="Arial"/>
          <w:sz w:val="20"/>
          <w:szCs w:val="20"/>
          <w:lang w:val="en-US"/>
        </w:rPr>
        <w:t xml:space="preserve"> g/L holo-</w:t>
      </w:r>
      <w:proofErr w:type="spellStart"/>
      <w:r w:rsidRPr="00B84270">
        <w:rPr>
          <w:rFonts w:ascii="Arial" w:hAnsi="Arial" w:cs="Arial"/>
          <w:sz w:val="20"/>
          <w:szCs w:val="20"/>
          <w:lang w:val="en-US"/>
        </w:rPr>
        <w:t>Tf</w:t>
      </w:r>
      <w:proofErr w:type="spellEnd"/>
      <w:r w:rsidRPr="00B84270">
        <w:rPr>
          <w:rFonts w:ascii="Arial" w:hAnsi="Arial" w:cs="Arial"/>
          <w:sz w:val="20"/>
          <w:szCs w:val="20"/>
          <w:lang w:val="en-US"/>
        </w:rPr>
        <w:t xml:space="preserve">  treatment are shown. (C) Hepcidin peptide secreted by </w:t>
      </w:r>
      <w:proofErr w:type="spellStart"/>
      <w:r w:rsidRPr="00B84270">
        <w:rPr>
          <w:rFonts w:ascii="Arial" w:hAnsi="Arial" w:cs="Arial"/>
          <w:sz w:val="20"/>
          <w:szCs w:val="20"/>
          <w:lang w:val="en-US"/>
        </w:rPr>
        <w:t>Wt</w:t>
      </w:r>
      <w:proofErr w:type="spellEnd"/>
      <w:r w:rsidRPr="00B84270">
        <w:rPr>
          <w:rFonts w:ascii="Arial" w:hAnsi="Arial" w:cs="Arial"/>
          <w:sz w:val="20"/>
          <w:szCs w:val="20"/>
          <w:lang w:val="en-US"/>
        </w:rPr>
        <w:t xml:space="preserve"> HepG2 and HepG2 (p) cells under basal conditions and following holo-</w:t>
      </w:r>
      <w:proofErr w:type="spellStart"/>
      <w:r w:rsidRPr="00B84270">
        <w:rPr>
          <w:rFonts w:ascii="Arial" w:hAnsi="Arial" w:cs="Arial"/>
          <w:sz w:val="20"/>
          <w:szCs w:val="20"/>
          <w:lang w:val="en-US"/>
        </w:rPr>
        <w:t>Tf</w:t>
      </w:r>
      <w:proofErr w:type="spellEnd"/>
      <w:r w:rsidRPr="00B84270">
        <w:rPr>
          <w:rFonts w:ascii="Arial" w:hAnsi="Arial" w:cs="Arial"/>
          <w:sz w:val="20"/>
          <w:szCs w:val="20"/>
          <w:lang w:val="en-US"/>
        </w:rPr>
        <w:t xml:space="preserve"> treatment were measured. Data is presented as mean ± SEM (n=3). *p &lt;0.03 compared to basal conditions and </w:t>
      </w:r>
      <w:r w:rsidRPr="00B84270">
        <w:rPr>
          <w:rFonts w:ascii="Arial" w:hAnsi="Arial" w:cs="Arial"/>
          <w:sz w:val="20"/>
          <w:szCs w:val="20"/>
          <w:vertAlign w:val="superscript"/>
          <w:lang w:val="en-US"/>
        </w:rPr>
        <w:t>#</w:t>
      </w:r>
      <w:r w:rsidRPr="00B84270">
        <w:rPr>
          <w:rFonts w:ascii="Arial" w:hAnsi="Arial" w:cs="Arial"/>
          <w:sz w:val="20"/>
          <w:szCs w:val="20"/>
          <w:lang w:val="en-US"/>
        </w:rPr>
        <w:t>p=0.05 compared to 24 h of 5 g/L treatment in HepG2 (p) cells.</w:t>
      </w:r>
    </w:p>
    <w:p w:rsidR="00C64B9A" w:rsidRPr="00B84270" w:rsidRDefault="00C64B9A" w:rsidP="00C64B9A">
      <w:pPr>
        <w:spacing w:after="0" w:line="360" w:lineRule="auto"/>
      </w:pPr>
    </w:p>
    <w:p w:rsidR="00C64B9A" w:rsidRPr="00B84270" w:rsidRDefault="00C64B9A" w:rsidP="00C64B9A">
      <w:pPr>
        <w:spacing w:after="0" w:line="360" w:lineRule="auto"/>
        <w:rPr>
          <w:rFonts w:ascii="Arial" w:hAnsi="Arial" w:cs="Arial"/>
          <w:sz w:val="24"/>
          <w:szCs w:val="24"/>
          <w:lang w:val="en-US"/>
        </w:rPr>
      </w:pPr>
      <w:r w:rsidRPr="00B84270">
        <w:rPr>
          <w:rFonts w:ascii="Arial" w:hAnsi="Arial" w:cs="Arial"/>
          <w:b/>
          <w:sz w:val="24"/>
          <w:szCs w:val="24"/>
          <w:lang w:val="en-US"/>
        </w:rPr>
        <w:t xml:space="preserve">Supplementary data-3- Assessment of iron saturation and iron content in treatment medium </w:t>
      </w:r>
    </w:p>
    <w:p w:rsidR="00C64B9A" w:rsidRPr="00B84270" w:rsidRDefault="00C64B9A" w:rsidP="00C64B9A">
      <w:pPr>
        <w:spacing w:after="0" w:line="360" w:lineRule="auto"/>
        <w:rPr>
          <w:rFonts w:ascii="Arial" w:hAnsi="Arial" w:cs="Arial"/>
          <w:sz w:val="24"/>
          <w:szCs w:val="24"/>
          <w:lang w:val="en-US"/>
        </w:rPr>
      </w:pPr>
      <w:r w:rsidRPr="00B84270">
        <w:rPr>
          <w:rFonts w:ascii="Arial" w:hAnsi="Arial" w:cs="Arial"/>
          <w:sz w:val="24"/>
          <w:szCs w:val="24"/>
          <w:lang w:val="en-US"/>
        </w:rPr>
        <w:t>Holo-</w:t>
      </w:r>
      <w:proofErr w:type="spellStart"/>
      <w:r w:rsidRPr="00B84270">
        <w:rPr>
          <w:rFonts w:ascii="Arial" w:hAnsi="Arial" w:cs="Arial"/>
          <w:sz w:val="24"/>
          <w:szCs w:val="24"/>
          <w:lang w:val="en-US"/>
        </w:rPr>
        <w:t>Tf</w:t>
      </w:r>
      <w:proofErr w:type="spellEnd"/>
      <w:r w:rsidRPr="00B84270">
        <w:rPr>
          <w:rFonts w:ascii="Arial" w:hAnsi="Arial" w:cs="Arial"/>
          <w:sz w:val="24"/>
          <w:szCs w:val="24"/>
          <w:lang w:val="en-US"/>
        </w:rPr>
        <w:t xml:space="preserve"> was prepared by iron–loading apo-</w:t>
      </w:r>
      <w:proofErr w:type="spellStart"/>
      <w:r w:rsidRPr="00B84270">
        <w:rPr>
          <w:rFonts w:ascii="Arial" w:hAnsi="Arial" w:cs="Arial"/>
          <w:sz w:val="24"/>
          <w:szCs w:val="24"/>
          <w:lang w:val="en-US"/>
        </w:rPr>
        <w:t>Tf</w:t>
      </w:r>
      <w:proofErr w:type="spellEnd"/>
      <w:r w:rsidRPr="00B84270">
        <w:rPr>
          <w:rFonts w:ascii="Arial" w:hAnsi="Arial" w:cs="Arial"/>
          <w:sz w:val="24"/>
          <w:szCs w:val="24"/>
          <w:lang w:val="en-US"/>
        </w:rPr>
        <w:t xml:space="preserve"> using 0.1 M stock solution of ferric citrate, at a final molar concentration equal to twice the transferrin molar concentration. The iron-saturation </w:t>
      </w:r>
      <w:r w:rsidRPr="00B84270">
        <w:rPr>
          <w:rFonts w:ascii="Arial" w:hAnsi="Arial" w:cs="Arial"/>
          <w:sz w:val="24"/>
          <w:szCs w:val="24"/>
          <w:lang w:val="en-US"/>
        </w:rPr>
        <w:lastRenderedPageBreak/>
        <w:t>in 5 g/L holo-</w:t>
      </w:r>
      <w:proofErr w:type="spellStart"/>
      <w:r w:rsidRPr="00B84270">
        <w:rPr>
          <w:rFonts w:ascii="Arial" w:hAnsi="Arial" w:cs="Arial"/>
          <w:sz w:val="24"/>
          <w:szCs w:val="24"/>
          <w:lang w:val="en-US"/>
        </w:rPr>
        <w:t>Tf</w:t>
      </w:r>
      <w:proofErr w:type="spellEnd"/>
      <w:r w:rsidRPr="00B84270">
        <w:rPr>
          <w:rFonts w:ascii="Arial" w:hAnsi="Arial" w:cs="Arial"/>
          <w:sz w:val="24"/>
          <w:szCs w:val="24"/>
          <w:lang w:val="en-US"/>
        </w:rPr>
        <w:t xml:space="preserve"> was assessed by PAGE on 6 M urea gel, as per Evans et al., (1978). Data suggested that 90 % of the protein was </w:t>
      </w:r>
      <w:proofErr w:type="spellStart"/>
      <w:r w:rsidRPr="00B84270">
        <w:rPr>
          <w:rFonts w:ascii="Arial" w:hAnsi="Arial" w:cs="Arial"/>
          <w:sz w:val="24"/>
          <w:szCs w:val="24"/>
          <w:lang w:val="en-US"/>
        </w:rPr>
        <w:t>diferric</w:t>
      </w:r>
      <w:proofErr w:type="spellEnd"/>
      <w:r w:rsidRPr="00B84270">
        <w:rPr>
          <w:rFonts w:ascii="Arial" w:hAnsi="Arial" w:cs="Arial"/>
          <w:sz w:val="24"/>
          <w:szCs w:val="24"/>
          <w:lang w:val="en-US"/>
        </w:rPr>
        <w:t xml:space="preserve"> (supplementary Fig. 2A). Iron content in 5 g/L holo-</w:t>
      </w:r>
      <w:proofErr w:type="spellStart"/>
      <w:r w:rsidRPr="00B84270">
        <w:rPr>
          <w:rFonts w:ascii="Arial" w:hAnsi="Arial" w:cs="Arial"/>
          <w:sz w:val="24"/>
          <w:szCs w:val="24"/>
          <w:lang w:val="en-US"/>
        </w:rPr>
        <w:t>Tf</w:t>
      </w:r>
      <w:proofErr w:type="spellEnd"/>
      <w:r w:rsidRPr="00B84270">
        <w:rPr>
          <w:rFonts w:ascii="Arial" w:hAnsi="Arial" w:cs="Arial"/>
          <w:sz w:val="24"/>
          <w:szCs w:val="24"/>
          <w:lang w:val="en-US"/>
        </w:rPr>
        <w:t xml:space="preserve"> medium was determined by the ferrozine assay, as per Reimer et al., (2004)</w:t>
      </w:r>
      <w:r w:rsidRPr="00B84270">
        <w:rPr>
          <w:rFonts w:ascii="Arial" w:hAnsi="Arial" w:cs="Arial"/>
          <w:sz w:val="24"/>
          <w:szCs w:val="24"/>
          <w:lang w:val="en-US"/>
        </w:rPr>
        <w:fldChar w:fldCharType="begin"/>
      </w:r>
      <w:r w:rsidRPr="00B84270">
        <w:rPr>
          <w:rFonts w:ascii="Arial" w:hAnsi="Arial" w:cs="Arial"/>
          <w:sz w:val="24"/>
          <w:szCs w:val="24"/>
          <w:lang w:val="en-US"/>
        </w:rPr>
        <w:instrText xml:space="preserve"> ADDIN EN.CITE &lt;EndNote&gt;&lt;Cite&gt;&lt;Author&gt;Riemer&lt;/Author&gt;&lt;Year&gt;2004&lt;/Year&gt;&lt;RecNum&gt;33&lt;/RecNum&gt;&lt;DisplayText&gt;(25)&lt;/DisplayText&gt;&lt;record&gt;&lt;rec-number&gt;33&lt;/rec-number&gt;&lt;foreign-keys&gt;&lt;key app="EN" db-id="adx2990acfttvuewxr6v95stz995x0zdp05p" timestamp="0"&gt;33&lt;/key&gt;&lt;/foreign-keys&gt;&lt;ref-type name="Journal Article"&gt;17&lt;/ref-type&gt;&lt;contributors&gt;&lt;authors&gt;&lt;author&gt;Riemer, J.&lt;/author&gt;&lt;author&gt;Hoepken, H. H.&lt;/author&gt;&lt;author&gt;Czerwinska, H.&lt;/author&gt;&lt;author&gt;Robinson, S. R.&lt;/author&gt;&lt;author&gt;Dringen, R.&lt;/author&gt;&lt;/authors&gt;&lt;/contributors&gt;&lt;auth-address&gt;Interfakultares Institut fur Biochemie der Universitat Tubingen, Hoppe-Seyler-Strasse 4, D-72076 Tubingen, Germany.&lt;/auth-address&gt;&lt;titles&gt;&lt;title&gt;Colorimetric ferrozine-based assay for the quantitation of iron in cultured cells&lt;/title&gt;&lt;secondary-title&gt;Anal Biochem&lt;/secondary-title&gt;&lt;/titles&gt;&lt;pages&gt;370-5&lt;/pages&gt;&lt;volume&gt;331&lt;/volume&gt;&lt;number&gt;2&lt;/number&gt;&lt;keywords&gt;&lt;keyword&gt;Animals&lt;/keyword&gt;&lt;keyword&gt;Astrocytes/chemistry&lt;/keyword&gt;&lt;keyword&gt;Cells, Cultured&lt;/keyword&gt;&lt;keyword&gt;Colorimetry/*methods&lt;/keyword&gt;&lt;keyword&gt;Ferrozine/*chemistry&lt;/keyword&gt;&lt;keyword&gt;Iron/*analysis&lt;/keyword&gt;&lt;keyword&gt;Rats&lt;/keyword&gt;&lt;keyword&gt;Rats, Wistar&lt;/keyword&gt;&lt;keyword&gt;Spectrophotometry, Atomic&lt;/keyword&gt;&lt;/keywords&gt;&lt;dates&gt;&lt;year&gt;2004&lt;/year&gt;&lt;pub-dates&gt;&lt;date&gt;Aug 15&lt;/date&gt;&lt;/pub-dates&gt;&lt;/dates&gt;&lt;accession-num&gt;15265744&lt;/accession-num&gt;&lt;urls&gt;&lt;related-urls&gt;&lt;url&gt;http://www.ncbi.nlm.nih.gov/entrez/query.fcgi?cmd=Retrieve&amp;amp;db=PubMed&amp;amp;dopt=Citation&amp;amp;list_uids=15265744 &lt;/url&gt;&lt;/related-urls&gt;&lt;/urls&gt;&lt;/record&gt;&lt;/Cite&gt;&lt;/EndNote&gt;</w:instrText>
      </w:r>
      <w:r w:rsidRPr="00B84270">
        <w:rPr>
          <w:rFonts w:ascii="Arial" w:hAnsi="Arial" w:cs="Arial"/>
          <w:sz w:val="24"/>
          <w:szCs w:val="24"/>
          <w:lang w:val="en-US"/>
        </w:rPr>
        <w:fldChar w:fldCharType="end"/>
      </w:r>
      <w:r w:rsidRPr="00B84270">
        <w:rPr>
          <w:rFonts w:ascii="Arial" w:hAnsi="Arial" w:cs="Arial"/>
          <w:sz w:val="24"/>
          <w:szCs w:val="24"/>
          <w:lang w:val="en-US"/>
        </w:rPr>
        <w:t>, which was 93 % of the expected iron molarity in the holo-</w:t>
      </w:r>
      <w:proofErr w:type="spellStart"/>
      <w:r w:rsidRPr="00B84270">
        <w:rPr>
          <w:rFonts w:ascii="Arial" w:hAnsi="Arial" w:cs="Arial"/>
          <w:sz w:val="24"/>
          <w:szCs w:val="24"/>
          <w:lang w:val="en-US"/>
        </w:rPr>
        <w:t>Tf</w:t>
      </w:r>
      <w:proofErr w:type="spellEnd"/>
      <w:r w:rsidRPr="00B84270">
        <w:rPr>
          <w:rFonts w:ascii="Arial" w:hAnsi="Arial" w:cs="Arial"/>
          <w:sz w:val="24"/>
          <w:szCs w:val="24"/>
          <w:lang w:val="en-US"/>
        </w:rPr>
        <w:t xml:space="preserve"> preparation (supplementary Fig.2B).</w:t>
      </w:r>
    </w:p>
    <w:p w:rsidR="00C64B9A" w:rsidRPr="00B84270" w:rsidRDefault="00C64B9A" w:rsidP="00C64B9A">
      <w:pPr>
        <w:spacing w:after="0" w:line="360" w:lineRule="auto"/>
        <w:rPr>
          <w:rFonts w:ascii="Arial" w:hAnsi="Arial" w:cs="Arial"/>
          <w:b/>
          <w:sz w:val="24"/>
          <w:szCs w:val="24"/>
          <w:lang w:val="en-US"/>
        </w:rPr>
      </w:pPr>
    </w:p>
    <w:p w:rsidR="00C64B9A" w:rsidRPr="00B84270" w:rsidRDefault="006623B1" w:rsidP="00C64B9A">
      <w:pPr>
        <w:spacing w:after="0" w:line="360" w:lineRule="auto"/>
        <w:rPr>
          <w:rFonts w:ascii="Arial" w:hAnsi="Arial" w:cs="Arial"/>
          <w:b/>
          <w:sz w:val="24"/>
          <w:szCs w:val="24"/>
          <w:lang w:val="en-US"/>
        </w:rPr>
      </w:pPr>
      <w:r>
        <w:rPr>
          <w:rFonts w:ascii="Arial" w:hAnsi="Arial" w:cs="Arial"/>
          <w:noProof/>
        </w:rPr>
        <w:pict>
          <v:rect id="_x0000_s1095" style="position:absolute;margin-left:178.9pt;margin-top:3.65pt;width:6.45pt;height:25.45pt;z-index:251682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" filled="f" stroked="f">
            <v:textbox style="mso-fit-shape-to-text:t" inset="0,0,0,0">
              <w:txbxContent>
                <w:p w:rsidR="00967941" w:rsidRDefault="00967941" w:rsidP="00C64B9A"/>
              </w:txbxContent>
            </v:textbox>
          </v:rect>
        </w:pict>
      </w:r>
      <w:r w:rsidR="00C64B9A" w:rsidRPr="00B84270">
        <w:rPr>
          <w:rFonts w:ascii="Arial" w:hAnsi="Arial" w:cs="Arial"/>
          <w:b/>
          <w:sz w:val="24"/>
          <w:szCs w:val="24"/>
          <w:lang w:val="en-US"/>
        </w:rPr>
        <w:t>Supplementary Fig. 3</w:t>
      </w:r>
    </w:p>
    <w:p w:rsidR="00C64B9A" w:rsidRPr="00B84270" w:rsidRDefault="00C64B9A" w:rsidP="00C64B9A">
      <w:pPr>
        <w:spacing w:after="0" w:line="360" w:lineRule="auto"/>
        <w:rPr>
          <w:rFonts w:ascii="Arial" w:hAnsi="Arial" w:cs="Arial"/>
          <w:b/>
          <w:sz w:val="24"/>
          <w:szCs w:val="24"/>
          <w:lang w:val="en-US"/>
        </w:rPr>
      </w:pPr>
    </w:p>
    <w:p w:rsidR="00C64B9A" w:rsidRPr="00B84270" w:rsidRDefault="00C64B9A" w:rsidP="00C64B9A">
      <w:pPr>
        <w:spacing w:after="0" w:line="360" w:lineRule="auto"/>
        <w:rPr>
          <w:rFonts w:ascii="Arial" w:hAnsi="Arial" w:cs="Arial"/>
          <w:b/>
          <w:bCs/>
          <w:sz w:val="24"/>
          <w:szCs w:val="24"/>
          <w:lang w:val="en-US"/>
        </w:rPr>
      </w:pPr>
      <w:r w:rsidRPr="00B84270">
        <w:rPr>
          <w:rFonts w:ascii="Arial" w:hAnsi="Arial" w:cs="Arial"/>
          <w:b/>
          <w:sz w:val="24"/>
          <w:szCs w:val="24"/>
          <w:lang w:val="en-US"/>
        </w:rPr>
        <w:t xml:space="preserve">  A                                                                        B</w:t>
      </w:r>
    </w:p>
    <w:p w:rsidR="00C64B9A" w:rsidRPr="00B84270" w:rsidRDefault="006623B1" w:rsidP="00C64B9A">
      <w:pPr>
        <w:spacing w:after="0" w:line="360" w:lineRule="auto"/>
        <w:rPr>
          <w:rFonts w:ascii="Arial" w:hAnsi="Arial" w:cs="Arial"/>
          <w:b/>
          <w:bCs/>
          <w:sz w:val="24"/>
          <w:szCs w:val="24"/>
          <w:lang w:val="en-US"/>
        </w:rPr>
      </w:pPr>
      <w:r>
        <w:rPr>
          <w:rFonts w:ascii="Arial" w:hAnsi="Arial" w:cs="Arial"/>
          <w:noProof/>
          <w:sz w:val="24"/>
          <w:szCs w:val="24"/>
        </w:rPr>
        <w:pict>
          <v:group id="Group 2" o:spid="_x0000_s1079" style="position:absolute;margin-left:-.25pt;margin-top:14.5pt;width:236.85pt;height:177.75pt;z-index:251678208" coordorigin="4040,8173" coordsize="4737,3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">
            <v:shape id="Text Box 4" o:spid="_x0000_s1080" type="#_x0000_t202" style="position:absolute;left:5614;top:9519;width:3163;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967941" w:rsidRPr="00BD241E" w:rsidRDefault="00967941" w:rsidP="00C64B9A">
                    <w:pPr>
                      <w:rPr>
                        <w:rFonts w:ascii="Arial" w:hAnsi="Arial" w:cs="Arial"/>
                        <w:b/>
                        <w:sz w:val="20"/>
                        <w:szCs w:val="20"/>
                      </w:rPr>
                    </w:pPr>
                    <w:r w:rsidRPr="00BD241E">
                      <w:rPr>
                        <w:rFonts w:ascii="Arial" w:hAnsi="Arial" w:cs="Arial"/>
                        <w:b/>
                        <w:sz w:val="20"/>
                        <w:szCs w:val="20"/>
                      </w:rPr>
                      <w:t>N-</w:t>
                    </w:r>
                    <w:proofErr w:type="spellStart"/>
                    <w:r w:rsidRPr="00BD241E">
                      <w:rPr>
                        <w:rFonts w:ascii="Arial" w:hAnsi="Arial" w:cs="Arial"/>
                        <w:b/>
                        <w:sz w:val="20"/>
                        <w:szCs w:val="20"/>
                      </w:rPr>
                      <w:t>monoferric</w:t>
                    </w:r>
                    <w:proofErr w:type="spellEnd"/>
                    <w:r w:rsidRPr="00BD241E">
                      <w:rPr>
                        <w:rFonts w:ascii="Arial" w:hAnsi="Arial" w:cs="Arial"/>
                        <w:b/>
                        <w:sz w:val="20"/>
                        <w:szCs w:val="20"/>
                      </w:rPr>
                      <w:t xml:space="preserve"> transferrin</w:t>
                    </w:r>
                  </w:p>
                </w:txbxContent>
              </v:textbox>
            </v:shape>
            <v:shape id="Text Box 11" o:spid="_x0000_s1081" type="#_x0000_t202" style="position:absolute;left:5588;top:10042;width:3157;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967941" w:rsidRPr="00BD241E" w:rsidRDefault="00967941" w:rsidP="00C64B9A">
                    <w:pPr>
                      <w:rPr>
                        <w:rFonts w:ascii="Arial" w:hAnsi="Arial" w:cs="Arial"/>
                        <w:b/>
                        <w:sz w:val="20"/>
                        <w:szCs w:val="20"/>
                      </w:rPr>
                    </w:pPr>
                    <w:r w:rsidRPr="00BD241E">
                      <w:rPr>
                        <w:rFonts w:ascii="Arial" w:hAnsi="Arial" w:cs="Arial"/>
                        <w:b/>
                        <w:sz w:val="20"/>
                        <w:szCs w:val="20"/>
                      </w:rPr>
                      <w:t>C-</w:t>
                    </w:r>
                    <w:proofErr w:type="spellStart"/>
                    <w:r w:rsidRPr="00BD241E">
                      <w:rPr>
                        <w:rFonts w:ascii="Arial" w:hAnsi="Arial" w:cs="Arial"/>
                        <w:b/>
                        <w:sz w:val="20"/>
                        <w:szCs w:val="20"/>
                      </w:rPr>
                      <w:t>monoferric</w:t>
                    </w:r>
                    <w:proofErr w:type="spellEnd"/>
                    <w:r w:rsidRPr="00BD241E">
                      <w:rPr>
                        <w:rFonts w:ascii="Arial" w:hAnsi="Arial" w:cs="Arial"/>
                        <w:b/>
                        <w:sz w:val="20"/>
                        <w:szCs w:val="20"/>
                      </w:rPr>
                      <w:t xml:space="preserve"> transferrin</w:t>
                    </w:r>
                  </w:p>
                </w:txbxContent>
              </v:textbox>
            </v:shape>
            <v:shape id="Text Box 12" o:spid="_x0000_s1082" type="#_x0000_t202" style="position:absolute;left:5606;top:11043;width:2523;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967941" w:rsidRPr="00BD241E" w:rsidRDefault="00967941" w:rsidP="00C64B9A">
                    <w:pPr>
                      <w:rPr>
                        <w:rFonts w:ascii="Arial" w:hAnsi="Arial" w:cs="Arial"/>
                        <w:b/>
                        <w:sz w:val="20"/>
                        <w:szCs w:val="20"/>
                      </w:rPr>
                    </w:pPr>
                    <w:proofErr w:type="spellStart"/>
                    <w:r w:rsidRPr="00BD241E">
                      <w:rPr>
                        <w:rFonts w:ascii="Arial" w:hAnsi="Arial" w:cs="Arial"/>
                        <w:b/>
                        <w:sz w:val="20"/>
                        <w:szCs w:val="20"/>
                      </w:rPr>
                      <w:t>Holotransferrin</w:t>
                    </w:r>
                    <w:proofErr w:type="spellEnd"/>
                  </w:p>
                </w:txbxContent>
              </v:textbox>
            </v:shape>
            <v:group id="Group 14" o:spid="_x0000_s1083" style="position:absolute;left:4040;top:8173;width:2070;height:3555" coordorigin="4040,8173" coordsize="2070,3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line id="Line 10" o:spid="_x0000_s1084" style="position:absolute;visibility:visible;mso-wrap-style:square" from="5315,11245" to="5720,11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QM18IAAADaAAAADwAAAGRycy9kb3ducmV2LnhtbESPT2sCMRTE7wW/Q3iCt5rVg9bVKOJS&#10;8GAL/sHzc/PcLG5elk26pt++KRR6HGZ+M8xqE20jeup87VjBZJyBIC6drrlScDm/v76B8AFZY+OY&#10;FHyTh8168LLCXLsnH6k/hUqkEvY5KjAhtLmUvjRk0Y9dS5y8u+sshiS7SuoOn6ncNnKaZTNpsea0&#10;YLClnaHycfqyCuamOMq5LA7nz6KvJ4v4Ea+3hVKjYdwuQQSK4T/8R+914uD3SroB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QM18IAAADaAAAADwAAAAAAAAAAAAAA&#10;AAChAgAAZHJzL2Rvd25yZXYueG1sUEsFBgAAAAAEAAQA+QAAAJADAAAAAA==&#10;">
                <v:stroke endarrow="block"/>
              </v:line>
              <v:group id="Group 13" o:spid="_x0000_s1085" style="position:absolute;left:4040;top:8173;width:2070;height:3555" coordorigin="4014,8173" coordsize="2070,3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Group 5" o:spid="_x0000_s1086" style="position:absolute;left:4014;top:8558;width:2070;height:3170" coordorigin="5225,1705" coordsize="2070,3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87" type="#_x0000_t75" style="position:absolute;left:5225;top:1705;width:1275;height:36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3/KnBAAAA2wAAAA8AAABkcnMvZG93bnJldi54bWxEj0FrAjEQhe8F/0MYobeaVVDK1igqKF61&#10;XrwNm+nu6mayJFFjf71zKPQ2w3vz3jfzZXadulOIrWcD41EBirjytuXawOl7+/EJKiZki51nMvCk&#10;CMvF4G2OpfUPPtD9mGolIRxLNNCk1Jdax6ohh3Hke2LRfnxwmGQNtbYBHxLuOj0pipl22LI0NNjT&#10;pqHqerw5A7vz7Df48fO6inTJZ5rm06ZYG/M+zKsvUIly+jf/Xe+t4Au9/CID6M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u3/KnBAAAA2wAAAA8AAAAAAAAAAAAAAAAAnwIA&#10;AGRycy9kb3ducmV2LnhtbFBLBQYAAAAABAAEAPcAAACNAwAAAAA=&#10;">
                    <v:imagedata r:id="rId34" o:title="" blacklevel="6554f"/>
                  </v:shape>
                  <v:line id="Line 7" o:spid="_x0000_s1088" style="position:absolute;visibility:visible;mso-wrap-style:square" from="6500,3029" to="6905,3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Wtp8IAAADbAAAADwAAAGRycy9kb3ducmV2LnhtbERPS2sCMRC+F/ofwhR6q9n1oHU1irgI&#10;HmrBBz1PN+NmcTNZNnFN/30jFHqbj+85i1W0rRio941jBfkoA0FcOd1wreB82r69g/ABWWPrmBT8&#10;kIfV8vlpgYV2dz7QcAy1SCHsC1RgQugKKX1lyKIfuY44cRfXWwwJ9rXUPd5TuG3lOMsm0mLDqcFg&#10;RxtD1fV4swqmpjzIqSw/Tp/l0OSzuI9f3zOlXl/ieg4iUAz/4j/3Tqf5OTx+SQ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Wtp8IAAADbAAAADwAAAAAAAAAAAAAA&#10;AAChAgAAZHJzL2Rvd25yZXYueG1sUEsFBgAAAAAEAAQA+QAAAJADAAAAAA==&#10;">
                    <v:stroke endarrow="block"/>
                  </v:line>
                  <v:shape id="Text Box 8" o:spid="_x0000_s1089" type="#_x0000_t202" style="position:absolute;left:6830;top:4538;width:465;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967941" w:rsidRPr="003C2434" w:rsidRDefault="00967941" w:rsidP="00C64B9A">
                          <w:pPr>
                            <w:rPr>
                              <w:rFonts w:ascii="Arial" w:hAnsi="Arial" w:cs="Arial"/>
                              <w:sz w:val="20"/>
                              <w:szCs w:val="20"/>
                            </w:rPr>
                          </w:pPr>
                        </w:p>
                      </w:txbxContent>
                    </v:textbox>
                  </v:shape>
                  <v:line id="Line 9" o:spid="_x0000_s1090" style="position:absolute;visibility:visible;mso-wrap-style:square" from="6485,3648" to="6890,3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WS8IAAADbAAAADwAAAGRycy9kb3ducmV2LnhtbERP32vCMBB+F/wfwgl709QN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uWS8IAAADbAAAADwAAAAAAAAAAAAAA&#10;AAChAgAAZHJzL2Rvd25yZXYueG1sUEsFBgAAAAAEAAQA+QAAAJADAAAAAA==&#10;">
                    <v:stroke endarrow="block"/>
                  </v:line>
                </v:group>
                <v:shape id="Text Box 3" o:spid="_x0000_s1091" type="#_x0000_t202" style="position:absolute;left:4040;top:8173;width:1275;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967941" w:rsidRPr="00BD241E" w:rsidRDefault="00967941" w:rsidP="00C64B9A">
                        <w:pPr>
                          <w:rPr>
                            <w:rFonts w:ascii="Arial" w:hAnsi="Arial" w:cs="Arial"/>
                            <w:b/>
                            <w:sz w:val="24"/>
                            <w:szCs w:val="24"/>
                          </w:rPr>
                        </w:pPr>
                        <w:r>
                          <w:rPr>
                            <w:rFonts w:ascii="Arial" w:hAnsi="Arial" w:cs="Arial"/>
                            <w:b/>
                            <w:sz w:val="24"/>
                            <w:szCs w:val="24"/>
                          </w:rPr>
                          <w:t xml:space="preserve"> 1        </w:t>
                        </w:r>
                        <w:r w:rsidRPr="00BD241E">
                          <w:rPr>
                            <w:rFonts w:ascii="Arial" w:hAnsi="Arial" w:cs="Arial"/>
                            <w:b/>
                            <w:sz w:val="24"/>
                            <w:szCs w:val="24"/>
                          </w:rPr>
                          <w:t>2</w:t>
                        </w:r>
                      </w:p>
                    </w:txbxContent>
                  </v:textbox>
                </v:shape>
              </v:group>
            </v:group>
          </v:group>
        </w:pict>
      </w:r>
    </w:p>
    <w:p w:rsidR="00C64B9A" w:rsidRPr="00B84270" w:rsidRDefault="00C64B9A" w:rsidP="00C64B9A">
      <w:pPr>
        <w:spacing w:after="0" w:line="360" w:lineRule="auto"/>
        <w:rPr>
          <w:rFonts w:ascii="Arial" w:hAnsi="Arial" w:cs="Arial"/>
          <w:b/>
          <w:bCs/>
          <w:sz w:val="24"/>
          <w:szCs w:val="24"/>
          <w:lang w:val="en-US"/>
        </w:rPr>
      </w:pPr>
      <w:r w:rsidRPr="00B84270">
        <w:rPr>
          <w:rFonts w:ascii="Arial" w:hAnsi="Arial" w:cs="Arial"/>
          <w:b/>
          <w:bCs/>
          <w:sz w:val="24"/>
          <w:szCs w:val="24"/>
          <w:lang w:val="en-US"/>
        </w:rPr>
        <w:t xml:space="preserve">                                                                   </w:t>
      </w:r>
      <w:r w:rsidRPr="00B84270">
        <w:rPr>
          <w:rFonts w:ascii="Arial" w:hAnsi="Arial" w:cs="Arial"/>
          <w:b/>
          <w:bCs/>
          <w:noProof/>
          <w:sz w:val="24"/>
          <w:szCs w:val="24"/>
        </w:rPr>
        <w:drawing>
          <wp:inline distT="0" distB="0" distL="0" distR="0" wp14:anchorId="793B36C7" wp14:editId="6FB17357">
            <wp:extent cx="3204000" cy="1872000"/>
            <wp:effectExtent l="0" t="0" r="0" b="0"/>
            <wp:docPr id="10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64B9A" w:rsidRPr="00B84270" w:rsidRDefault="00C64B9A" w:rsidP="00C64B9A">
      <w:pPr>
        <w:spacing w:after="0" w:line="360" w:lineRule="auto"/>
        <w:rPr>
          <w:rFonts w:ascii="Arial" w:hAnsi="Arial" w:cs="Arial"/>
          <w:sz w:val="24"/>
          <w:szCs w:val="24"/>
          <w:lang w:val="en-US"/>
        </w:rPr>
      </w:pPr>
    </w:p>
    <w:p w:rsidR="00C64B9A" w:rsidRPr="00B84270" w:rsidRDefault="00C64B9A" w:rsidP="00C64B9A">
      <w:pPr>
        <w:spacing w:after="0" w:line="360" w:lineRule="auto"/>
        <w:rPr>
          <w:rFonts w:ascii="Arial" w:hAnsi="Arial" w:cs="Arial"/>
          <w:b/>
          <w:bCs/>
          <w:sz w:val="24"/>
          <w:szCs w:val="24"/>
          <w:lang w:val="en-US"/>
        </w:rPr>
      </w:pPr>
    </w:p>
    <w:p w:rsidR="00C64B9A" w:rsidRPr="00B84270" w:rsidRDefault="00C64B9A" w:rsidP="00C64B9A">
      <w:pPr>
        <w:spacing w:after="0" w:line="360" w:lineRule="auto"/>
        <w:rPr>
          <w:rFonts w:ascii="Arial" w:hAnsi="Arial" w:cs="Arial"/>
          <w:b/>
          <w:bCs/>
          <w:sz w:val="20"/>
          <w:szCs w:val="20"/>
          <w:lang w:val="en-US"/>
        </w:rPr>
      </w:pPr>
      <w:r w:rsidRPr="00B84270">
        <w:rPr>
          <w:rFonts w:ascii="Arial" w:hAnsi="Arial" w:cs="Arial"/>
          <w:b/>
          <w:bCs/>
          <w:sz w:val="20"/>
          <w:szCs w:val="20"/>
          <w:lang w:val="en-US"/>
        </w:rPr>
        <w:t>Supplementary Fig. 3. Determination of iron saturation and iron concentration of treatment medium.</w:t>
      </w:r>
    </w:p>
    <w:p w:rsidR="00C64B9A" w:rsidRPr="00B84270" w:rsidRDefault="00C64B9A" w:rsidP="00C64B9A">
      <w:pPr>
        <w:spacing w:after="0" w:line="360" w:lineRule="auto"/>
        <w:rPr>
          <w:rFonts w:ascii="Arial" w:hAnsi="Arial" w:cs="Arial"/>
          <w:sz w:val="20"/>
          <w:szCs w:val="20"/>
          <w:lang w:val="en-US"/>
        </w:rPr>
      </w:pPr>
      <w:r w:rsidRPr="00B84270">
        <w:rPr>
          <w:rFonts w:ascii="Arial" w:hAnsi="Arial" w:cs="Arial"/>
          <w:sz w:val="20"/>
          <w:szCs w:val="20"/>
          <w:lang w:val="en-US"/>
        </w:rPr>
        <w:t xml:space="preserve">(A) Iron content in iron-loaded transferrin was determined by 6 M urea PAGE. Lane 1: apo-transferrin; lane 2: 5 g/L </w:t>
      </w:r>
      <w:proofErr w:type="spellStart"/>
      <w:r w:rsidRPr="00B84270">
        <w:rPr>
          <w:rFonts w:ascii="Arial" w:hAnsi="Arial" w:cs="Arial"/>
          <w:sz w:val="20"/>
          <w:szCs w:val="20"/>
          <w:lang w:val="en-US"/>
        </w:rPr>
        <w:t>holotransferrin</w:t>
      </w:r>
      <w:proofErr w:type="spellEnd"/>
      <w:r w:rsidRPr="00B84270">
        <w:rPr>
          <w:rFonts w:ascii="Arial" w:hAnsi="Arial" w:cs="Arial"/>
          <w:sz w:val="20"/>
          <w:szCs w:val="20"/>
          <w:lang w:val="en-US"/>
        </w:rPr>
        <w:t>. The three species of iron-transferrin, C-and N-</w:t>
      </w:r>
      <w:proofErr w:type="spellStart"/>
      <w:r w:rsidRPr="00B84270">
        <w:rPr>
          <w:rFonts w:ascii="Arial" w:hAnsi="Arial" w:cs="Arial"/>
          <w:sz w:val="20"/>
          <w:szCs w:val="20"/>
          <w:lang w:val="en-US"/>
        </w:rPr>
        <w:t>monoferric</w:t>
      </w:r>
      <w:proofErr w:type="spellEnd"/>
      <w:r w:rsidRPr="00B84270">
        <w:rPr>
          <w:rFonts w:ascii="Arial" w:hAnsi="Arial" w:cs="Arial"/>
          <w:sz w:val="20"/>
          <w:szCs w:val="20"/>
          <w:lang w:val="en-US"/>
        </w:rPr>
        <w:t xml:space="preserve"> transferrin and </w:t>
      </w:r>
      <w:proofErr w:type="spellStart"/>
      <w:r w:rsidRPr="00B84270">
        <w:rPr>
          <w:rFonts w:ascii="Arial" w:hAnsi="Arial" w:cs="Arial"/>
          <w:sz w:val="20"/>
          <w:szCs w:val="20"/>
          <w:lang w:val="en-US"/>
        </w:rPr>
        <w:t>holotransferrin</w:t>
      </w:r>
      <w:proofErr w:type="spellEnd"/>
      <w:r w:rsidRPr="00B84270">
        <w:rPr>
          <w:rFonts w:ascii="Arial" w:hAnsi="Arial" w:cs="Arial"/>
          <w:sz w:val="20"/>
          <w:szCs w:val="20"/>
          <w:lang w:val="en-US"/>
        </w:rPr>
        <w:t xml:space="preserve"> can be observed with a major proportion of </w:t>
      </w:r>
      <w:proofErr w:type="spellStart"/>
      <w:r w:rsidRPr="00B84270">
        <w:rPr>
          <w:rFonts w:ascii="Arial" w:hAnsi="Arial" w:cs="Arial"/>
          <w:sz w:val="20"/>
          <w:szCs w:val="20"/>
          <w:lang w:val="en-US"/>
        </w:rPr>
        <w:t>holotransferrin</w:t>
      </w:r>
      <w:proofErr w:type="spellEnd"/>
      <w:r w:rsidRPr="00B84270">
        <w:rPr>
          <w:rFonts w:ascii="Arial" w:hAnsi="Arial" w:cs="Arial"/>
          <w:sz w:val="20"/>
          <w:szCs w:val="20"/>
          <w:lang w:val="en-US"/>
        </w:rPr>
        <w:t>. (B) Measurement of iron concentration in treatment medium confirmed iron concentration of expected morality. 0 g/L corresponds to serum-free and holo-</w:t>
      </w:r>
      <w:proofErr w:type="spellStart"/>
      <w:r w:rsidRPr="00B84270">
        <w:rPr>
          <w:rFonts w:ascii="Arial" w:hAnsi="Arial" w:cs="Arial"/>
          <w:sz w:val="20"/>
          <w:szCs w:val="20"/>
          <w:lang w:val="en-US"/>
        </w:rPr>
        <w:t>Tf</w:t>
      </w:r>
      <w:proofErr w:type="spellEnd"/>
      <w:r w:rsidRPr="00B84270">
        <w:rPr>
          <w:rFonts w:ascii="Arial" w:hAnsi="Arial" w:cs="Arial"/>
          <w:sz w:val="20"/>
          <w:szCs w:val="20"/>
          <w:lang w:val="en-US"/>
        </w:rPr>
        <w:t xml:space="preserve">-free maintenance medium, whereas 5 g/L corresponds to serum-free maintenance medium supplemented </w:t>
      </w:r>
      <w:proofErr w:type="gramStart"/>
      <w:r w:rsidRPr="00B84270">
        <w:rPr>
          <w:rFonts w:ascii="Arial" w:hAnsi="Arial" w:cs="Arial"/>
          <w:sz w:val="20"/>
          <w:szCs w:val="20"/>
          <w:lang w:val="en-US"/>
        </w:rPr>
        <w:t>with  5</w:t>
      </w:r>
      <w:proofErr w:type="gramEnd"/>
      <w:r w:rsidRPr="00B84270">
        <w:rPr>
          <w:rFonts w:ascii="Arial" w:hAnsi="Arial" w:cs="Arial"/>
          <w:sz w:val="20"/>
          <w:szCs w:val="20"/>
          <w:lang w:val="en-US"/>
        </w:rPr>
        <w:t xml:space="preserve"> g/L holo-</w:t>
      </w:r>
      <w:proofErr w:type="spellStart"/>
      <w:r w:rsidRPr="00B84270">
        <w:rPr>
          <w:rFonts w:ascii="Arial" w:hAnsi="Arial" w:cs="Arial"/>
          <w:sz w:val="20"/>
          <w:szCs w:val="20"/>
          <w:lang w:val="en-US"/>
        </w:rPr>
        <w:t>Tf</w:t>
      </w:r>
      <w:proofErr w:type="spellEnd"/>
      <w:r w:rsidRPr="00B84270">
        <w:rPr>
          <w:rFonts w:ascii="Arial" w:hAnsi="Arial" w:cs="Arial"/>
          <w:sz w:val="20"/>
          <w:szCs w:val="20"/>
          <w:lang w:val="en-US"/>
        </w:rPr>
        <w:t>. Data is presented as mean ± SEM (n=3).</w:t>
      </w:r>
    </w:p>
    <w:p w:rsidR="00C64B9A" w:rsidRPr="00B84270" w:rsidRDefault="00C64B9A" w:rsidP="00C64B9A">
      <w:pPr>
        <w:spacing w:after="0" w:line="360" w:lineRule="auto"/>
        <w:rPr>
          <w:rFonts w:ascii="Arial" w:hAnsi="Arial" w:cs="Arial"/>
          <w:b/>
          <w:sz w:val="24"/>
          <w:szCs w:val="24"/>
          <w:lang w:val="en-US"/>
        </w:rPr>
      </w:pPr>
    </w:p>
    <w:p w:rsidR="00C64B9A" w:rsidRPr="00B84270" w:rsidRDefault="00C64B9A" w:rsidP="00C64B9A">
      <w:pPr>
        <w:spacing w:after="0" w:line="360" w:lineRule="auto"/>
        <w:rPr>
          <w:rFonts w:ascii="Arial" w:hAnsi="Arial" w:cs="Arial"/>
          <w:sz w:val="24"/>
          <w:szCs w:val="24"/>
          <w:lang w:val="en-US"/>
        </w:rPr>
      </w:pPr>
      <w:r w:rsidRPr="00B84270">
        <w:rPr>
          <w:rFonts w:ascii="Arial" w:hAnsi="Arial" w:cs="Arial"/>
          <w:b/>
          <w:sz w:val="24"/>
          <w:szCs w:val="24"/>
          <w:lang w:val="en-US"/>
        </w:rPr>
        <w:t xml:space="preserve">Supplementary data-4- Primers </w:t>
      </w:r>
    </w:p>
    <w:p w:rsidR="00C64B9A" w:rsidRPr="00B84270" w:rsidRDefault="00C64B9A" w:rsidP="00C64B9A">
      <w:pPr>
        <w:spacing w:after="0" w:line="360" w:lineRule="auto"/>
        <w:rPr>
          <w:rFonts w:ascii="Arial" w:hAnsi="Arial" w:cs="Arial"/>
          <w:sz w:val="24"/>
          <w:szCs w:val="24"/>
          <w:lang w:val="en-US"/>
        </w:rPr>
      </w:pPr>
      <w:r w:rsidRPr="00B84270">
        <w:rPr>
          <w:rFonts w:ascii="Arial" w:hAnsi="Arial" w:cs="Arial"/>
          <w:sz w:val="24"/>
          <w:szCs w:val="24"/>
          <w:lang w:val="en-US"/>
        </w:rPr>
        <w:t xml:space="preserve">The primers used for RTPCR were AAAATCCGGTGTAGGCACAG (F) and TTAAATGCAGGGACGAAAGG  (R)  for </w:t>
      </w:r>
      <w:r w:rsidRPr="00B84270">
        <w:rPr>
          <w:rFonts w:ascii="Arial" w:hAnsi="Arial" w:cs="Arial"/>
          <w:i/>
          <w:sz w:val="24"/>
          <w:szCs w:val="24"/>
          <w:lang w:val="en-US"/>
        </w:rPr>
        <w:t>TFRC</w:t>
      </w:r>
      <w:r w:rsidRPr="00B84270">
        <w:rPr>
          <w:rFonts w:ascii="Arial" w:hAnsi="Arial" w:cs="Arial"/>
          <w:sz w:val="24"/>
          <w:szCs w:val="24"/>
          <w:lang w:val="en-US"/>
        </w:rPr>
        <w:t xml:space="preserve"> (Mehta et al., 2015), ACAGCCAGACAGACGGCACGA (F)  and TTCGCCTCTGGAACATGGGCATC (R)  for  </w:t>
      </w:r>
      <w:r w:rsidRPr="00B84270">
        <w:rPr>
          <w:rFonts w:ascii="Arial" w:hAnsi="Arial" w:cs="Arial"/>
          <w:i/>
          <w:sz w:val="24"/>
          <w:szCs w:val="24"/>
          <w:lang w:val="en-US"/>
        </w:rPr>
        <w:t>HAMP</w:t>
      </w:r>
      <w:r w:rsidRPr="00B84270">
        <w:rPr>
          <w:rFonts w:ascii="Arial" w:hAnsi="Arial" w:cs="Arial"/>
          <w:sz w:val="24"/>
          <w:szCs w:val="24"/>
          <w:lang w:val="en-US"/>
        </w:rPr>
        <w:t xml:space="preserve">, GCCAAAAGGGTCATCATCTC (F)  and GGTGCTAAGCAGTTGGTGGT (R)  for </w:t>
      </w:r>
      <w:r w:rsidRPr="00B84270">
        <w:rPr>
          <w:rFonts w:ascii="Arial" w:hAnsi="Arial" w:cs="Arial"/>
          <w:i/>
          <w:sz w:val="24"/>
          <w:szCs w:val="24"/>
          <w:lang w:val="en-US"/>
        </w:rPr>
        <w:t>GAPDH</w:t>
      </w:r>
      <w:r w:rsidRPr="00B84270">
        <w:rPr>
          <w:rFonts w:ascii="Arial" w:hAnsi="Arial" w:cs="Arial"/>
          <w:sz w:val="24"/>
          <w:szCs w:val="24"/>
          <w:lang w:val="en-US"/>
        </w:rPr>
        <w:t xml:space="preserve">, TGTTTCTGGTAGAGCTCTAT (F) and GATATAGCAGGAAGTGAGAA (R)  for </w:t>
      </w:r>
      <w:r w:rsidRPr="00B84270">
        <w:rPr>
          <w:rFonts w:ascii="Arial" w:hAnsi="Arial" w:cs="Arial"/>
          <w:i/>
          <w:sz w:val="24"/>
          <w:szCs w:val="24"/>
          <w:lang w:val="en-US"/>
        </w:rPr>
        <w:t xml:space="preserve">SLC40A1 </w:t>
      </w:r>
      <w:r w:rsidRPr="00B84270">
        <w:rPr>
          <w:rFonts w:ascii="Arial" w:hAnsi="Arial" w:cs="Arial"/>
          <w:sz w:val="24"/>
          <w:szCs w:val="24"/>
          <w:lang w:val="en-US"/>
        </w:rPr>
        <w:t>(</w:t>
      </w:r>
      <w:proofErr w:type="spellStart"/>
      <w:r w:rsidRPr="00B84270">
        <w:rPr>
          <w:rFonts w:ascii="Arial" w:hAnsi="Arial" w:cs="Arial"/>
          <w:sz w:val="24"/>
          <w:szCs w:val="24"/>
          <w:lang w:val="en-US"/>
        </w:rPr>
        <w:t>Jacolot</w:t>
      </w:r>
      <w:proofErr w:type="spellEnd"/>
      <w:r w:rsidRPr="00B84270">
        <w:rPr>
          <w:rFonts w:ascii="Arial" w:hAnsi="Arial" w:cs="Arial"/>
          <w:sz w:val="24"/>
          <w:szCs w:val="24"/>
          <w:lang w:val="en-US"/>
        </w:rPr>
        <w:t xml:space="preserve"> et al., 2008)</w:t>
      </w:r>
      <w:r w:rsidRPr="00B84270">
        <w:rPr>
          <w:rFonts w:ascii="Arial" w:hAnsi="Arial" w:cs="Arial"/>
          <w:i/>
          <w:sz w:val="24"/>
          <w:szCs w:val="24"/>
          <w:lang w:val="en-US"/>
        </w:rPr>
        <w:t xml:space="preserve">, </w:t>
      </w:r>
      <w:r w:rsidRPr="00B84270">
        <w:rPr>
          <w:rFonts w:ascii="Arial" w:hAnsi="Arial" w:cs="Arial"/>
          <w:sz w:val="24"/>
          <w:szCs w:val="24"/>
          <w:lang w:val="en-US"/>
        </w:rPr>
        <w:t xml:space="preserve">TGATCTGGGAGCCCTCACC (F) and GACGACAAAAACAGCAATTCC (R) for </w:t>
      </w:r>
      <w:r w:rsidRPr="00B84270">
        <w:rPr>
          <w:rFonts w:ascii="Arial" w:hAnsi="Arial" w:cs="Arial"/>
          <w:i/>
          <w:sz w:val="24"/>
          <w:szCs w:val="24"/>
          <w:lang w:val="en-US"/>
        </w:rPr>
        <w:t>HFE</w:t>
      </w:r>
      <w:r w:rsidRPr="00B84270">
        <w:rPr>
          <w:rFonts w:ascii="Arial" w:hAnsi="Arial" w:cs="Arial"/>
          <w:sz w:val="24"/>
          <w:szCs w:val="24"/>
          <w:lang w:val="en-US"/>
        </w:rPr>
        <w:t xml:space="preserve"> (</w:t>
      </w:r>
      <w:proofErr w:type="spellStart"/>
      <w:r w:rsidRPr="00B84270">
        <w:rPr>
          <w:rFonts w:ascii="Arial" w:hAnsi="Arial" w:cs="Arial"/>
          <w:sz w:val="24"/>
          <w:szCs w:val="24"/>
          <w:lang w:val="en-US"/>
        </w:rPr>
        <w:t>Jacolot</w:t>
      </w:r>
      <w:proofErr w:type="spellEnd"/>
      <w:r w:rsidRPr="00B84270">
        <w:rPr>
          <w:rFonts w:ascii="Arial" w:hAnsi="Arial" w:cs="Arial"/>
          <w:sz w:val="24"/>
          <w:szCs w:val="24"/>
          <w:lang w:val="en-US"/>
        </w:rPr>
        <w:t xml:space="preserve"> et al., 2008), TATACTCCTGGAGCTGGTGC (F) and </w:t>
      </w:r>
      <w:r w:rsidRPr="00B84270">
        <w:rPr>
          <w:rFonts w:ascii="Arial" w:hAnsi="Arial" w:cs="Arial"/>
          <w:sz w:val="24"/>
          <w:szCs w:val="24"/>
          <w:lang w:val="en-US"/>
        </w:rPr>
        <w:lastRenderedPageBreak/>
        <w:t xml:space="preserve">GCACGCTGAGGTAGCCCTCTA (R) for </w:t>
      </w:r>
      <w:r w:rsidRPr="00B84270">
        <w:rPr>
          <w:rFonts w:ascii="Arial" w:hAnsi="Arial" w:cs="Arial"/>
          <w:i/>
          <w:sz w:val="24"/>
          <w:szCs w:val="24"/>
          <w:lang w:val="en-US"/>
        </w:rPr>
        <w:t xml:space="preserve">TFR2 </w:t>
      </w:r>
      <w:r w:rsidRPr="00B84270">
        <w:rPr>
          <w:rFonts w:ascii="Arial" w:hAnsi="Arial" w:cs="Arial"/>
          <w:sz w:val="24"/>
          <w:szCs w:val="24"/>
        </w:rPr>
        <w:fldChar w:fldCharType="begin"/>
      </w:r>
      <w:r w:rsidRPr="00B84270">
        <w:rPr>
          <w:rFonts w:ascii="Arial" w:hAnsi="Arial" w:cs="Arial"/>
          <w:sz w:val="24"/>
          <w:szCs w:val="24"/>
        </w:rPr>
        <w:instrText xml:space="preserve"> ADDIN EN.CITE &lt;EndNote&gt;&lt;Cite&gt;&lt;Author&gt;Rapisarda&lt;/Author&gt;&lt;Year&gt;2010&lt;/Year&gt;&lt;RecNum&gt;95&lt;/RecNum&gt;&lt;DisplayText&gt;(Rapisarda et al., 2010)&lt;/DisplayText&gt;&lt;record&gt;&lt;rec-number&gt;95&lt;/rec-number&gt;&lt;foreign-keys&gt;&lt;key app="EN" db-id="adx2990acfttvuewxr6v95stz995x0zdp05p" timestamp="0"&gt;95&lt;/key&gt;&lt;/foreign-keys&gt;&lt;ref-type name="Journal Article"&gt;17&lt;/ref-type&gt;&lt;contributors&gt;&lt;authors&gt;&lt;author&gt;Rapisarda, C.&lt;/author&gt;&lt;author&gt;Puppi, J.&lt;/author&gt;&lt;author&gt;Hughes, R. D.&lt;/author&gt;&lt;author&gt;Dhawan, A.&lt;/author&gt;&lt;author&gt;Farnaud, S.&lt;/author&gt;&lt;author&gt;Evans, R. W.&lt;/author&gt;&lt;author&gt;Sharp, P. A.&lt;/author&gt;&lt;/authors&gt;&lt;/contributors&gt;&lt;auth-address&gt;King&amp;apos;s College London, UK.&lt;/auth-address&gt;&lt;titles&gt;&lt;title&gt;Transferrin receptor 2 is crucial for iron sensing in human hepatocytes&lt;/title&gt;&lt;secondary-title&gt;Am J Physiol Gastrointest Liver Physiol&lt;/secondary-title&gt;&lt;/titles&gt;&lt;pages&gt;G778-83&lt;/pages&gt;&lt;volume&gt;299&lt;/volume&gt;&lt;number&gt;3&lt;/number&gt;&lt;keywords&gt;&lt;keyword&gt;Antimicrobial Cationic Peptides/genetics/metabolism&lt;/keyword&gt;&lt;keyword&gt;Carcinoma, Hepatocellular/metabolism&lt;/keyword&gt;&lt;keyword&gt;Cell Line, Tumor&lt;/keyword&gt;&lt;keyword&gt;Gene Expression Regulation/*physiology&lt;/keyword&gt;&lt;keyword&gt;Hepatocytes/*metabolism&lt;/keyword&gt;&lt;keyword&gt;Homeostasis&lt;/keyword&gt;&lt;keyword&gt;Humans&lt;/keyword&gt;&lt;keyword&gt;Iron/*metabolism&lt;/keyword&gt;&lt;keyword&gt;Liver Neoplasms/metabolism&lt;/keyword&gt;&lt;keyword&gt;RNA, Messenger/genetics/metabolism&lt;/keyword&gt;&lt;keyword&gt;Receptors, Transferrin/*metabolism&lt;/keyword&gt;&lt;/keywords&gt;&lt;dates&gt;&lt;year&gt;2010&lt;/year&gt;&lt;pub-dates&gt;&lt;date&gt;Sep&lt;/date&gt;&lt;/pub-dates&gt;&lt;/dates&gt;&lt;accession-num&gt;20576915&lt;/accession-num&gt;&lt;urls&gt;&lt;related-urls&gt;&lt;url&gt;http://www.ncbi.nlm.nih.gov/entrez/query.fcgi?cmd=Retrieve&amp;amp;db=PubMed&amp;amp;dopt=Citation&amp;amp;list_uids=20576915 &lt;/url&gt;&lt;/related-urls&gt;&lt;/urls&gt;&lt;/record&gt;&lt;/Cite&gt;&lt;/EndNote&gt;</w:instrText>
      </w:r>
      <w:r w:rsidRPr="00B84270">
        <w:rPr>
          <w:rFonts w:ascii="Arial" w:hAnsi="Arial" w:cs="Arial"/>
          <w:sz w:val="24"/>
          <w:szCs w:val="24"/>
        </w:rPr>
        <w:fldChar w:fldCharType="separate"/>
      </w:r>
      <w:r w:rsidRPr="00B84270">
        <w:rPr>
          <w:rFonts w:ascii="Arial" w:hAnsi="Arial" w:cs="Arial"/>
          <w:noProof/>
          <w:sz w:val="24"/>
          <w:szCs w:val="24"/>
        </w:rPr>
        <w:t>(Rapisarda et al., 2010)</w:t>
      </w:r>
      <w:r w:rsidRPr="00B84270">
        <w:rPr>
          <w:rFonts w:ascii="Arial" w:hAnsi="Arial" w:cs="Arial"/>
          <w:sz w:val="24"/>
          <w:szCs w:val="24"/>
        </w:rPr>
        <w:fldChar w:fldCharType="end"/>
      </w:r>
      <w:r w:rsidRPr="00B84270">
        <w:rPr>
          <w:rFonts w:ascii="Arial" w:hAnsi="Arial" w:cs="Arial"/>
          <w:sz w:val="24"/>
          <w:szCs w:val="24"/>
        </w:rPr>
        <w:t xml:space="preserve">. </w:t>
      </w:r>
      <w:r w:rsidRPr="00B84270">
        <w:rPr>
          <w:rFonts w:ascii="Arial" w:hAnsi="Arial" w:cs="Arial"/>
          <w:sz w:val="24"/>
          <w:szCs w:val="24"/>
          <w:lang w:val="en-US"/>
        </w:rPr>
        <w:t xml:space="preserve">Prior to expression analysis, PCRs using cDNA templates were performed by using </w:t>
      </w:r>
      <w:proofErr w:type="spellStart"/>
      <w:r w:rsidRPr="00B84270">
        <w:rPr>
          <w:rFonts w:ascii="Arial" w:hAnsi="Arial" w:cs="Arial"/>
          <w:sz w:val="24"/>
          <w:szCs w:val="24"/>
          <w:lang w:val="en-US"/>
        </w:rPr>
        <w:t>Taq</w:t>
      </w:r>
      <w:proofErr w:type="spellEnd"/>
      <w:r w:rsidRPr="00B84270">
        <w:rPr>
          <w:rFonts w:ascii="Arial" w:hAnsi="Arial" w:cs="Arial"/>
          <w:sz w:val="24"/>
          <w:szCs w:val="24"/>
          <w:lang w:val="en-US"/>
        </w:rPr>
        <w:t xml:space="preserve"> PCR master mix (Qiagen, UK) as per manufacturer’s instruction. The amplicons were sequenced at </w:t>
      </w:r>
      <w:r w:rsidRPr="00B84270">
        <w:rPr>
          <w:rFonts w:ascii="Arial" w:hAnsi="Arial" w:cs="Arial"/>
          <w:sz w:val="24"/>
          <w:szCs w:val="24"/>
          <w:lang w:val="en-US" w:eastAsia="en-US"/>
        </w:rPr>
        <w:t xml:space="preserve">Wolfson Institute for Biomedical Research (University College London, UK) </w:t>
      </w:r>
      <w:r w:rsidRPr="00B84270">
        <w:rPr>
          <w:rFonts w:ascii="Arial" w:hAnsi="Arial" w:cs="Arial"/>
          <w:sz w:val="24"/>
          <w:szCs w:val="24"/>
          <w:lang w:val="en-US"/>
        </w:rPr>
        <w:t>to confirm product identity.</w:t>
      </w:r>
    </w:p>
    <w:p w:rsidR="00C64B9A" w:rsidRPr="00B84270" w:rsidRDefault="00C64B9A" w:rsidP="00C64B9A">
      <w:pPr>
        <w:spacing w:after="0" w:line="360" w:lineRule="auto"/>
        <w:rPr>
          <w:rFonts w:ascii="Arial" w:hAnsi="Arial" w:cs="Arial"/>
          <w:sz w:val="24"/>
          <w:szCs w:val="24"/>
        </w:rPr>
      </w:pPr>
    </w:p>
    <w:p w:rsidR="00C64B9A" w:rsidRPr="00B84270" w:rsidRDefault="00C64B9A" w:rsidP="00C64B9A">
      <w:pPr>
        <w:spacing w:after="0" w:line="360" w:lineRule="auto"/>
        <w:rPr>
          <w:rFonts w:ascii="Arial" w:hAnsi="Arial" w:cs="Arial"/>
          <w:sz w:val="24"/>
          <w:szCs w:val="24"/>
        </w:rPr>
      </w:pPr>
    </w:p>
    <w:p w:rsidR="00C64B9A" w:rsidRPr="00B84270" w:rsidRDefault="006623B1" w:rsidP="00C64B9A">
      <w:pPr>
        <w:spacing w:after="0" w:line="360" w:lineRule="auto"/>
        <w:rPr>
          <w:rFonts w:ascii="Arial" w:hAnsi="Arial" w:cs="Arial"/>
          <w:b/>
          <w:sz w:val="24"/>
          <w:szCs w:val="24"/>
          <w:lang w:val="en-US"/>
        </w:rPr>
      </w:pPr>
      <w:r>
        <w:rPr>
          <w:rFonts w:ascii="Arial" w:hAnsi="Arial" w:cs="Arial"/>
          <w:noProof/>
        </w:rPr>
        <w:pict>
          <v:rect id="_x0000_s1100" style="position:absolute;margin-left:178.9pt;margin-top:3.65pt;width:6.45pt;height:25.45pt;z-index:251687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" filled="f" stroked="f">
            <v:textbox style="mso-fit-shape-to-text:t" inset="0,0,0,0">
              <w:txbxContent>
                <w:p w:rsidR="00967941" w:rsidRDefault="00967941" w:rsidP="00C64B9A"/>
              </w:txbxContent>
            </v:textbox>
          </v:rect>
        </w:pict>
      </w:r>
      <w:r w:rsidR="00C64B9A" w:rsidRPr="00B84270">
        <w:rPr>
          <w:rFonts w:ascii="Arial" w:hAnsi="Arial" w:cs="Arial"/>
          <w:b/>
          <w:sz w:val="24"/>
          <w:szCs w:val="24"/>
          <w:lang w:val="en-US"/>
        </w:rPr>
        <w:t>Supplementary Fig. 4</w:t>
      </w:r>
    </w:p>
    <w:p w:rsidR="00C64B9A" w:rsidRPr="00B84270" w:rsidRDefault="00C64B9A" w:rsidP="00C64B9A">
      <w:pPr>
        <w:spacing w:after="0" w:line="360" w:lineRule="auto"/>
        <w:rPr>
          <w:rFonts w:ascii="Arial" w:hAnsi="Arial" w:cs="Arial"/>
          <w:b/>
          <w:sz w:val="24"/>
          <w:szCs w:val="24"/>
          <w:lang w:val="en-US"/>
        </w:rPr>
      </w:pPr>
    </w:p>
    <w:p w:rsidR="00C64B9A" w:rsidRPr="00B84270" w:rsidRDefault="00C64B9A" w:rsidP="00C64B9A">
      <w:pPr>
        <w:spacing w:after="0" w:line="240" w:lineRule="auto"/>
        <w:rPr>
          <w:rFonts w:ascii="Times New Roman" w:hAnsi="Times New Roman"/>
          <w:sz w:val="24"/>
          <w:szCs w:val="24"/>
          <w:lang w:val="it-IT"/>
        </w:rPr>
      </w:pPr>
      <w:r w:rsidRPr="00B84270">
        <w:rPr>
          <w:noProof/>
        </w:rPr>
        <w:drawing>
          <wp:anchor distT="0" distB="0" distL="114300" distR="114300" simplePos="0" relativeHeight="251621888" behindDoc="0" locked="0" layoutInCell="1" allowOverlap="1" wp14:anchorId="05A2C4F9" wp14:editId="506B3B61">
            <wp:simplePos x="0" y="0"/>
            <wp:positionH relativeFrom="column">
              <wp:posOffset>983615</wp:posOffset>
            </wp:positionH>
            <wp:positionV relativeFrom="paragraph">
              <wp:posOffset>145415</wp:posOffset>
            </wp:positionV>
            <wp:extent cx="4352925" cy="1400175"/>
            <wp:effectExtent l="19050" t="0" r="0" b="0"/>
            <wp:wrapNone/>
            <wp:docPr id="165" name="Picture 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1"/>
                    <pic:cNvPicPr>
                      <a:picLocks noChangeAspect="1" noChangeArrowheads="1"/>
                    </pic:cNvPicPr>
                  </pic:nvPicPr>
                  <pic:blipFill>
                    <a:blip r:embed="rId36" cstate="print">
                      <a:extLst>
                        <a:ext uri="{28A0092B-C50C-407E-A947-70E740481C1C}">
                          <a14:useLocalDpi xmlns:a14="http://schemas.microsoft.com/office/drawing/2010/main" val="0"/>
                        </a:ext>
                      </a:extLst>
                    </a:blip>
                    <a:srcRect t="3271" b="72379"/>
                    <a:stretch>
                      <a:fillRect/>
                    </a:stretch>
                  </pic:blipFill>
                  <pic:spPr bwMode="auto">
                    <a:xfrm>
                      <a:off x="0" y="0"/>
                      <a:ext cx="4352925" cy="1400175"/>
                    </a:xfrm>
                    <a:prstGeom prst="rect">
                      <a:avLst/>
                    </a:prstGeom>
                    <a:noFill/>
                    <a:ln>
                      <a:noFill/>
                    </a:ln>
                  </pic:spPr>
                </pic:pic>
              </a:graphicData>
            </a:graphic>
          </wp:anchor>
        </w:drawing>
      </w:r>
      <w:r w:rsidRPr="00B84270">
        <w:rPr>
          <w:rFonts w:ascii="Times New Roman" w:hAnsi="Times New Roman"/>
          <w:b/>
          <w:sz w:val="24"/>
          <w:szCs w:val="24"/>
          <w:lang w:val="it-IT"/>
        </w:rPr>
        <w:t xml:space="preserve">                                   </w:t>
      </w:r>
    </w:p>
    <w:p w:rsidR="00C64B9A" w:rsidRPr="00B84270" w:rsidRDefault="006623B1" w:rsidP="00C64B9A">
      <w:pPr>
        <w:spacing w:after="0" w:line="240" w:lineRule="auto"/>
        <w:rPr>
          <w:rFonts w:ascii="Times New Roman" w:hAnsi="Times New Roman"/>
          <w:sz w:val="24"/>
          <w:szCs w:val="24"/>
          <w:lang w:val="it-IT"/>
        </w:rPr>
      </w:pPr>
      <w:r>
        <w:rPr>
          <w:rFonts w:ascii="Arial" w:hAnsi="Arial" w:cs="Arial"/>
          <w:noProof/>
        </w:rPr>
        <w:pict>
          <v:shape id="_x0000_s1102" type="#_x0000_t202" style="position:absolute;margin-left:39.6pt;margin-top:10.4pt;width:26.6pt;height:19.5pt;z-index:251689472">
            <v:textbox>
              <w:txbxContent>
                <w:p w:rsidR="00967941" w:rsidRPr="000130E3" w:rsidRDefault="00967941" w:rsidP="00C64B9A">
                  <w:pPr>
                    <w:rPr>
                      <w:b/>
                      <w:sz w:val="24"/>
                      <w:szCs w:val="24"/>
                    </w:rPr>
                  </w:pPr>
                  <w:r w:rsidRPr="000130E3">
                    <w:rPr>
                      <w:b/>
                      <w:sz w:val="24"/>
                      <w:szCs w:val="24"/>
                    </w:rPr>
                    <w:t>A</w:t>
                  </w:r>
                </w:p>
              </w:txbxContent>
            </v:textbox>
          </v:shape>
        </w:pict>
      </w:r>
    </w:p>
    <w:p w:rsidR="00C64B9A" w:rsidRPr="00B84270" w:rsidRDefault="00C64B9A" w:rsidP="00C64B9A">
      <w:pPr>
        <w:spacing w:after="0" w:line="240" w:lineRule="auto"/>
        <w:rPr>
          <w:rFonts w:ascii="Times New Roman" w:hAnsi="Times New Roman"/>
          <w:sz w:val="24"/>
          <w:szCs w:val="24"/>
          <w:lang w:val="it-IT"/>
        </w:rPr>
      </w:pPr>
    </w:p>
    <w:p w:rsidR="00C64B9A" w:rsidRPr="00B84270" w:rsidRDefault="00C64B9A" w:rsidP="00C64B9A">
      <w:pPr>
        <w:spacing w:after="0" w:line="240" w:lineRule="auto"/>
        <w:rPr>
          <w:rFonts w:ascii="Times New Roman" w:hAnsi="Times New Roman"/>
          <w:sz w:val="24"/>
          <w:szCs w:val="24"/>
          <w:lang w:val="it-IT"/>
        </w:rPr>
      </w:pPr>
    </w:p>
    <w:p w:rsidR="00C64B9A" w:rsidRPr="00B84270" w:rsidRDefault="00C64B9A" w:rsidP="00C64B9A">
      <w:pPr>
        <w:spacing w:after="0" w:line="240" w:lineRule="auto"/>
        <w:rPr>
          <w:rFonts w:ascii="Times New Roman" w:hAnsi="Times New Roman"/>
          <w:b/>
          <w:sz w:val="24"/>
          <w:szCs w:val="24"/>
          <w:lang w:val="it-IT"/>
        </w:rPr>
      </w:pPr>
    </w:p>
    <w:p w:rsidR="00C64B9A" w:rsidRPr="00B84270" w:rsidRDefault="00C64B9A" w:rsidP="00C64B9A">
      <w:pPr>
        <w:spacing w:after="0" w:line="240" w:lineRule="auto"/>
        <w:rPr>
          <w:rFonts w:ascii="Times New Roman" w:hAnsi="Times New Roman"/>
          <w:b/>
          <w:sz w:val="24"/>
          <w:szCs w:val="24"/>
          <w:lang w:val="it-IT"/>
        </w:rPr>
      </w:pPr>
    </w:p>
    <w:p w:rsidR="00C64B9A" w:rsidRPr="00B84270" w:rsidRDefault="00C64B9A" w:rsidP="00C64B9A">
      <w:pPr>
        <w:spacing w:after="0" w:line="240" w:lineRule="auto"/>
        <w:rPr>
          <w:rFonts w:ascii="Times New Roman" w:hAnsi="Times New Roman"/>
          <w:b/>
          <w:sz w:val="24"/>
          <w:szCs w:val="24"/>
          <w:lang w:val="it-IT"/>
        </w:rPr>
      </w:pPr>
    </w:p>
    <w:p w:rsidR="00C64B9A" w:rsidRPr="00B84270" w:rsidRDefault="00C64B9A" w:rsidP="00C64B9A">
      <w:pPr>
        <w:spacing w:after="0" w:line="240" w:lineRule="auto"/>
        <w:rPr>
          <w:rFonts w:ascii="Times New Roman" w:hAnsi="Times New Roman"/>
          <w:b/>
          <w:sz w:val="24"/>
          <w:szCs w:val="24"/>
          <w:lang w:val="it-IT"/>
        </w:rPr>
      </w:pPr>
    </w:p>
    <w:p w:rsidR="00C64B9A" w:rsidRPr="00B84270" w:rsidRDefault="00C64B9A" w:rsidP="00C64B9A">
      <w:pPr>
        <w:spacing w:after="0" w:line="240" w:lineRule="auto"/>
        <w:rPr>
          <w:rFonts w:ascii="Times New Roman" w:hAnsi="Times New Roman"/>
          <w:b/>
          <w:sz w:val="24"/>
          <w:szCs w:val="24"/>
          <w:lang w:val="it-IT"/>
        </w:rPr>
      </w:pPr>
    </w:p>
    <w:p w:rsidR="00C64B9A" w:rsidRPr="00B84270" w:rsidRDefault="006623B1" w:rsidP="00C64B9A">
      <w:pPr>
        <w:spacing w:after="0" w:line="240" w:lineRule="auto"/>
        <w:rPr>
          <w:rFonts w:ascii="Times New Roman" w:hAnsi="Times New Roman"/>
          <w:b/>
          <w:sz w:val="24"/>
          <w:szCs w:val="24"/>
          <w:lang w:val="it-IT"/>
        </w:rPr>
      </w:pPr>
      <w:r>
        <w:rPr>
          <w:rFonts w:ascii="Times New Roman" w:hAnsi="Times New Roman"/>
          <w:b/>
          <w:noProof/>
          <w:sz w:val="24"/>
          <w:szCs w:val="24"/>
        </w:rPr>
        <w:pict>
          <v:shape id="_x0000_s1103" type="#_x0000_t202" style="position:absolute;margin-left:39.6pt;margin-top:10.25pt;width:26.6pt;height:19.5pt;z-index:251690496">
            <v:textbox>
              <w:txbxContent>
                <w:p w:rsidR="00967941" w:rsidRPr="000130E3" w:rsidRDefault="00967941" w:rsidP="00C64B9A">
                  <w:pPr>
                    <w:rPr>
                      <w:b/>
                      <w:sz w:val="24"/>
                      <w:szCs w:val="24"/>
                    </w:rPr>
                  </w:pPr>
                  <w:r w:rsidRPr="000130E3">
                    <w:rPr>
                      <w:b/>
                      <w:sz w:val="24"/>
                      <w:szCs w:val="24"/>
                    </w:rPr>
                    <w:t>B</w:t>
                  </w:r>
                </w:p>
              </w:txbxContent>
            </v:textbox>
          </v:shape>
        </w:pict>
      </w:r>
      <w:r w:rsidR="00C64B9A" w:rsidRPr="00B84270">
        <w:rPr>
          <w:rFonts w:ascii="Times New Roman" w:hAnsi="Times New Roman"/>
          <w:b/>
          <w:noProof/>
          <w:sz w:val="24"/>
          <w:szCs w:val="24"/>
        </w:rPr>
        <w:drawing>
          <wp:anchor distT="0" distB="0" distL="114300" distR="114300" simplePos="0" relativeHeight="251622912" behindDoc="0" locked="0" layoutInCell="1" allowOverlap="1" wp14:anchorId="3CD1D78C" wp14:editId="5946F17F">
            <wp:simplePos x="0" y="0"/>
            <wp:positionH relativeFrom="column">
              <wp:posOffset>964565</wp:posOffset>
            </wp:positionH>
            <wp:positionV relativeFrom="paragraph">
              <wp:posOffset>63500</wp:posOffset>
            </wp:positionV>
            <wp:extent cx="4371975" cy="1476375"/>
            <wp:effectExtent l="19050" t="0" r="9525" b="0"/>
            <wp:wrapNone/>
            <wp:docPr id="164" name="Picture 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1"/>
                    <pic:cNvPicPr>
                      <a:picLocks noChangeAspect="1" noChangeArrowheads="1"/>
                    </pic:cNvPicPr>
                  </pic:nvPicPr>
                  <pic:blipFill>
                    <a:blip r:embed="rId36" cstate="print">
                      <a:extLst>
                        <a:ext uri="{28A0092B-C50C-407E-A947-70E740481C1C}">
                          <a14:useLocalDpi xmlns:a14="http://schemas.microsoft.com/office/drawing/2010/main" val="0"/>
                        </a:ext>
                      </a:extLst>
                    </a:blip>
                    <a:srcRect t="33528" b="39665"/>
                    <a:stretch>
                      <a:fillRect/>
                    </a:stretch>
                  </pic:blipFill>
                  <pic:spPr bwMode="auto">
                    <a:xfrm>
                      <a:off x="0" y="0"/>
                      <a:ext cx="4371975" cy="1476375"/>
                    </a:xfrm>
                    <a:prstGeom prst="rect">
                      <a:avLst/>
                    </a:prstGeom>
                    <a:noFill/>
                    <a:ln>
                      <a:noFill/>
                    </a:ln>
                  </pic:spPr>
                </pic:pic>
              </a:graphicData>
            </a:graphic>
          </wp:anchor>
        </w:drawing>
      </w:r>
    </w:p>
    <w:p w:rsidR="00C64B9A" w:rsidRPr="00B84270" w:rsidRDefault="00C64B9A" w:rsidP="00C64B9A">
      <w:pPr>
        <w:spacing w:after="0" w:line="240" w:lineRule="auto"/>
        <w:rPr>
          <w:rFonts w:ascii="Times New Roman" w:hAnsi="Times New Roman"/>
          <w:b/>
          <w:sz w:val="24"/>
          <w:szCs w:val="24"/>
          <w:lang w:val="it-IT"/>
        </w:rPr>
      </w:pPr>
    </w:p>
    <w:p w:rsidR="00C64B9A" w:rsidRPr="00B84270" w:rsidRDefault="00C64B9A" w:rsidP="00C64B9A">
      <w:pPr>
        <w:spacing w:after="0" w:line="240" w:lineRule="auto"/>
        <w:rPr>
          <w:rFonts w:ascii="Times New Roman" w:hAnsi="Times New Roman"/>
          <w:b/>
          <w:sz w:val="24"/>
          <w:szCs w:val="24"/>
          <w:lang w:val="it-IT"/>
        </w:rPr>
      </w:pPr>
    </w:p>
    <w:p w:rsidR="00C64B9A" w:rsidRPr="00B84270" w:rsidRDefault="00C64B9A" w:rsidP="00C64B9A">
      <w:pPr>
        <w:spacing w:after="0" w:line="240" w:lineRule="auto"/>
        <w:rPr>
          <w:rFonts w:ascii="Times New Roman" w:hAnsi="Times New Roman"/>
          <w:b/>
          <w:sz w:val="24"/>
          <w:szCs w:val="24"/>
          <w:lang w:val="it-IT"/>
        </w:rPr>
      </w:pPr>
    </w:p>
    <w:p w:rsidR="00C64B9A" w:rsidRPr="00B84270" w:rsidRDefault="00C64B9A" w:rsidP="00C64B9A">
      <w:pPr>
        <w:spacing w:after="0" w:line="240" w:lineRule="auto"/>
        <w:rPr>
          <w:rFonts w:ascii="Times New Roman" w:hAnsi="Times New Roman"/>
          <w:b/>
          <w:sz w:val="24"/>
          <w:szCs w:val="24"/>
          <w:lang w:val="it-IT"/>
        </w:rPr>
      </w:pPr>
    </w:p>
    <w:p w:rsidR="00C64B9A" w:rsidRPr="00B84270" w:rsidRDefault="00C64B9A" w:rsidP="00C64B9A">
      <w:pPr>
        <w:spacing w:after="0" w:line="240" w:lineRule="auto"/>
        <w:rPr>
          <w:rFonts w:ascii="Times New Roman" w:hAnsi="Times New Roman"/>
          <w:b/>
          <w:sz w:val="24"/>
          <w:szCs w:val="24"/>
          <w:lang w:val="it-IT"/>
        </w:rPr>
      </w:pPr>
    </w:p>
    <w:p w:rsidR="00C64B9A" w:rsidRPr="00B84270" w:rsidRDefault="00C64B9A" w:rsidP="00C64B9A">
      <w:pPr>
        <w:spacing w:after="0" w:line="240" w:lineRule="auto"/>
        <w:rPr>
          <w:rFonts w:ascii="Times New Roman" w:hAnsi="Times New Roman"/>
          <w:sz w:val="24"/>
          <w:szCs w:val="24"/>
          <w:lang w:val="it-IT"/>
        </w:rPr>
      </w:pPr>
      <w:r w:rsidRPr="00B84270">
        <w:rPr>
          <w:rFonts w:ascii="Times New Roman" w:hAnsi="Times New Roman"/>
          <w:b/>
          <w:sz w:val="24"/>
          <w:szCs w:val="24"/>
          <w:lang w:val="it-IT"/>
        </w:rPr>
        <w:t xml:space="preserve">                                   </w:t>
      </w:r>
    </w:p>
    <w:p w:rsidR="00C64B9A" w:rsidRPr="00B84270" w:rsidRDefault="00C64B9A" w:rsidP="00C64B9A">
      <w:pPr>
        <w:tabs>
          <w:tab w:val="left" w:pos="9390"/>
        </w:tabs>
        <w:spacing w:after="0" w:line="240" w:lineRule="auto"/>
        <w:rPr>
          <w:rFonts w:ascii="Times New Roman" w:hAnsi="Times New Roman"/>
          <w:sz w:val="24"/>
          <w:szCs w:val="24"/>
          <w:lang w:val="it-IT"/>
        </w:rPr>
      </w:pPr>
    </w:p>
    <w:p w:rsidR="00C64B9A" w:rsidRPr="00B84270" w:rsidRDefault="006623B1" w:rsidP="00C64B9A">
      <w:pPr>
        <w:tabs>
          <w:tab w:val="left" w:pos="9390"/>
        </w:tabs>
        <w:spacing w:after="0" w:line="240" w:lineRule="auto"/>
        <w:rPr>
          <w:rFonts w:ascii="Times New Roman" w:hAnsi="Times New Roman"/>
          <w:sz w:val="24"/>
          <w:szCs w:val="24"/>
          <w:lang w:val="it-IT"/>
        </w:rPr>
      </w:pPr>
      <w:r>
        <w:rPr>
          <w:rFonts w:ascii="Times New Roman" w:hAnsi="Times New Roman"/>
          <w:b/>
          <w:noProof/>
          <w:sz w:val="24"/>
          <w:szCs w:val="24"/>
          <w:lang w:val="it-IT" w:eastAsia="zh-TW"/>
        </w:rPr>
        <w:pict>
          <v:shape id="_x0000_s1101" type="#_x0000_t202" style="position:absolute;margin-left:77.1pt;margin-top:.4pt;width:353.15pt;height:21.3pt;z-index:251688448;mso-width-relative:margin;mso-height-relative:margin" stroked="f">
            <v:textbox style="mso-next-textbox:#_x0000_s1101">
              <w:txbxContent>
                <w:p w:rsidR="00967941" w:rsidRPr="00E60DB3" w:rsidRDefault="00967941" w:rsidP="00C64B9A">
                  <w:pPr>
                    <w:rPr>
                      <w:b/>
                      <w:sz w:val="24"/>
                      <w:szCs w:val="24"/>
                    </w:rPr>
                  </w:pPr>
                  <w:r w:rsidRPr="00E60DB3">
                    <w:rPr>
                      <w:sz w:val="24"/>
                      <w:szCs w:val="24"/>
                    </w:rPr>
                    <w:t xml:space="preserve">              </w:t>
                  </w:r>
                  <w:r w:rsidRPr="00E60DB3">
                    <w:rPr>
                      <w:b/>
                      <w:sz w:val="24"/>
                      <w:szCs w:val="24"/>
                    </w:rPr>
                    <w:t xml:space="preserve">Basal                                 24 h (5 g/L)                  </w:t>
                  </w:r>
                  <w:r>
                    <w:rPr>
                      <w:b/>
                      <w:sz w:val="24"/>
                      <w:szCs w:val="24"/>
                    </w:rPr>
                    <w:t xml:space="preserve">  </w:t>
                  </w:r>
                  <w:r w:rsidRPr="00E60DB3">
                    <w:rPr>
                      <w:b/>
                      <w:sz w:val="24"/>
                      <w:szCs w:val="24"/>
                    </w:rPr>
                    <w:t xml:space="preserve">  48 (5 g/L) </w:t>
                  </w:r>
                </w:p>
              </w:txbxContent>
            </v:textbox>
          </v:shape>
        </w:pict>
      </w:r>
    </w:p>
    <w:p w:rsidR="00C64B9A" w:rsidRPr="00B84270" w:rsidRDefault="00C64B9A" w:rsidP="00C64B9A">
      <w:pPr>
        <w:tabs>
          <w:tab w:val="left" w:pos="9390"/>
        </w:tabs>
        <w:spacing w:after="0" w:line="240" w:lineRule="auto"/>
        <w:rPr>
          <w:rFonts w:ascii="Times New Roman" w:hAnsi="Times New Roman"/>
          <w:b/>
          <w:sz w:val="24"/>
          <w:szCs w:val="24"/>
        </w:rPr>
      </w:pPr>
    </w:p>
    <w:p w:rsidR="00C64B9A" w:rsidRPr="00B84270" w:rsidRDefault="00C64B9A" w:rsidP="00C64B9A">
      <w:pPr>
        <w:tabs>
          <w:tab w:val="left" w:pos="9390"/>
        </w:tabs>
        <w:spacing w:after="0" w:line="240" w:lineRule="auto"/>
        <w:rPr>
          <w:rFonts w:ascii="Times New Roman" w:hAnsi="Times New Roman"/>
          <w:b/>
          <w:sz w:val="24"/>
          <w:szCs w:val="24"/>
        </w:rPr>
      </w:pPr>
      <w:r w:rsidRPr="00B84270">
        <w:rPr>
          <w:rFonts w:ascii="Times New Roman" w:hAnsi="Times New Roman"/>
          <w:b/>
          <w:sz w:val="24"/>
          <w:szCs w:val="24"/>
        </w:rPr>
        <w:t xml:space="preserve">                          </w:t>
      </w:r>
    </w:p>
    <w:p w:rsidR="00C64B9A" w:rsidRPr="00B84270" w:rsidRDefault="00C64B9A" w:rsidP="00C64B9A">
      <w:pPr>
        <w:spacing w:after="0" w:line="360" w:lineRule="auto"/>
        <w:rPr>
          <w:rFonts w:ascii="Arial" w:hAnsi="Arial" w:cs="Arial"/>
          <w:b/>
          <w:sz w:val="20"/>
          <w:szCs w:val="20"/>
          <w:lang w:val="en-US"/>
        </w:rPr>
      </w:pPr>
      <w:r w:rsidRPr="00B84270">
        <w:rPr>
          <w:rFonts w:ascii="Arial" w:hAnsi="Arial" w:cs="Arial"/>
          <w:b/>
          <w:sz w:val="20"/>
          <w:szCs w:val="20"/>
          <w:lang w:val="en-US"/>
        </w:rPr>
        <w:t xml:space="preserve">Supplementary Fig 4. Cell-surface TfR1 in rec-TfR1 HepG2 cells </w:t>
      </w:r>
    </w:p>
    <w:p w:rsidR="00C64B9A" w:rsidRPr="00B84270" w:rsidRDefault="00C64B9A" w:rsidP="00C64B9A">
      <w:pPr>
        <w:spacing w:after="0" w:line="360" w:lineRule="auto"/>
        <w:rPr>
          <w:rFonts w:ascii="Arial" w:hAnsi="Arial" w:cs="Arial"/>
          <w:sz w:val="20"/>
          <w:szCs w:val="20"/>
          <w:lang w:val="en-US"/>
        </w:rPr>
      </w:pPr>
      <w:r w:rsidRPr="00B84270">
        <w:rPr>
          <w:rFonts w:ascii="Arial" w:hAnsi="Arial" w:cs="Arial"/>
          <w:sz w:val="20"/>
          <w:szCs w:val="20"/>
          <w:lang w:val="en-US"/>
        </w:rPr>
        <w:t xml:space="preserve">Cell-surface TfR1 expression were assessed by flow cytometry, as explained in the methods. Representative images of </w:t>
      </w:r>
      <w:proofErr w:type="spellStart"/>
      <w:r w:rsidRPr="00B84270">
        <w:rPr>
          <w:rFonts w:ascii="Arial" w:hAnsi="Arial" w:cs="Arial"/>
          <w:sz w:val="20"/>
          <w:szCs w:val="20"/>
          <w:lang w:val="en-US"/>
        </w:rPr>
        <w:t>Wt</w:t>
      </w:r>
      <w:proofErr w:type="spellEnd"/>
      <w:r w:rsidRPr="00B84270">
        <w:rPr>
          <w:rFonts w:ascii="Arial" w:hAnsi="Arial" w:cs="Arial"/>
          <w:sz w:val="20"/>
          <w:szCs w:val="20"/>
          <w:lang w:val="en-US"/>
        </w:rPr>
        <w:t xml:space="preserve"> HepG2 cells (panel A) and rec-TfR1 HepG2 cells (panel B) following different treatments are shown. </w:t>
      </w:r>
    </w:p>
    <w:p w:rsidR="00C64B9A" w:rsidRPr="00B84270" w:rsidRDefault="00C64B9A" w:rsidP="005510CB">
      <w:pPr>
        <w:spacing w:after="0" w:line="360" w:lineRule="auto"/>
        <w:rPr>
          <w:rFonts w:ascii="Arial" w:hAnsi="Arial" w:cs="Arial"/>
          <w:sz w:val="24"/>
          <w:szCs w:val="24"/>
          <w:lang w:val="en-US"/>
        </w:rPr>
      </w:pPr>
    </w:p>
    <w:p w:rsidR="00C64B9A" w:rsidRPr="00B84270" w:rsidRDefault="00C64B9A" w:rsidP="005510CB">
      <w:pPr>
        <w:spacing w:after="0" w:line="360" w:lineRule="auto"/>
        <w:rPr>
          <w:rFonts w:ascii="Arial" w:hAnsi="Arial" w:cs="Arial"/>
          <w:sz w:val="24"/>
          <w:szCs w:val="24"/>
          <w:lang w:val="en-US"/>
        </w:rPr>
      </w:pPr>
    </w:p>
    <w:p w:rsidR="00C64B9A" w:rsidRPr="00B84270" w:rsidRDefault="00C64B9A" w:rsidP="005510CB">
      <w:pPr>
        <w:spacing w:after="0" w:line="360" w:lineRule="auto"/>
        <w:rPr>
          <w:rFonts w:ascii="Arial" w:hAnsi="Arial" w:cs="Arial"/>
          <w:sz w:val="24"/>
          <w:szCs w:val="24"/>
          <w:lang w:val="en-US"/>
        </w:rPr>
      </w:pPr>
    </w:p>
    <w:p w:rsidR="00C64B9A" w:rsidRPr="00B84270" w:rsidRDefault="00C64B9A" w:rsidP="005510CB">
      <w:pPr>
        <w:spacing w:after="0" w:line="360" w:lineRule="auto"/>
        <w:rPr>
          <w:rFonts w:ascii="Arial" w:hAnsi="Arial" w:cs="Arial"/>
          <w:sz w:val="24"/>
          <w:szCs w:val="24"/>
          <w:lang w:val="en-US"/>
        </w:rPr>
      </w:pPr>
    </w:p>
    <w:p w:rsidR="00C64B9A" w:rsidRPr="00B84270" w:rsidRDefault="00C64B9A" w:rsidP="005510CB">
      <w:pPr>
        <w:spacing w:after="0" w:line="360" w:lineRule="auto"/>
        <w:rPr>
          <w:rFonts w:ascii="Arial" w:hAnsi="Arial" w:cs="Arial"/>
          <w:sz w:val="24"/>
          <w:szCs w:val="24"/>
          <w:lang w:val="en-US"/>
        </w:rPr>
      </w:pPr>
    </w:p>
    <w:p w:rsidR="00C64B9A" w:rsidRPr="00B84270" w:rsidRDefault="00C64B9A" w:rsidP="005510CB">
      <w:pPr>
        <w:spacing w:after="0" w:line="360" w:lineRule="auto"/>
        <w:rPr>
          <w:rFonts w:ascii="Arial" w:hAnsi="Arial" w:cs="Arial"/>
          <w:sz w:val="24"/>
          <w:szCs w:val="24"/>
          <w:lang w:val="en-US"/>
        </w:rPr>
      </w:pPr>
    </w:p>
    <w:p w:rsidR="00C64B9A" w:rsidRPr="00B84270" w:rsidRDefault="00C64B9A" w:rsidP="005510CB">
      <w:pPr>
        <w:spacing w:after="0" w:line="360" w:lineRule="auto"/>
        <w:rPr>
          <w:rFonts w:ascii="Arial" w:hAnsi="Arial" w:cs="Arial"/>
          <w:sz w:val="24"/>
          <w:szCs w:val="24"/>
          <w:lang w:val="en-US"/>
        </w:rPr>
      </w:pPr>
    </w:p>
    <w:p w:rsidR="00C64B9A" w:rsidRPr="00B84270" w:rsidRDefault="00C64B9A" w:rsidP="005510CB">
      <w:pPr>
        <w:spacing w:after="0" w:line="360" w:lineRule="auto"/>
        <w:rPr>
          <w:rFonts w:ascii="Arial" w:hAnsi="Arial" w:cs="Arial"/>
          <w:sz w:val="24"/>
          <w:szCs w:val="24"/>
          <w:lang w:val="en-US"/>
        </w:rPr>
      </w:pPr>
    </w:p>
    <w:p w:rsidR="00C64B9A" w:rsidRPr="00B84270" w:rsidRDefault="00C64B9A" w:rsidP="005510CB">
      <w:pPr>
        <w:spacing w:after="0" w:line="360" w:lineRule="auto"/>
        <w:rPr>
          <w:rFonts w:ascii="Arial" w:hAnsi="Arial" w:cs="Arial"/>
          <w:sz w:val="24"/>
          <w:szCs w:val="24"/>
          <w:lang w:val="en-US"/>
        </w:rPr>
      </w:pPr>
    </w:p>
    <w:p w:rsidR="00C64B9A" w:rsidRPr="00B84270" w:rsidRDefault="00C64B9A" w:rsidP="005510CB">
      <w:pPr>
        <w:spacing w:after="0" w:line="360" w:lineRule="auto"/>
        <w:rPr>
          <w:rFonts w:ascii="Arial" w:hAnsi="Arial" w:cs="Arial"/>
          <w:sz w:val="24"/>
          <w:szCs w:val="24"/>
          <w:lang w:val="en-US"/>
        </w:rPr>
      </w:pPr>
    </w:p>
    <w:sectPr w:rsidR="00C64B9A" w:rsidRPr="00B84270" w:rsidSect="00C64B9A">
      <w:pgSz w:w="11906" w:h="16838"/>
      <w:pgMar w:top="1418" w:right="851" w:bottom="144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67941" w:rsidRDefault="00967941" w:rsidP="002F7BE2">
      <w:pPr>
        <w:spacing w:after="0" w:line="240" w:lineRule="auto"/>
      </w:pPr>
      <w:r>
        <w:separator/>
      </w:r>
    </w:p>
  </w:endnote>
  <w:endnote w:type="continuationSeparator" w:id="0">
    <w:p w:rsidR="00967941" w:rsidRDefault="00967941" w:rsidP="002F7B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
    <w:altName w:val="Arial Unicode MS"/>
    <w:panose1 w:val="00000000000000000000"/>
    <w:charset w:val="86"/>
    <w:family w:val="auto"/>
    <w:notTrueType/>
    <w:pitch w:val="default"/>
    <w:sig w:usb0="00000000"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2285767"/>
      <w:docPartObj>
        <w:docPartGallery w:val="Page Numbers (Bottom of Page)"/>
        <w:docPartUnique/>
      </w:docPartObj>
    </w:sdtPr>
    <w:sdtEndPr/>
    <w:sdtContent>
      <w:p w:rsidR="00967941" w:rsidRDefault="00967941">
        <w:pPr>
          <w:pStyle w:val="Footer"/>
          <w:jc w:val="right"/>
        </w:pPr>
        <w:r w:rsidRPr="0059740C">
          <w:rPr>
            <w:rFonts w:ascii="Arial" w:hAnsi="Arial" w:cs="Arial"/>
            <w:u w:val="none"/>
          </w:rPr>
          <w:fldChar w:fldCharType="begin"/>
        </w:r>
        <w:r w:rsidRPr="0059740C">
          <w:rPr>
            <w:rFonts w:ascii="Arial" w:hAnsi="Arial" w:cs="Arial"/>
            <w:u w:val="none"/>
          </w:rPr>
          <w:instrText xml:space="preserve"> PAGE   \* MERGEFORMAT </w:instrText>
        </w:r>
        <w:r w:rsidRPr="0059740C">
          <w:rPr>
            <w:rFonts w:ascii="Arial" w:hAnsi="Arial" w:cs="Arial"/>
            <w:u w:val="none"/>
          </w:rPr>
          <w:fldChar w:fldCharType="separate"/>
        </w:r>
        <w:r>
          <w:rPr>
            <w:rFonts w:ascii="Arial" w:hAnsi="Arial" w:cs="Arial"/>
            <w:noProof/>
            <w:u w:val="none"/>
          </w:rPr>
          <w:t>20</w:t>
        </w:r>
        <w:r w:rsidRPr="0059740C">
          <w:rPr>
            <w:rFonts w:ascii="Arial" w:hAnsi="Arial" w:cs="Arial"/>
            <w:u w:val="none"/>
          </w:rPr>
          <w:fldChar w:fldCharType="end"/>
        </w:r>
      </w:p>
    </w:sdtContent>
  </w:sdt>
  <w:p w:rsidR="00967941" w:rsidRDefault="009679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67941" w:rsidRDefault="00967941" w:rsidP="002F7BE2">
      <w:pPr>
        <w:spacing w:after="0" w:line="240" w:lineRule="auto"/>
      </w:pPr>
      <w:r>
        <w:separator/>
      </w:r>
    </w:p>
  </w:footnote>
  <w:footnote w:type="continuationSeparator" w:id="0">
    <w:p w:rsidR="00967941" w:rsidRDefault="00967941" w:rsidP="002F7B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7941" w:rsidRDefault="00967941">
    <w:pPr>
      <w:pStyle w:val="Header"/>
      <w:jc w:val="right"/>
    </w:pPr>
  </w:p>
  <w:p w:rsidR="00967941" w:rsidRDefault="00967941">
    <w:pPr>
      <w:pStyle w:val="Header"/>
    </w:pPr>
  </w:p>
  <w:p w:rsidR="00967941" w:rsidRDefault="009679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9471C"/>
    <w:multiLevelType w:val="hybridMultilevel"/>
    <w:tmpl w:val="0A12D1D2"/>
    <w:lvl w:ilvl="0" w:tplc="8BEC86E8">
      <w:start w:val="1"/>
      <w:numFmt w:val="upp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604F62"/>
    <w:multiLevelType w:val="hybridMultilevel"/>
    <w:tmpl w:val="388EE7F0"/>
    <w:lvl w:ilvl="0" w:tplc="43F0D43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0256BA9"/>
    <w:multiLevelType w:val="hybridMultilevel"/>
    <w:tmpl w:val="100AAF00"/>
    <w:lvl w:ilvl="0" w:tplc="0B749C1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545A19"/>
    <w:multiLevelType w:val="hybridMultilevel"/>
    <w:tmpl w:val="1466EBE6"/>
    <w:lvl w:ilvl="0" w:tplc="45E0018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CDF17C2"/>
    <w:multiLevelType w:val="hybridMultilevel"/>
    <w:tmpl w:val="8CD675E0"/>
    <w:lvl w:ilvl="0" w:tplc="D68AF93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1EB3267"/>
    <w:multiLevelType w:val="hybridMultilevel"/>
    <w:tmpl w:val="286E5016"/>
    <w:lvl w:ilvl="0" w:tplc="7F7C30B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39E43B6"/>
    <w:multiLevelType w:val="hybridMultilevel"/>
    <w:tmpl w:val="DABCDB76"/>
    <w:lvl w:ilvl="0" w:tplc="178467B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3577ADB"/>
    <w:multiLevelType w:val="hybridMultilevel"/>
    <w:tmpl w:val="5B8697C8"/>
    <w:lvl w:ilvl="0" w:tplc="49604794">
      <w:start w:val="1"/>
      <w:numFmt w:val="upp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6ED10F3"/>
    <w:multiLevelType w:val="hybridMultilevel"/>
    <w:tmpl w:val="54781322"/>
    <w:lvl w:ilvl="0" w:tplc="5EF2EE4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A506C4F"/>
    <w:multiLevelType w:val="hybridMultilevel"/>
    <w:tmpl w:val="1DB043FC"/>
    <w:lvl w:ilvl="0" w:tplc="DB562B9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5F75E5A"/>
    <w:multiLevelType w:val="hybridMultilevel"/>
    <w:tmpl w:val="3744BB7A"/>
    <w:lvl w:ilvl="0" w:tplc="98046D86">
      <w:start w:val="1"/>
      <w:numFmt w:val="upp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FDB48EC"/>
    <w:multiLevelType w:val="hybridMultilevel"/>
    <w:tmpl w:val="582CE8F8"/>
    <w:lvl w:ilvl="0" w:tplc="E32EEA1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0"/>
  </w:num>
  <w:num w:numId="3">
    <w:abstractNumId w:val="1"/>
  </w:num>
  <w:num w:numId="4">
    <w:abstractNumId w:val="5"/>
  </w:num>
  <w:num w:numId="5">
    <w:abstractNumId w:val="4"/>
  </w:num>
  <w:num w:numId="6">
    <w:abstractNumId w:val="3"/>
  </w:num>
  <w:num w:numId="7">
    <w:abstractNumId w:val="11"/>
  </w:num>
  <w:num w:numId="8">
    <w:abstractNumId w:val="9"/>
  </w:num>
  <w:num w:numId="9">
    <w:abstractNumId w:val="0"/>
  </w:num>
  <w:num w:numId="10">
    <w:abstractNumId w:val="8"/>
  </w:num>
  <w:num w:numId="11">
    <w:abstractNumId w:val="6"/>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993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dx2990acfttvuewxr6v95stz995x0zdp05p&quot;&gt;my own library&lt;record-ids&gt;&lt;item&gt;4&lt;/item&gt;&lt;item&gt;10&lt;/item&gt;&lt;item&gt;11&lt;/item&gt;&lt;item&gt;12&lt;/item&gt;&lt;item&gt;13&lt;/item&gt;&lt;item&gt;14&lt;/item&gt;&lt;item&gt;30&lt;/item&gt;&lt;item&gt;33&lt;/item&gt;&lt;item&gt;38&lt;/item&gt;&lt;item&gt;39&lt;/item&gt;&lt;item&gt;47&lt;/item&gt;&lt;item&gt;55&lt;/item&gt;&lt;item&gt;64&lt;/item&gt;&lt;item&gt;95&lt;/item&gt;&lt;item&gt;97&lt;/item&gt;&lt;item&gt;99&lt;/item&gt;&lt;item&gt;147&lt;/item&gt;&lt;item&gt;149&lt;/item&gt;&lt;item&gt;150&lt;/item&gt;&lt;item&gt;151&lt;/item&gt;&lt;item&gt;152&lt;/item&gt;&lt;item&gt;153&lt;/item&gt;&lt;item&gt;155&lt;/item&gt;&lt;item&gt;161&lt;/item&gt;&lt;item&gt;162&lt;/item&gt;&lt;item&gt;169&lt;/item&gt;&lt;item&gt;171&lt;/item&gt;&lt;item&gt;183&lt;/item&gt;&lt;item&gt;212&lt;/item&gt;&lt;item&gt;213&lt;/item&gt;&lt;item&gt;215&lt;/item&gt;&lt;item&gt;217&lt;/item&gt;&lt;item&gt;223&lt;/item&gt;&lt;item&gt;225&lt;/item&gt;&lt;item&gt;230&lt;/item&gt;&lt;item&gt;233&lt;/item&gt;&lt;item&gt;238&lt;/item&gt;&lt;item&gt;239&lt;/item&gt;&lt;item&gt;240&lt;/item&gt;&lt;item&gt;242&lt;/item&gt;&lt;item&gt;246&lt;/item&gt;&lt;item&gt;247&lt;/item&gt;&lt;/record-ids&gt;&lt;/item&gt;&lt;/Libraries&gt;"/>
  </w:docVars>
  <w:rsids>
    <w:rsidRoot w:val="00AB7E69"/>
    <w:rsid w:val="00001926"/>
    <w:rsid w:val="000031B3"/>
    <w:rsid w:val="0000435E"/>
    <w:rsid w:val="000045CA"/>
    <w:rsid w:val="000056B6"/>
    <w:rsid w:val="00005882"/>
    <w:rsid w:val="00005E87"/>
    <w:rsid w:val="00006599"/>
    <w:rsid w:val="0001049A"/>
    <w:rsid w:val="00013CD8"/>
    <w:rsid w:val="00013FF3"/>
    <w:rsid w:val="00015E4F"/>
    <w:rsid w:val="000164D8"/>
    <w:rsid w:val="00021B48"/>
    <w:rsid w:val="00022798"/>
    <w:rsid w:val="00023324"/>
    <w:rsid w:val="00024C0B"/>
    <w:rsid w:val="00026A1D"/>
    <w:rsid w:val="00027A8C"/>
    <w:rsid w:val="00027E0E"/>
    <w:rsid w:val="000320A7"/>
    <w:rsid w:val="00033204"/>
    <w:rsid w:val="00033A2F"/>
    <w:rsid w:val="0003455C"/>
    <w:rsid w:val="00036F60"/>
    <w:rsid w:val="00037378"/>
    <w:rsid w:val="00040A1C"/>
    <w:rsid w:val="00041A52"/>
    <w:rsid w:val="00043C5D"/>
    <w:rsid w:val="000456CB"/>
    <w:rsid w:val="00047CEE"/>
    <w:rsid w:val="0005111E"/>
    <w:rsid w:val="0005193F"/>
    <w:rsid w:val="000539F5"/>
    <w:rsid w:val="0005411E"/>
    <w:rsid w:val="000543B0"/>
    <w:rsid w:val="00054BCC"/>
    <w:rsid w:val="00057C2D"/>
    <w:rsid w:val="00060DB5"/>
    <w:rsid w:val="00061104"/>
    <w:rsid w:val="000613CD"/>
    <w:rsid w:val="0006167D"/>
    <w:rsid w:val="00062528"/>
    <w:rsid w:val="0006336B"/>
    <w:rsid w:val="0006603D"/>
    <w:rsid w:val="00070829"/>
    <w:rsid w:val="000743B4"/>
    <w:rsid w:val="00074E88"/>
    <w:rsid w:val="00074F0C"/>
    <w:rsid w:val="00075844"/>
    <w:rsid w:val="00075C2D"/>
    <w:rsid w:val="00076775"/>
    <w:rsid w:val="00077108"/>
    <w:rsid w:val="00077239"/>
    <w:rsid w:val="000811C1"/>
    <w:rsid w:val="00084770"/>
    <w:rsid w:val="00085036"/>
    <w:rsid w:val="0009011B"/>
    <w:rsid w:val="0009032A"/>
    <w:rsid w:val="00090C40"/>
    <w:rsid w:val="00091107"/>
    <w:rsid w:val="00091510"/>
    <w:rsid w:val="00092053"/>
    <w:rsid w:val="0009400D"/>
    <w:rsid w:val="00097563"/>
    <w:rsid w:val="000A09BE"/>
    <w:rsid w:val="000A126A"/>
    <w:rsid w:val="000A14D7"/>
    <w:rsid w:val="000A1C36"/>
    <w:rsid w:val="000A1D87"/>
    <w:rsid w:val="000A3331"/>
    <w:rsid w:val="000A429F"/>
    <w:rsid w:val="000A42C5"/>
    <w:rsid w:val="000A4981"/>
    <w:rsid w:val="000A4C59"/>
    <w:rsid w:val="000A6636"/>
    <w:rsid w:val="000A6F27"/>
    <w:rsid w:val="000A70BB"/>
    <w:rsid w:val="000A77C6"/>
    <w:rsid w:val="000A788D"/>
    <w:rsid w:val="000B1C23"/>
    <w:rsid w:val="000B2049"/>
    <w:rsid w:val="000B22C1"/>
    <w:rsid w:val="000B22C2"/>
    <w:rsid w:val="000B2DF6"/>
    <w:rsid w:val="000B30DE"/>
    <w:rsid w:val="000B319B"/>
    <w:rsid w:val="000B3AFF"/>
    <w:rsid w:val="000B4B7D"/>
    <w:rsid w:val="000B52D9"/>
    <w:rsid w:val="000B5BF8"/>
    <w:rsid w:val="000B61E7"/>
    <w:rsid w:val="000B63DA"/>
    <w:rsid w:val="000C04F4"/>
    <w:rsid w:val="000C2DE5"/>
    <w:rsid w:val="000C63A9"/>
    <w:rsid w:val="000C6BA3"/>
    <w:rsid w:val="000D0DFC"/>
    <w:rsid w:val="000D3870"/>
    <w:rsid w:val="000D473F"/>
    <w:rsid w:val="000D475A"/>
    <w:rsid w:val="000D5022"/>
    <w:rsid w:val="000D5485"/>
    <w:rsid w:val="000D59A0"/>
    <w:rsid w:val="000D754A"/>
    <w:rsid w:val="000E2D65"/>
    <w:rsid w:val="000E3570"/>
    <w:rsid w:val="000E4CA5"/>
    <w:rsid w:val="000E55C7"/>
    <w:rsid w:val="000E737A"/>
    <w:rsid w:val="000F3C49"/>
    <w:rsid w:val="000F5018"/>
    <w:rsid w:val="000F5302"/>
    <w:rsid w:val="000F6A3A"/>
    <w:rsid w:val="000F7D0F"/>
    <w:rsid w:val="001005FD"/>
    <w:rsid w:val="00102F63"/>
    <w:rsid w:val="001033DD"/>
    <w:rsid w:val="00105477"/>
    <w:rsid w:val="00106811"/>
    <w:rsid w:val="00113166"/>
    <w:rsid w:val="00113527"/>
    <w:rsid w:val="001158D3"/>
    <w:rsid w:val="00115B0A"/>
    <w:rsid w:val="00116254"/>
    <w:rsid w:val="001162A3"/>
    <w:rsid w:val="001209BD"/>
    <w:rsid w:val="00121389"/>
    <w:rsid w:val="0012342F"/>
    <w:rsid w:val="00124862"/>
    <w:rsid w:val="00125254"/>
    <w:rsid w:val="001262E9"/>
    <w:rsid w:val="001263DC"/>
    <w:rsid w:val="00126714"/>
    <w:rsid w:val="00130108"/>
    <w:rsid w:val="00130733"/>
    <w:rsid w:val="00133DB9"/>
    <w:rsid w:val="001367ED"/>
    <w:rsid w:val="00136DD9"/>
    <w:rsid w:val="00141283"/>
    <w:rsid w:val="0014250D"/>
    <w:rsid w:val="0014302C"/>
    <w:rsid w:val="00144B41"/>
    <w:rsid w:val="00144BA7"/>
    <w:rsid w:val="0014537D"/>
    <w:rsid w:val="00147022"/>
    <w:rsid w:val="0015224D"/>
    <w:rsid w:val="00153F5F"/>
    <w:rsid w:val="001552F6"/>
    <w:rsid w:val="00155A66"/>
    <w:rsid w:val="001575E9"/>
    <w:rsid w:val="00160932"/>
    <w:rsid w:val="0016126D"/>
    <w:rsid w:val="00161336"/>
    <w:rsid w:val="00161AD6"/>
    <w:rsid w:val="00162E15"/>
    <w:rsid w:val="0016361E"/>
    <w:rsid w:val="00163CE5"/>
    <w:rsid w:val="00163DB0"/>
    <w:rsid w:val="00164397"/>
    <w:rsid w:val="00165E27"/>
    <w:rsid w:val="00167145"/>
    <w:rsid w:val="00167DCA"/>
    <w:rsid w:val="00171132"/>
    <w:rsid w:val="00172251"/>
    <w:rsid w:val="001745B9"/>
    <w:rsid w:val="0017473A"/>
    <w:rsid w:val="00174F55"/>
    <w:rsid w:val="0017552B"/>
    <w:rsid w:val="001762DC"/>
    <w:rsid w:val="00176D6A"/>
    <w:rsid w:val="0018183F"/>
    <w:rsid w:val="00184289"/>
    <w:rsid w:val="001844A8"/>
    <w:rsid w:val="001846DE"/>
    <w:rsid w:val="00186A1A"/>
    <w:rsid w:val="00186A25"/>
    <w:rsid w:val="00187C07"/>
    <w:rsid w:val="001925D7"/>
    <w:rsid w:val="00195618"/>
    <w:rsid w:val="0019600E"/>
    <w:rsid w:val="00197988"/>
    <w:rsid w:val="00197AE2"/>
    <w:rsid w:val="001A047C"/>
    <w:rsid w:val="001A0551"/>
    <w:rsid w:val="001A1D97"/>
    <w:rsid w:val="001A2775"/>
    <w:rsid w:val="001A2914"/>
    <w:rsid w:val="001A36E3"/>
    <w:rsid w:val="001A4D73"/>
    <w:rsid w:val="001A4F23"/>
    <w:rsid w:val="001A4FAB"/>
    <w:rsid w:val="001A5D5F"/>
    <w:rsid w:val="001A5EF8"/>
    <w:rsid w:val="001A74CF"/>
    <w:rsid w:val="001A76F3"/>
    <w:rsid w:val="001A7A1A"/>
    <w:rsid w:val="001A7F49"/>
    <w:rsid w:val="001B1CFB"/>
    <w:rsid w:val="001B40BA"/>
    <w:rsid w:val="001B48CB"/>
    <w:rsid w:val="001B4AB7"/>
    <w:rsid w:val="001B4CDC"/>
    <w:rsid w:val="001B520B"/>
    <w:rsid w:val="001B7FD0"/>
    <w:rsid w:val="001C0318"/>
    <w:rsid w:val="001C0E94"/>
    <w:rsid w:val="001C1085"/>
    <w:rsid w:val="001C195A"/>
    <w:rsid w:val="001C4639"/>
    <w:rsid w:val="001C4F29"/>
    <w:rsid w:val="001C6505"/>
    <w:rsid w:val="001D0D70"/>
    <w:rsid w:val="001D2B4C"/>
    <w:rsid w:val="001D2DBB"/>
    <w:rsid w:val="001D4948"/>
    <w:rsid w:val="001D4DB9"/>
    <w:rsid w:val="001D4DE5"/>
    <w:rsid w:val="001D65B6"/>
    <w:rsid w:val="001E0239"/>
    <w:rsid w:val="001E2A74"/>
    <w:rsid w:val="001E3DBD"/>
    <w:rsid w:val="001E4753"/>
    <w:rsid w:val="001E4CE7"/>
    <w:rsid w:val="001E6151"/>
    <w:rsid w:val="001E7350"/>
    <w:rsid w:val="001F0D57"/>
    <w:rsid w:val="001F152B"/>
    <w:rsid w:val="001F18D2"/>
    <w:rsid w:val="001F2786"/>
    <w:rsid w:val="001F27BE"/>
    <w:rsid w:val="001F390A"/>
    <w:rsid w:val="001F40B3"/>
    <w:rsid w:val="001F48C3"/>
    <w:rsid w:val="001F5130"/>
    <w:rsid w:val="001F5287"/>
    <w:rsid w:val="001F7182"/>
    <w:rsid w:val="001F7CC8"/>
    <w:rsid w:val="00200E9B"/>
    <w:rsid w:val="00205CBE"/>
    <w:rsid w:val="00205D77"/>
    <w:rsid w:val="00205E12"/>
    <w:rsid w:val="0020614D"/>
    <w:rsid w:val="0021156E"/>
    <w:rsid w:val="00211DB1"/>
    <w:rsid w:val="002121AC"/>
    <w:rsid w:val="00212834"/>
    <w:rsid w:val="00212888"/>
    <w:rsid w:val="002144D2"/>
    <w:rsid w:val="00217741"/>
    <w:rsid w:val="00221BC1"/>
    <w:rsid w:val="00222C50"/>
    <w:rsid w:val="00223117"/>
    <w:rsid w:val="00225021"/>
    <w:rsid w:val="00225A87"/>
    <w:rsid w:val="0023319A"/>
    <w:rsid w:val="00233FCC"/>
    <w:rsid w:val="002347B6"/>
    <w:rsid w:val="0023607E"/>
    <w:rsid w:val="00236B1F"/>
    <w:rsid w:val="00236CBB"/>
    <w:rsid w:val="00237864"/>
    <w:rsid w:val="00240DCE"/>
    <w:rsid w:val="00241FDD"/>
    <w:rsid w:val="00242C18"/>
    <w:rsid w:val="00246344"/>
    <w:rsid w:val="0024763B"/>
    <w:rsid w:val="00256407"/>
    <w:rsid w:val="0025740D"/>
    <w:rsid w:val="002579B1"/>
    <w:rsid w:val="00260A33"/>
    <w:rsid w:val="00261A4B"/>
    <w:rsid w:val="00262119"/>
    <w:rsid w:val="002645A6"/>
    <w:rsid w:val="00272630"/>
    <w:rsid w:val="002737CB"/>
    <w:rsid w:val="00273917"/>
    <w:rsid w:val="00274B70"/>
    <w:rsid w:val="00275DDE"/>
    <w:rsid w:val="00281143"/>
    <w:rsid w:val="00283E16"/>
    <w:rsid w:val="00284B96"/>
    <w:rsid w:val="00293298"/>
    <w:rsid w:val="00294158"/>
    <w:rsid w:val="00295B29"/>
    <w:rsid w:val="00296ED8"/>
    <w:rsid w:val="00297E13"/>
    <w:rsid w:val="002A0E59"/>
    <w:rsid w:val="002A222E"/>
    <w:rsid w:val="002A2EE6"/>
    <w:rsid w:val="002A3157"/>
    <w:rsid w:val="002A44D8"/>
    <w:rsid w:val="002A537D"/>
    <w:rsid w:val="002A614C"/>
    <w:rsid w:val="002A623A"/>
    <w:rsid w:val="002A6636"/>
    <w:rsid w:val="002A7938"/>
    <w:rsid w:val="002B3635"/>
    <w:rsid w:val="002B4169"/>
    <w:rsid w:val="002B511B"/>
    <w:rsid w:val="002B6936"/>
    <w:rsid w:val="002B6A2F"/>
    <w:rsid w:val="002C1456"/>
    <w:rsid w:val="002C2404"/>
    <w:rsid w:val="002C2B0A"/>
    <w:rsid w:val="002C656F"/>
    <w:rsid w:val="002C6BD6"/>
    <w:rsid w:val="002C6DB6"/>
    <w:rsid w:val="002C7FB7"/>
    <w:rsid w:val="002D0916"/>
    <w:rsid w:val="002D69E3"/>
    <w:rsid w:val="002D6E99"/>
    <w:rsid w:val="002E18B7"/>
    <w:rsid w:val="002E2862"/>
    <w:rsid w:val="002E3024"/>
    <w:rsid w:val="002E452E"/>
    <w:rsid w:val="002E6159"/>
    <w:rsid w:val="002E7FEB"/>
    <w:rsid w:val="002F15DF"/>
    <w:rsid w:val="002F2450"/>
    <w:rsid w:val="002F33C9"/>
    <w:rsid w:val="002F3EB6"/>
    <w:rsid w:val="002F4AA0"/>
    <w:rsid w:val="002F4B37"/>
    <w:rsid w:val="002F4B9E"/>
    <w:rsid w:val="002F6061"/>
    <w:rsid w:val="002F6FE2"/>
    <w:rsid w:val="002F7BE2"/>
    <w:rsid w:val="0030365B"/>
    <w:rsid w:val="00303AE7"/>
    <w:rsid w:val="003042F5"/>
    <w:rsid w:val="00305E53"/>
    <w:rsid w:val="00305EED"/>
    <w:rsid w:val="00306F59"/>
    <w:rsid w:val="00310CD9"/>
    <w:rsid w:val="00312232"/>
    <w:rsid w:val="0031343A"/>
    <w:rsid w:val="003136FF"/>
    <w:rsid w:val="00316A2B"/>
    <w:rsid w:val="00320046"/>
    <w:rsid w:val="00320782"/>
    <w:rsid w:val="00320CE6"/>
    <w:rsid w:val="00320D6A"/>
    <w:rsid w:val="0032139D"/>
    <w:rsid w:val="003213A6"/>
    <w:rsid w:val="00322EBA"/>
    <w:rsid w:val="00325AE4"/>
    <w:rsid w:val="00325EA2"/>
    <w:rsid w:val="00330100"/>
    <w:rsid w:val="0033169A"/>
    <w:rsid w:val="00331DB8"/>
    <w:rsid w:val="003322F7"/>
    <w:rsid w:val="00333A7F"/>
    <w:rsid w:val="00333E82"/>
    <w:rsid w:val="00333FDC"/>
    <w:rsid w:val="00336C72"/>
    <w:rsid w:val="00337931"/>
    <w:rsid w:val="003402C3"/>
    <w:rsid w:val="0034040B"/>
    <w:rsid w:val="00344359"/>
    <w:rsid w:val="0034504E"/>
    <w:rsid w:val="00345AF1"/>
    <w:rsid w:val="00346081"/>
    <w:rsid w:val="00346F01"/>
    <w:rsid w:val="00347E1B"/>
    <w:rsid w:val="00351F06"/>
    <w:rsid w:val="00354AA8"/>
    <w:rsid w:val="0035565E"/>
    <w:rsid w:val="00356671"/>
    <w:rsid w:val="00360894"/>
    <w:rsid w:val="00363CAE"/>
    <w:rsid w:val="00367A68"/>
    <w:rsid w:val="00370CB8"/>
    <w:rsid w:val="00372DE4"/>
    <w:rsid w:val="003732C8"/>
    <w:rsid w:val="00373873"/>
    <w:rsid w:val="00374ADD"/>
    <w:rsid w:val="00374B0F"/>
    <w:rsid w:val="00374CC3"/>
    <w:rsid w:val="00376689"/>
    <w:rsid w:val="003777D3"/>
    <w:rsid w:val="00377AFA"/>
    <w:rsid w:val="00383AB3"/>
    <w:rsid w:val="00390295"/>
    <w:rsid w:val="0039058E"/>
    <w:rsid w:val="00392AA9"/>
    <w:rsid w:val="00393200"/>
    <w:rsid w:val="00393EFB"/>
    <w:rsid w:val="00394FF0"/>
    <w:rsid w:val="00396291"/>
    <w:rsid w:val="00397386"/>
    <w:rsid w:val="003A0315"/>
    <w:rsid w:val="003A1BA6"/>
    <w:rsid w:val="003A416C"/>
    <w:rsid w:val="003A6652"/>
    <w:rsid w:val="003A6F9B"/>
    <w:rsid w:val="003A75E8"/>
    <w:rsid w:val="003B12DE"/>
    <w:rsid w:val="003B1D2E"/>
    <w:rsid w:val="003B2BD1"/>
    <w:rsid w:val="003B3235"/>
    <w:rsid w:val="003B479E"/>
    <w:rsid w:val="003B4ECD"/>
    <w:rsid w:val="003B5E01"/>
    <w:rsid w:val="003B7142"/>
    <w:rsid w:val="003B7BC5"/>
    <w:rsid w:val="003C0CCA"/>
    <w:rsid w:val="003C17A8"/>
    <w:rsid w:val="003C1871"/>
    <w:rsid w:val="003C2A24"/>
    <w:rsid w:val="003C2D60"/>
    <w:rsid w:val="003C2FD3"/>
    <w:rsid w:val="003C339E"/>
    <w:rsid w:val="003C364F"/>
    <w:rsid w:val="003C394E"/>
    <w:rsid w:val="003C42F8"/>
    <w:rsid w:val="003C4F50"/>
    <w:rsid w:val="003D02B3"/>
    <w:rsid w:val="003D0477"/>
    <w:rsid w:val="003D34A5"/>
    <w:rsid w:val="003D4E9F"/>
    <w:rsid w:val="003D4F22"/>
    <w:rsid w:val="003D5697"/>
    <w:rsid w:val="003D5D46"/>
    <w:rsid w:val="003D63BB"/>
    <w:rsid w:val="003D70BA"/>
    <w:rsid w:val="003E06E6"/>
    <w:rsid w:val="003E1EE8"/>
    <w:rsid w:val="003E2E28"/>
    <w:rsid w:val="003E7C0D"/>
    <w:rsid w:val="003E7FBB"/>
    <w:rsid w:val="003F18E7"/>
    <w:rsid w:val="003F1D92"/>
    <w:rsid w:val="003F39E5"/>
    <w:rsid w:val="003F3CEF"/>
    <w:rsid w:val="003F4433"/>
    <w:rsid w:val="003F55C8"/>
    <w:rsid w:val="003F58DE"/>
    <w:rsid w:val="003F68BA"/>
    <w:rsid w:val="003F6AE9"/>
    <w:rsid w:val="003F7400"/>
    <w:rsid w:val="003F7CE4"/>
    <w:rsid w:val="004018F2"/>
    <w:rsid w:val="004026AA"/>
    <w:rsid w:val="00402F75"/>
    <w:rsid w:val="00406BF3"/>
    <w:rsid w:val="00410246"/>
    <w:rsid w:val="00410C26"/>
    <w:rsid w:val="00411418"/>
    <w:rsid w:val="00411D26"/>
    <w:rsid w:val="00413766"/>
    <w:rsid w:val="00414081"/>
    <w:rsid w:val="00414473"/>
    <w:rsid w:val="00417D21"/>
    <w:rsid w:val="00423387"/>
    <w:rsid w:val="00424930"/>
    <w:rsid w:val="00424985"/>
    <w:rsid w:val="00425E1D"/>
    <w:rsid w:val="00425F85"/>
    <w:rsid w:val="0042710C"/>
    <w:rsid w:val="00432841"/>
    <w:rsid w:val="00432B94"/>
    <w:rsid w:val="00433B94"/>
    <w:rsid w:val="00434D6A"/>
    <w:rsid w:val="00434FFE"/>
    <w:rsid w:val="004364B6"/>
    <w:rsid w:val="004369AE"/>
    <w:rsid w:val="00443729"/>
    <w:rsid w:val="00444B59"/>
    <w:rsid w:val="0044556C"/>
    <w:rsid w:val="00445EC7"/>
    <w:rsid w:val="00447BEE"/>
    <w:rsid w:val="004503D5"/>
    <w:rsid w:val="0045089E"/>
    <w:rsid w:val="004523C7"/>
    <w:rsid w:val="00452BB8"/>
    <w:rsid w:val="004556AE"/>
    <w:rsid w:val="0045695D"/>
    <w:rsid w:val="00457303"/>
    <w:rsid w:val="00457A34"/>
    <w:rsid w:val="00457D15"/>
    <w:rsid w:val="00461951"/>
    <w:rsid w:val="0046198B"/>
    <w:rsid w:val="00462A88"/>
    <w:rsid w:val="00463E71"/>
    <w:rsid w:val="004650A6"/>
    <w:rsid w:val="004664A7"/>
    <w:rsid w:val="00471CB7"/>
    <w:rsid w:val="00472E0C"/>
    <w:rsid w:val="004740AA"/>
    <w:rsid w:val="00476E3A"/>
    <w:rsid w:val="00480151"/>
    <w:rsid w:val="004811C4"/>
    <w:rsid w:val="00483A1F"/>
    <w:rsid w:val="00484926"/>
    <w:rsid w:val="004856BA"/>
    <w:rsid w:val="00487D8E"/>
    <w:rsid w:val="00490D48"/>
    <w:rsid w:val="00491DEB"/>
    <w:rsid w:val="004927FA"/>
    <w:rsid w:val="00493035"/>
    <w:rsid w:val="00494B44"/>
    <w:rsid w:val="00494CAC"/>
    <w:rsid w:val="0049761E"/>
    <w:rsid w:val="00497B27"/>
    <w:rsid w:val="004A1B2C"/>
    <w:rsid w:val="004A2A65"/>
    <w:rsid w:val="004A3C23"/>
    <w:rsid w:val="004A51EF"/>
    <w:rsid w:val="004A7EA9"/>
    <w:rsid w:val="004A7FD6"/>
    <w:rsid w:val="004B2FF4"/>
    <w:rsid w:val="004B53D3"/>
    <w:rsid w:val="004B7162"/>
    <w:rsid w:val="004C0A28"/>
    <w:rsid w:val="004C309D"/>
    <w:rsid w:val="004C3DF0"/>
    <w:rsid w:val="004C4F04"/>
    <w:rsid w:val="004C5BF7"/>
    <w:rsid w:val="004C5C53"/>
    <w:rsid w:val="004D0622"/>
    <w:rsid w:val="004D1089"/>
    <w:rsid w:val="004D2E5C"/>
    <w:rsid w:val="004D32EB"/>
    <w:rsid w:val="004D34F5"/>
    <w:rsid w:val="004D366D"/>
    <w:rsid w:val="004D3CAD"/>
    <w:rsid w:val="004D4B63"/>
    <w:rsid w:val="004D536A"/>
    <w:rsid w:val="004D56AA"/>
    <w:rsid w:val="004D6267"/>
    <w:rsid w:val="004D6B8C"/>
    <w:rsid w:val="004D6FDF"/>
    <w:rsid w:val="004D7924"/>
    <w:rsid w:val="004E027D"/>
    <w:rsid w:val="004E0751"/>
    <w:rsid w:val="004E20D3"/>
    <w:rsid w:val="004E4F8A"/>
    <w:rsid w:val="004E56B5"/>
    <w:rsid w:val="004E5733"/>
    <w:rsid w:val="004E57CE"/>
    <w:rsid w:val="004E59C6"/>
    <w:rsid w:val="004E69E9"/>
    <w:rsid w:val="004F2048"/>
    <w:rsid w:val="004F2868"/>
    <w:rsid w:val="004F3752"/>
    <w:rsid w:val="004F5910"/>
    <w:rsid w:val="004F5B02"/>
    <w:rsid w:val="004F616F"/>
    <w:rsid w:val="00501183"/>
    <w:rsid w:val="005012C0"/>
    <w:rsid w:val="00502ED7"/>
    <w:rsid w:val="00504752"/>
    <w:rsid w:val="005051A2"/>
    <w:rsid w:val="00505A24"/>
    <w:rsid w:val="0050682D"/>
    <w:rsid w:val="00507EDD"/>
    <w:rsid w:val="0051175B"/>
    <w:rsid w:val="00513AC9"/>
    <w:rsid w:val="0051472A"/>
    <w:rsid w:val="00514A93"/>
    <w:rsid w:val="00514FBA"/>
    <w:rsid w:val="00517057"/>
    <w:rsid w:val="00517C0A"/>
    <w:rsid w:val="00520B3A"/>
    <w:rsid w:val="00521A8F"/>
    <w:rsid w:val="0052282C"/>
    <w:rsid w:val="00524C59"/>
    <w:rsid w:val="00525597"/>
    <w:rsid w:val="00525973"/>
    <w:rsid w:val="00525C2B"/>
    <w:rsid w:val="00526272"/>
    <w:rsid w:val="00526AE8"/>
    <w:rsid w:val="005271FC"/>
    <w:rsid w:val="00527A9A"/>
    <w:rsid w:val="00527BDB"/>
    <w:rsid w:val="00532499"/>
    <w:rsid w:val="00533657"/>
    <w:rsid w:val="00533B0C"/>
    <w:rsid w:val="00534197"/>
    <w:rsid w:val="005341E1"/>
    <w:rsid w:val="00535414"/>
    <w:rsid w:val="00540306"/>
    <w:rsid w:val="00540A44"/>
    <w:rsid w:val="005411C4"/>
    <w:rsid w:val="00542079"/>
    <w:rsid w:val="00543DFE"/>
    <w:rsid w:val="00544419"/>
    <w:rsid w:val="0054490D"/>
    <w:rsid w:val="00547228"/>
    <w:rsid w:val="00547484"/>
    <w:rsid w:val="005510CB"/>
    <w:rsid w:val="0055347C"/>
    <w:rsid w:val="005539F0"/>
    <w:rsid w:val="005544DD"/>
    <w:rsid w:val="0055655F"/>
    <w:rsid w:val="005566AF"/>
    <w:rsid w:val="0055677A"/>
    <w:rsid w:val="0055790C"/>
    <w:rsid w:val="0056391D"/>
    <w:rsid w:val="00563B92"/>
    <w:rsid w:val="00565E7D"/>
    <w:rsid w:val="00570DB8"/>
    <w:rsid w:val="005713AF"/>
    <w:rsid w:val="00572DB1"/>
    <w:rsid w:val="005738EA"/>
    <w:rsid w:val="00574D9A"/>
    <w:rsid w:val="005763B4"/>
    <w:rsid w:val="00580976"/>
    <w:rsid w:val="00583728"/>
    <w:rsid w:val="005864E9"/>
    <w:rsid w:val="00586668"/>
    <w:rsid w:val="00586A62"/>
    <w:rsid w:val="005927D9"/>
    <w:rsid w:val="00592A5C"/>
    <w:rsid w:val="005948FC"/>
    <w:rsid w:val="00595A57"/>
    <w:rsid w:val="00596B47"/>
    <w:rsid w:val="0059740C"/>
    <w:rsid w:val="005A0052"/>
    <w:rsid w:val="005A3ECF"/>
    <w:rsid w:val="005A61E1"/>
    <w:rsid w:val="005A7792"/>
    <w:rsid w:val="005B044D"/>
    <w:rsid w:val="005B0D26"/>
    <w:rsid w:val="005B1E2A"/>
    <w:rsid w:val="005B4E0B"/>
    <w:rsid w:val="005B5375"/>
    <w:rsid w:val="005B58D6"/>
    <w:rsid w:val="005C1460"/>
    <w:rsid w:val="005C1A97"/>
    <w:rsid w:val="005C1C69"/>
    <w:rsid w:val="005C3D62"/>
    <w:rsid w:val="005C5854"/>
    <w:rsid w:val="005C7698"/>
    <w:rsid w:val="005D173F"/>
    <w:rsid w:val="005D214B"/>
    <w:rsid w:val="005D2449"/>
    <w:rsid w:val="005D4335"/>
    <w:rsid w:val="005D5ABE"/>
    <w:rsid w:val="005D5D8C"/>
    <w:rsid w:val="005D5F76"/>
    <w:rsid w:val="005D69FB"/>
    <w:rsid w:val="005D7A9D"/>
    <w:rsid w:val="005E052B"/>
    <w:rsid w:val="005E1F08"/>
    <w:rsid w:val="005E3B73"/>
    <w:rsid w:val="005E516A"/>
    <w:rsid w:val="005E6CB0"/>
    <w:rsid w:val="005E7251"/>
    <w:rsid w:val="005F0678"/>
    <w:rsid w:val="005F1683"/>
    <w:rsid w:val="005F1F1F"/>
    <w:rsid w:val="005F2AE1"/>
    <w:rsid w:val="005F3D2B"/>
    <w:rsid w:val="005F3F56"/>
    <w:rsid w:val="005F468A"/>
    <w:rsid w:val="005F56A2"/>
    <w:rsid w:val="005F5A7A"/>
    <w:rsid w:val="005F6605"/>
    <w:rsid w:val="005F6DC7"/>
    <w:rsid w:val="00601393"/>
    <w:rsid w:val="00601B36"/>
    <w:rsid w:val="0060253D"/>
    <w:rsid w:val="0060763B"/>
    <w:rsid w:val="00607B9E"/>
    <w:rsid w:val="00607C75"/>
    <w:rsid w:val="0061137D"/>
    <w:rsid w:val="006115D3"/>
    <w:rsid w:val="0061214E"/>
    <w:rsid w:val="006126D3"/>
    <w:rsid w:val="00613B92"/>
    <w:rsid w:val="00614C46"/>
    <w:rsid w:val="006159E5"/>
    <w:rsid w:val="00617613"/>
    <w:rsid w:val="00621F12"/>
    <w:rsid w:val="00622F01"/>
    <w:rsid w:val="00622F0E"/>
    <w:rsid w:val="00625C37"/>
    <w:rsid w:val="00625D48"/>
    <w:rsid w:val="00626BE8"/>
    <w:rsid w:val="0063014D"/>
    <w:rsid w:val="006318CA"/>
    <w:rsid w:val="0063250F"/>
    <w:rsid w:val="00634F65"/>
    <w:rsid w:val="00635FD5"/>
    <w:rsid w:val="00637349"/>
    <w:rsid w:val="00643A25"/>
    <w:rsid w:val="006440D5"/>
    <w:rsid w:val="006476AB"/>
    <w:rsid w:val="00650CD6"/>
    <w:rsid w:val="0065205B"/>
    <w:rsid w:val="006539EB"/>
    <w:rsid w:val="00655882"/>
    <w:rsid w:val="00655980"/>
    <w:rsid w:val="006563C6"/>
    <w:rsid w:val="0065761D"/>
    <w:rsid w:val="00660736"/>
    <w:rsid w:val="00661F81"/>
    <w:rsid w:val="006623B1"/>
    <w:rsid w:val="00667A0B"/>
    <w:rsid w:val="006702D1"/>
    <w:rsid w:val="006716D7"/>
    <w:rsid w:val="006721A9"/>
    <w:rsid w:val="00672AAB"/>
    <w:rsid w:val="00673BA7"/>
    <w:rsid w:val="00674D14"/>
    <w:rsid w:val="0067560E"/>
    <w:rsid w:val="00677FD5"/>
    <w:rsid w:val="00680CD7"/>
    <w:rsid w:val="006812C7"/>
    <w:rsid w:val="006818BD"/>
    <w:rsid w:val="00686117"/>
    <w:rsid w:val="00690D54"/>
    <w:rsid w:val="00691D7F"/>
    <w:rsid w:val="00693F63"/>
    <w:rsid w:val="00697079"/>
    <w:rsid w:val="00697738"/>
    <w:rsid w:val="006A1C26"/>
    <w:rsid w:val="006A45BF"/>
    <w:rsid w:val="006A5331"/>
    <w:rsid w:val="006A7204"/>
    <w:rsid w:val="006A79EB"/>
    <w:rsid w:val="006B139D"/>
    <w:rsid w:val="006B2F3B"/>
    <w:rsid w:val="006B51F2"/>
    <w:rsid w:val="006B5AD6"/>
    <w:rsid w:val="006C041F"/>
    <w:rsid w:val="006C0B37"/>
    <w:rsid w:val="006C0C6E"/>
    <w:rsid w:val="006C165F"/>
    <w:rsid w:val="006C180C"/>
    <w:rsid w:val="006C1F22"/>
    <w:rsid w:val="006C3B1F"/>
    <w:rsid w:val="006C3F4E"/>
    <w:rsid w:val="006C5166"/>
    <w:rsid w:val="006C5496"/>
    <w:rsid w:val="006C6CC3"/>
    <w:rsid w:val="006C7227"/>
    <w:rsid w:val="006C7776"/>
    <w:rsid w:val="006D0A36"/>
    <w:rsid w:val="006D2B81"/>
    <w:rsid w:val="006D2E94"/>
    <w:rsid w:val="006D391E"/>
    <w:rsid w:val="006D59CE"/>
    <w:rsid w:val="006D5C0C"/>
    <w:rsid w:val="006D6C84"/>
    <w:rsid w:val="006D71C2"/>
    <w:rsid w:val="006D7667"/>
    <w:rsid w:val="006E017F"/>
    <w:rsid w:val="006E0845"/>
    <w:rsid w:val="006E0F20"/>
    <w:rsid w:val="006E576E"/>
    <w:rsid w:val="006E5861"/>
    <w:rsid w:val="006E626C"/>
    <w:rsid w:val="006E6DE7"/>
    <w:rsid w:val="006F0114"/>
    <w:rsid w:val="006F191D"/>
    <w:rsid w:val="006F532D"/>
    <w:rsid w:val="006F6177"/>
    <w:rsid w:val="007024DD"/>
    <w:rsid w:val="0070402F"/>
    <w:rsid w:val="007051E4"/>
    <w:rsid w:val="007054B3"/>
    <w:rsid w:val="00706CC8"/>
    <w:rsid w:val="00710E23"/>
    <w:rsid w:val="00711EE3"/>
    <w:rsid w:val="00712721"/>
    <w:rsid w:val="00713798"/>
    <w:rsid w:val="00713FEB"/>
    <w:rsid w:val="00714115"/>
    <w:rsid w:val="0071448D"/>
    <w:rsid w:val="007147FB"/>
    <w:rsid w:val="00715F9F"/>
    <w:rsid w:val="00723B76"/>
    <w:rsid w:val="0072491C"/>
    <w:rsid w:val="00726E93"/>
    <w:rsid w:val="007278BD"/>
    <w:rsid w:val="007355A5"/>
    <w:rsid w:val="0073613C"/>
    <w:rsid w:val="00736DB8"/>
    <w:rsid w:val="00737449"/>
    <w:rsid w:val="007377B4"/>
    <w:rsid w:val="00737FB9"/>
    <w:rsid w:val="00741CF4"/>
    <w:rsid w:val="00741F91"/>
    <w:rsid w:val="00744075"/>
    <w:rsid w:val="007511EC"/>
    <w:rsid w:val="007567C9"/>
    <w:rsid w:val="00757369"/>
    <w:rsid w:val="00760065"/>
    <w:rsid w:val="007609C6"/>
    <w:rsid w:val="00762467"/>
    <w:rsid w:val="0076311E"/>
    <w:rsid w:val="0076492C"/>
    <w:rsid w:val="00765DDE"/>
    <w:rsid w:val="007662FF"/>
    <w:rsid w:val="00772679"/>
    <w:rsid w:val="00774D14"/>
    <w:rsid w:val="007753E7"/>
    <w:rsid w:val="0077601B"/>
    <w:rsid w:val="00776ECD"/>
    <w:rsid w:val="00777545"/>
    <w:rsid w:val="0077786B"/>
    <w:rsid w:val="0078018F"/>
    <w:rsid w:val="00781735"/>
    <w:rsid w:val="00781C72"/>
    <w:rsid w:val="00783013"/>
    <w:rsid w:val="007843E8"/>
    <w:rsid w:val="0078471E"/>
    <w:rsid w:val="00785872"/>
    <w:rsid w:val="00786E21"/>
    <w:rsid w:val="007870D1"/>
    <w:rsid w:val="007870F7"/>
    <w:rsid w:val="00791862"/>
    <w:rsid w:val="00794F1F"/>
    <w:rsid w:val="00796FF5"/>
    <w:rsid w:val="007972C8"/>
    <w:rsid w:val="007977B1"/>
    <w:rsid w:val="007A0042"/>
    <w:rsid w:val="007A0FDC"/>
    <w:rsid w:val="007A1E79"/>
    <w:rsid w:val="007A3E6E"/>
    <w:rsid w:val="007A4A69"/>
    <w:rsid w:val="007A5965"/>
    <w:rsid w:val="007A5ED2"/>
    <w:rsid w:val="007A7B0C"/>
    <w:rsid w:val="007A7FF2"/>
    <w:rsid w:val="007B56A1"/>
    <w:rsid w:val="007B7160"/>
    <w:rsid w:val="007C28E1"/>
    <w:rsid w:val="007D1033"/>
    <w:rsid w:val="007D1037"/>
    <w:rsid w:val="007D1372"/>
    <w:rsid w:val="007D1BD8"/>
    <w:rsid w:val="007D1DC2"/>
    <w:rsid w:val="007D23C7"/>
    <w:rsid w:val="007D3408"/>
    <w:rsid w:val="007D5B6F"/>
    <w:rsid w:val="007D5DCF"/>
    <w:rsid w:val="007D7485"/>
    <w:rsid w:val="007D752F"/>
    <w:rsid w:val="007E0073"/>
    <w:rsid w:val="007E1E82"/>
    <w:rsid w:val="007E21E2"/>
    <w:rsid w:val="007E3E5C"/>
    <w:rsid w:val="007E42F8"/>
    <w:rsid w:val="007E5DE2"/>
    <w:rsid w:val="007F0C6B"/>
    <w:rsid w:val="007F253C"/>
    <w:rsid w:val="007F2C5F"/>
    <w:rsid w:val="007F2E54"/>
    <w:rsid w:val="007F37D2"/>
    <w:rsid w:val="007F3D06"/>
    <w:rsid w:val="007F5451"/>
    <w:rsid w:val="007F6A80"/>
    <w:rsid w:val="007F6D1F"/>
    <w:rsid w:val="007F7822"/>
    <w:rsid w:val="007F7F82"/>
    <w:rsid w:val="00800852"/>
    <w:rsid w:val="008009C1"/>
    <w:rsid w:val="00801CD6"/>
    <w:rsid w:val="0080206B"/>
    <w:rsid w:val="008028EF"/>
    <w:rsid w:val="0080352A"/>
    <w:rsid w:val="00805214"/>
    <w:rsid w:val="00805D58"/>
    <w:rsid w:val="008075FF"/>
    <w:rsid w:val="0080797D"/>
    <w:rsid w:val="0081150B"/>
    <w:rsid w:val="008117A4"/>
    <w:rsid w:val="0081300C"/>
    <w:rsid w:val="00815335"/>
    <w:rsid w:val="0081595A"/>
    <w:rsid w:val="00816584"/>
    <w:rsid w:val="00816B22"/>
    <w:rsid w:val="00816EA7"/>
    <w:rsid w:val="00817E2E"/>
    <w:rsid w:val="00820D78"/>
    <w:rsid w:val="00821291"/>
    <w:rsid w:val="00821816"/>
    <w:rsid w:val="00823095"/>
    <w:rsid w:val="00826447"/>
    <w:rsid w:val="00827B4F"/>
    <w:rsid w:val="00833330"/>
    <w:rsid w:val="00833834"/>
    <w:rsid w:val="00833A08"/>
    <w:rsid w:val="00834289"/>
    <w:rsid w:val="0083474A"/>
    <w:rsid w:val="0083476E"/>
    <w:rsid w:val="008369C9"/>
    <w:rsid w:val="00840B21"/>
    <w:rsid w:val="008423C6"/>
    <w:rsid w:val="00843C4E"/>
    <w:rsid w:val="008457F6"/>
    <w:rsid w:val="0084583F"/>
    <w:rsid w:val="0084719B"/>
    <w:rsid w:val="008471DF"/>
    <w:rsid w:val="008476C0"/>
    <w:rsid w:val="00851F73"/>
    <w:rsid w:val="0085212E"/>
    <w:rsid w:val="0085726B"/>
    <w:rsid w:val="00857486"/>
    <w:rsid w:val="008579AE"/>
    <w:rsid w:val="00860C4B"/>
    <w:rsid w:val="00862470"/>
    <w:rsid w:val="0086257E"/>
    <w:rsid w:val="008628DD"/>
    <w:rsid w:val="008649BB"/>
    <w:rsid w:val="00864AA2"/>
    <w:rsid w:val="008656F3"/>
    <w:rsid w:val="00865D98"/>
    <w:rsid w:val="00865E06"/>
    <w:rsid w:val="0086629E"/>
    <w:rsid w:val="0087152B"/>
    <w:rsid w:val="00873BA6"/>
    <w:rsid w:val="008749FE"/>
    <w:rsid w:val="00876258"/>
    <w:rsid w:val="00881085"/>
    <w:rsid w:val="00882C5B"/>
    <w:rsid w:val="0088305E"/>
    <w:rsid w:val="0088499B"/>
    <w:rsid w:val="00885043"/>
    <w:rsid w:val="008850DB"/>
    <w:rsid w:val="008857F3"/>
    <w:rsid w:val="00890DB5"/>
    <w:rsid w:val="0089160F"/>
    <w:rsid w:val="00891CA1"/>
    <w:rsid w:val="00893A1D"/>
    <w:rsid w:val="008971E4"/>
    <w:rsid w:val="008A051C"/>
    <w:rsid w:val="008A0848"/>
    <w:rsid w:val="008A101C"/>
    <w:rsid w:val="008A37B9"/>
    <w:rsid w:val="008A460D"/>
    <w:rsid w:val="008B003A"/>
    <w:rsid w:val="008B0889"/>
    <w:rsid w:val="008B1249"/>
    <w:rsid w:val="008B16C6"/>
    <w:rsid w:val="008B1B7C"/>
    <w:rsid w:val="008B29E1"/>
    <w:rsid w:val="008B2C23"/>
    <w:rsid w:val="008B36DB"/>
    <w:rsid w:val="008B40AB"/>
    <w:rsid w:val="008B517E"/>
    <w:rsid w:val="008B56E5"/>
    <w:rsid w:val="008B5B43"/>
    <w:rsid w:val="008B7DBC"/>
    <w:rsid w:val="008C2736"/>
    <w:rsid w:val="008C283C"/>
    <w:rsid w:val="008C2F30"/>
    <w:rsid w:val="008C538C"/>
    <w:rsid w:val="008C5D96"/>
    <w:rsid w:val="008C73BD"/>
    <w:rsid w:val="008D216E"/>
    <w:rsid w:val="008D38FF"/>
    <w:rsid w:val="008D5128"/>
    <w:rsid w:val="008D5302"/>
    <w:rsid w:val="008D5B5F"/>
    <w:rsid w:val="008D6801"/>
    <w:rsid w:val="008D6F07"/>
    <w:rsid w:val="008D791A"/>
    <w:rsid w:val="008E0EDC"/>
    <w:rsid w:val="008E5657"/>
    <w:rsid w:val="008E639D"/>
    <w:rsid w:val="008F0593"/>
    <w:rsid w:val="008F0AEC"/>
    <w:rsid w:val="008F18D6"/>
    <w:rsid w:val="008F218D"/>
    <w:rsid w:val="008F2D5F"/>
    <w:rsid w:val="008F2DE2"/>
    <w:rsid w:val="008F4B70"/>
    <w:rsid w:val="008F5BD5"/>
    <w:rsid w:val="008F64D5"/>
    <w:rsid w:val="0090293E"/>
    <w:rsid w:val="00902F2F"/>
    <w:rsid w:val="009034CC"/>
    <w:rsid w:val="00904CF2"/>
    <w:rsid w:val="009061C6"/>
    <w:rsid w:val="00910088"/>
    <w:rsid w:val="0091268A"/>
    <w:rsid w:val="0091292C"/>
    <w:rsid w:val="00914919"/>
    <w:rsid w:val="00914F2C"/>
    <w:rsid w:val="00915939"/>
    <w:rsid w:val="00915A79"/>
    <w:rsid w:val="00917206"/>
    <w:rsid w:val="00917EEA"/>
    <w:rsid w:val="009204B7"/>
    <w:rsid w:val="0092056D"/>
    <w:rsid w:val="009208C5"/>
    <w:rsid w:val="00921405"/>
    <w:rsid w:val="00922456"/>
    <w:rsid w:val="00923EAC"/>
    <w:rsid w:val="00923FB6"/>
    <w:rsid w:val="00931B9F"/>
    <w:rsid w:val="00932013"/>
    <w:rsid w:val="009337AF"/>
    <w:rsid w:val="00937F8A"/>
    <w:rsid w:val="009401E6"/>
    <w:rsid w:val="009411C0"/>
    <w:rsid w:val="00941424"/>
    <w:rsid w:val="00941D5D"/>
    <w:rsid w:val="00942263"/>
    <w:rsid w:val="00945869"/>
    <w:rsid w:val="00945D95"/>
    <w:rsid w:val="00947384"/>
    <w:rsid w:val="00947D17"/>
    <w:rsid w:val="009501B8"/>
    <w:rsid w:val="009515FF"/>
    <w:rsid w:val="009523C5"/>
    <w:rsid w:val="00952D19"/>
    <w:rsid w:val="00953BAC"/>
    <w:rsid w:val="00953C03"/>
    <w:rsid w:val="00954046"/>
    <w:rsid w:val="00954794"/>
    <w:rsid w:val="0096033F"/>
    <w:rsid w:val="0096225C"/>
    <w:rsid w:val="00963802"/>
    <w:rsid w:val="009639AC"/>
    <w:rsid w:val="00964820"/>
    <w:rsid w:val="0096500B"/>
    <w:rsid w:val="00965823"/>
    <w:rsid w:val="00965926"/>
    <w:rsid w:val="00965C27"/>
    <w:rsid w:val="009660F4"/>
    <w:rsid w:val="009666FA"/>
    <w:rsid w:val="00966A7A"/>
    <w:rsid w:val="009674CE"/>
    <w:rsid w:val="00967941"/>
    <w:rsid w:val="00967ADD"/>
    <w:rsid w:val="00973FB9"/>
    <w:rsid w:val="00975DDD"/>
    <w:rsid w:val="009768A8"/>
    <w:rsid w:val="00977AA2"/>
    <w:rsid w:val="0098025C"/>
    <w:rsid w:val="00980B3C"/>
    <w:rsid w:val="00981D0A"/>
    <w:rsid w:val="00985556"/>
    <w:rsid w:val="00985FF6"/>
    <w:rsid w:val="00986DE7"/>
    <w:rsid w:val="00986E8C"/>
    <w:rsid w:val="00990D5E"/>
    <w:rsid w:val="00991296"/>
    <w:rsid w:val="00991CC0"/>
    <w:rsid w:val="00993B31"/>
    <w:rsid w:val="00993BB0"/>
    <w:rsid w:val="0099549B"/>
    <w:rsid w:val="009960E7"/>
    <w:rsid w:val="0099744F"/>
    <w:rsid w:val="009A4A26"/>
    <w:rsid w:val="009A587D"/>
    <w:rsid w:val="009A6DA6"/>
    <w:rsid w:val="009A7F58"/>
    <w:rsid w:val="009B02B6"/>
    <w:rsid w:val="009B131E"/>
    <w:rsid w:val="009B2D53"/>
    <w:rsid w:val="009B2F1D"/>
    <w:rsid w:val="009B3212"/>
    <w:rsid w:val="009B6994"/>
    <w:rsid w:val="009C40AD"/>
    <w:rsid w:val="009C5063"/>
    <w:rsid w:val="009C5344"/>
    <w:rsid w:val="009C5893"/>
    <w:rsid w:val="009C5EEA"/>
    <w:rsid w:val="009C60C8"/>
    <w:rsid w:val="009C7029"/>
    <w:rsid w:val="009C72F1"/>
    <w:rsid w:val="009D03BA"/>
    <w:rsid w:val="009D0D61"/>
    <w:rsid w:val="009D1AAB"/>
    <w:rsid w:val="009D2A2F"/>
    <w:rsid w:val="009D3945"/>
    <w:rsid w:val="009D4889"/>
    <w:rsid w:val="009D5929"/>
    <w:rsid w:val="009D6F4D"/>
    <w:rsid w:val="009E19F2"/>
    <w:rsid w:val="009E4DF4"/>
    <w:rsid w:val="009E549D"/>
    <w:rsid w:val="009E5E3B"/>
    <w:rsid w:val="009E5FCF"/>
    <w:rsid w:val="009E603D"/>
    <w:rsid w:val="009E6658"/>
    <w:rsid w:val="009E678F"/>
    <w:rsid w:val="009E74DD"/>
    <w:rsid w:val="009E7D89"/>
    <w:rsid w:val="009F1189"/>
    <w:rsid w:val="009F3850"/>
    <w:rsid w:val="00A005FF"/>
    <w:rsid w:val="00A01AEC"/>
    <w:rsid w:val="00A03053"/>
    <w:rsid w:val="00A05222"/>
    <w:rsid w:val="00A05731"/>
    <w:rsid w:val="00A057BF"/>
    <w:rsid w:val="00A10F9F"/>
    <w:rsid w:val="00A113C1"/>
    <w:rsid w:val="00A1261C"/>
    <w:rsid w:val="00A13575"/>
    <w:rsid w:val="00A139D3"/>
    <w:rsid w:val="00A13F88"/>
    <w:rsid w:val="00A20960"/>
    <w:rsid w:val="00A20AA0"/>
    <w:rsid w:val="00A2423A"/>
    <w:rsid w:val="00A249DA"/>
    <w:rsid w:val="00A252C9"/>
    <w:rsid w:val="00A27D42"/>
    <w:rsid w:val="00A31A47"/>
    <w:rsid w:val="00A31BD0"/>
    <w:rsid w:val="00A37F26"/>
    <w:rsid w:val="00A41105"/>
    <w:rsid w:val="00A415A9"/>
    <w:rsid w:val="00A445FB"/>
    <w:rsid w:val="00A44E56"/>
    <w:rsid w:val="00A47CF8"/>
    <w:rsid w:val="00A47D11"/>
    <w:rsid w:val="00A50D9F"/>
    <w:rsid w:val="00A53158"/>
    <w:rsid w:val="00A5341F"/>
    <w:rsid w:val="00A5479A"/>
    <w:rsid w:val="00A56183"/>
    <w:rsid w:val="00A56575"/>
    <w:rsid w:val="00A56813"/>
    <w:rsid w:val="00A568A8"/>
    <w:rsid w:val="00A57A8A"/>
    <w:rsid w:val="00A615EB"/>
    <w:rsid w:val="00A63381"/>
    <w:rsid w:val="00A650FD"/>
    <w:rsid w:val="00A65BB9"/>
    <w:rsid w:val="00A678E0"/>
    <w:rsid w:val="00A71368"/>
    <w:rsid w:val="00A75333"/>
    <w:rsid w:val="00A76579"/>
    <w:rsid w:val="00A81A73"/>
    <w:rsid w:val="00A81B10"/>
    <w:rsid w:val="00A82919"/>
    <w:rsid w:val="00A835D5"/>
    <w:rsid w:val="00A83E9D"/>
    <w:rsid w:val="00A83EB8"/>
    <w:rsid w:val="00A84B8B"/>
    <w:rsid w:val="00A85CAC"/>
    <w:rsid w:val="00A9069A"/>
    <w:rsid w:val="00A9073E"/>
    <w:rsid w:val="00A92473"/>
    <w:rsid w:val="00A95872"/>
    <w:rsid w:val="00AA02F6"/>
    <w:rsid w:val="00AA2382"/>
    <w:rsid w:val="00AA2E1A"/>
    <w:rsid w:val="00AA4921"/>
    <w:rsid w:val="00AA500F"/>
    <w:rsid w:val="00AA5015"/>
    <w:rsid w:val="00AA7153"/>
    <w:rsid w:val="00AA7DB6"/>
    <w:rsid w:val="00AB1A15"/>
    <w:rsid w:val="00AB2C3C"/>
    <w:rsid w:val="00AB2FEA"/>
    <w:rsid w:val="00AB547C"/>
    <w:rsid w:val="00AB6B90"/>
    <w:rsid w:val="00AB7E69"/>
    <w:rsid w:val="00AC055F"/>
    <w:rsid w:val="00AC0D00"/>
    <w:rsid w:val="00AC2CCF"/>
    <w:rsid w:val="00AC483A"/>
    <w:rsid w:val="00AC6FBC"/>
    <w:rsid w:val="00AD1E1D"/>
    <w:rsid w:val="00AD2B7E"/>
    <w:rsid w:val="00AD3776"/>
    <w:rsid w:val="00AD78F6"/>
    <w:rsid w:val="00AD7A1E"/>
    <w:rsid w:val="00AE0847"/>
    <w:rsid w:val="00AE0849"/>
    <w:rsid w:val="00AE2B2F"/>
    <w:rsid w:val="00AE4CE7"/>
    <w:rsid w:val="00AE54EA"/>
    <w:rsid w:val="00AE67D5"/>
    <w:rsid w:val="00AE7612"/>
    <w:rsid w:val="00AE76FC"/>
    <w:rsid w:val="00AF046D"/>
    <w:rsid w:val="00AF09E6"/>
    <w:rsid w:val="00AF27BB"/>
    <w:rsid w:val="00AF29CE"/>
    <w:rsid w:val="00AF3B77"/>
    <w:rsid w:val="00AF52F6"/>
    <w:rsid w:val="00AF5D4D"/>
    <w:rsid w:val="00AF6C92"/>
    <w:rsid w:val="00AF7949"/>
    <w:rsid w:val="00AF7FAD"/>
    <w:rsid w:val="00B011DE"/>
    <w:rsid w:val="00B01577"/>
    <w:rsid w:val="00B025BF"/>
    <w:rsid w:val="00B02C9C"/>
    <w:rsid w:val="00B05166"/>
    <w:rsid w:val="00B0705D"/>
    <w:rsid w:val="00B1170F"/>
    <w:rsid w:val="00B12CCF"/>
    <w:rsid w:val="00B13663"/>
    <w:rsid w:val="00B15AC5"/>
    <w:rsid w:val="00B172C3"/>
    <w:rsid w:val="00B2014B"/>
    <w:rsid w:val="00B2057C"/>
    <w:rsid w:val="00B22DC4"/>
    <w:rsid w:val="00B26D11"/>
    <w:rsid w:val="00B26EFC"/>
    <w:rsid w:val="00B3029F"/>
    <w:rsid w:val="00B3083E"/>
    <w:rsid w:val="00B32698"/>
    <w:rsid w:val="00B34A2F"/>
    <w:rsid w:val="00B34B5C"/>
    <w:rsid w:val="00B34FAA"/>
    <w:rsid w:val="00B4028B"/>
    <w:rsid w:val="00B40C37"/>
    <w:rsid w:val="00B419E8"/>
    <w:rsid w:val="00B43494"/>
    <w:rsid w:val="00B44B1B"/>
    <w:rsid w:val="00B45041"/>
    <w:rsid w:val="00B45F6C"/>
    <w:rsid w:val="00B4671C"/>
    <w:rsid w:val="00B50506"/>
    <w:rsid w:val="00B52717"/>
    <w:rsid w:val="00B55523"/>
    <w:rsid w:val="00B573AD"/>
    <w:rsid w:val="00B579BA"/>
    <w:rsid w:val="00B57BB5"/>
    <w:rsid w:val="00B621C3"/>
    <w:rsid w:val="00B628E4"/>
    <w:rsid w:val="00B62CCF"/>
    <w:rsid w:val="00B63200"/>
    <w:rsid w:val="00B63AE8"/>
    <w:rsid w:val="00B63BFD"/>
    <w:rsid w:val="00B652C0"/>
    <w:rsid w:val="00B656A9"/>
    <w:rsid w:val="00B65A37"/>
    <w:rsid w:val="00B668AB"/>
    <w:rsid w:val="00B67621"/>
    <w:rsid w:val="00B67D07"/>
    <w:rsid w:val="00B67DC2"/>
    <w:rsid w:val="00B714A3"/>
    <w:rsid w:val="00B71ACE"/>
    <w:rsid w:val="00B721FD"/>
    <w:rsid w:val="00B7425A"/>
    <w:rsid w:val="00B748A6"/>
    <w:rsid w:val="00B751FE"/>
    <w:rsid w:val="00B763F9"/>
    <w:rsid w:val="00B77108"/>
    <w:rsid w:val="00B77F20"/>
    <w:rsid w:val="00B80107"/>
    <w:rsid w:val="00B80541"/>
    <w:rsid w:val="00B834E1"/>
    <w:rsid w:val="00B838A6"/>
    <w:rsid w:val="00B8398D"/>
    <w:rsid w:val="00B84270"/>
    <w:rsid w:val="00B85051"/>
    <w:rsid w:val="00B85881"/>
    <w:rsid w:val="00B859D4"/>
    <w:rsid w:val="00B87190"/>
    <w:rsid w:val="00B90673"/>
    <w:rsid w:val="00B90AC7"/>
    <w:rsid w:val="00B922AA"/>
    <w:rsid w:val="00B92396"/>
    <w:rsid w:val="00B934CE"/>
    <w:rsid w:val="00B9444D"/>
    <w:rsid w:val="00B94A88"/>
    <w:rsid w:val="00B958D8"/>
    <w:rsid w:val="00B95AE6"/>
    <w:rsid w:val="00B969CC"/>
    <w:rsid w:val="00B97457"/>
    <w:rsid w:val="00BA1C7B"/>
    <w:rsid w:val="00BA355D"/>
    <w:rsid w:val="00BA37B6"/>
    <w:rsid w:val="00BA414B"/>
    <w:rsid w:val="00BA4724"/>
    <w:rsid w:val="00BA54FF"/>
    <w:rsid w:val="00BA6B14"/>
    <w:rsid w:val="00BA73AD"/>
    <w:rsid w:val="00BA7BAA"/>
    <w:rsid w:val="00BB193A"/>
    <w:rsid w:val="00BB7822"/>
    <w:rsid w:val="00BB7B3A"/>
    <w:rsid w:val="00BB7E9E"/>
    <w:rsid w:val="00BC17C9"/>
    <w:rsid w:val="00BC59D1"/>
    <w:rsid w:val="00BC5A60"/>
    <w:rsid w:val="00BC6735"/>
    <w:rsid w:val="00BC7453"/>
    <w:rsid w:val="00BC7695"/>
    <w:rsid w:val="00BD1DE7"/>
    <w:rsid w:val="00BD2152"/>
    <w:rsid w:val="00BD4134"/>
    <w:rsid w:val="00BD4C0D"/>
    <w:rsid w:val="00BD70B0"/>
    <w:rsid w:val="00BE3417"/>
    <w:rsid w:val="00BE5164"/>
    <w:rsid w:val="00BE529A"/>
    <w:rsid w:val="00BE72EB"/>
    <w:rsid w:val="00BE7CC3"/>
    <w:rsid w:val="00BF0F88"/>
    <w:rsid w:val="00BF3AA0"/>
    <w:rsid w:val="00BF4E9E"/>
    <w:rsid w:val="00BF7048"/>
    <w:rsid w:val="00C0004D"/>
    <w:rsid w:val="00C00B25"/>
    <w:rsid w:val="00C01758"/>
    <w:rsid w:val="00C04A78"/>
    <w:rsid w:val="00C050C0"/>
    <w:rsid w:val="00C05330"/>
    <w:rsid w:val="00C056AA"/>
    <w:rsid w:val="00C061F2"/>
    <w:rsid w:val="00C07280"/>
    <w:rsid w:val="00C07339"/>
    <w:rsid w:val="00C07615"/>
    <w:rsid w:val="00C113EB"/>
    <w:rsid w:val="00C129AF"/>
    <w:rsid w:val="00C12B67"/>
    <w:rsid w:val="00C13520"/>
    <w:rsid w:val="00C13F3C"/>
    <w:rsid w:val="00C22432"/>
    <w:rsid w:val="00C22890"/>
    <w:rsid w:val="00C2681F"/>
    <w:rsid w:val="00C27982"/>
    <w:rsid w:val="00C27C6A"/>
    <w:rsid w:val="00C318D0"/>
    <w:rsid w:val="00C351EA"/>
    <w:rsid w:val="00C35760"/>
    <w:rsid w:val="00C36298"/>
    <w:rsid w:val="00C362A0"/>
    <w:rsid w:val="00C3654C"/>
    <w:rsid w:val="00C36862"/>
    <w:rsid w:val="00C37564"/>
    <w:rsid w:val="00C457BB"/>
    <w:rsid w:val="00C45922"/>
    <w:rsid w:val="00C45E63"/>
    <w:rsid w:val="00C46161"/>
    <w:rsid w:val="00C504CE"/>
    <w:rsid w:val="00C517E4"/>
    <w:rsid w:val="00C5231A"/>
    <w:rsid w:val="00C54F32"/>
    <w:rsid w:val="00C5503D"/>
    <w:rsid w:val="00C56287"/>
    <w:rsid w:val="00C56E1C"/>
    <w:rsid w:val="00C60476"/>
    <w:rsid w:val="00C60F00"/>
    <w:rsid w:val="00C638DC"/>
    <w:rsid w:val="00C63F4D"/>
    <w:rsid w:val="00C646A8"/>
    <w:rsid w:val="00C6476C"/>
    <w:rsid w:val="00C6483F"/>
    <w:rsid w:val="00C64B9A"/>
    <w:rsid w:val="00C65342"/>
    <w:rsid w:val="00C6557E"/>
    <w:rsid w:val="00C70CC9"/>
    <w:rsid w:val="00C71521"/>
    <w:rsid w:val="00C71DF6"/>
    <w:rsid w:val="00C750CC"/>
    <w:rsid w:val="00C75D98"/>
    <w:rsid w:val="00C7675E"/>
    <w:rsid w:val="00C767EF"/>
    <w:rsid w:val="00C76EB4"/>
    <w:rsid w:val="00C7703D"/>
    <w:rsid w:val="00C8008A"/>
    <w:rsid w:val="00C81463"/>
    <w:rsid w:val="00C8448E"/>
    <w:rsid w:val="00C850C7"/>
    <w:rsid w:val="00C90358"/>
    <w:rsid w:val="00C913CA"/>
    <w:rsid w:val="00C92612"/>
    <w:rsid w:val="00C926ED"/>
    <w:rsid w:val="00C93E38"/>
    <w:rsid w:val="00C9639F"/>
    <w:rsid w:val="00CA0678"/>
    <w:rsid w:val="00CA07C0"/>
    <w:rsid w:val="00CA0CB9"/>
    <w:rsid w:val="00CA152F"/>
    <w:rsid w:val="00CA24F0"/>
    <w:rsid w:val="00CA24FE"/>
    <w:rsid w:val="00CA426C"/>
    <w:rsid w:val="00CA52B0"/>
    <w:rsid w:val="00CA634F"/>
    <w:rsid w:val="00CA73A6"/>
    <w:rsid w:val="00CA7D2E"/>
    <w:rsid w:val="00CB19D9"/>
    <w:rsid w:val="00CB585E"/>
    <w:rsid w:val="00CB5E3B"/>
    <w:rsid w:val="00CB6934"/>
    <w:rsid w:val="00CB788A"/>
    <w:rsid w:val="00CB7BEC"/>
    <w:rsid w:val="00CC10F2"/>
    <w:rsid w:val="00CC260D"/>
    <w:rsid w:val="00CC2E7B"/>
    <w:rsid w:val="00CC36A5"/>
    <w:rsid w:val="00CC3C96"/>
    <w:rsid w:val="00CC3FA7"/>
    <w:rsid w:val="00CC54B5"/>
    <w:rsid w:val="00CC5DDB"/>
    <w:rsid w:val="00CC68F2"/>
    <w:rsid w:val="00CC6D63"/>
    <w:rsid w:val="00CC7CC2"/>
    <w:rsid w:val="00CC7DE2"/>
    <w:rsid w:val="00CD0206"/>
    <w:rsid w:val="00CD05E7"/>
    <w:rsid w:val="00CD1057"/>
    <w:rsid w:val="00CD11DD"/>
    <w:rsid w:val="00CD32A4"/>
    <w:rsid w:val="00CD436F"/>
    <w:rsid w:val="00CD4BDB"/>
    <w:rsid w:val="00CD5630"/>
    <w:rsid w:val="00CE1106"/>
    <w:rsid w:val="00CE12DF"/>
    <w:rsid w:val="00CE1F34"/>
    <w:rsid w:val="00CE576B"/>
    <w:rsid w:val="00CE5F65"/>
    <w:rsid w:val="00CE66F9"/>
    <w:rsid w:val="00CE6C4D"/>
    <w:rsid w:val="00CE7A33"/>
    <w:rsid w:val="00CF0D97"/>
    <w:rsid w:val="00CF1FE7"/>
    <w:rsid w:val="00CF35B5"/>
    <w:rsid w:val="00CF3CFD"/>
    <w:rsid w:val="00CF5B53"/>
    <w:rsid w:val="00CF65FC"/>
    <w:rsid w:val="00CF6619"/>
    <w:rsid w:val="00CF6B6D"/>
    <w:rsid w:val="00CF7BE1"/>
    <w:rsid w:val="00D001A6"/>
    <w:rsid w:val="00D0024D"/>
    <w:rsid w:val="00D02AE2"/>
    <w:rsid w:val="00D04CD8"/>
    <w:rsid w:val="00D0501C"/>
    <w:rsid w:val="00D05284"/>
    <w:rsid w:val="00D05881"/>
    <w:rsid w:val="00D06B6B"/>
    <w:rsid w:val="00D1666C"/>
    <w:rsid w:val="00D20C38"/>
    <w:rsid w:val="00D2294A"/>
    <w:rsid w:val="00D2470E"/>
    <w:rsid w:val="00D2542E"/>
    <w:rsid w:val="00D329DC"/>
    <w:rsid w:val="00D41473"/>
    <w:rsid w:val="00D4251D"/>
    <w:rsid w:val="00D4459E"/>
    <w:rsid w:val="00D446C2"/>
    <w:rsid w:val="00D45D15"/>
    <w:rsid w:val="00D4748F"/>
    <w:rsid w:val="00D524AF"/>
    <w:rsid w:val="00D54B52"/>
    <w:rsid w:val="00D55396"/>
    <w:rsid w:val="00D56E82"/>
    <w:rsid w:val="00D62C7A"/>
    <w:rsid w:val="00D642C9"/>
    <w:rsid w:val="00D645AA"/>
    <w:rsid w:val="00D65788"/>
    <w:rsid w:val="00D66467"/>
    <w:rsid w:val="00D6776B"/>
    <w:rsid w:val="00D701B7"/>
    <w:rsid w:val="00D70C68"/>
    <w:rsid w:val="00D70CFC"/>
    <w:rsid w:val="00D712D0"/>
    <w:rsid w:val="00D71ED6"/>
    <w:rsid w:val="00D72253"/>
    <w:rsid w:val="00D73926"/>
    <w:rsid w:val="00D75410"/>
    <w:rsid w:val="00D75B40"/>
    <w:rsid w:val="00D76BE1"/>
    <w:rsid w:val="00D80C68"/>
    <w:rsid w:val="00D81476"/>
    <w:rsid w:val="00D81913"/>
    <w:rsid w:val="00D84274"/>
    <w:rsid w:val="00D853A7"/>
    <w:rsid w:val="00D868BD"/>
    <w:rsid w:val="00D875C8"/>
    <w:rsid w:val="00D91DEA"/>
    <w:rsid w:val="00D92D3E"/>
    <w:rsid w:val="00D934EF"/>
    <w:rsid w:val="00D9695D"/>
    <w:rsid w:val="00D9799C"/>
    <w:rsid w:val="00DA031C"/>
    <w:rsid w:val="00DA0F71"/>
    <w:rsid w:val="00DA3C51"/>
    <w:rsid w:val="00DA6146"/>
    <w:rsid w:val="00DA6E77"/>
    <w:rsid w:val="00DB2168"/>
    <w:rsid w:val="00DB5499"/>
    <w:rsid w:val="00DB754F"/>
    <w:rsid w:val="00DC0954"/>
    <w:rsid w:val="00DC0D07"/>
    <w:rsid w:val="00DC38F1"/>
    <w:rsid w:val="00DD08E5"/>
    <w:rsid w:val="00DD1701"/>
    <w:rsid w:val="00DD2474"/>
    <w:rsid w:val="00DD25C2"/>
    <w:rsid w:val="00DD4384"/>
    <w:rsid w:val="00DD51DC"/>
    <w:rsid w:val="00DD5D05"/>
    <w:rsid w:val="00DD6DE0"/>
    <w:rsid w:val="00DD7728"/>
    <w:rsid w:val="00DD776A"/>
    <w:rsid w:val="00DE05E7"/>
    <w:rsid w:val="00DE1471"/>
    <w:rsid w:val="00DE2B9C"/>
    <w:rsid w:val="00DE4322"/>
    <w:rsid w:val="00DE470D"/>
    <w:rsid w:val="00DE5F6C"/>
    <w:rsid w:val="00DF01DB"/>
    <w:rsid w:val="00DF2051"/>
    <w:rsid w:val="00DF6862"/>
    <w:rsid w:val="00DF7255"/>
    <w:rsid w:val="00E009F3"/>
    <w:rsid w:val="00E01070"/>
    <w:rsid w:val="00E02202"/>
    <w:rsid w:val="00E0245D"/>
    <w:rsid w:val="00E031A8"/>
    <w:rsid w:val="00E03F4D"/>
    <w:rsid w:val="00E050BD"/>
    <w:rsid w:val="00E052A8"/>
    <w:rsid w:val="00E05315"/>
    <w:rsid w:val="00E073CD"/>
    <w:rsid w:val="00E14480"/>
    <w:rsid w:val="00E16443"/>
    <w:rsid w:val="00E2328A"/>
    <w:rsid w:val="00E247AE"/>
    <w:rsid w:val="00E24D9D"/>
    <w:rsid w:val="00E262F4"/>
    <w:rsid w:val="00E268FF"/>
    <w:rsid w:val="00E26D8A"/>
    <w:rsid w:val="00E27820"/>
    <w:rsid w:val="00E27BA4"/>
    <w:rsid w:val="00E27C94"/>
    <w:rsid w:val="00E30EF8"/>
    <w:rsid w:val="00E3379D"/>
    <w:rsid w:val="00E346D2"/>
    <w:rsid w:val="00E34FD4"/>
    <w:rsid w:val="00E355F9"/>
    <w:rsid w:val="00E35C29"/>
    <w:rsid w:val="00E35F97"/>
    <w:rsid w:val="00E3681A"/>
    <w:rsid w:val="00E37511"/>
    <w:rsid w:val="00E40407"/>
    <w:rsid w:val="00E40607"/>
    <w:rsid w:val="00E426B9"/>
    <w:rsid w:val="00E47B04"/>
    <w:rsid w:val="00E53400"/>
    <w:rsid w:val="00E55C6E"/>
    <w:rsid w:val="00E5716E"/>
    <w:rsid w:val="00E60667"/>
    <w:rsid w:val="00E626EB"/>
    <w:rsid w:val="00E6376A"/>
    <w:rsid w:val="00E63C87"/>
    <w:rsid w:val="00E64702"/>
    <w:rsid w:val="00E64A09"/>
    <w:rsid w:val="00E663E0"/>
    <w:rsid w:val="00E723C1"/>
    <w:rsid w:val="00E72453"/>
    <w:rsid w:val="00E724A3"/>
    <w:rsid w:val="00E73165"/>
    <w:rsid w:val="00E7391A"/>
    <w:rsid w:val="00E7535B"/>
    <w:rsid w:val="00E76BB1"/>
    <w:rsid w:val="00E76C32"/>
    <w:rsid w:val="00E76DBE"/>
    <w:rsid w:val="00E77225"/>
    <w:rsid w:val="00E77696"/>
    <w:rsid w:val="00E80B24"/>
    <w:rsid w:val="00E83178"/>
    <w:rsid w:val="00E83D54"/>
    <w:rsid w:val="00E83FE1"/>
    <w:rsid w:val="00E8467F"/>
    <w:rsid w:val="00E872F4"/>
    <w:rsid w:val="00E90292"/>
    <w:rsid w:val="00E909E6"/>
    <w:rsid w:val="00E91D5F"/>
    <w:rsid w:val="00E95764"/>
    <w:rsid w:val="00E9756A"/>
    <w:rsid w:val="00EA1AFC"/>
    <w:rsid w:val="00EA209C"/>
    <w:rsid w:val="00EA23FD"/>
    <w:rsid w:val="00EA4617"/>
    <w:rsid w:val="00EA5135"/>
    <w:rsid w:val="00EA6189"/>
    <w:rsid w:val="00EA7856"/>
    <w:rsid w:val="00EB29D2"/>
    <w:rsid w:val="00EB47EA"/>
    <w:rsid w:val="00EB5522"/>
    <w:rsid w:val="00EB6725"/>
    <w:rsid w:val="00EB6F38"/>
    <w:rsid w:val="00EC08B1"/>
    <w:rsid w:val="00EC277C"/>
    <w:rsid w:val="00EC3166"/>
    <w:rsid w:val="00EC39B6"/>
    <w:rsid w:val="00EC3C49"/>
    <w:rsid w:val="00ED01FF"/>
    <w:rsid w:val="00ED043F"/>
    <w:rsid w:val="00ED0F7F"/>
    <w:rsid w:val="00ED119A"/>
    <w:rsid w:val="00ED148A"/>
    <w:rsid w:val="00ED188A"/>
    <w:rsid w:val="00EE2020"/>
    <w:rsid w:val="00EE29F3"/>
    <w:rsid w:val="00EE2C64"/>
    <w:rsid w:val="00EE2D92"/>
    <w:rsid w:val="00EE39D6"/>
    <w:rsid w:val="00EE41D5"/>
    <w:rsid w:val="00EE4A38"/>
    <w:rsid w:val="00EE527B"/>
    <w:rsid w:val="00EE59D1"/>
    <w:rsid w:val="00EF1571"/>
    <w:rsid w:val="00EF3FED"/>
    <w:rsid w:val="00EF5064"/>
    <w:rsid w:val="00F022FF"/>
    <w:rsid w:val="00F02A6C"/>
    <w:rsid w:val="00F054ED"/>
    <w:rsid w:val="00F05949"/>
    <w:rsid w:val="00F05DFC"/>
    <w:rsid w:val="00F064B1"/>
    <w:rsid w:val="00F079E5"/>
    <w:rsid w:val="00F1020E"/>
    <w:rsid w:val="00F114D5"/>
    <w:rsid w:val="00F11EAF"/>
    <w:rsid w:val="00F12B80"/>
    <w:rsid w:val="00F13AFB"/>
    <w:rsid w:val="00F15379"/>
    <w:rsid w:val="00F1581E"/>
    <w:rsid w:val="00F20618"/>
    <w:rsid w:val="00F22AE9"/>
    <w:rsid w:val="00F22BC0"/>
    <w:rsid w:val="00F234A9"/>
    <w:rsid w:val="00F23B65"/>
    <w:rsid w:val="00F252D9"/>
    <w:rsid w:val="00F253F9"/>
    <w:rsid w:val="00F266AB"/>
    <w:rsid w:val="00F26921"/>
    <w:rsid w:val="00F26BF0"/>
    <w:rsid w:val="00F31172"/>
    <w:rsid w:val="00F31291"/>
    <w:rsid w:val="00F315CE"/>
    <w:rsid w:val="00F32366"/>
    <w:rsid w:val="00F3265B"/>
    <w:rsid w:val="00F33CB6"/>
    <w:rsid w:val="00F3421B"/>
    <w:rsid w:val="00F35202"/>
    <w:rsid w:val="00F355DD"/>
    <w:rsid w:val="00F358E0"/>
    <w:rsid w:val="00F3796C"/>
    <w:rsid w:val="00F40466"/>
    <w:rsid w:val="00F40FED"/>
    <w:rsid w:val="00F419C1"/>
    <w:rsid w:val="00F4202F"/>
    <w:rsid w:val="00F42E1A"/>
    <w:rsid w:val="00F44959"/>
    <w:rsid w:val="00F44DFD"/>
    <w:rsid w:val="00F45958"/>
    <w:rsid w:val="00F4795F"/>
    <w:rsid w:val="00F50A09"/>
    <w:rsid w:val="00F52BE0"/>
    <w:rsid w:val="00F54731"/>
    <w:rsid w:val="00F55245"/>
    <w:rsid w:val="00F55B9A"/>
    <w:rsid w:val="00F562F3"/>
    <w:rsid w:val="00F56CB1"/>
    <w:rsid w:val="00F578EC"/>
    <w:rsid w:val="00F6021F"/>
    <w:rsid w:val="00F62411"/>
    <w:rsid w:val="00F624D3"/>
    <w:rsid w:val="00F65AD9"/>
    <w:rsid w:val="00F70B76"/>
    <w:rsid w:val="00F717F7"/>
    <w:rsid w:val="00F71FAC"/>
    <w:rsid w:val="00F723E3"/>
    <w:rsid w:val="00F73902"/>
    <w:rsid w:val="00F74669"/>
    <w:rsid w:val="00F75239"/>
    <w:rsid w:val="00F767CF"/>
    <w:rsid w:val="00F7780C"/>
    <w:rsid w:val="00F77DF1"/>
    <w:rsid w:val="00F8046D"/>
    <w:rsid w:val="00F81388"/>
    <w:rsid w:val="00F8143B"/>
    <w:rsid w:val="00F83886"/>
    <w:rsid w:val="00F862D3"/>
    <w:rsid w:val="00F86799"/>
    <w:rsid w:val="00F86B2E"/>
    <w:rsid w:val="00F86CB4"/>
    <w:rsid w:val="00F86F33"/>
    <w:rsid w:val="00F90887"/>
    <w:rsid w:val="00F975A3"/>
    <w:rsid w:val="00F97FF1"/>
    <w:rsid w:val="00FA06B5"/>
    <w:rsid w:val="00FA06C8"/>
    <w:rsid w:val="00FA0ACA"/>
    <w:rsid w:val="00FA111D"/>
    <w:rsid w:val="00FA56D3"/>
    <w:rsid w:val="00FA6636"/>
    <w:rsid w:val="00FB02DA"/>
    <w:rsid w:val="00FB1044"/>
    <w:rsid w:val="00FB1746"/>
    <w:rsid w:val="00FB1D77"/>
    <w:rsid w:val="00FB2279"/>
    <w:rsid w:val="00FB4806"/>
    <w:rsid w:val="00FB54C7"/>
    <w:rsid w:val="00FB7379"/>
    <w:rsid w:val="00FC1E0B"/>
    <w:rsid w:val="00FC2395"/>
    <w:rsid w:val="00FC2EB9"/>
    <w:rsid w:val="00FC2FED"/>
    <w:rsid w:val="00FC400A"/>
    <w:rsid w:val="00FC4B71"/>
    <w:rsid w:val="00FC54C2"/>
    <w:rsid w:val="00FD0187"/>
    <w:rsid w:val="00FD199B"/>
    <w:rsid w:val="00FD1C68"/>
    <w:rsid w:val="00FD1F87"/>
    <w:rsid w:val="00FD4846"/>
    <w:rsid w:val="00FD63FF"/>
    <w:rsid w:val="00FD69F6"/>
    <w:rsid w:val="00FD6A35"/>
    <w:rsid w:val="00FD7909"/>
    <w:rsid w:val="00FD7BC6"/>
    <w:rsid w:val="00FE0B36"/>
    <w:rsid w:val="00FE2EDF"/>
    <w:rsid w:val="00FE46F0"/>
    <w:rsid w:val="00FE49D8"/>
    <w:rsid w:val="00FE4F26"/>
    <w:rsid w:val="00FE5167"/>
    <w:rsid w:val="00FE772B"/>
    <w:rsid w:val="00FF04C5"/>
    <w:rsid w:val="00FF064D"/>
    <w:rsid w:val="00FF2347"/>
    <w:rsid w:val="00FF2430"/>
    <w:rsid w:val="00FF251F"/>
    <w:rsid w:val="00FF46E4"/>
    <w:rsid w:val="00FF5251"/>
    <w:rsid w:val="00FF5648"/>
    <w:rsid w:val="00FF756C"/>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9937"/>
    <o:shapelayout v:ext="edit">
      <o:idmap v:ext="edit" data="1"/>
    </o:shapelayout>
  </w:shapeDefaults>
  <w:decimalSymbol w:val="."/>
  <w:listSeparator w:val=","/>
  <w14:docId w14:val="270938F7"/>
  <w15:docId w15:val="{A98CDACD-7C40-4B0E-8164-C206FB9CD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GB"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iPriority="0"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7E69"/>
    <w:pPr>
      <w:spacing w:after="200" w:line="276" w:lineRule="auto"/>
    </w:pPr>
    <w:rPr>
      <w:rFonts w:eastAsia="Times New Roman" w:cs="Times New Roman"/>
      <w:sz w:val="22"/>
      <w:szCs w:val="22"/>
      <w:lang w:eastAsia="en-GB"/>
    </w:rPr>
  </w:style>
  <w:style w:type="paragraph" w:styleId="Heading1">
    <w:name w:val="heading 1"/>
    <w:basedOn w:val="Normal"/>
    <w:next w:val="Normal"/>
    <w:link w:val="Heading1Char"/>
    <w:qFormat/>
    <w:rsid w:val="00525C2B"/>
    <w:pPr>
      <w:keepNext/>
      <w:spacing w:before="240" w:after="60" w:line="240" w:lineRule="auto"/>
      <w:outlineLvl w:val="0"/>
    </w:pPr>
    <w:rPr>
      <w:rFonts w:ascii="Arial" w:eastAsia="SimSun" w:hAnsi="Arial"/>
      <w:b/>
      <w:bCs/>
      <w:kern w:val="32"/>
      <w:sz w:val="32"/>
      <w:szCs w:val="32"/>
    </w:rPr>
  </w:style>
  <w:style w:type="paragraph" w:styleId="Heading2">
    <w:name w:val="heading 2"/>
    <w:basedOn w:val="Normal"/>
    <w:next w:val="Normal"/>
    <w:link w:val="Heading2Char"/>
    <w:qFormat/>
    <w:rsid w:val="00525C2B"/>
    <w:pPr>
      <w:keepNext/>
      <w:spacing w:before="240" w:after="60" w:line="240" w:lineRule="auto"/>
      <w:outlineLvl w:val="1"/>
    </w:pPr>
    <w:rPr>
      <w:rFonts w:ascii="Arial" w:eastAsia="SimSun" w:hAnsi="Arial"/>
      <w:b/>
      <w:bCs/>
      <w:i/>
      <w:iCs/>
      <w:sz w:val="28"/>
      <w:szCs w:val="28"/>
      <w:lang w:eastAsia="zh-CN"/>
    </w:rPr>
  </w:style>
  <w:style w:type="paragraph" w:styleId="Heading3">
    <w:name w:val="heading 3"/>
    <w:basedOn w:val="Normal"/>
    <w:link w:val="Heading3Char"/>
    <w:uiPriority w:val="9"/>
    <w:qFormat/>
    <w:rsid w:val="00525C2B"/>
    <w:pPr>
      <w:spacing w:before="100" w:beforeAutospacing="1" w:after="100" w:afterAutospacing="1" w:line="240" w:lineRule="auto"/>
      <w:outlineLvl w:val="2"/>
    </w:pPr>
    <w:rPr>
      <w:rFonts w:ascii="Times New Roman" w:hAnsi="Times New Roman"/>
      <w:b/>
      <w:bCs/>
      <w:sz w:val="27"/>
      <w:szCs w:val="27"/>
    </w:rPr>
  </w:style>
  <w:style w:type="paragraph" w:styleId="Heading4">
    <w:name w:val="heading 4"/>
    <w:basedOn w:val="Normal"/>
    <w:next w:val="Normal"/>
    <w:link w:val="Heading4Char"/>
    <w:qFormat/>
    <w:rsid w:val="00525C2B"/>
    <w:pPr>
      <w:keepNext/>
      <w:spacing w:before="240" w:after="60" w:line="240" w:lineRule="auto"/>
      <w:outlineLvl w:val="3"/>
    </w:pPr>
    <w:rPr>
      <w:rFonts w:eastAsia="SimSun"/>
      <w:b/>
      <w:bCs/>
      <w:color w:val="0000FF"/>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AB7E6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B7E69"/>
    <w:rPr>
      <w:rFonts w:ascii="Tahoma" w:eastAsia="Times New Roman" w:hAnsi="Tahoma" w:cs="Tahoma"/>
      <w:sz w:val="16"/>
      <w:szCs w:val="16"/>
      <w:lang w:eastAsia="en-GB"/>
    </w:rPr>
  </w:style>
  <w:style w:type="character" w:customStyle="1" w:styleId="Heading1Char">
    <w:name w:val="Heading 1 Char"/>
    <w:link w:val="Heading1"/>
    <w:rsid w:val="00525C2B"/>
    <w:rPr>
      <w:rFonts w:ascii="Arial" w:eastAsia="SimSun" w:hAnsi="Arial" w:cs="Times New Roman"/>
      <w:b/>
      <w:bCs/>
      <w:kern w:val="32"/>
      <w:sz w:val="32"/>
      <w:szCs w:val="32"/>
      <w:lang w:eastAsia="en-GB"/>
    </w:rPr>
  </w:style>
  <w:style w:type="character" w:customStyle="1" w:styleId="Heading2Char">
    <w:name w:val="Heading 2 Char"/>
    <w:link w:val="Heading2"/>
    <w:rsid w:val="00525C2B"/>
    <w:rPr>
      <w:rFonts w:ascii="Arial" w:eastAsia="SimSun" w:hAnsi="Arial" w:cs="Times New Roman"/>
      <w:b/>
      <w:bCs/>
      <w:i/>
      <w:iCs/>
      <w:sz w:val="28"/>
      <w:szCs w:val="28"/>
      <w:lang w:eastAsia="zh-CN"/>
    </w:rPr>
  </w:style>
  <w:style w:type="character" w:customStyle="1" w:styleId="Heading3Char">
    <w:name w:val="Heading 3 Char"/>
    <w:link w:val="Heading3"/>
    <w:uiPriority w:val="9"/>
    <w:rsid w:val="00525C2B"/>
    <w:rPr>
      <w:rFonts w:ascii="Times New Roman" w:eastAsia="Times New Roman" w:hAnsi="Times New Roman" w:cs="Times New Roman"/>
      <w:b/>
      <w:bCs/>
      <w:sz w:val="27"/>
      <w:szCs w:val="27"/>
      <w:lang w:eastAsia="en-GB"/>
    </w:rPr>
  </w:style>
  <w:style w:type="character" w:customStyle="1" w:styleId="Heading4Char">
    <w:name w:val="Heading 4 Char"/>
    <w:link w:val="Heading4"/>
    <w:rsid w:val="00525C2B"/>
    <w:rPr>
      <w:rFonts w:ascii="Calibri" w:eastAsia="SimSun" w:hAnsi="Calibri" w:cs="Times New Roman"/>
      <w:b/>
      <w:bCs/>
      <w:color w:val="0000FF"/>
      <w:sz w:val="28"/>
      <w:szCs w:val="28"/>
      <w:u w:val="single"/>
      <w:lang w:eastAsia="en-GB"/>
    </w:rPr>
  </w:style>
  <w:style w:type="character" w:customStyle="1" w:styleId="CharChar13">
    <w:name w:val="Char Char13"/>
    <w:rsid w:val="00525C2B"/>
    <w:rPr>
      <w:rFonts w:ascii="Arial" w:eastAsia="SimSun" w:hAnsi="Arial" w:cs="Arial"/>
      <w:b/>
      <w:bCs/>
      <w:noProof w:val="0"/>
      <w:kern w:val="32"/>
      <w:sz w:val="32"/>
      <w:szCs w:val="32"/>
      <w:lang w:val="en-GB" w:eastAsia="en-GB"/>
    </w:rPr>
  </w:style>
  <w:style w:type="character" w:customStyle="1" w:styleId="CharChar12">
    <w:name w:val="Char Char12"/>
    <w:rsid w:val="00525C2B"/>
    <w:rPr>
      <w:rFonts w:ascii="Arial" w:eastAsia="SimSun" w:hAnsi="Arial" w:cs="Arial"/>
      <w:b/>
      <w:bCs/>
      <w:i/>
      <w:iCs/>
      <w:noProof w:val="0"/>
      <w:sz w:val="28"/>
      <w:szCs w:val="28"/>
      <w:lang w:val="en-GB"/>
    </w:rPr>
  </w:style>
  <w:style w:type="character" w:customStyle="1" w:styleId="CharChar11">
    <w:name w:val="Char Char11"/>
    <w:rsid w:val="00525C2B"/>
    <w:rPr>
      <w:rFonts w:ascii="Times New Roman" w:eastAsia="Times New Roman" w:hAnsi="Times New Roman" w:cs="Times New Roman"/>
      <w:b/>
      <w:bCs/>
      <w:noProof w:val="0"/>
      <w:sz w:val="27"/>
      <w:szCs w:val="27"/>
      <w:lang w:val="en-GB" w:eastAsia="en-GB"/>
    </w:rPr>
  </w:style>
  <w:style w:type="character" w:customStyle="1" w:styleId="CharChar10">
    <w:name w:val="Char Char10"/>
    <w:rsid w:val="00525C2B"/>
    <w:rPr>
      <w:rFonts w:ascii="Calibri" w:eastAsia="SimSun" w:hAnsi="Calibri" w:cs="Times New Roman"/>
      <w:b/>
      <w:bCs/>
      <w:noProof w:val="0"/>
      <w:color w:val="0000FF"/>
      <w:sz w:val="28"/>
      <w:szCs w:val="28"/>
      <w:u w:val="single"/>
      <w:lang w:val="en-GB" w:eastAsia="en-GB"/>
    </w:rPr>
  </w:style>
  <w:style w:type="paragraph" w:customStyle="1" w:styleId="Default">
    <w:name w:val="Default"/>
    <w:rsid w:val="00525C2B"/>
    <w:pPr>
      <w:autoSpaceDE w:val="0"/>
      <w:autoSpaceDN w:val="0"/>
      <w:adjustRightInd w:val="0"/>
    </w:pPr>
    <w:rPr>
      <w:rFonts w:ascii="Arial" w:eastAsia="SimSun" w:hAnsi="Arial"/>
      <w:color w:val="000000"/>
      <w:sz w:val="24"/>
      <w:szCs w:val="24"/>
      <w:lang w:val="en-US"/>
    </w:rPr>
  </w:style>
  <w:style w:type="paragraph" w:styleId="Date">
    <w:name w:val="Date"/>
    <w:basedOn w:val="Normal"/>
    <w:next w:val="Normal"/>
    <w:link w:val="DateChar"/>
    <w:semiHidden/>
    <w:unhideWhenUsed/>
    <w:rsid w:val="00525C2B"/>
    <w:rPr>
      <w:rFonts w:eastAsia="SimSun"/>
      <w:sz w:val="20"/>
      <w:szCs w:val="20"/>
      <w:lang w:val="en-US" w:eastAsia="zh-CN"/>
    </w:rPr>
  </w:style>
  <w:style w:type="character" w:customStyle="1" w:styleId="DateChar">
    <w:name w:val="Date Char"/>
    <w:link w:val="Date"/>
    <w:semiHidden/>
    <w:rsid w:val="00525C2B"/>
    <w:rPr>
      <w:rFonts w:ascii="Calibri" w:eastAsia="SimSun" w:hAnsi="Calibri" w:cs="Times New Roman"/>
      <w:sz w:val="20"/>
      <w:szCs w:val="20"/>
      <w:lang w:val="en-US" w:eastAsia="zh-CN"/>
    </w:rPr>
  </w:style>
  <w:style w:type="character" w:customStyle="1" w:styleId="CharChar9">
    <w:name w:val="Char Char9"/>
    <w:semiHidden/>
    <w:rsid w:val="00525C2B"/>
    <w:rPr>
      <w:rFonts w:ascii="Calibri" w:eastAsia="SimSun" w:hAnsi="Calibri" w:cs="Times New Roman"/>
    </w:rPr>
  </w:style>
  <w:style w:type="paragraph" w:styleId="Footer">
    <w:name w:val="footer"/>
    <w:basedOn w:val="Normal"/>
    <w:link w:val="FooterChar"/>
    <w:uiPriority w:val="99"/>
    <w:rsid w:val="00525C2B"/>
    <w:pPr>
      <w:tabs>
        <w:tab w:val="center" w:pos="4153"/>
        <w:tab w:val="right" w:pos="8306"/>
      </w:tabs>
      <w:spacing w:after="0" w:line="240" w:lineRule="auto"/>
    </w:pPr>
    <w:rPr>
      <w:rFonts w:ascii="Times New Roman" w:hAnsi="Times New Roman"/>
      <w:color w:val="0000FF"/>
      <w:sz w:val="18"/>
      <w:szCs w:val="18"/>
      <w:u w:val="single"/>
    </w:rPr>
  </w:style>
  <w:style w:type="character" w:customStyle="1" w:styleId="FooterChar">
    <w:name w:val="Footer Char"/>
    <w:link w:val="Footer"/>
    <w:uiPriority w:val="99"/>
    <w:rsid w:val="00525C2B"/>
    <w:rPr>
      <w:rFonts w:ascii="Times New Roman" w:eastAsia="Times New Roman" w:hAnsi="Times New Roman" w:cs="Times New Roman"/>
      <w:color w:val="0000FF"/>
      <w:sz w:val="18"/>
      <w:szCs w:val="18"/>
      <w:u w:val="single"/>
      <w:lang w:eastAsia="en-GB"/>
    </w:rPr>
  </w:style>
  <w:style w:type="character" w:customStyle="1" w:styleId="CharChar8">
    <w:name w:val="Char Char8"/>
    <w:rsid w:val="00525C2B"/>
    <w:rPr>
      <w:rFonts w:ascii="Times New Roman" w:eastAsia="Times New Roman" w:hAnsi="Times New Roman" w:cs="Times New Roman"/>
      <w:noProof w:val="0"/>
      <w:color w:val="0000FF"/>
      <w:sz w:val="18"/>
      <w:szCs w:val="18"/>
      <w:u w:val="single"/>
      <w:lang w:val="en-GB" w:eastAsia="en-GB"/>
    </w:rPr>
  </w:style>
  <w:style w:type="paragraph" w:styleId="HTMLPreformatted">
    <w:name w:val="HTML Preformatted"/>
    <w:basedOn w:val="Normal"/>
    <w:link w:val="HTMLPreformattedChar"/>
    <w:uiPriority w:val="99"/>
    <w:unhideWhenUsed/>
    <w:rsid w:val="00525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val="en-US" w:eastAsia="zh-CN"/>
    </w:rPr>
  </w:style>
  <w:style w:type="character" w:customStyle="1" w:styleId="HTMLPreformattedChar">
    <w:name w:val="HTML Preformatted Char"/>
    <w:link w:val="HTMLPreformatted"/>
    <w:uiPriority w:val="99"/>
    <w:rsid w:val="00525C2B"/>
    <w:rPr>
      <w:rFonts w:ascii="Courier New" w:eastAsia="Times New Roman" w:hAnsi="Courier New" w:cs="Times New Roman"/>
      <w:sz w:val="20"/>
      <w:szCs w:val="20"/>
      <w:lang w:val="en-US" w:eastAsia="zh-CN"/>
    </w:rPr>
  </w:style>
  <w:style w:type="character" w:customStyle="1" w:styleId="CharChar7">
    <w:name w:val="Char Char7"/>
    <w:rsid w:val="00525C2B"/>
    <w:rPr>
      <w:rFonts w:ascii="Courier New" w:eastAsia="Times New Roman" w:hAnsi="Courier New" w:cs="Courier New"/>
      <w:sz w:val="20"/>
      <w:szCs w:val="20"/>
    </w:rPr>
  </w:style>
  <w:style w:type="character" w:customStyle="1" w:styleId="transmembrane">
    <w:name w:val="transmembrane"/>
    <w:basedOn w:val="DefaultParagraphFont"/>
    <w:rsid w:val="00525C2B"/>
  </w:style>
  <w:style w:type="character" w:styleId="Hyperlink">
    <w:name w:val="Hyperlink"/>
    <w:uiPriority w:val="99"/>
    <w:unhideWhenUsed/>
    <w:rsid w:val="00525C2B"/>
    <w:rPr>
      <w:color w:val="0000FF"/>
      <w:u w:val="single"/>
    </w:rPr>
  </w:style>
  <w:style w:type="paragraph" w:styleId="ListParagraph">
    <w:name w:val="List Paragraph"/>
    <w:basedOn w:val="Normal"/>
    <w:uiPriority w:val="34"/>
    <w:qFormat/>
    <w:rsid w:val="00525C2B"/>
    <w:pPr>
      <w:ind w:left="720"/>
      <w:contextualSpacing/>
    </w:pPr>
    <w:rPr>
      <w:rFonts w:eastAsia="SimSun"/>
      <w:lang w:val="en-US" w:eastAsia="zh-CN"/>
    </w:rPr>
  </w:style>
  <w:style w:type="character" w:styleId="Strong">
    <w:name w:val="Strong"/>
    <w:uiPriority w:val="22"/>
    <w:qFormat/>
    <w:rsid w:val="00525C2B"/>
    <w:rPr>
      <w:b/>
      <w:bCs/>
    </w:rPr>
  </w:style>
  <w:style w:type="character" w:customStyle="1" w:styleId="CharChar6">
    <w:name w:val="Char Char6"/>
    <w:rsid w:val="00525C2B"/>
    <w:rPr>
      <w:rFonts w:ascii="Courier New" w:eastAsia="SimSun" w:hAnsi="Courier New" w:cs="Courier New"/>
      <w:noProof w:val="0"/>
      <w:lang w:val="en-GB" w:eastAsia="en-GB"/>
    </w:rPr>
  </w:style>
  <w:style w:type="paragraph" w:styleId="CommentText">
    <w:name w:val="annotation text"/>
    <w:basedOn w:val="Normal"/>
    <w:link w:val="CommentTextChar"/>
    <w:semiHidden/>
    <w:rsid w:val="00525C2B"/>
    <w:pPr>
      <w:spacing w:after="0" w:line="240" w:lineRule="auto"/>
    </w:pPr>
    <w:rPr>
      <w:rFonts w:ascii="Courier New" w:eastAsia="SimSun" w:hAnsi="Courier New"/>
      <w:sz w:val="20"/>
      <w:szCs w:val="20"/>
    </w:rPr>
  </w:style>
  <w:style w:type="character" w:customStyle="1" w:styleId="CommentTextChar">
    <w:name w:val="Comment Text Char"/>
    <w:link w:val="CommentText"/>
    <w:semiHidden/>
    <w:rsid w:val="00525C2B"/>
    <w:rPr>
      <w:rFonts w:ascii="Courier New" w:eastAsia="SimSun" w:hAnsi="Courier New" w:cs="Times New Roman"/>
      <w:sz w:val="20"/>
      <w:szCs w:val="20"/>
      <w:lang w:eastAsia="en-GB"/>
    </w:rPr>
  </w:style>
  <w:style w:type="character" w:customStyle="1" w:styleId="CommentTextChar1">
    <w:name w:val="Comment Text Char1"/>
    <w:semiHidden/>
    <w:rsid w:val="00525C2B"/>
    <w:rPr>
      <w:rFonts w:ascii="Calibri" w:eastAsia="SimSun" w:hAnsi="Calibri" w:cs="Times New Roman"/>
      <w:sz w:val="20"/>
      <w:szCs w:val="20"/>
    </w:rPr>
  </w:style>
  <w:style w:type="paragraph" w:styleId="NormalWeb">
    <w:name w:val="Normal (Web)"/>
    <w:basedOn w:val="Normal"/>
    <w:link w:val="NormalWebChar"/>
    <w:uiPriority w:val="99"/>
    <w:rsid w:val="00525C2B"/>
    <w:pPr>
      <w:spacing w:before="100" w:beforeAutospacing="1" w:after="100" w:afterAutospacing="1" w:line="240" w:lineRule="auto"/>
    </w:pPr>
    <w:rPr>
      <w:rFonts w:ascii="Times New Roman" w:hAnsi="Times New Roman"/>
      <w:sz w:val="24"/>
      <w:szCs w:val="24"/>
    </w:rPr>
  </w:style>
  <w:style w:type="paragraph" w:customStyle="1" w:styleId="ecxmsonormal">
    <w:name w:val="ecxmsonormal"/>
    <w:basedOn w:val="Normal"/>
    <w:rsid w:val="00525C2B"/>
    <w:pPr>
      <w:spacing w:after="324" w:line="240" w:lineRule="auto"/>
    </w:pPr>
    <w:rPr>
      <w:rFonts w:ascii="Times New Roman" w:hAnsi="Times New Roman"/>
      <w:sz w:val="24"/>
      <w:szCs w:val="24"/>
      <w:lang w:eastAsia="zh-CN"/>
    </w:rPr>
  </w:style>
  <w:style w:type="paragraph" w:styleId="Header">
    <w:name w:val="header"/>
    <w:basedOn w:val="Normal"/>
    <w:link w:val="HeaderChar"/>
    <w:uiPriority w:val="99"/>
    <w:rsid w:val="00525C2B"/>
    <w:pPr>
      <w:tabs>
        <w:tab w:val="center" w:pos="4680"/>
        <w:tab w:val="right" w:pos="9360"/>
      </w:tabs>
      <w:spacing w:after="0" w:line="240" w:lineRule="auto"/>
    </w:pPr>
    <w:rPr>
      <w:rFonts w:ascii="Times New Roman" w:hAnsi="Times New Roman"/>
      <w:color w:val="0000FF"/>
      <w:sz w:val="18"/>
      <w:szCs w:val="18"/>
      <w:u w:val="single"/>
    </w:rPr>
  </w:style>
  <w:style w:type="character" w:customStyle="1" w:styleId="HeaderChar">
    <w:name w:val="Header Char"/>
    <w:link w:val="Header"/>
    <w:uiPriority w:val="99"/>
    <w:rsid w:val="00525C2B"/>
    <w:rPr>
      <w:rFonts w:ascii="Times New Roman" w:eastAsia="Times New Roman" w:hAnsi="Times New Roman" w:cs="Times New Roman"/>
      <w:color w:val="0000FF"/>
      <w:sz w:val="18"/>
      <w:szCs w:val="18"/>
      <w:u w:val="single"/>
      <w:lang w:eastAsia="en-GB"/>
    </w:rPr>
  </w:style>
  <w:style w:type="character" w:customStyle="1" w:styleId="CharChar5">
    <w:name w:val="Char Char5"/>
    <w:rsid w:val="00525C2B"/>
    <w:rPr>
      <w:rFonts w:ascii="Times New Roman" w:eastAsia="Times New Roman" w:hAnsi="Times New Roman" w:cs="Times New Roman"/>
      <w:noProof w:val="0"/>
      <w:color w:val="0000FF"/>
      <w:sz w:val="18"/>
      <w:szCs w:val="18"/>
      <w:u w:val="single"/>
      <w:lang w:val="en-GB" w:eastAsia="en-GB"/>
    </w:rPr>
  </w:style>
  <w:style w:type="character" w:customStyle="1" w:styleId="nbapihighlight">
    <w:name w:val="nbapihighlight"/>
    <w:basedOn w:val="DefaultParagraphFont"/>
    <w:rsid w:val="00525C2B"/>
  </w:style>
  <w:style w:type="character" w:customStyle="1" w:styleId="nbapihighlightmo">
    <w:name w:val="nbapihighlightmo"/>
    <w:basedOn w:val="DefaultParagraphFont"/>
    <w:rsid w:val="00525C2B"/>
  </w:style>
  <w:style w:type="paragraph" w:styleId="z-TopofForm">
    <w:name w:val="HTML Top of Form"/>
    <w:basedOn w:val="Normal"/>
    <w:next w:val="Normal"/>
    <w:link w:val="z-TopofFormChar"/>
    <w:hidden/>
    <w:rsid w:val="00525C2B"/>
    <w:pPr>
      <w:pBdr>
        <w:bottom w:val="single" w:sz="6" w:space="1" w:color="auto"/>
      </w:pBdr>
      <w:spacing w:after="0" w:line="240" w:lineRule="auto"/>
      <w:jc w:val="center"/>
    </w:pPr>
    <w:rPr>
      <w:rFonts w:ascii="Arial" w:hAnsi="Arial"/>
      <w:vanish/>
      <w:sz w:val="16"/>
      <w:szCs w:val="16"/>
    </w:rPr>
  </w:style>
  <w:style w:type="character" w:customStyle="1" w:styleId="z-TopofFormChar">
    <w:name w:val="z-Top of Form Char"/>
    <w:link w:val="z-TopofForm"/>
    <w:rsid w:val="00525C2B"/>
    <w:rPr>
      <w:rFonts w:ascii="Arial" w:eastAsia="Times New Roman" w:hAnsi="Arial" w:cs="Times New Roman"/>
      <w:vanish/>
      <w:sz w:val="16"/>
      <w:szCs w:val="16"/>
      <w:lang w:eastAsia="en-GB"/>
    </w:rPr>
  </w:style>
  <w:style w:type="character" w:customStyle="1" w:styleId="CharChar4">
    <w:name w:val="Char Char4"/>
    <w:rsid w:val="00525C2B"/>
    <w:rPr>
      <w:rFonts w:ascii="Arial" w:eastAsia="Times New Roman" w:hAnsi="Arial" w:cs="Arial"/>
      <w:noProof w:val="0"/>
      <w:vanish/>
      <w:sz w:val="16"/>
      <w:szCs w:val="16"/>
      <w:lang w:val="en-GB" w:eastAsia="en-GB"/>
    </w:rPr>
  </w:style>
  <w:style w:type="paragraph" w:styleId="z-BottomofForm">
    <w:name w:val="HTML Bottom of Form"/>
    <w:basedOn w:val="Normal"/>
    <w:next w:val="Normal"/>
    <w:link w:val="z-BottomofFormChar"/>
    <w:hidden/>
    <w:rsid w:val="00525C2B"/>
    <w:pPr>
      <w:pBdr>
        <w:top w:val="single" w:sz="6" w:space="1" w:color="auto"/>
      </w:pBdr>
      <w:spacing w:after="0" w:line="240" w:lineRule="auto"/>
      <w:jc w:val="center"/>
    </w:pPr>
    <w:rPr>
      <w:rFonts w:ascii="Arial" w:hAnsi="Arial"/>
      <w:vanish/>
      <w:sz w:val="16"/>
      <w:szCs w:val="16"/>
    </w:rPr>
  </w:style>
  <w:style w:type="character" w:customStyle="1" w:styleId="z-BottomofFormChar">
    <w:name w:val="z-Bottom of Form Char"/>
    <w:link w:val="z-BottomofForm"/>
    <w:rsid w:val="00525C2B"/>
    <w:rPr>
      <w:rFonts w:ascii="Arial" w:eastAsia="Times New Roman" w:hAnsi="Arial" w:cs="Times New Roman"/>
      <w:vanish/>
      <w:sz w:val="16"/>
      <w:szCs w:val="16"/>
      <w:lang w:eastAsia="en-GB"/>
    </w:rPr>
  </w:style>
  <w:style w:type="character" w:customStyle="1" w:styleId="CharChar3">
    <w:name w:val="Char Char3"/>
    <w:rsid w:val="00525C2B"/>
    <w:rPr>
      <w:rFonts w:ascii="Arial" w:eastAsia="Times New Roman" w:hAnsi="Arial" w:cs="Arial"/>
      <w:noProof w:val="0"/>
      <w:vanish/>
      <w:sz w:val="16"/>
      <w:szCs w:val="16"/>
      <w:lang w:val="en-GB" w:eastAsia="en-GB"/>
    </w:rPr>
  </w:style>
  <w:style w:type="paragraph" w:customStyle="1" w:styleId="helpboxhidden">
    <w:name w:val="helpbox hidden"/>
    <w:basedOn w:val="Normal"/>
    <w:rsid w:val="00525C2B"/>
    <w:pPr>
      <w:spacing w:before="100" w:beforeAutospacing="1" w:after="100" w:afterAutospacing="1" w:line="240" w:lineRule="auto"/>
    </w:pPr>
    <w:rPr>
      <w:rFonts w:ascii="Times New Roman" w:hAnsi="Times New Roman"/>
      <w:sz w:val="24"/>
      <w:szCs w:val="24"/>
    </w:rPr>
  </w:style>
  <w:style w:type="paragraph" w:customStyle="1" w:styleId="psmall">
    <w:name w:val="psmall"/>
    <w:basedOn w:val="Normal"/>
    <w:rsid w:val="00525C2B"/>
    <w:pPr>
      <w:spacing w:before="100" w:beforeAutospacing="1" w:after="100" w:afterAutospacing="1" w:line="240" w:lineRule="auto"/>
    </w:pPr>
    <w:rPr>
      <w:rFonts w:ascii="Times New Roman" w:hAnsi="Times New Roman"/>
      <w:sz w:val="24"/>
      <w:szCs w:val="24"/>
    </w:rPr>
  </w:style>
  <w:style w:type="character" w:customStyle="1" w:styleId="CharChar2">
    <w:name w:val="Char Char2"/>
    <w:rsid w:val="00525C2B"/>
    <w:rPr>
      <w:rFonts w:ascii="Tahoma" w:eastAsia="Times New Roman" w:hAnsi="Tahoma" w:cs="Tahoma"/>
      <w:noProof w:val="0"/>
      <w:sz w:val="16"/>
      <w:szCs w:val="16"/>
      <w:lang w:val="en-GB" w:eastAsia="en-GB"/>
    </w:rPr>
  </w:style>
  <w:style w:type="paragraph" w:styleId="HTMLAddress">
    <w:name w:val="HTML Address"/>
    <w:basedOn w:val="Normal"/>
    <w:link w:val="HTMLAddressChar"/>
    <w:rsid w:val="00525C2B"/>
    <w:pPr>
      <w:spacing w:after="0" w:line="240" w:lineRule="auto"/>
    </w:pPr>
    <w:rPr>
      <w:rFonts w:ascii="Times New Roman" w:hAnsi="Times New Roman"/>
      <w:sz w:val="24"/>
      <w:szCs w:val="24"/>
    </w:rPr>
  </w:style>
  <w:style w:type="character" w:customStyle="1" w:styleId="HTMLAddressChar">
    <w:name w:val="HTML Address Char"/>
    <w:link w:val="HTMLAddress"/>
    <w:rsid w:val="00525C2B"/>
    <w:rPr>
      <w:rFonts w:ascii="Times New Roman" w:eastAsia="Times New Roman" w:hAnsi="Times New Roman" w:cs="Times New Roman"/>
      <w:sz w:val="24"/>
      <w:szCs w:val="24"/>
      <w:lang w:eastAsia="en-GB"/>
    </w:rPr>
  </w:style>
  <w:style w:type="character" w:customStyle="1" w:styleId="CharChar1">
    <w:name w:val="Char Char1"/>
    <w:rsid w:val="00525C2B"/>
    <w:rPr>
      <w:rFonts w:ascii="Times New Roman" w:eastAsia="Times New Roman" w:hAnsi="Times New Roman" w:cs="Times New Roman"/>
      <w:noProof w:val="0"/>
      <w:sz w:val="24"/>
      <w:szCs w:val="24"/>
      <w:lang w:val="en-GB" w:eastAsia="en-GB"/>
    </w:rPr>
  </w:style>
  <w:style w:type="paragraph" w:customStyle="1" w:styleId="help">
    <w:name w:val="help"/>
    <w:basedOn w:val="Normal"/>
    <w:rsid w:val="00525C2B"/>
    <w:pPr>
      <w:spacing w:before="100" w:beforeAutospacing="1" w:after="100" w:afterAutospacing="1" w:line="240" w:lineRule="auto"/>
    </w:pPr>
    <w:rPr>
      <w:rFonts w:ascii="Times New Roman" w:hAnsi="Times New Roman"/>
      <w:sz w:val="24"/>
      <w:szCs w:val="24"/>
    </w:rPr>
  </w:style>
  <w:style w:type="paragraph" w:customStyle="1" w:styleId="copyrightattribution">
    <w:name w:val="copyright_attribution"/>
    <w:basedOn w:val="Normal"/>
    <w:rsid w:val="00525C2B"/>
    <w:pPr>
      <w:spacing w:before="100" w:beforeAutospacing="1" w:after="100" w:afterAutospacing="1" w:line="240" w:lineRule="auto"/>
    </w:pPr>
    <w:rPr>
      <w:rFonts w:ascii="Times New Roman" w:hAnsi="Times New Roman"/>
      <w:color w:val="000000"/>
      <w:sz w:val="24"/>
      <w:szCs w:val="24"/>
    </w:rPr>
  </w:style>
  <w:style w:type="paragraph" w:customStyle="1" w:styleId="subsection">
    <w:name w:val="subsection"/>
    <w:basedOn w:val="Normal"/>
    <w:rsid w:val="00525C2B"/>
    <w:pPr>
      <w:spacing w:before="100" w:beforeAutospacing="1" w:after="100" w:afterAutospacing="1" w:line="240" w:lineRule="auto"/>
    </w:pPr>
    <w:rPr>
      <w:rFonts w:ascii="Times New Roman" w:hAnsi="Times New Roman"/>
      <w:sz w:val="24"/>
      <w:szCs w:val="24"/>
    </w:rPr>
  </w:style>
  <w:style w:type="paragraph" w:customStyle="1" w:styleId="del">
    <w:name w:val="del"/>
    <w:basedOn w:val="Normal"/>
    <w:rsid w:val="00525C2B"/>
    <w:pPr>
      <w:spacing w:before="100" w:beforeAutospacing="1" w:after="100" w:afterAutospacing="1" w:line="240" w:lineRule="auto"/>
    </w:pPr>
    <w:rPr>
      <w:rFonts w:ascii="Times New Roman" w:hAnsi="Times New Roman"/>
      <w:sz w:val="24"/>
      <w:szCs w:val="24"/>
    </w:rPr>
  </w:style>
  <w:style w:type="paragraph" w:customStyle="1" w:styleId="warn">
    <w:name w:val="warn"/>
    <w:basedOn w:val="Normal"/>
    <w:rsid w:val="00525C2B"/>
    <w:pPr>
      <w:pBdr>
        <w:top w:val="single" w:sz="6" w:space="6" w:color="DEDEDE"/>
        <w:left w:val="single" w:sz="6" w:space="12" w:color="DEDEDE"/>
        <w:bottom w:val="single" w:sz="6" w:space="6" w:color="DEDEDE"/>
        <w:right w:val="single" w:sz="6" w:space="12" w:color="DEDEDE"/>
      </w:pBdr>
      <w:shd w:val="clear" w:color="auto" w:fill="FFFFCC"/>
      <w:spacing w:after="240" w:line="240" w:lineRule="auto"/>
    </w:pPr>
    <w:rPr>
      <w:rFonts w:ascii="Times New Roman" w:hAnsi="Times New Roman"/>
      <w:b/>
      <w:bCs/>
      <w:sz w:val="24"/>
      <w:szCs w:val="24"/>
    </w:rPr>
  </w:style>
  <w:style w:type="paragraph" w:customStyle="1" w:styleId="action">
    <w:name w:val="action"/>
    <w:basedOn w:val="Normal"/>
    <w:rsid w:val="00525C2B"/>
    <w:pPr>
      <w:spacing w:before="120" w:after="120" w:line="240" w:lineRule="auto"/>
    </w:pPr>
    <w:rPr>
      <w:rFonts w:ascii="Times New Roman" w:hAnsi="Times New Roman"/>
      <w:sz w:val="24"/>
      <w:szCs w:val="24"/>
    </w:rPr>
  </w:style>
  <w:style w:type="paragraph" w:customStyle="1" w:styleId="exponent">
    <w:name w:val="exponent"/>
    <w:basedOn w:val="Normal"/>
    <w:rsid w:val="00525C2B"/>
    <w:pPr>
      <w:spacing w:before="100" w:beforeAutospacing="1" w:after="100" w:afterAutospacing="1" w:line="240" w:lineRule="auto"/>
      <w:textAlignment w:val="top"/>
    </w:pPr>
    <w:rPr>
      <w:rFonts w:ascii="Times New Roman" w:hAnsi="Times New Roman"/>
      <w:sz w:val="20"/>
      <w:szCs w:val="20"/>
    </w:rPr>
  </w:style>
  <w:style w:type="paragraph" w:customStyle="1" w:styleId="sample">
    <w:name w:val="sample"/>
    <w:basedOn w:val="Normal"/>
    <w:rsid w:val="00525C2B"/>
    <w:pPr>
      <w:spacing w:before="100" w:beforeAutospacing="1" w:after="100" w:afterAutospacing="1" w:line="240" w:lineRule="auto"/>
    </w:pPr>
    <w:rPr>
      <w:rFonts w:ascii="Times New Roman" w:hAnsi="Times New Roman"/>
      <w:sz w:val="24"/>
      <w:szCs w:val="24"/>
    </w:rPr>
  </w:style>
  <w:style w:type="paragraph" w:customStyle="1" w:styleId="format">
    <w:name w:val="format"/>
    <w:basedOn w:val="Normal"/>
    <w:rsid w:val="00525C2B"/>
    <w:pPr>
      <w:shd w:val="clear" w:color="auto" w:fill="FFA500"/>
      <w:spacing w:before="100" w:beforeAutospacing="1" w:after="100" w:afterAutospacing="1" w:line="240" w:lineRule="auto"/>
    </w:pPr>
    <w:rPr>
      <w:rFonts w:ascii="Times New Roman" w:hAnsi="Times New Roman"/>
      <w:b/>
      <w:bCs/>
      <w:caps/>
      <w:color w:val="FFFFFF"/>
      <w:sz w:val="24"/>
      <w:szCs w:val="24"/>
    </w:rPr>
  </w:style>
  <w:style w:type="paragraph" w:customStyle="1" w:styleId="update">
    <w:name w:val="update"/>
    <w:basedOn w:val="Normal"/>
    <w:rsid w:val="00525C2B"/>
    <w:pPr>
      <w:spacing w:before="100" w:beforeAutospacing="1" w:after="100" w:afterAutospacing="1" w:line="240" w:lineRule="auto"/>
    </w:pPr>
    <w:rPr>
      <w:rFonts w:ascii="Times New Roman" w:hAnsi="Times New Roman"/>
      <w:sz w:val="36"/>
      <w:szCs w:val="36"/>
    </w:rPr>
  </w:style>
  <w:style w:type="paragraph" w:customStyle="1" w:styleId="hidden">
    <w:name w:val="hidden"/>
    <w:basedOn w:val="Normal"/>
    <w:rsid w:val="00525C2B"/>
    <w:pPr>
      <w:spacing w:before="100" w:beforeAutospacing="1" w:after="100" w:afterAutospacing="1" w:line="240" w:lineRule="auto"/>
    </w:pPr>
    <w:rPr>
      <w:rFonts w:ascii="Times New Roman" w:hAnsi="Times New Roman"/>
      <w:vanish/>
      <w:sz w:val="24"/>
      <w:szCs w:val="24"/>
    </w:rPr>
  </w:style>
  <w:style w:type="paragraph" w:customStyle="1" w:styleId="details">
    <w:name w:val="details"/>
    <w:basedOn w:val="Normal"/>
    <w:rsid w:val="00525C2B"/>
    <w:pPr>
      <w:spacing w:before="100" w:beforeAutospacing="1" w:after="100" w:afterAutospacing="1" w:line="240" w:lineRule="auto"/>
    </w:pPr>
    <w:rPr>
      <w:rFonts w:ascii="Times New Roman" w:hAnsi="Times New Roman"/>
      <w:sz w:val="24"/>
      <w:szCs w:val="24"/>
    </w:rPr>
  </w:style>
  <w:style w:type="paragraph" w:customStyle="1" w:styleId="obsolete">
    <w:name w:val="obsolete"/>
    <w:basedOn w:val="Normal"/>
    <w:rsid w:val="00525C2B"/>
    <w:pPr>
      <w:spacing w:before="100" w:beforeAutospacing="1" w:after="100" w:afterAutospacing="1" w:line="240" w:lineRule="auto"/>
    </w:pPr>
    <w:rPr>
      <w:rFonts w:ascii="Times New Roman" w:hAnsi="Times New Roman"/>
      <w:color w:val="C0C0C0"/>
      <w:sz w:val="24"/>
      <w:szCs w:val="24"/>
    </w:rPr>
  </w:style>
  <w:style w:type="paragraph" w:customStyle="1" w:styleId="stopword">
    <w:name w:val="stopword"/>
    <w:basedOn w:val="Normal"/>
    <w:rsid w:val="00525C2B"/>
    <w:pPr>
      <w:spacing w:before="100" w:beforeAutospacing="1" w:after="100" w:afterAutospacing="1" w:line="240" w:lineRule="auto"/>
    </w:pPr>
    <w:rPr>
      <w:rFonts w:ascii="Times New Roman" w:hAnsi="Times New Roman"/>
      <w:color w:val="C0C0C0"/>
      <w:sz w:val="24"/>
      <w:szCs w:val="24"/>
    </w:rPr>
  </w:style>
  <w:style w:type="paragraph" w:customStyle="1" w:styleId="blast-options-link">
    <w:name w:val="blast-options-link"/>
    <w:basedOn w:val="Normal"/>
    <w:rsid w:val="00525C2B"/>
    <w:pPr>
      <w:spacing w:before="100" w:beforeAutospacing="1" w:after="100" w:afterAutospacing="1" w:line="240" w:lineRule="auto"/>
    </w:pPr>
    <w:rPr>
      <w:rFonts w:ascii="Times New Roman" w:hAnsi="Times New Roman"/>
      <w:b/>
      <w:bCs/>
      <w:color w:val="326495"/>
      <w:sz w:val="24"/>
      <w:szCs w:val="24"/>
    </w:rPr>
  </w:style>
  <w:style w:type="paragraph" w:customStyle="1" w:styleId="tabs">
    <w:name w:val="tabs"/>
    <w:basedOn w:val="Normal"/>
    <w:rsid w:val="00525C2B"/>
    <w:pPr>
      <w:shd w:val="clear" w:color="auto" w:fill="EEEEEE"/>
      <w:spacing w:before="100" w:beforeAutospacing="1" w:after="100" w:afterAutospacing="1" w:line="240" w:lineRule="auto"/>
    </w:pPr>
    <w:rPr>
      <w:rFonts w:ascii="Times New Roman" w:hAnsi="Times New Roman"/>
      <w:color w:val="326495"/>
      <w:sz w:val="24"/>
      <w:szCs w:val="24"/>
    </w:rPr>
  </w:style>
  <w:style w:type="paragraph" w:customStyle="1" w:styleId="pdbspan">
    <w:name w:val="pdbspan"/>
    <w:basedOn w:val="Normal"/>
    <w:rsid w:val="00525C2B"/>
    <w:pPr>
      <w:spacing w:before="100" w:beforeAutospacing="1" w:after="100" w:afterAutospacing="1" w:line="240" w:lineRule="auto"/>
    </w:pPr>
    <w:rPr>
      <w:rFonts w:ascii="Times New Roman" w:hAnsi="Times New Roman"/>
      <w:color w:val="808080"/>
      <w:sz w:val="24"/>
      <w:szCs w:val="24"/>
    </w:rPr>
  </w:style>
  <w:style w:type="paragraph" w:customStyle="1" w:styleId="next">
    <w:name w:val="next"/>
    <w:basedOn w:val="Normal"/>
    <w:rsid w:val="00525C2B"/>
    <w:pPr>
      <w:spacing w:before="100" w:beforeAutospacing="1" w:after="100" w:afterAutospacing="1" w:line="240" w:lineRule="auto"/>
    </w:pPr>
    <w:rPr>
      <w:rFonts w:ascii="Times New Roman" w:hAnsi="Times New Roman"/>
      <w:sz w:val="24"/>
      <w:szCs w:val="24"/>
    </w:rPr>
  </w:style>
  <w:style w:type="paragraph" w:customStyle="1" w:styleId="toc">
    <w:name w:val="toc"/>
    <w:basedOn w:val="Normal"/>
    <w:rsid w:val="00525C2B"/>
    <w:pPr>
      <w:pBdr>
        <w:top w:val="single" w:sz="36" w:space="0" w:color="DEDEDE"/>
      </w:pBdr>
      <w:spacing w:after="0" w:line="240" w:lineRule="auto"/>
    </w:pPr>
    <w:rPr>
      <w:rFonts w:ascii="Times New Roman" w:hAnsi="Times New Roman"/>
      <w:sz w:val="24"/>
      <w:szCs w:val="24"/>
    </w:rPr>
  </w:style>
  <w:style w:type="paragraph" w:customStyle="1" w:styleId="toplink">
    <w:name w:val="toplink"/>
    <w:basedOn w:val="Normal"/>
    <w:rsid w:val="00525C2B"/>
    <w:pPr>
      <w:spacing w:before="480" w:after="100" w:afterAutospacing="1" w:line="240" w:lineRule="auto"/>
    </w:pPr>
    <w:rPr>
      <w:rFonts w:ascii="Times New Roman" w:hAnsi="Times New Roman"/>
      <w:b/>
      <w:bCs/>
      <w:color w:val="E5E5E5"/>
      <w:sz w:val="24"/>
      <w:szCs w:val="24"/>
    </w:rPr>
  </w:style>
  <w:style w:type="paragraph" w:customStyle="1" w:styleId="sequence-background">
    <w:name w:val="sequence-background"/>
    <w:basedOn w:val="Normal"/>
    <w:rsid w:val="00525C2B"/>
    <w:pPr>
      <w:shd w:val="clear" w:color="auto" w:fill="EEEEEE"/>
      <w:spacing w:before="100" w:beforeAutospacing="1" w:after="100" w:afterAutospacing="1" w:line="240" w:lineRule="auto"/>
    </w:pPr>
    <w:rPr>
      <w:rFonts w:ascii="Times New Roman" w:hAnsi="Times New Roman"/>
      <w:sz w:val="24"/>
      <w:szCs w:val="24"/>
    </w:rPr>
  </w:style>
  <w:style w:type="paragraph" w:customStyle="1" w:styleId="why-inline">
    <w:name w:val="why-inline"/>
    <w:basedOn w:val="Normal"/>
    <w:rsid w:val="00525C2B"/>
    <w:pPr>
      <w:pBdr>
        <w:top w:val="dotted" w:sz="6" w:space="1" w:color="FFFFFF"/>
        <w:left w:val="dotted" w:sz="6" w:space="6" w:color="FFFFFF"/>
        <w:bottom w:val="dotted" w:sz="6" w:space="1" w:color="FFFFFF"/>
        <w:right w:val="dotted" w:sz="6" w:space="6" w:color="FFFFFF"/>
      </w:pBdr>
      <w:shd w:val="clear" w:color="auto" w:fill="C0C0C0"/>
      <w:spacing w:before="100" w:beforeAutospacing="1" w:after="100" w:afterAutospacing="1" w:line="240" w:lineRule="auto"/>
      <w:ind w:left="120"/>
    </w:pPr>
    <w:rPr>
      <w:rFonts w:ascii="Times New Roman" w:hAnsi="Times New Roman"/>
      <w:color w:val="FFFFFF"/>
      <w:sz w:val="24"/>
      <w:szCs w:val="24"/>
    </w:rPr>
  </w:style>
  <w:style w:type="paragraph" w:customStyle="1" w:styleId="nice">
    <w:name w:val="nice"/>
    <w:basedOn w:val="Normal"/>
    <w:rsid w:val="00525C2B"/>
    <w:pPr>
      <w:pBdr>
        <w:top w:val="single" w:sz="6" w:space="0" w:color="FFFFFF"/>
        <w:left w:val="single" w:sz="6" w:space="0" w:color="FFFFFF"/>
        <w:bottom w:val="single" w:sz="6" w:space="0" w:color="FFFFFF"/>
        <w:right w:val="single" w:sz="6" w:space="0" w:color="FFFFFF"/>
      </w:pBdr>
      <w:spacing w:before="100" w:beforeAutospacing="1" w:after="100" w:afterAutospacing="1" w:line="240" w:lineRule="auto"/>
    </w:pPr>
    <w:rPr>
      <w:rFonts w:ascii="Times New Roman" w:hAnsi="Times New Roman"/>
      <w:sz w:val="24"/>
      <w:szCs w:val="24"/>
    </w:rPr>
  </w:style>
  <w:style w:type="paragraph" w:customStyle="1" w:styleId="sequence-table">
    <w:name w:val="sequence-table"/>
    <w:basedOn w:val="Normal"/>
    <w:rsid w:val="00525C2B"/>
    <w:pPr>
      <w:spacing w:after="0" w:line="240" w:lineRule="auto"/>
    </w:pPr>
    <w:rPr>
      <w:rFonts w:ascii="Times New Roman" w:hAnsi="Times New Roman"/>
      <w:sz w:val="24"/>
      <w:szCs w:val="24"/>
    </w:rPr>
  </w:style>
  <w:style w:type="paragraph" w:customStyle="1" w:styleId="xrefcategory">
    <w:name w:val="xref_category"/>
    <w:basedOn w:val="Normal"/>
    <w:rsid w:val="00525C2B"/>
    <w:pPr>
      <w:shd w:val="clear" w:color="auto" w:fill="F2F2F2"/>
      <w:spacing w:before="100" w:beforeAutospacing="1" w:after="100" w:afterAutospacing="1" w:line="240" w:lineRule="auto"/>
    </w:pPr>
    <w:rPr>
      <w:rFonts w:ascii="Times New Roman" w:hAnsi="Times New Roman"/>
      <w:sz w:val="24"/>
      <w:szCs w:val="24"/>
    </w:rPr>
  </w:style>
  <w:style w:type="paragraph" w:customStyle="1" w:styleId="non-experimental-qualifier">
    <w:name w:val="non-experimental-qualifier"/>
    <w:basedOn w:val="Normal"/>
    <w:rsid w:val="00525C2B"/>
    <w:pPr>
      <w:pBdr>
        <w:top w:val="single" w:sz="6" w:space="0" w:color="808080"/>
        <w:left w:val="single" w:sz="6" w:space="6" w:color="808080"/>
        <w:bottom w:val="single" w:sz="6" w:space="0" w:color="808080"/>
        <w:right w:val="single" w:sz="6" w:space="6" w:color="808080"/>
      </w:pBdr>
      <w:spacing w:before="100" w:beforeAutospacing="1" w:after="100" w:afterAutospacing="1" w:line="240" w:lineRule="auto"/>
      <w:textAlignment w:val="top"/>
    </w:pPr>
    <w:rPr>
      <w:rFonts w:ascii="Times New Roman" w:hAnsi="Times New Roman"/>
      <w:color w:val="808080"/>
      <w:sz w:val="20"/>
      <w:szCs w:val="20"/>
    </w:rPr>
  </w:style>
  <w:style w:type="paragraph" w:customStyle="1" w:styleId="goa">
    <w:name w:val="goa"/>
    <w:basedOn w:val="Normal"/>
    <w:rsid w:val="00525C2B"/>
    <w:pPr>
      <w:spacing w:after="0" w:line="240" w:lineRule="auto"/>
    </w:pPr>
    <w:rPr>
      <w:rFonts w:ascii="Times New Roman" w:hAnsi="Times New Roman"/>
      <w:color w:val="808080"/>
      <w:sz w:val="24"/>
      <w:szCs w:val="24"/>
    </w:rPr>
  </w:style>
  <w:style w:type="paragraph" w:customStyle="1" w:styleId="multigene">
    <w:name w:val="multigene"/>
    <w:basedOn w:val="Normal"/>
    <w:rsid w:val="00525C2B"/>
    <w:pPr>
      <w:spacing w:before="100" w:beforeAutospacing="1" w:after="100" w:afterAutospacing="1" w:line="240" w:lineRule="auto"/>
    </w:pPr>
    <w:rPr>
      <w:rFonts w:ascii="Times New Roman" w:hAnsi="Times New Roman"/>
      <w:b/>
      <w:bCs/>
      <w:color w:val="BEBEBE"/>
      <w:sz w:val="27"/>
      <w:szCs w:val="27"/>
    </w:rPr>
  </w:style>
  <w:style w:type="paragraph" w:customStyle="1" w:styleId="helix">
    <w:name w:val="helix"/>
    <w:basedOn w:val="Normal"/>
    <w:rsid w:val="00525C2B"/>
    <w:pPr>
      <w:pBdr>
        <w:left w:val="single" w:sz="48" w:space="0" w:color="7EB6FF"/>
      </w:pBdr>
      <w:spacing w:before="100" w:beforeAutospacing="1" w:after="100" w:afterAutospacing="1" w:line="240" w:lineRule="auto"/>
      <w:ind w:right="240"/>
    </w:pPr>
    <w:rPr>
      <w:rFonts w:ascii="Times New Roman" w:hAnsi="Times New Roman"/>
      <w:sz w:val="24"/>
      <w:szCs w:val="24"/>
    </w:rPr>
  </w:style>
  <w:style w:type="paragraph" w:customStyle="1" w:styleId="strand">
    <w:name w:val="strand"/>
    <w:basedOn w:val="Normal"/>
    <w:rsid w:val="00525C2B"/>
    <w:pPr>
      <w:pBdr>
        <w:left w:val="single" w:sz="48" w:space="0" w:color="9AFF9A"/>
      </w:pBdr>
      <w:spacing w:before="100" w:beforeAutospacing="1" w:after="100" w:afterAutospacing="1" w:line="240" w:lineRule="auto"/>
      <w:ind w:right="240"/>
    </w:pPr>
    <w:rPr>
      <w:rFonts w:ascii="Times New Roman" w:hAnsi="Times New Roman"/>
      <w:sz w:val="24"/>
      <w:szCs w:val="24"/>
    </w:rPr>
  </w:style>
  <w:style w:type="paragraph" w:customStyle="1" w:styleId="turn">
    <w:name w:val="turn"/>
    <w:basedOn w:val="Normal"/>
    <w:rsid w:val="00525C2B"/>
    <w:pPr>
      <w:pBdr>
        <w:left w:val="single" w:sz="48" w:space="0" w:color="FFFFAA"/>
      </w:pBdr>
      <w:spacing w:before="100" w:beforeAutospacing="1" w:after="100" w:afterAutospacing="1" w:line="240" w:lineRule="auto"/>
      <w:ind w:right="240"/>
    </w:pPr>
    <w:rPr>
      <w:rFonts w:ascii="Times New Roman" w:hAnsi="Times New Roman"/>
      <w:sz w:val="24"/>
      <w:szCs w:val="24"/>
    </w:rPr>
  </w:style>
  <w:style w:type="paragraph" w:customStyle="1" w:styleId="caution">
    <w:name w:val="caution"/>
    <w:basedOn w:val="Normal"/>
    <w:rsid w:val="00525C2B"/>
    <w:pPr>
      <w:shd w:val="clear" w:color="auto" w:fill="FFFFCC"/>
      <w:spacing w:before="100" w:beforeAutospacing="1" w:after="100" w:afterAutospacing="1" w:line="240" w:lineRule="auto"/>
    </w:pPr>
    <w:rPr>
      <w:rFonts w:ascii="Times New Roman" w:hAnsi="Times New Roman"/>
      <w:sz w:val="24"/>
      <w:szCs w:val="24"/>
    </w:rPr>
  </w:style>
  <w:style w:type="paragraph" w:customStyle="1" w:styleId="link-target-selector">
    <w:name w:val="link-target-selector"/>
    <w:basedOn w:val="Normal"/>
    <w:rsid w:val="00525C2B"/>
    <w:pPr>
      <w:spacing w:before="100" w:beforeAutospacing="1" w:after="100" w:afterAutospacing="1" w:line="240" w:lineRule="auto"/>
    </w:pPr>
    <w:rPr>
      <w:rFonts w:ascii="Times New Roman" w:hAnsi="Times New Roman"/>
      <w:sz w:val="24"/>
      <w:szCs w:val="24"/>
    </w:rPr>
  </w:style>
  <w:style w:type="paragraph" w:customStyle="1" w:styleId="comment">
    <w:name w:val="comment"/>
    <w:basedOn w:val="Normal"/>
    <w:rsid w:val="00525C2B"/>
    <w:pPr>
      <w:spacing w:before="100" w:beforeAutospacing="1" w:after="100" w:afterAutospacing="1" w:line="240" w:lineRule="auto"/>
    </w:pPr>
    <w:rPr>
      <w:rFonts w:ascii="Times New Roman" w:hAnsi="Times New Roman"/>
      <w:sz w:val="24"/>
      <w:szCs w:val="24"/>
    </w:rPr>
  </w:style>
  <w:style w:type="paragraph" w:customStyle="1" w:styleId="dialog">
    <w:name w:val="dialog"/>
    <w:basedOn w:val="Normal"/>
    <w:rsid w:val="00525C2B"/>
    <w:pPr>
      <w:spacing w:before="100" w:beforeAutospacing="1" w:after="100" w:afterAutospacing="1" w:line="240" w:lineRule="auto"/>
    </w:pPr>
    <w:rPr>
      <w:rFonts w:ascii="Times New Roman" w:hAnsi="Times New Roman"/>
      <w:sz w:val="24"/>
      <w:szCs w:val="24"/>
    </w:rPr>
  </w:style>
  <w:style w:type="paragraph" w:customStyle="1" w:styleId="overlaypopup">
    <w:name w:val="overlay_popup"/>
    <w:basedOn w:val="Normal"/>
    <w:rsid w:val="00525C2B"/>
    <w:pPr>
      <w:shd w:val="clear" w:color="auto" w:fill="C0C0C0"/>
      <w:spacing w:before="100" w:beforeAutospacing="1" w:after="100" w:afterAutospacing="1" w:line="240" w:lineRule="auto"/>
    </w:pPr>
    <w:rPr>
      <w:rFonts w:ascii="Times New Roman" w:hAnsi="Times New Roman"/>
      <w:sz w:val="24"/>
      <w:szCs w:val="24"/>
    </w:rPr>
  </w:style>
  <w:style w:type="paragraph" w:customStyle="1" w:styleId="popupnw">
    <w:name w:val="popup_nw"/>
    <w:basedOn w:val="Normal"/>
    <w:rsid w:val="00525C2B"/>
    <w:pPr>
      <w:spacing w:before="100" w:beforeAutospacing="1" w:after="100" w:afterAutospacing="1" w:line="240" w:lineRule="auto"/>
    </w:pPr>
    <w:rPr>
      <w:rFonts w:ascii="Times New Roman" w:hAnsi="Times New Roman"/>
      <w:sz w:val="24"/>
      <w:szCs w:val="24"/>
    </w:rPr>
  </w:style>
  <w:style w:type="paragraph" w:customStyle="1" w:styleId="popupn">
    <w:name w:val="popup_n"/>
    <w:basedOn w:val="Normal"/>
    <w:rsid w:val="00525C2B"/>
    <w:pPr>
      <w:spacing w:before="100" w:beforeAutospacing="1" w:after="100" w:afterAutospacing="1" w:line="240" w:lineRule="auto"/>
    </w:pPr>
    <w:rPr>
      <w:rFonts w:ascii="Times New Roman" w:hAnsi="Times New Roman"/>
      <w:sz w:val="24"/>
      <w:szCs w:val="24"/>
    </w:rPr>
  </w:style>
  <w:style w:type="paragraph" w:customStyle="1" w:styleId="popupne">
    <w:name w:val="popup_ne"/>
    <w:basedOn w:val="Normal"/>
    <w:rsid w:val="00525C2B"/>
    <w:pPr>
      <w:spacing w:before="100" w:beforeAutospacing="1" w:after="100" w:afterAutospacing="1" w:line="240" w:lineRule="auto"/>
    </w:pPr>
    <w:rPr>
      <w:rFonts w:ascii="Times New Roman" w:hAnsi="Times New Roman"/>
      <w:sz w:val="24"/>
      <w:szCs w:val="24"/>
    </w:rPr>
  </w:style>
  <w:style w:type="paragraph" w:customStyle="1" w:styleId="popupw">
    <w:name w:val="popup_w"/>
    <w:basedOn w:val="Normal"/>
    <w:rsid w:val="00525C2B"/>
    <w:pPr>
      <w:spacing w:before="100" w:beforeAutospacing="1" w:after="100" w:afterAutospacing="1" w:line="240" w:lineRule="auto"/>
    </w:pPr>
    <w:rPr>
      <w:rFonts w:ascii="Times New Roman" w:hAnsi="Times New Roman"/>
      <w:sz w:val="24"/>
      <w:szCs w:val="24"/>
    </w:rPr>
  </w:style>
  <w:style w:type="paragraph" w:customStyle="1" w:styleId="popupe">
    <w:name w:val="popup_e"/>
    <w:basedOn w:val="Normal"/>
    <w:rsid w:val="00525C2B"/>
    <w:pPr>
      <w:spacing w:before="100" w:beforeAutospacing="1" w:after="100" w:afterAutospacing="1" w:line="240" w:lineRule="auto"/>
    </w:pPr>
    <w:rPr>
      <w:rFonts w:ascii="Times New Roman" w:hAnsi="Times New Roman"/>
      <w:sz w:val="24"/>
      <w:szCs w:val="24"/>
    </w:rPr>
  </w:style>
  <w:style w:type="paragraph" w:customStyle="1" w:styleId="popupsw">
    <w:name w:val="popup_sw"/>
    <w:basedOn w:val="Normal"/>
    <w:rsid w:val="00525C2B"/>
    <w:pPr>
      <w:spacing w:before="100" w:beforeAutospacing="1" w:after="100" w:afterAutospacing="1" w:line="240" w:lineRule="auto"/>
    </w:pPr>
    <w:rPr>
      <w:rFonts w:ascii="Times New Roman" w:hAnsi="Times New Roman"/>
      <w:sz w:val="24"/>
      <w:szCs w:val="24"/>
    </w:rPr>
  </w:style>
  <w:style w:type="paragraph" w:customStyle="1" w:styleId="popups">
    <w:name w:val="popup_s"/>
    <w:basedOn w:val="Normal"/>
    <w:rsid w:val="00525C2B"/>
    <w:pPr>
      <w:spacing w:before="100" w:beforeAutospacing="1" w:after="100" w:afterAutospacing="1" w:line="240" w:lineRule="auto"/>
    </w:pPr>
    <w:rPr>
      <w:rFonts w:ascii="Times New Roman" w:hAnsi="Times New Roman"/>
      <w:sz w:val="24"/>
      <w:szCs w:val="24"/>
    </w:rPr>
  </w:style>
  <w:style w:type="paragraph" w:customStyle="1" w:styleId="popupse">
    <w:name w:val="popup_se"/>
    <w:basedOn w:val="Normal"/>
    <w:rsid w:val="00525C2B"/>
    <w:pPr>
      <w:spacing w:before="100" w:beforeAutospacing="1" w:after="100" w:afterAutospacing="1" w:line="240" w:lineRule="auto"/>
    </w:pPr>
    <w:rPr>
      <w:rFonts w:ascii="Times New Roman" w:hAnsi="Times New Roman"/>
      <w:sz w:val="24"/>
      <w:szCs w:val="24"/>
    </w:rPr>
  </w:style>
  <w:style w:type="paragraph" w:customStyle="1" w:styleId="popupsizer">
    <w:name w:val="popup_sizer"/>
    <w:basedOn w:val="Normal"/>
    <w:rsid w:val="00525C2B"/>
    <w:pPr>
      <w:spacing w:before="100" w:beforeAutospacing="1" w:after="100" w:afterAutospacing="1" w:line="240" w:lineRule="auto"/>
    </w:pPr>
    <w:rPr>
      <w:rFonts w:ascii="Times New Roman" w:hAnsi="Times New Roman"/>
      <w:sz w:val="24"/>
      <w:szCs w:val="24"/>
    </w:rPr>
  </w:style>
  <w:style w:type="paragraph" w:customStyle="1" w:styleId="popuptitle">
    <w:name w:val="popup_title"/>
    <w:basedOn w:val="Normal"/>
    <w:rsid w:val="00525C2B"/>
    <w:pPr>
      <w:spacing w:before="30" w:after="100" w:afterAutospacing="1" w:line="240" w:lineRule="auto"/>
      <w:jc w:val="center"/>
    </w:pPr>
    <w:rPr>
      <w:rFonts w:ascii="Times New Roman" w:hAnsi="Times New Roman"/>
      <w:b/>
      <w:bCs/>
      <w:sz w:val="24"/>
      <w:szCs w:val="24"/>
    </w:rPr>
  </w:style>
  <w:style w:type="paragraph" w:customStyle="1" w:styleId="popupcontent">
    <w:name w:val="popup_content"/>
    <w:basedOn w:val="Normal"/>
    <w:rsid w:val="00525C2B"/>
    <w:pPr>
      <w:shd w:val="clear" w:color="auto" w:fill="FDFDFD"/>
      <w:spacing w:before="100" w:beforeAutospacing="1" w:after="100" w:afterAutospacing="1" w:line="240" w:lineRule="auto"/>
    </w:pPr>
    <w:rPr>
      <w:rFonts w:ascii="Times New Roman" w:hAnsi="Times New Roman"/>
      <w:color w:val="000000"/>
      <w:sz w:val="24"/>
      <w:szCs w:val="24"/>
    </w:rPr>
  </w:style>
  <w:style w:type="paragraph" w:customStyle="1" w:styleId="popupwindow">
    <w:name w:val="popup_window"/>
    <w:basedOn w:val="Normal"/>
    <w:rsid w:val="00525C2B"/>
    <w:pPr>
      <w:pBdr>
        <w:top w:val="single" w:sz="6" w:space="15" w:color="FF0000"/>
        <w:left w:val="single" w:sz="6" w:space="15" w:color="FF0000"/>
        <w:bottom w:val="single" w:sz="6" w:space="15" w:color="FF0000"/>
        <w:right w:val="single" w:sz="6" w:space="15" w:color="FF0000"/>
      </w:pBdr>
      <w:shd w:val="clear" w:color="auto" w:fill="FFFFFF"/>
      <w:spacing w:before="100" w:beforeAutospacing="1" w:after="100" w:afterAutospacing="1" w:line="240" w:lineRule="auto"/>
    </w:pPr>
    <w:rPr>
      <w:rFonts w:ascii="Times New Roman" w:hAnsi="Times New Roman"/>
      <w:sz w:val="24"/>
      <w:szCs w:val="24"/>
    </w:rPr>
  </w:style>
  <w:style w:type="paragraph" w:customStyle="1" w:styleId="popupmessage">
    <w:name w:val="popup_message"/>
    <w:basedOn w:val="Normal"/>
    <w:rsid w:val="00525C2B"/>
    <w:pPr>
      <w:spacing w:before="100" w:beforeAutospacing="1" w:after="100" w:afterAutospacing="1" w:line="240" w:lineRule="auto"/>
      <w:jc w:val="center"/>
    </w:pPr>
    <w:rPr>
      <w:rFonts w:ascii="Times New Roman" w:hAnsi="Times New Roman"/>
      <w:sz w:val="24"/>
      <w:szCs w:val="24"/>
    </w:rPr>
  </w:style>
  <w:style w:type="paragraph" w:customStyle="1" w:styleId="popupbuttons">
    <w:name w:val="popup_buttons"/>
    <w:basedOn w:val="Normal"/>
    <w:rsid w:val="00525C2B"/>
    <w:pPr>
      <w:spacing w:before="100" w:beforeAutospacing="1" w:after="100" w:afterAutospacing="1" w:line="240" w:lineRule="auto"/>
      <w:jc w:val="center"/>
    </w:pPr>
    <w:rPr>
      <w:rFonts w:ascii="Times New Roman" w:hAnsi="Times New Roman"/>
      <w:sz w:val="24"/>
      <w:szCs w:val="24"/>
    </w:rPr>
  </w:style>
  <w:style w:type="paragraph" w:customStyle="1" w:styleId="popupclose">
    <w:name w:val="popup_close"/>
    <w:basedOn w:val="Normal"/>
    <w:rsid w:val="00525C2B"/>
    <w:pPr>
      <w:spacing w:before="100" w:beforeAutospacing="1" w:after="100" w:afterAutospacing="1" w:line="240" w:lineRule="auto"/>
    </w:pPr>
    <w:rPr>
      <w:rFonts w:ascii="Times New Roman" w:hAnsi="Times New Roman"/>
      <w:sz w:val="24"/>
      <w:szCs w:val="24"/>
    </w:rPr>
  </w:style>
  <w:style w:type="paragraph" w:customStyle="1" w:styleId="popupprogress">
    <w:name w:val="popup_progress"/>
    <w:basedOn w:val="Normal"/>
    <w:rsid w:val="00525C2B"/>
    <w:pPr>
      <w:shd w:val="clear" w:color="auto" w:fill="FFFFFF"/>
      <w:spacing w:before="100" w:beforeAutospacing="1" w:after="100" w:afterAutospacing="1" w:line="240" w:lineRule="auto"/>
      <w:jc w:val="center"/>
    </w:pPr>
    <w:rPr>
      <w:rFonts w:ascii="Times New Roman" w:hAnsi="Times New Roman"/>
      <w:sz w:val="24"/>
      <w:szCs w:val="24"/>
    </w:rPr>
  </w:style>
  <w:style w:type="paragraph" w:customStyle="1" w:styleId="active-tab">
    <w:name w:val="active-tab"/>
    <w:basedOn w:val="Normal"/>
    <w:rsid w:val="00525C2B"/>
    <w:pPr>
      <w:spacing w:before="100" w:beforeAutospacing="1" w:after="100" w:afterAutospacing="1" w:line="240" w:lineRule="auto"/>
    </w:pPr>
    <w:rPr>
      <w:rFonts w:ascii="Times New Roman" w:hAnsi="Times New Roman"/>
      <w:sz w:val="24"/>
      <w:szCs w:val="24"/>
    </w:rPr>
  </w:style>
  <w:style w:type="paragraph" w:customStyle="1" w:styleId="first-column">
    <w:name w:val="first-column"/>
    <w:basedOn w:val="Normal"/>
    <w:rsid w:val="00525C2B"/>
    <w:pPr>
      <w:spacing w:before="100" w:beforeAutospacing="1" w:after="100" w:afterAutospacing="1" w:line="240" w:lineRule="auto"/>
    </w:pPr>
    <w:rPr>
      <w:rFonts w:ascii="Times New Roman" w:hAnsi="Times New Roman"/>
      <w:sz w:val="24"/>
      <w:szCs w:val="24"/>
    </w:rPr>
  </w:style>
  <w:style w:type="paragraph" w:customStyle="1" w:styleId="numeric">
    <w:name w:val="numeric"/>
    <w:basedOn w:val="Normal"/>
    <w:rsid w:val="00525C2B"/>
    <w:pPr>
      <w:spacing w:before="100" w:beforeAutospacing="1" w:after="100" w:afterAutospacing="1" w:line="240" w:lineRule="auto"/>
    </w:pPr>
    <w:rPr>
      <w:rFonts w:ascii="Times New Roman" w:hAnsi="Times New Roman"/>
      <w:sz w:val="24"/>
      <w:szCs w:val="24"/>
    </w:rPr>
  </w:style>
  <w:style w:type="paragraph" w:customStyle="1" w:styleId="outside">
    <w:name w:val="outside"/>
    <w:basedOn w:val="Normal"/>
    <w:rsid w:val="00525C2B"/>
    <w:pPr>
      <w:spacing w:before="100" w:beforeAutospacing="1" w:after="100" w:afterAutospacing="1" w:line="240" w:lineRule="auto"/>
    </w:pPr>
    <w:rPr>
      <w:rFonts w:ascii="Times New Roman" w:hAnsi="Times New Roman"/>
      <w:sz w:val="24"/>
      <w:szCs w:val="24"/>
    </w:rPr>
  </w:style>
  <w:style w:type="paragraph" w:customStyle="1" w:styleId="hardtosee">
    <w:name w:val="hardtosee"/>
    <w:basedOn w:val="Normal"/>
    <w:rsid w:val="00525C2B"/>
    <w:pPr>
      <w:spacing w:before="100" w:beforeAutospacing="1" w:after="100" w:afterAutospacing="1" w:line="240" w:lineRule="auto"/>
    </w:pPr>
    <w:rPr>
      <w:rFonts w:ascii="Times New Roman" w:hAnsi="Times New Roman"/>
      <w:sz w:val="24"/>
      <w:szCs w:val="24"/>
    </w:rPr>
  </w:style>
  <w:style w:type="paragraph" w:customStyle="1" w:styleId="Date1">
    <w:name w:val="Date1"/>
    <w:basedOn w:val="Normal"/>
    <w:rsid w:val="00525C2B"/>
    <w:pPr>
      <w:spacing w:before="100" w:beforeAutospacing="1" w:after="100" w:afterAutospacing="1" w:line="240" w:lineRule="auto"/>
    </w:pPr>
    <w:rPr>
      <w:rFonts w:ascii="Times New Roman" w:hAnsi="Times New Roman"/>
      <w:sz w:val="24"/>
      <w:szCs w:val="24"/>
    </w:rPr>
  </w:style>
  <w:style w:type="paragraph" w:customStyle="1" w:styleId="commenttext0">
    <w:name w:val="commenttext"/>
    <w:basedOn w:val="Normal"/>
    <w:rsid w:val="00525C2B"/>
    <w:pPr>
      <w:spacing w:before="100" w:beforeAutospacing="1" w:after="100" w:afterAutospacing="1" w:line="240" w:lineRule="auto"/>
    </w:pPr>
    <w:rPr>
      <w:rFonts w:ascii="Times New Roman" w:hAnsi="Times New Roman"/>
      <w:sz w:val="24"/>
      <w:szCs w:val="24"/>
    </w:rPr>
  </w:style>
  <w:style w:type="paragraph" w:customStyle="1" w:styleId="label">
    <w:name w:val="label"/>
    <w:basedOn w:val="Normal"/>
    <w:rsid w:val="00525C2B"/>
    <w:pPr>
      <w:spacing w:before="100" w:beforeAutospacing="1" w:after="100" w:afterAutospacing="1" w:line="240" w:lineRule="auto"/>
    </w:pPr>
    <w:rPr>
      <w:rFonts w:ascii="Times New Roman" w:hAnsi="Times New Roman"/>
      <w:sz w:val="24"/>
      <w:szCs w:val="24"/>
    </w:rPr>
  </w:style>
  <w:style w:type="paragraph" w:customStyle="1" w:styleId="invisible-label">
    <w:name w:val="invisible-label"/>
    <w:basedOn w:val="Normal"/>
    <w:rsid w:val="00525C2B"/>
    <w:pPr>
      <w:spacing w:before="100" w:beforeAutospacing="1" w:after="100" w:afterAutospacing="1" w:line="240" w:lineRule="auto"/>
    </w:pPr>
    <w:rPr>
      <w:rFonts w:ascii="Times New Roman" w:hAnsi="Times New Roman"/>
      <w:sz w:val="24"/>
      <w:szCs w:val="24"/>
    </w:rPr>
  </w:style>
  <w:style w:type="paragraph" w:customStyle="1" w:styleId="full-width">
    <w:name w:val="full-width"/>
    <w:basedOn w:val="Normal"/>
    <w:rsid w:val="00525C2B"/>
    <w:pPr>
      <w:spacing w:before="100" w:beforeAutospacing="1" w:after="100" w:afterAutospacing="1" w:line="240" w:lineRule="auto"/>
    </w:pPr>
    <w:rPr>
      <w:rFonts w:ascii="Times New Roman" w:hAnsi="Times New Roman"/>
      <w:sz w:val="24"/>
      <w:szCs w:val="24"/>
    </w:rPr>
  </w:style>
  <w:style w:type="paragraph" w:customStyle="1" w:styleId="boolean">
    <w:name w:val="boolean"/>
    <w:basedOn w:val="Normal"/>
    <w:rsid w:val="00525C2B"/>
    <w:pPr>
      <w:spacing w:before="100" w:beforeAutospacing="1" w:after="100" w:afterAutospacing="1" w:line="240" w:lineRule="auto"/>
    </w:pPr>
    <w:rPr>
      <w:rFonts w:ascii="Times New Roman" w:hAnsi="Times New Roman"/>
      <w:sz w:val="24"/>
      <w:szCs w:val="24"/>
    </w:rPr>
  </w:style>
  <w:style w:type="paragraph" w:customStyle="1" w:styleId="over">
    <w:name w:val="over"/>
    <w:basedOn w:val="Normal"/>
    <w:rsid w:val="00525C2B"/>
    <w:pPr>
      <w:spacing w:before="100" w:beforeAutospacing="1" w:after="100" w:afterAutospacing="1" w:line="240" w:lineRule="auto"/>
    </w:pPr>
    <w:rPr>
      <w:rFonts w:ascii="Times New Roman" w:hAnsi="Times New Roman"/>
      <w:sz w:val="24"/>
      <w:szCs w:val="24"/>
    </w:rPr>
  </w:style>
  <w:style w:type="paragraph" w:customStyle="1" w:styleId="highlighted">
    <w:name w:val="highlighted"/>
    <w:basedOn w:val="Normal"/>
    <w:rsid w:val="00525C2B"/>
    <w:pPr>
      <w:spacing w:before="100" w:beforeAutospacing="1" w:after="100" w:afterAutospacing="1" w:line="240" w:lineRule="auto"/>
    </w:pPr>
    <w:rPr>
      <w:rFonts w:ascii="Times New Roman" w:hAnsi="Times New Roman"/>
      <w:sz w:val="24"/>
      <w:szCs w:val="24"/>
    </w:rPr>
  </w:style>
  <w:style w:type="paragraph" w:customStyle="1" w:styleId="context">
    <w:name w:val="context"/>
    <w:basedOn w:val="Normal"/>
    <w:rsid w:val="00525C2B"/>
    <w:pPr>
      <w:spacing w:before="100" w:beforeAutospacing="1" w:after="100" w:afterAutospacing="1" w:line="240" w:lineRule="auto"/>
    </w:pPr>
    <w:rPr>
      <w:rFonts w:ascii="Times New Roman" w:hAnsi="Times New Roman"/>
      <w:sz w:val="24"/>
      <w:szCs w:val="24"/>
    </w:rPr>
  </w:style>
  <w:style w:type="paragraph" w:customStyle="1" w:styleId="failed">
    <w:name w:val="failed"/>
    <w:basedOn w:val="Normal"/>
    <w:rsid w:val="00525C2B"/>
    <w:pPr>
      <w:spacing w:before="100" w:beforeAutospacing="1" w:after="100" w:afterAutospacing="1" w:line="240" w:lineRule="auto"/>
    </w:pPr>
    <w:rPr>
      <w:rFonts w:ascii="Times New Roman" w:hAnsi="Times New Roman"/>
      <w:sz w:val="24"/>
      <w:szCs w:val="24"/>
    </w:rPr>
  </w:style>
  <w:style w:type="paragraph" w:customStyle="1" w:styleId="hierarchy">
    <w:name w:val="hierarchy"/>
    <w:basedOn w:val="Normal"/>
    <w:rsid w:val="00525C2B"/>
    <w:pPr>
      <w:spacing w:before="100" w:beforeAutospacing="1" w:after="100" w:afterAutospacing="1" w:line="240" w:lineRule="auto"/>
    </w:pPr>
    <w:rPr>
      <w:rFonts w:ascii="Times New Roman" w:hAnsi="Times New Roman"/>
      <w:sz w:val="24"/>
      <w:szCs w:val="24"/>
    </w:rPr>
  </w:style>
  <w:style w:type="paragraph" w:customStyle="1" w:styleId="samecategory">
    <w:name w:val="samecategory"/>
    <w:basedOn w:val="Normal"/>
    <w:rsid w:val="00525C2B"/>
    <w:pPr>
      <w:spacing w:before="100" w:beforeAutospacing="1" w:after="100" w:afterAutospacing="1" w:line="240" w:lineRule="auto"/>
    </w:pPr>
    <w:rPr>
      <w:rFonts w:ascii="Times New Roman" w:hAnsi="Times New Roman"/>
      <w:sz w:val="24"/>
      <w:szCs w:val="24"/>
    </w:rPr>
  </w:style>
  <w:style w:type="paragraph" w:customStyle="1" w:styleId="node">
    <w:name w:val="node"/>
    <w:basedOn w:val="Normal"/>
    <w:rsid w:val="00525C2B"/>
    <w:pPr>
      <w:spacing w:before="100" w:beforeAutospacing="1" w:after="100" w:afterAutospacing="1" w:line="240" w:lineRule="auto"/>
    </w:pPr>
    <w:rPr>
      <w:rFonts w:ascii="Times New Roman" w:hAnsi="Times New Roman"/>
      <w:sz w:val="24"/>
      <w:szCs w:val="24"/>
    </w:rPr>
  </w:style>
  <w:style w:type="paragraph" w:customStyle="1" w:styleId="verticalline">
    <w:name w:val="verticalline"/>
    <w:basedOn w:val="Normal"/>
    <w:rsid w:val="00525C2B"/>
    <w:pPr>
      <w:spacing w:before="100" w:beforeAutospacing="1" w:after="100" w:afterAutospacing="1" w:line="240" w:lineRule="auto"/>
    </w:pPr>
    <w:rPr>
      <w:rFonts w:ascii="Times New Roman" w:hAnsi="Times New Roman"/>
      <w:sz w:val="24"/>
      <w:szCs w:val="24"/>
    </w:rPr>
  </w:style>
  <w:style w:type="paragraph" w:customStyle="1" w:styleId="horizontalline">
    <w:name w:val="horizontalline"/>
    <w:basedOn w:val="Normal"/>
    <w:rsid w:val="00525C2B"/>
    <w:pPr>
      <w:spacing w:before="100" w:beforeAutospacing="1" w:after="100" w:afterAutospacing="1" w:line="240" w:lineRule="auto"/>
    </w:pPr>
    <w:rPr>
      <w:rFonts w:ascii="Times New Roman" w:hAnsi="Times New Roman"/>
      <w:sz w:val="24"/>
      <w:szCs w:val="24"/>
    </w:rPr>
  </w:style>
  <w:style w:type="paragraph" w:customStyle="1" w:styleId="del1">
    <w:name w:val="del1"/>
    <w:basedOn w:val="Normal"/>
    <w:rsid w:val="00525C2B"/>
    <w:pPr>
      <w:spacing w:before="100" w:beforeAutospacing="1" w:after="100" w:afterAutospacing="1" w:line="240" w:lineRule="auto"/>
    </w:pPr>
    <w:rPr>
      <w:rFonts w:ascii="Times New Roman" w:hAnsi="Times New Roman"/>
      <w:strike/>
      <w:sz w:val="24"/>
      <w:szCs w:val="24"/>
    </w:rPr>
  </w:style>
  <w:style w:type="paragraph" w:customStyle="1" w:styleId="label1">
    <w:name w:val="label1"/>
    <w:basedOn w:val="Normal"/>
    <w:rsid w:val="00525C2B"/>
    <w:pPr>
      <w:spacing w:after="0" w:line="240" w:lineRule="auto"/>
    </w:pPr>
    <w:rPr>
      <w:rFonts w:ascii="Times New Roman" w:hAnsi="Times New Roman"/>
      <w:b/>
      <w:bCs/>
      <w:sz w:val="24"/>
      <w:szCs w:val="24"/>
    </w:rPr>
  </w:style>
  <w:style w:type="paragraph" w:customStyle="1" w:styleId="invisible-label1">
    <w:name w:val="invisible-label1"/>
    <w:basedOn w:val="Normal"/>
    <w:rsid w:val="00525C2B"/>
    <w:pPr>
      <w:spacing w:after="0" w:line="240" w:lineRule="auto"/>
    </w:pPr>
    <w:rPr>
      <w:rFonts w:ascii="Times New Roman" w:hAnsi="Times New Roman"/>
      <w:b/>
      <w:bCs/>
      <w:sz w:val="24"/>
      <w:szCs w:val="24"/>
    </w:rPr>
  </w:style>
  <w:style w:type="paragraph" w:customStyle="1" w:styleId="full-width1">
    <w:name w:val="full-width1"/>
    <w:basedOn w:val="Normal"/>
    <w:rsid w:val="00525C2B"/>
    <w:pPr>
      <w:spacing w:after="0" w:line="240" w:lineRule="auto"/>
    </w:pPr>
    <w:rPr>
      <w:rFonts w:ascii="Times New Roman" w:hAnsi="Times New Roman"/>
      <w:sz w:val="24"/>
      <w:szCs w:val="24"/>
    </w:rPr>
  </w:style>
  <w:style w:type="paragraph" w:customStyle="1" w:styleId="active-tab1">
    <w:name w:val="active-tab1"/>
    <w:basedOn w:val="Normal"/>
    <w:rsid w:val="00525C2B"/>
    <w:pPr>
      <w:shd w:val="clear" w:color="auto" w:fill="F5F5F5"/>
      <w:spacing w:before="100" w:beforeAutospacing="1" w:after="100" w:afterAutospacing="1" w:line="240" w:lineRule="auto"/>
    </w:pPr>
    <w:rPr>
      <w:rFonts w:ascii="Times New Roman" w:hAnsi="Times New Roman"/>
      <w:b/>
      <w:bCs/>
      <w:sz w:val="24"/>
      <w:szCs w:val="24"/>
    </w:rPr>
  </w:style>
  <w:style w:type="paragraph" w:customStyle="1" w:styleId="numeric1">
    <w:name w:val="numeric1"/>
    <w:basedOn w:val="Normal"/>
    <w:rsid w:val="00525C2B"/>
    <w:pPr>
      <w:spacing w:before="120" w:after="0" w:line="240" w:lineRule="auto"/>
      <w:jc w:val="right"/>
    </w:pPr>
    <w:rPr>
      <w:rFonts w:ascii="Times New Roman" w:hAnsi="Times New Roman"/>
      <w:sz w:val="24"/>
      <w:szCs w:val="24"/>
    </w:rPr>
  </w:style>
  <w:style w:type="paragraph" w:customStyle="1" w:styleId="boolean1">
    <w:name w:val="boolean1"/>
    <w:basedOn w:val="Normal"/>
    <w:rsid w:val="00525C2B"/>
    <w:pPr>
      <w:spacing w:before="120" w:after="0" w:line="240" w:lineRule="auto"/>
      <w:jc w:val="center"/>
    </w:pPr>
    <w:rPr>
      <w:rFonts w:ascii="Times New Roman" w:hAnsi="Times New Roman"/>
      <w:sz w:val="24"/>
      <w:szCs w:val="24"/>
    </w:rPr>
  </w:style>
  <w:style w:type="paragraph" w:customStyle="1" w:styleId="highlighted1">
    <w:name w:val="highlighted1"/>
    <w:basedOn w:val="Normal"/>
    <w:rsid w:val="00525C2B"/>
    <w:pPr>
      <w:spacing w:before="100" w:beforeAutospacing="1" w:after="100" w:afterAutospacing="1" w:line="240" w:lineRule="auto"/>
    </w:pPr>
    <w:rPr>
      <w:rFonts w:ascii="Times New Roman" w:hAnsi="Times New Roman"/>
      <w:b/>
      <w:bCs/>
      <w:sz w:val="24"/>
      <w:szCs w:val="24"/>
    </w:rPr>
  </w:style>
  <w:style w:type="paragraph" w:customStyle="1" w:styleId="context1">
    <w:name w:val="context1"/>
    <w:basedOn w:val="Normal"/>
    <w:rsid w:val="00525C2B"/>
    <w:pPr>
      <w:spacing w:before="100" w:beforeAutospacing="1" w:after="100" w:afterAutospacing="1" w:line="240" w:lineRule="auto"/>
    </w:pPr>
    <w:rPr>
      <w:rFonts w:ascii="Times New Roman" w:hAnsi="Times New Roman"/>
      <w:sz w:val="24"/>
      <w:szCs w:val="24"/>
    </w:rPr>
  </w:style>
  <w:style w:type="paragraph" w:customStyle="1" w:styleId="numeric2">
    <w:name w:val="numeric2"/>
    <w:basedOn w:val="Normal"/>
    <w:rsid w:val="00525C2B"/>
    <w:pPr>
      <w:spacing w:before="120" w:after="0" w:line="240" w:lineRule="auto"/>
      <w:jc w:val="right"/>
    </w:pPr>
    <w:rPr>
      <w:rFonts w:ascii="Times New Roman" w:hAnsi="Times New Roman"/>
      <w:sz w:val="24"/>
      <w:szCs w:val="24"/>
    </w:rPr>
  </w:style>
  <w:style w:type="paragraph" w:customStyle="1" w:styleId="next1">
    <w:name w:val="next1"/>
    <w:basedOn w:val="Normal"/>
    <w:rsid w:val="00525C2B"/>
    <w:pPr>
      <w:spacing w:before="100" w:beforeAutospacing="1" w:after="100" w:afterAutospacing="1" w:line="240" w:lineRule="auto"/>
    </w:pPr>
    <w:rPr>
      <w:rFonts w:ascii="Times New Roman" w:hAnsi="Times New Roman"/>
      <w:sz w:val="24"/>
      <w:szCs w:val="24"/>
    </w:rPr>
  </w:style>
  <w:style w:type="paragraph" w:customStyle="1" w:styleId="first-column1">
    <w:name w:val="first-column1"/>
    <w:basedOn w:val="Normal"/>
    <w:rsid w:val="00525C2B"/>
    <w:pPr>
      <w:spacing w:before="100" w:beforeAutospacing="1" w:after="100" w:afterAutospacing="1" w:line="240" w:lineRule="auto"/>
    </w:pPr>
    <w:rPr>
      <w:rFonts w:ascii="Times New Roman" w:hAnsi="Times New Roman"/>
      <w:sz w:val="24"/>
      <w:szCs w:val="24"/>
    </w:rPr>
  </w:style>
  <w:style w:type="paragraph" w:customStyle="1" w:styleId="numeric3">
    <w:name w:val="numeric3"/>
    <w:basedOn w:val="Normal"/>
    <w:rsid w:val="00525C2B"/>
    <w:pPr>
      <w:spacing w:before="120" w:after="0" w:line="240" w:lineRule="auto"/>
      <w:jc w:val="right"/>
    </w:pPr>
    <w:rPr>
      <w:rFonts w:ascii="Times New Roman" w:hAnsi="Times New Roman"/>
      <w:sz w:val="24"/>
      <w:szCs w:val="24"/>
    </w:rPr>
  </w:style>
  <w:style w:type="paragraph" w:customStyle="1" w:styleId="numeric4">
    <w:name w:val="numeric4"/>
    <w:basedOn w:val="Normal"/>
    <w:rsid w:val="00525C2B"/>
    <w:pPr>
      <w:spacing w:before="100" w:beforeAutospacing="1" w:after="100" w:afterAutospacing="1" w:line="240" w:lineRule="auto"/>
      <w:jc w:val="right"/>
    </w:pPr>
    <w:rPr>
      <w:rFonts w:ascii="Times New Roman" w:hAnsi="Times New Roman"/>
      <w:sz w:val="24"/>
      <w:szCs w:val="24"/>
    </w:rPr>
  </w:style>
  <w:style w:type="paragraph" w:customStyle="1" w:styleId="numeric5">
    <w:name w:val="numeric5"/>
    <w:basedOn w:val="Normal"/>
    <w:rsid w:val="00525C2B"/>
    <w:pPr>
      <w:spacing w:before="100" w:beforeAutospacing="1" w:after="100" w:afterAutospacing="1" w:line="240" w:lineRule="auto"/>
      <w:jc w:val="right"/>
    </w:pPr>
    <w:rPr>
      <w:rFonts w:ascii="Times New Roman" w:hAnsi="Times New Roman"/>
      <w:sz w:val="24"/>
      <w:szCs w:val="24"/>
    </w:rPr>
  </w:style>
  <w:style w:type="paragraph" w:customStyle="1" w:styleId="subsection1">
    <w:name w:val="subsection1"/>
    <w:basedOn w:val="Normal"/>
    <w:rsid w:val="00525C2B"/>
    <w:pPr>
      <w:spacing w:after="0" w:line="240" w:lineRule="auto"/>
      <w:ind w:left="480"/>
    </w:pPr>
    <w:rPr>
      <w:rFonts w:ascii="Times New Roman" w:hAnsi="Times New Roman"/>
      <w:sz w:val="24"/>
      <w:szCs w:val="24"/>
    </w:rPr>
  </w:style>
  <w:style w:type="paragraph" w:customStyle="1" w:styleId="outside1">
    <w:name w:val="outside1"/>
    <w:basedOn w:val="Normal"/>
    <w:rsid w:val="00525C2B"/>
    <w:pPr>
      <w:spacing w:before="100" w:beforeAutospacing="1" w:after="100" w:afterAutospacing="1" w:line="240" w:lineRule="auto"/>
    </w:pPr>
    <w:rPr>
      <w:rFonts w:ascii="Times New Roman" w:hAnsi="Times New Roman"/>
      <w:color w:val="C0C0C0"/>
      <w:sz w:val="24"/>
      <w:szCs w:val="24"/>
    </w:rPr>
  </w:style>
  <w:style w:type="paragraph" w:customStyle="1" w:styleId="first-column2">
    <w:name w:val="first-column2"/>
    <w:basedOn w:val="Normal"/>
    <w:rsid w:val="00525C2B"/>
    <w:pPr>
      <w:spacing w:before="100" w:beforeAutospacing="1" w:after="100" w:afterAutospacing="1" w:line="240" w:lineRule="auto"/>
    </w:pPr>
    <w:rPr>
      <w:rFonts w:ascii="Times New Roman" w:hAnsi="Times New Roman"/>
      <w:sz w:val="24"/>
      <w:szCs w:val="24"/>
    </w:rPr>
  </w:style>
  <w:style w:type="paragraph" w:customStyle="1" w:styleId="first-column3">
    <w:name w:val="first-column3"/>
    <w:basedOn w:val="Normal"/>
    <w:rsid w:val="00525C2B"/>
    <w:pPr>
      <w:spacing w:before="100" w:beforeAutospacing="1" w:after="100" w:afterAutospacing="1" w:line="240" w:lineRule="auto"/>
    </w:pPr>
    <w:rPr>
      <w:rFonts w:ascii="Times New Roman" w:hAnsi="Times New Roman"/>
      <w:sz w:val="24"/>
      <w:szCs w:val="24"/>
    </w:rPr>
  </w:style>
  <w:style w:type="paragraph" w:customStyle="1" w:styleId="details1">
    <w:name w:val="details1"/>
    <w:basedOn w:val="Normal"/>
    <w:rsid w:val="00525C2B"/>
    <w:pPr>
      <w:spacing w:before="60" w:after="0" w:line="240" w:lineRule="auto"/>
    </w:pPr>
    <w:rPr>
      <w:rFonts w:ascii="Times New Roman" w:hAnsi="Times New Roman"/>
      <w:sz w:val="24"/>
      <w:szCs w:val="24"/>
    </w:rPr>
  </w:style>
  <w:style w:type="paragraph" w:customStyle="1" w:styleId="details2">
    <w:name w:val="details2"/>
    <w:basedOn w:val="Normal"/>
    <w:rsid w:val="00525C2B"/>
    <w:pPr>
      <w:spacing w:after="0" w:line="240" w:lineRule="auto"/>
    </w:pPr>
    <w:rPr>
      <w:rFonts w:ascii="Times New Roman" w:hAnsi="Times New Roman"/>
      <w:sz w:val="24"/>
      <w:szCs w:val="24"/>
    </w:rPr>
  </w:style>
  <w:style w:type="paragraph" w:customStyle="1" w:styleId="details3">
    <w:name w:val="details3"/>
    <w:basedOn w:val="Normal"/>
    <w:rsid w:val="00525C2B"/>
    <w:pPr>
      <w:spacing w:after="0" w:line="240" w:lineRule="auto"/>
    </w:pPr>
    <w:rPr>
      <w:rFonts w:ascii="Times New Roman" w:hAnsi="Times New Roman"/>
      <w:sz w:val="24"/>
      <w:szCs w:val="24"/>
    </w:rPr>
  </w:style>
  <w:style w:type="paragraph" w:customStyle="1" w:styleId="label2">
    <w:name w:val="label2"/>
    <w:basedOn w:val="Normal"/>
    <w:rsid w:val="00525C2B"/>
    <w:pPr>
      <w:spacing w:after="72" w:line="240" w:lineRule="auto"/>
      <w:ind w:left="24"/>
    </w:pPr>
    <w:rPr>
      <w:rFonts w:ascii="Times New Roman" w:hAnsi="Times New Roman"/>
      <w:sz w:val="24"/>
      <w:szCs w:val="24"/>
    </w:rPr>
  </w:style>
  <w:style w:type="paragraph" w:customStyle="1" w:styleId="failed1">
    <w:name w:val="failed1"/>
    <w:basedOn w:val="Normal"/>
    <w:rsid w:val="00525C2B"/>
    <w:pPr>
      <w:spacing w:before="100" w:beforeAutospacing="1" w:after="100" w:afterAutospacing="1" w:line="240" w:lineRule="auto"/>
    </w:pPr>
    <w:rPr>
      <w:rFonts w:ascii="Times New Roman" w:hAnsi="Times New Roman"/>
      <w:color w:val="FF0000"/>
      <w:sz w:val="24"/>
      <w:szCs w:val="24"/>
    </w:rPr>
  </w:style>
  <w:style w:type="paragraph" w:customStyle="1" w:styleId="hardtosee1">
    <w:name w:val="hardtosee1"/>
    <w:basedOn w:val="Normal"/>
    <w:rsid w:val="00525C2B"/>
    <w:pPr>
      <w:spacing w:before="100" w:beforeAutospacing="1" w:after="100" w:afterAutospacing="1" w:line="240" w:lineRule="auto"/>
    </w:pPr>
    <w:rPr>
      <w:rFonts w:ascii="Times New Roman" w:hAnsi="Times New Roman"/>
      <w:color w:val="C0C0C0"/>
      <w:sz w:val="24"/>
      <w:szCs w:val="24"/>
    </w:rPr>
  </w:style>
  <w:style w:type="paragraph" w:customStyle="1" w:styleId="date10">
    <w:name w:val="date1"/>
    <w:basedOn w:val="Normal"/>
    <w:rsid w:val="00525C2B"/>
    <w:pPr>
      <w:spacing w:before="100" w:beforeAutospacing="1" w:after="100" w:afterAutospacing="1" w:line="240" w:lineRule="auto"/>
    </w:pPr>
    <w:rPr>
      <w:rFonts w:ascii="Times New Roman" w:hAnsi="Times New Roman"/>
      <w:color w:val="C0C0C0"/>
      <w:sz w:val="24"/>
      <w:szCs w:val="24"/>
    </w:rPr>
  </w:style>
  <w:style w:type="paragraph" w:customStyle="1" w:styleId="commenttext1">
    <w:name w:val="commenttext1"/>
    <w:basedOn w:val="Normal"/>
    <w:rsid w:val="00525C2B"/>
    <w:pPr>
      <w:shd w:val="clear" w:color="auto" w:fill="E9FFCE"/>
      <w:spacing w:before="100" w:beforeAutospacing="1" w:after="100" w:afterAutospacing="1" w:line="240" w:lineRule="auto"/>
    </w:pPr>
    <w:rPr>
      <w:rFonts w:ascii="Times New Roman" w:hAnsi="Times New Roman"/>
      <w:sz w:val="24"/>
      <w:szCs w:val="24"/>
    </w:rPr>
  </w:style>
  <w:style w:type="paragraph" w:customStyle="1" w:styleId="samecategory1">
    <w:name w:val="samecategory1"/>
    <w:basedOn w:val="Normal"/>
    <w:rsid w:val="00525C2B"/>
    <w:pPr>
      <w:shd w:val="clear" w:color="auto" w:fill="EEEEEE"/>
      <w:spacing w:before="100" w:beforeAutospacing="1" w:after="100" w:afterAutospacing="1" w:line="240" w:lineRule="auto"/>
    </w:pPr>
    <w:rPr>
      <w:rFonts w:ascii="Times New Roman" w:hAnsi="Times New Roman"/>
      <w:sz w:val="24"/>
      <w:szCs w:val="24"/>
    </w:rPr>
  </w:style>
  <w:style w:type="paragraph" w:customStyle="1" w:styleId="node1">
    <w:name w:val="node1"/>
    <w:basedOn w:val="Normal"/>
    <w:rsid w:val="00525C2B"/>
    <w:pPr>
      <w:pBdr>
        <w:top w:val="single" w:sz="12" w:space="1" w:color="0000FF"/>
        <w:left w:val="single" w:sz="12" w:space="1" w:color="0000FF"/>
        <w:bottom w:val="single" w:sz="12" w:space="1" w:color="0000FF"/>
        <w:right w:val="single" w:sz="12" w:space="0" w:color="0000FF"/>
      </w:pBdr>
      <w:spacing w:before="100" w:beforeAutospacing="1" w:after="100" w:afterAutospacing="1" w:line="240" w:lineRule="auto"/>
    </w:pPr>
    <w:rPr>
      <w:rFonts w:ascii="Times New Roman" w:hAnsi="Times New Roman"/>
      <w:sz w:val="24"/>
      <w:szCs w:val="24"/>
    </w:rPr>
  </w:style>
  <w:style w:type="paragraph" w:customStyle="1" w:styleId="verticalline1">
    <w:name w:val="verticalline1"/>
    <w:basedOn w:val="Normal"/>
    <w:rsid w:val="00525C2B"/>
    <w:pPr>
      <w:pBdr>
        <w:bottom w:val="single" w:sz="12" w:space="0" w:color="0000FF"/>
      </w:pBdr>
      <w:spacing w:before="100" w:beforeAutospacing="1" w:after="100" w:afterAutospacing="1" w:line="240" w:lineRule="auto"/>
    </w:pPr>
    <w:rPr>
      <w:rFonts w:ascii="Times New Roman" w:hAnsi="Times New Roman"/>
      <w:sz w:val="24"/>
      <w:szCs w:val="24"/>
    </w:rPr>
  </w:style>
  <w:style w:type="paragraph" w:customStyle="1" w:styleId="horizontalline1">
    <w:name w:val="horizontalline1"/>
    <w:basedOn w:val="Normal"/>
    <w:rsid w:val="00525C2B"/>
    <w:pPr>
      <w:pBdr>
        <w:left w:val="single" w:sz="12" w:space="0" w:color="0000FF"/>
      </w:pBdr>
      <w:spacing w:before="100" w:beforeAutospacing="1" w:after="100" w:afterAutospacing="1" w:line="240" w:lineRule="auto"/>
    </w:pPr>
    <w:rPr>
      <w:rFonts w:ascii="Times New Roman" w:hAnsi="Times New Roman"/>
      <w:sz w:val="24"/>
      <w:szCs w:val="24"/>
    </w:rPr>
  </w:style>
  <w:style w:type="paragraph" w:customStyle="1" w:styleId="hierarchy1">
    <w:name w:val="hierarchy1"/>
    <w:basedOn w:val="Normal"/>
    <w:rsid w:val="00525C2B"/>
    <w:pPr>
      <w:spacing w:after="0" w:line="240" w:lineRule="auto"/>
    </w:pPr>
    <w:rPr>
      <w:rFonts w:ascii="Times New Roman" w:hAnsi="Times New Roman"/>
      <w:sz w:val="24"/>
      <w:szCs w:val="24"/>
    </w:rPr>
  </w:style>
  <w:style w:type="paragraph" w:customStyle="1" w:styleId="label3">
    <w:name w:val="label3"/>
    <w:basedOn w:val="Normal"/>
    <w:rsid w:val="00525C2B"/>
    <w:pPr>
      <w:spacing w:before="100" w:beforeAutospacing="1" w:after="100" w:afterAutospacing="1" w:line="240" w:lineRule="auto"/>
    </w:pPr>
    <w:rPr>
      <w:rFonts w:ascii="Times New Roman" w:hAnsi="Times New Roman"/>
      <w:vanish/>
      <w:sz w:val="24"/>
      <w:szCs w:val="24"/>
    </w:rPr>
  </w:style>
  <w:style w:type="paragraph" w:customStyle="1" w:styleId="over1">
    <w:name w:val="over1"/>
    <w:basedOn w:val="Normal"/>
    <w:rsid w:val="00525C2B"/>
    <w:pPr>
      <w:shd w:val="clear" w:color="auto" w:fill="FFC0CB"/>
      <w:spacing w:before="100" w:beforeAutospacing="1" w:after="100" w:afterAutospacing="1" w:line="240" w:lineRule="auto"/>
    </w:pPr>
    <w:rPr>
      <w:rFonts w:ascii="Times New Roman" w:hAnsi="Times New Roman"/>
      <w:sz w:val="24"/>
      <w:szCs w:val="24"/>
    </w:rPr>
  </w:style>
  <w:style w:type="paragraph" w:customStyle="1" w:styleId="blast-options-link1">
    <w:name w:val="blast-options-link1"/>
    <w:basedOn w:val="Normal"/>
    <w:rsid w:val="00525C2B"/>
    <w:pPr>
      <w:spacing w:after="0" w:line="240" w:lineRule="auto"/>
    </w:pPr>
    <w:rPr>
      <w:rFonts w:ascii="Times New Roman" w:hAnsi="Times New Roman"/>
      <w:b/>
      <w:bCs/>
      <w:color w:val="326495"/>
      <w:sz w:val="24"/>
      <w:szCs w:val="24"/>
    </w:rPr>
  </w:style>
  <w:style w:type="paragraph" w:styleId="CommentSubject">
    <w:name w:val="annotation subject"/>
    <w:basedOn w:val="CommentText"/>
    <w:next w:val="CommentText"/>
    <w:link w:val="CommentSubjectChar"/>
    <w:rsid w:val="00525C2B"/>
    <w:rPr>
      <w:b/>
      <w:bCs/>
    </w:rPr>
  </w:style>
  <w:style w:type="character" w:customStyle="1" w:styleId="CommentSubjectChar">
    <w:name w:val="Comment Subject Char"/>
    <w:link w:val="CommentSubject"/>
    <w:rsid w:val="00525C2B"/>
    <w:rPr>
      <w:rFonts w:ascii="Courier New" w:eastAsia="SimSun" w:hAnsi="Courier New" w:cs="Times New Roman"/>
      <w:b/>
      <w:bCs/>
      <w:sz w:val="20"/>
      <w:szCs w:val="20"/>
      <w:lang w:eastAsia="en-GB"/>
    </w:rPr>
  </w:style>
  <w:style w:type="character" w:customStyle="1" w:styleId="CharChar">
    <w:name w:val="Char Char"/>
    <w:rsid w:val="00525C2B"/>
    <w:rPr>
      <w:rFonts w:ascii="Courier New" w:eastAsia="SimSun" w:hAnsi="Courier New" w:cs="Courier New"/>
      <w:b/>
      <w:bCs/>
      <w:noProof w:val="0"/>
      <w:sz w:val="20"/>
      <w:szCs w:val="20"/>
      <w:lang w:val="en-GB" w:eastAsia="en-GB"/>
    </w:rPr>
  </w:style>
  <w:style w:type="character" w:customStyle="1" w:styleId="sciname1">
    <w:name w:val="sciname1"/>
    <w:rsid w:val="00525C2B"/>
    <w:rPr>
      <w:i/>
      <w:iCs/>
    </w:rPr>
  </w:style>
  <w:style w:type="character" w:customStyle="1" w:styleId="sheader61">
    <w:name w:val="sheader61"/>
    <w:rsid w:val="00525C2B"/>
    <w:rPr>
      <w:rFonts w:ascii="Times New Roman" w:hAnsi="Times New Roman" w:cs="Times New Roman" w:hint="default"/>
      <w:sz w:val="34"/>
      <w:szCs w:val="34"/>
    </w:rPr>
  </w:style>
  <w:style w:type="character" w:styleId="HTMLAcronym">
    <w:name w:val="HTML Acronym"/>
    <w:basedOn w:val="DefaultParagraphFont"/>
    <w:rsid w:val="00525C2B"/>
  </w:style>
  <w:style w:type="character" w:customStyle="1" w:styleId="similar">
    <w:name w:val="similar"/>
    <w:basedOn w:val="DefaultParagraphFont"/>
    <w:rsid w:val="00525C2B"/>
  </w:style>
  <w:style w:type="character" w:customStyle="1" w:styleId="gap">
    <w:name w:val="gap"/>
    <w:basedOn w:val="DefaultParagraphFont"/>
    <w:rsid w:val="00525C2B"/>
  </w:style>
  <w:style w:type="character" w:customStyle="1" w:styleId="lesssimilar">
    <w:name w:val="lesssimilar"/>
    <w:basedOn w:val="DefaultParagraphFont"/>
    <w:rsid w:val="00525C2B"/>
  </w:style>
  <w:style w:type="character" w:customStyle="1" w:styleId="identical">
    <w:name w:val="identical"/>
    <w:basedOn w:val="DefaultParagraphFont"/>
    <w:rsid w:val="00525C2B"/>
  </w:style>
  <w:style w:type="character" w:customStyle="1" w:styleId="query">
    <w:name w:val="query"/>
    <w:basedOn w:val="DefaultParagraphFont"/>
    <w:rsid w:val="00525C2B"/>
  </w:style>
  <w:style w:type="character" w:styleId="PageNumber">
    <w:name w:val="page number"/>
    <w:basedOn w:val="DefaultParagraphFont"/>
    <w:rsid w:val="00525C2B"/>
  </w:style>
  <w:style w:type="character" w:styleId="Emphasis">
    <w:name w:val="Emphasis"/>
    <w:uiPriority w:val="20"/>
    <w:qFormat/>
    <w:rsid w:val="00525C2B"/>
    <w:rPr>
      <w:i/>
      <w:iCs/>
    </w:rPr>
  </w:style>
  <w:style w:type="character" w:styleId="HTMLCite">
    <w:name w:val="HTML Cite"/>
    <w:uiPriority w:val="99"/>
    <w:semiHidden/>
    <w:unhideWhenUsed/>
    <w:rsid w:val="00525C2B"/>
    <w:rPr>
      <w:i/>
      <w:iCs/>
    </w:rPr>
  </w:style>
  <w:style w:type="character" w:styleId="FollowedHyperlink">
    <w:name w:val="FollowedHyperlink"/>
    <w:uiPriority w:val="99"/>
    <w:semiHidden/>
    <w:unhideWhenUsed/>
    <w:rsid w:val="00525C2B"/>
    <w:rPr>
      <w:color w:val="800080"/>
      <w:u w:val="single"/>
    </w:rPr>
  </w:style>
  <w:style w:type="character" w:customStyle="1" w:styleId="highlight">
    <w:name w:val="highlight"/>
    <w:basedOn w:val="DefaultParagraphFont"/>
    <w:rsid w:val="00525C2B"/>
  </w:style>
  <w:style w:type="paragraph" w:styleId="BodyText">
    <w:name w:val="Body Text"/>
    <w:basedOn w:val="Normal"/>
    <w:link w:val="BodyTextChar"/>
    <w:semiHidden/>
    <w:rsid w:val="00525C2B"/>
    <w:pPr>
      <w:spacing w:after="0" w:line="360" w:lineRule="auto"/>
      <w:jc w:val="both"/>
    </w:pPr>
    <w:rPr>
      <w:rFonts w:ascii="Arial" w:eastAsia="??" w:hAnsi="Arial" w:cs="Arial"/>
      <w:strike/>
      <w:snapToGrid w:val="0"/>
      <w:sz w:val="24"/>
      <w:szCs w:val="24"/>
      <w:lang w:eastAsia="en-US"/>
    </w:rPr>
  </w:style>
  <w:style w:type="character" w:customStyle="1" w:styleId="BodyTextChar">
    <w:name w:val="Body Text Char"/>
    <w:link w:val="BodyText"/>
    <w:semiHidden/>
    <w:rsid w:val="00525C2B"/>
    <w:rPr>
      <w:rFonts w:ascii="Arial" w:eastAsia="??" w:hAnsi="Arial" w:cs="Arial"/>
      <w:strike/>
      <w:snapToGrid w:val="0"/>
      <w:sz w:val="24"/>
      <w:szCs w:val="24"/>
    </w:rPr>
  </w:style>
  <w:style w:type="character" w:styleId="CommentReference">
    <w:name w:val="annotation reference"/>
    <w:uiPriority w:val="99"/>
    <w:semiHidden/>
    <w:unhideWhenUsed/>
    <w:rsid w:val="00525C2B"/>
    <w:rPr>
      <w:sz w:val="16"/>
      <w:szCs w:val="16"/>
    </w:rPr>
  </w:style>
  <w:style w:type="paragraph" w:customStyle="1" w:styleId="EndNoteBibliographyTitle">
    <w:name w:val="EndNote Bibliography Title"/>
    <w:basedOn w:val="Normal"/>
    <w:link w:val="EndNoteBibliographyTitleChar"/>
    <w:rsid w:val="007C28E1"/>
    <w:pPr>
      <w:spacing w:after="0"/>
      <w:jc w:val="center"/>
    </w:pPr>
    <w:rPr>
      <w:rFonts w:ascii="Arial" w:hAnsi="Arial" w:cs="Arial"/>
      <w:noProof/>
      <w:sz w:val="24"/>
    </w:rPr>
  </w:style>
  <w:style w:type="character" w:customStyle="1" w:styleId="NormalWebChar">
    <w:name w:val="Normal (Web) Char"/>
    <w:basedOn w:val="DefaultParagraphFont"/>
    <w:link w:val="NormalWeb"/>
    <w:uiPriority w:val="99"/>
    <w:rsid w:val="007C28E1"/>
    <w:rPr>
      <w:rFonts w:ascii="Times New Roman" w:eastAsia="Times New Roman" w:hAnsi="Times New Roman" w:cs="Times New Roman"/>
      <w:sz w:val="24"/>
      <w:szCs w:val="24"/>
      <w:lang w:eastAsia="en-GB"/>
    </w:rPr>
  </w:style>
  <w:style w:type="character" w:customStyle="1" w:styleId="EndNoteBibliographyTitleChar">
    <w:name w:val="EndNote Bibliography Title Char"/>
    <w:basedOn w:val="NormalWebChar"/>
    <w:link w:val="EndNoteBibliographyTitle"/>
    <w:rsid w:val="007C28E1"/>
    <w:rPr>
      <w:rFonts w:ascii="Arial" w:eastAsia="Times New Roman" w:hAnsi="Arial" w:cs="Times New Roman"/>
      <w:noProof/>
      <w:sz w:val="24"/>
      <w:szCs w:val="22"/>
      <w:lang w:eastAsia="en-GB"/>
    </w:rPr>
  </w:style>
  <w:style w:type="paragraph" w:customStyle="1" w:styleId="EndNoteBibliography">
    <w:name w:val="EndNote Bibliography"/>
    <w:basedOn w:val="Normal"/>
    <w:link w:val="EndNoteBibliographyChar"/>
    <w:rsid w:val="007C28E1"/>
    <w:pPr>
      <w:spacing w:line="240" w:lineRule="auto"/>
    </w:pPr>
    <w:rPr>
      <w:rFonts w:ascii="Arial" w:hAnsi="Arial" w:cs="Arial"/>
      <w:noProof/>
      <w:sz w:val="24"/>
    </w:rPr>
  </w:style>
  <w:style w:type="character" w:customStyle="1" w:styleId="EndNoteBibliographyChar">
    <w:name w:val="EndNote Bibliography Char"/>
    <w:basedOn w:val="NormalWebChar"/>
    <w:link w:val="EndNoteBibliography"/>
    <w:rsid w:val="007C28E1"/>
    <w:rPr>
      <w:rFonts w:ascii="Arial" w:eastAsia="Times New Roman" w:hAnsi="Arial" w:cs="Times New Roman"/>
      <w:noProof/>
      <w:sz w:val="24"/>
      <w:szCs w:val="22"/>
      <w:lang w:eastAsia="en-GB"/>
    </w:rPr>
  </w:style>
  <w:style w:type="paragraph" w:styleId="Bibliography">
    <w:name w:val="Bibliography"/>
    <w:basedOn w:val="Normal"/>
    <w:next w:val="Normal"/>
    <w:uiPriority w:val="37"/>
    <w:unhideWhenUsed/>
    <w:rsid w:val="00024C0B"/>
    <w:pPr>
      <w:tabs>
        <w:tab w:val="left" w:pos="384"/>
      </w:tabs>
      <w:spacing w:after="240" w:line="240" w:lineRule="auto"/>
      <w:ind w:left="384" w:hanging="3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648606">
      <w:bodyDiv w:val="1"/>
      <w:marLeft w:val="0"/>
      <w:marRight w:val="0"/>
      <w:marTop w:val="0"/>
      <w:marBottom w:val="0"/>
      <w:divBdr>
        <w:top w:val="none" w:sz="0" w:space="0" w:color="auto"/>
        <w:left w:val="none" w:sz="0" w:space="0" w:color="auto"/>
        <w:bottom w:val="none" w:sz="0" w:space="0" w:color="auto"/>
        <w:right w:val="none" w:sz="0" w:space="0" w:color="auto"/>
      </w:divBdr>
    </w:div>
    <w:div w:id="334961011">
      <w:bodyDiv w:val="1"/>
      <w:marLeft w:val="0"/>
      <w:marRight w:val="0"/>
      <w:marTop w:val="0"/>
      <w:marBottom w:val="0"/>
      <w:divBdr>
        <w:top w:val="none" w:sz="0" w:space="0" w:color="auto"/>
        <w:left w:val="none" w:sz="0" w:space="0" w:color="auto"/>
        <w:bottom w:val="none" w:sz="0" w:space="0" w:color="auto"/>
        <w:right w:val="none" w:sz="0" w:space="0" w:color="auto"/>
      </w:divBdr>
    </w:div>
    <w:div w:id="614025331">
      <w:bodyDiv w:val="1"/>
      <w:marLeft w:val="0"/>
      <w:marRight w:val="0"/>
      <w:marTop w:val="0"/>
      <w:marBottom w:val="0"/>
      <w:divBdr>
        <w:top w:val="none" w:sz="0" w:space="0" w:color="auto"/>
        <w:left w:val="none" w:sz="0" w:space="0" w:color="auto"/>
        <w:bottom w:val="none" w:sz="0" w:space="0" w:color="auto"/>
        <w:right w:val="none" w:sz="0" w:space="0" w:color="auto"/>
      </w:divBdr>
    </w:div>
    <w:div w:id="1025256072">
      <w:bodyDiv w:val="1"/>
      <w:marLeft w:val="0"/>
      <w:marRight w:val="0"/>
      <w:marTop w:val="0"/>
      <w:marBottom w:val="0"/>
      <w:divBdr>
        <w:top w:val="none" w:sz="0" w:space="0" w:color="auto"/>
        <w:left w:val="none" w:sz="0" w:space="0" w:color="auto"/>
        <w:bottom w:val="none" w:sz="0" w:space="0" w:color="auto"/>
        <w:right w:val="none" w:sz="0" w:space="0" w:color="auto"/>
      </w:divBdr>
    </w:div>
    <w:div w:id="1066805117">
      <w:bodyDiv w:val="1"/>
      <w:marLeft w:val="0"/>
      <w:marRight w:val="0"/>
      <w:marTop w:val="0"/>
      <w:marBottom w:val="0"/>
      <w:divBdr>
        <w:top w:val="none" w:sz="0" w:space="0" w:color="auto"/>
        <w:left w:val="none" w:sz="0" w:space="0" w:color="auto"/>
        <w:bottom w:val="none" w:sz="0" w:space="0" w:color="auto"/>
        <w:right w:val="none" w:sz="0" w:space="0" w:color="auto"/>
      </w:divBdr>
    </w:div>
    <w:div w:id="1326930981">
      <w:bodyDiv w:val="1"/>
      <w:marLeft w:val="0"/>
      <w:marRight w:val="0"/>
      <w:marTop w:val="0"/>
      <w:marBottom w:val="0"/>
      <w:divBdr>
        <w:top w:val="none" w:sz="0" w:space="0" w:color="auto"/>
        <w:left w:val="none" w:sz="0" w:space="0" w:color="auto"/>
        <w:bottom w:val="none" w:sz="0" w:space="0" w:color="auto"/>
        <w:right w:val="none" w:sz="0" w:space="0" w:color="auto"/>
      </w:divBdr>
    </w:div>
    <w:div w:id="1369451993">
      <w:bodyDiv w:val="1"/>
      <w:marLeft w:val="0"/>
      <w:marRight w:val="0"/>
      <w:marTop w:val="0"/>
      <w:marBottom w:val="0"/>
      <w:divBdr>
        <w:top w:val="none" w:sz="0" w:space="0" w:color="auto"/>
        <w:left w:val="none" w:sz="0" w:space="0" w:color="auto"/>
        <w:bottom w:val="none" w:sz="0" w:space="0" w:color="auto"/>
        <w:right w:val="none" w:sz="0" w:space="0" w:color="auto"/>
      </w:divBdr>
    </w:div>
    <w:div w:id="1402561152">
      <w:bodyDiv w:val="1"/>
      <w:marLeft w:val="0"/>
      <w:marRight w:val="0"/>
      <w:marTop w:val="0"/>
      <w:marBottom w:val="0"/>
      <w:divBdr>
        <w:top w:val="none" w:sz="0" w:space="0" w:color="auto"/>
        <w:left w:val="none" w:sz="0" w:space="0" w:color="auto"/>
        <w:bottom w:val="none" w:sz="0" w:space="0" w:color="auto"/>
        <w:right w:val="none" w:sz="0" w:space="0" w:color="auto"/>
      </w:divBdr>
    </w:div>
    <w:div w:id="1511874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Tel:02079115000" TargetMode="External"/><Relationship Id="rId13" Type="http://schemas.openxmlformats.org/officeDocument/2006/relationships/footer" Target="footer1.xml"/><Relationship Id="rId18" Type="http://schemas.openxmlformats.org/officeDocument/2006/relationships/chart" Target="charts/chart5.xml"/><Relationship Id="rId26" Type="http://schemas.openxmlformats.org/officeDocument/2006/relationships/chart" Target="charts/chart13.xml"/><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chart" Target="charts/chart20.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rodo.wi.mit.edu/)" TargetMode="External"/><Relationship Id="rId24" Type="http://schemas.openxmlformats.org/officeDocument/2006/relationships/chart" Target="charts/chart11.xml"/><Relationship Id="rId32" Type="http://schemas.openxmlformats.org/officeDocument/2006/relationships/chart" Target="charts/chart19.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image" Target="media/image3.emf"/><Relationship Id="rId10" Type="http://schemas.openxmlformats.org/officeDocument/2006/relationships/hyperlink" Target="http://www.ncbi.nlm.nih.gov/nucleotide/189458818?report=genbank&amp;log$=nucltop&amp;blast_rank=14&amp;RID=M2KZDSA1016" TargetMode="External"/><Relationship Id="rId19" Type="http://schemas.openxmlformats.org/officeDocument/2006/relationships/chart" Target="charts/chart6.xml"/><Relationship Id="rId31" Type="http://schemas.openxmlformats.org/officeDocument/2006/relationships/chart" Target="charts/chart18.xml"/><Relationship Id="rId4" Type="http://schemas.openxmlformats.org/officeDocument/2006/relationships/settings" Target="settings.xml"/><Relationship Id="rId9" Type="http://schemas.openxmlformats.org/officeDocument/2006/relationships/hyperlink" Target="mailto:v.b.patel@westminster.ac.uk" TargetMode="Externa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chart" Target="charts/chart21.xml"/></Relationships>
</file>

<file path=word/charts/_rels/chart1.xml.rels><?xml version="1.0" encoding="UTF-8" standalone="yes"?>
<Relationships xmlns="http://schemas.openxmlformats.org/package/2006/relationships"><Relationship Id="rId2" Type="http://schemas.openxmlformats.org/officeDocument/2006/relationships/oleObject" Target="file:///E:\A%20Ph.D%2013.11.2014\My%20publications%2026.8.2015\basal%20conditions%20rec%20and%20wt%2011.5.2016.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F:\A%20Ph.D%2013.11.2014\My%20publications%2015.12.2014\figures%20for%20rec%20paper.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G:\A%20Ph.D%2009052013\My%20publications%2030.10.2014\WT_HepG2_hepcidin_mRNA_expression%208.11.2011.xls"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F:\A%20Ph.D%2013.11.2014\My%20publications%2015.12.2014\4%20h%20results%20except%20hepg2%20P..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G:\A%20Ph.D%2009052013\My%20publications%2022.3.2014\latest%20graphs%20for%20rec%20paper%20%20and%20tfr2%20actin%60.xls"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G:\A%20Ph.D%2009052013\My%20publications%2022.3.2014\latest%20graphs%20for%20rec%20paper%20%20and%20tfr2%20actin%60.xls"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G:\A%20Ph.D%2009052013\My%20publications%2026.10.2014\gene%20expressions%20for%20rec%20paper.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1" Type="http://schemas.openxmlformats.org/officeDocument/2006/relationships/oleObject" Target="file:///E:\A%20Ph.D%2013.11.2014\My%20publications%2026.8.2015\48%20h%20results%2012.5.2016.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E:\A%20Ph.D%2013.11.2014\My%20publications%2026.8.2015\48%20h%20results%2012.5.2016.xlsx" TargetMode="External"/></Relationships>
</file>

<file path=word/charts/_rels/chart18.xml.rels><?xml version="1.0" encoding="UTF-8" standalone="yes"?>
<Relationships xmlns="http://schemas.openxmlformats.org/package/2006/relationships"><Relationship Id="rId2" Type="http://schemas.openxmlformats.org/officeDocument/2006/relationships/oleObject" Target="file:///E:\A%20Ph.D%2013.11.2014\My%20publications%2026.8.2015\all%20facs%20for%20pub10.xls" TargetMode="External"/><Relationship Id="rId1" Type="http://schemas.openxmlformats.org/officeDocument/2006/relationships/themeOverride" Target="../theme/themeOverride16.xml"/></Relationships>
</file>

<file path=word/charts/_rels/chart19.xml.rels><?xml version="1.0" encoding="UTF-8" standalone="yes"?>
<Relationships xmlns="http://schemas.openxmlformats.org/package/2006/relationships"><Relationship Id="rId2" Type="http://schemas.openxmlformats.org/officeDocument/2006/relationships/oleObject" Target="file:///E:\A%20Ph.D%2013.11.2014\My%20publications%2026.8.2015\paper%203%20and%204%20%20rec%20Tfr1%208.11.2014\Rec%20paper\Rec%20paper%20for%20PLos%20one,%20not%20worked\6.8.2015%20all%20facs%20together%20for%20rebuttal%20f%20rec%20papare.xlsx" TargetMode="External"/><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3" Type="http://schemas.openxmlformats.org/officeDocument/2006/relationships/oleObject" Target="file:///G:\A%20Ph.D%2009052013\My%20publications%2022.3.2014\excel%20for%20publication%205.8.2014.xlsx" TargetMode="External"/><Relationship Id="rId2" Type="http://schemas.openxmlformats.org/officeDocument/2006/relationships/image" Target="../media/image1.jpeg"/><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E:\A%20Ph.D%2013.11.2014\My%20publications%2026.8.2015\paper%203%20and%204%20%20rec%20Tfr1%208.11.2014\Rec%20paper\Rec%20paper%20for%20PLos%20one,%20not%20worked\for%20rebuttal%206.8.2015%20..Marks%20hepcidn%20results%205.4.2012.xls" TargetMode="External"/><Relationship Id="rId1" Type="http://schemas.openxmlformats.org/officeDocument/2006/relationships/themeOverride" Target="../theme/themeOverride18.xml"/></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2" Type="http://schemas.openxmlformats.org/officeDocument/2006/relationships/oleObject" Target="file:///E:\A%20Ph.D%2013.11.2014\My%20publications%2026.8.2015\basal%20conditions%20rec%20and%20wt%208.5.2016%20home.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E:\A%20Ph.D%2013.11.2014\My%20publications%2026.8.2015\basal%20conditions%20rec%20and%20wt%2011.5.2016.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E:\A%20Ph.D%2013.11.2014\My%20publications%2026.8.2015\basal%20conditions%20rec%20and%20wt%208.5.2016%20home.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E:\A%20Ph.D%2013.11.2014\My%20publications%2026.8.2015\all%20facs%20for%20pub10.xls"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G:\A%20Ph.D%2009052013\My%20publications%2022.3.2014\latest%20graphs%20for%20rec%20paper%20%20and%20tfr2%20actin%60.xls"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oleObject" Target="file:///G:\A%20Ph.D%2009052013\My%20publications%2026.10.2014\gene%20expressions%20for%20rec%20paper.xlsx" TargetMode="External"/><Relationship Id="rId2" Type="http://schemas.openxmlformats.org/officeDocument/2006/relationships/image" Target="../media/image1.jpeg"/><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F:\A%20Ph.D%2013.11.2014\My%20publications%2015.12.2014\figures%20for%20rec%20paper.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979267743047292"/>
          <c:y val="3.6442590198613255E-2"/>
          <c:w val="0.75743813273340865"/>
          <c:h val="0.83499196928742114"/>
        </c:manualLayout>
      </c:layout>
      <c:barChart>
        <c:barDir val="col"/>
        <c:grouping val="clustered"/>
        <c:varyColors val="0"/>
        <c:ser>
          <c:idx val="0"/>
          <c:order val="0"/>
          <c:tx>
            <c:v>Wt HepG2 cells </c:v>
          </c:tx>
          <c:spPr>
            <a:noFill/>
            <a:ln w="31750">
              <a:solidFill>
                <a:schemeClr val="tx1"/>
              </a:solidFill>
            </a:ln>
          </c:spPr>
          <c:invertIfNegative val="0"/>
          <c:dPt>
            <c:idx val="1"/>
            <c:invertIfNegative val="0"/>
            <c:bubble3D val="0"/>
            <c:spPr>
              <a:solidFill>
                <a:schemeClr val="tx1">
                  <a:lumMod val="50000"/>
                  <a:lumOff val="50000"/>
                </a:schemeClr>
              </a:solidFill>
              <a:ln w="31750">
                <a:solidFill>
                  <a:schemeClr val="tx1"/>
                </a:solidFill>
              </a:ln>
            </c:spPr>
            <c:extLst>
              <c:ext xmlns:c16="http://schemas.microsoft.com/office/drawing/2014/chart" uri="{C3380CC4-5D6E-409C-BE32-E72D297353CC}">
                <c16:uniqueId val="{00000001-B4C4-4BF4-AE3F-F07B32592FE5}"/>
              </c:ext>
            </c:extLst>
          </c:dPt>
          <c:errBars>
            <c:errBarType val="plus"/>
            <c:errValType val="cust"/>
            <c:noEndCap val="0"/>
            <c:plus>
              <c:numRef>
                <c:f>Sheet1!$X$28:$X$29</c:f>
                <c:numCache>
                  <c:formatCode>General</c:formatCode>
                  <c:ptCount val="2"/>
                  <c:pt idx="1">
                    <c:v>0.19338449904291391</c:v>
                  </c:pt>
                </c:numCache>
              </c:numRef>
            </c:plus>
            <c:minus>
              <c:numLit>
                <c:formatCode>General</c:formatCode>
                <c:ptCount val="1"/>
                <c:pt idx="0">
                  <c:v>1</c:v>
                </c:pt>
              </c:numLit>
            </c:minus>
            <c:spPr>
              <a:noFill/>
              <a:ln w="1905">
                <a:solidFill>
                  <a:schemeClr val="tx1"/>
                </a:solidFill>
              </a:ln>
            </c:spPr>
          </c:errBars>
          <c:cat>
            <c:strRef>
              <c:f>Sheet1!$V$28:$V$29</c:f>
              <c:strCache>
                <c:ptCount val="2"/>
                <c:pt idx="0">
                  <c:v>Wt HepG2 </c:v>
                </c:pt>
                <c:pt idx="1">
                  <c:v>Rec-TfR1 HepG2</c:v>
                </c:pt>
              </c:strCache>
            </c:strRef>
          </c:cat>
          <c:val>
            <c:numRef>
              <c:f>Sheet1!$W$28:$W$29</c:f>
              <c:numCache>
                <c:formatCode>0.0</c:formatCode>
                <c:ptCount val="2"/>
                <c:pt idx="0" formatCode="General">
                  <c:v>1</c:v>
                </c:pt>
                <c:pt idx="1">
                  <c:v>2.2368466734094334</c:v>
                </c:pt>
              </c:numCache>
            </c:numRef>
          </c:val>
          <c:extLst>
            <c:ext xmlns:c16="http://schemas.microsoft.com/office/drawing/2014/chart" uri="{C3380CC4-5D6E-409C-BE32-E72D297353CC}">
              <c16:uniqueId val="{00000002-B4C4-4BF4-AE3F-F07B32592FE5}"/>
            </c:ext>
          </c:extLst>
        </c:ser>
        <c:dLbls>
          <c:showLegendKey val="0"/>
          <c:showVal val="0"/>
          <c:showCatName val="0"/>
          <c:showSerName val="0"/>
          <c:showPercent val="0"/>
          <c:showBubbleSize val="0"/>
        </c:dLbls>
        <c:gapWidth val="150"/>
        <c:axId val="113335296"/>
        <c:axId val="114606464"/>
      </c:barChart>
      <c:catAx>
        <c:axId val="113335296"/>
        <c:scaling>
          <c:orientation val="minMax"/>
        </c:scaling>
        <c:delete val="0"/>
        <c:axPos val="b"/>
        <c:numFmt formatCode="General" sourceLinked="1"/>
        <c:majorTickMark val="out"/>
        <c:minorTickMark val="none"/>
        <c:tickLblPos val="nextTo"/>
        <c:spPr>
          <a:ln w="31750">
            <a:solidFill>
              <a:schemeClr val="tx1"/>
            </a:solidFill>
          </a:ln>
        </c:spPr>
        <c:txPr>
          <a:bodyPr rot="0" vert="horz"/>
          <a:lstStyle/>
          <a:p>
            <a:pPr>
              <a:defRPr sz="900" b="1" i="0" u="none" strike="noStrike" baseline="0">
                <a:solidFill>
                  <a:srgbClr val="000000"/>
                </a:solidFill>
                <a:latin typeface="Calibri"/>
                <a:ea typeface="Calibri"/>
                <a:cs typeface="Calibri"/>
              </a:defRPr>
            </a:pPr>
            <a:endParaRPr lang="en-US"/>
          </a:p>
        </c:txPr>
        <c:crossAx val="114606464"/>
        <c:crosses val="autoZero"/>
        <c:auto val="1"/>
        <c:lblAlgn val="ctr"/>
        <c:lblOffset val="100"/>
        <c:noMultiLvlLbl val="0"/>
      </c:catAx>
      <c:valAx>
        <c:axId val="114606464"/>
        <c:scaling>
          <c:orientation val="minMax"/>
        </c:scaling>
        <c:delete val="0"/>
        <c:axPos val="l"/>
        <c:title>
          <c:tx>
            <c:rich>
              <a:bodyPr/>
              <a:lstStyle/>
              <a:p>
                <a:pPr>
                  <a:defRPr sz="1300" b="1" i="0" u="none" strike="noStrike" baseline="0">
                    <a:solidFill>
                      <a:srgbClr val="000000"/>
                    </a:solidFill>
                    <a:latin typeface="Calibri"/>
                    <a:ea typeface="Calibri"/>
                    <a:cs typeface="Calibri"/>
                  </a:defRPr>
                </a:pPr>
                <a:r>
                  <a:rPr lang="en-US" sz="1300"/>
                  <a:t>TFRC</a:t>
                </a:r>
                <a:r>
                  <a:rPr lang="en-US" sz="1300" baseline="0"/>
                  <a:t> mRNA f</a:t>
                </a:r>
                <a:r>
                  <a:rPr lang="en-US" sz="1300"/>
                  <a:t>old</a:t>
                </a:r>
                <a:r>
                  <a:rPr lang="en-US" sz="1300" baseline="0"/>
                  <a:t> expression  </a:t>
                </a:r>
                <a:r>
                  <a:rPr lang="en-US" sz="1300"/>
                  <a:t> </a:t>
                </a:r>
              </a:p>
            </c:rich>
          </c:tx>
          <c:layout>
            <c:manualLayout>
              <c:xMode val="edge"/>
              <c:yMode val="edge"/>
              <c:x val="1.562451752354485E-3"/>
              <c:y val="3.0037215497316631E-2"/>
            </c:manualLayout>
          </c:layout>
          <c:overlay val="0"/>
        </c:title>
        <c:numFmt formatCode="General" sourceLinked="0"/>
        <c:majorTickMark val="out"/>
        <c:minorTickMark val="none"/>
        <c:tickLblPos val="nextTo"/>
        <c:spPr>
          <a:ln w="31750">
            <a:solidFill>
              <a:schemeClr val="tx1"/>
            </a:solidFill>
          </a:ln>
        </c:spPr>
        <c:txPr>
          <a:bodyPr rot="0" vert="horz"/>
          <a:lstStyle/>
          <a:p>
            <a:pPr>
              <a:defRPr sz="1200" b="0" i="0" u="none" strike="noStrike" baseline="0">
                <a:solidFill>
                  <a:srgbClr val="000000"/>
                </a:solidFill>
                <a:latin typeface="Calibri"/>
                <a:ea typeface="Calibri"/>
                <a:cs typeface="Calibri"/>
              </a:defRPr>
            </a:pPr>
            <a:endParaRPr lang="en-US"/>
          </a:p>
        </c:txPr>
        <c:crossAx val="113335296"/>
        <c:crosses val="autoZero"/>
        <c:crossBetween val="between"/>
        <c:majorUnit val="1"/>
      </c:valAx>
    </c:plotArea>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386172161172162"/>
          <c:y val="4.4910179640718584E-2"/>
          <c:w val="0.88596382783882788"/>
          <c:h val="0.64677073552426334"/>
        </c:manualLayout>
      </c:layout>
      <c:barChart>
        <c:barDir val="col"/>
        <c:grouping val="clustered"/>
        <c:varyColors val="0"/>
        <c:ser>
          <c:idx val="1"/>
          <c:order val="0"/>
          <c:tx>
            <c:v>Rec-TfR1 HepG2 cells</c:v>
          </c:tx>
          <c:spPr>
            <a:pattFill prst="pct90">
              <a:fgClr>
                <a:srgbClr val="000000"/>
              </a:fgClr>
              <a:bgClr>
                <a:srgbClr val="FFFFFF"/>
              </a:bgClr>
            </a:pattFill>
            <a:ln w="31750">
              <a:solidFill>
                <a:srgbClr val="000000"/>
              </a:solidFill>
              <a:prstDash val="solid"/>
            </a:ln>
          </c:spPr>
          <c:invertIfNegative val="0"/>
          <c:errBars>
            <c:errBarType val="plus"/>
            <c:errValType val="cust"/>
            <c:noEndCap val="0"/>
            <c:plus>
              <c:numRef>
                <c:f>'MTT hepcidin'!$N$71:$N$80</c:f>
                <c:numCache>
                  <c:formatCode>General</c:formatCode>
                  <c:ptCount val="10"/>
                  <c:pt idx="0">
                    <c:v>0.7688375063113928</c:v>
                  </c:pt>
                  <c:pt idx="1">
                    <c:v>0.71724782637834283</c:v>
                  </c:pt>
                  <c:pt idx="2">
                    <c:v>0.44907311951024831</c:v>
                  </c:pt>
                  <c:pt idx="3">
                    <c:v>0.13333333333334391</c:v>
                  </c:pt>
                  <c:pt idx="4">
                    <c:v>0.43333333333333446</c:v>
                  </c:pt>
                  <c:pt idx="5">
                    <c:v>0.20412414523193154</c:v>
                  </c:pt>
                  <c:pt idx="6">
                    <c:v>0.33333333333333381</c:v>
                  </c:pt>
                  <c:pt idx="7">
                    <c:v>0.3332142644481868</c:v>
                  </c:pt>
                  <c:pt idx="8">
                    <c:v>0.14529663145135768</c:v>
                  </c:pt>
                  <c:pt idx="9">
                    <c:v>0.76285283275639415</c:v>
                  </c:pt>
                </c:numCache>
              </c:numRef>
            </c:plus>
            <c:minus>
              <c:numRef>
                <c:f>'MTT hepcidin'!#REF!</c:f>
                <c:numCache>
                  <c:formatCode>General</c:formatCode>
                  <c:ptCount val="1"/>
                  <c:pt idx="0">
                    <c:v>1</c:v>
                  </c:pt>
                </c:numCache>
              </c:numRef>
            </c:minus>
            <c:spPr>
              <a:pattFill prst="pct90">
                <a:fgClr>
                  <a:srgbClr val="000000"/>
                </a:fgClr>
                <a:bgClr>
                  <a:srgbClr val="FFFFFF"/>
                </a:bgClr>
              </a:pattFill>
              <a:ln w="1270">
                <a:solidFill>
                  <a:srgbClr val="000000"/>
                </a:solidFill>
                <a:prstDash val="solid"/>
              </a:ln>
            </c:spPr>
          </c:errBars>
          <c:cat>
            <c:strRef>
              <c:f>'MTT hepcidin'!$A$71:$A$80</c:f>
              <c:strCache>
                <c:ptCount val="10"/>
                <c:pt idx="0">
                  <c:v>0 g/L</c:v>
                </c:pt>
                <c:pt idx="1">
                  <c:v>5 g/L</c:v>
                </c:pt>
                <c:pt idx="2">
                  <c:v>0 g/L</c:v>
                </c:pt>
                <c:pt idx="3">
                  <c:v>5 g/L</c:v>
                </c:pt>
                <c:pt idx="4">
                  <c:v>0 g/L</c:v>
                </c:pt>
                <c:pt idx="5">
                  <c:v>5 g/L</c:v>
                </c:pt>
                <c:pt idx="6">
                  <c:v>0 g/L</c:v>
                </c:pt>
                <c:pt idx="7">
                  <c:v>5 g/L</c:v>
                </c:pt>
                <c:pt idx="8">
                  <c:v>0 g/L</c:v>
                </c:pt>
                <c:pt idx="9">
                  <c:v>5 g/L</c:v>
                </c:pt>
              </c:strCache>
            </c:strRef>
          </c:cat>
          <c:val>
            <c:numRef>
              <c:f>'MTT hepcidin'!$L$71:$L$80</c:f>
              <c:numCache>
                <c:formatCode>0.0</c:formatCode>
                <c:ptCount val="10"/>
                <c:pt idx="0">
                  <c:v>3.8333333333333335</c:v>
                </c:pt>
                <c:pt idx="1">
                  <c:v>6.8666666666666671</c:v>
                </c:pt>
                <c:pt idx="2">
                  <c:v>3.9499999999999997</c:v>
                </c:pt>
                <c:pt idx="3">
                  <c:v>7.9666666666666694</c:v>
                </c:pt>
                <c:pt idx="4">
                  <c:v>3.0666666666666664</c:v>
                </c:pt>
                <c:pt idx="5">
                  <c:v>8.15</c:v>
                </c:pt>
                <c:pt idx="6">
                  <c:v>1.2333333333333332</c:v>
                </c:pt>
                <c:pt idx="7">
                  <c:v>4.9249999999999945</c:v>
                </c:pt>
                <c:pt idx="8">
                  <c:v>1.0666666666666667</c:v>
                </c:pt>
                <c:pt idx="9">
                  <c:v>7.3666666666666663</c:v>
                </c:pt>
              </c:numCache>
            </c:numRef>
          </c:val>
          <c:extLst>
            <c:ext xmlns:c16="http://schemas.microsoft.com/office/drawing/2014/chart" uri="{C3380CC4-5D6E-409C-BE32-E72D297353CC}">
              <c16:uniqueId val="{00000000-5CB0-4579-BC3C-9C59B144ADB7}"/>
            </c:ext>
          </c:extLst>
        </c:ser>
        <c:dLbls>
          <c:showLegendKey val="0"/>
          <c:showVal val="0"/>
          <c:showCatName val="0"/>
          <c:showSerName val="0"/>
          <c:showPercent val="0"/>
          <c:showBubbleSize val="0"/>
        </c:dLbls>
        <c:gapWidth val="150"/>
        <c:axId val="118343936"/>
        <c:axId val="118444416"/>
      </c:barChart>
      <c:catAx>
        <c:axId val="118343936"/>
        <c:scaling>
          <c:orientation val="minMax"/>
        </c:scaling>
        <c:delete val="0"/>
        <c:axPos val="b"/>
        <c:title>
          <c:tx>
            <c:rich>
              <a:bodyPr/>
              <a:lstStyle/>
              <a:p>
                <a:pPr algn="l">
                  <a:defRPr sz="1400" b="1" i="0" u="none" strike="noStrike" baseline="0">
                    <a:solidFill>
                      <a:srgbClr val="000000"/>
                    </a:solidFill>
                    <a:latin typeface="Calibri"/>
                    <a:ea typeface="Calibri"/>
                    <a:cs typeface="Calibri"/>
                  </a:defRPr>
                </a:pPr>
                <a:r>
                  <a:rPr lang="en-US" sz="1400"/>
                  <a:t>30 min                   2 h                       4 h                       24 h                    48 h                                                                  		             Time    </a:t>
                </a:r>
              </a:p>
            </c:rich>
          </c:tx>
          <c:layout>
            <c:manualLayout>
              <c:xMode val="edge"/>
              <c:yMode val="edge"/>
              <c:x val="0.15491912348165976"/>
              <c:y val="0.81526369327073567"/>
            </c:manualLayout>
          </c:layout>
          <c:overlay val="0"/>
          <c:spPr>
            <a:noFill/>
            <a:ln w="25400">
              <a:noFill/>
            </a:ln>
          </c:spPr>
        </c:title>
        <c:numFmt formatCode="General" sourceLinked="1"/>
        <c:majorTickMark val="out"/>
        <c:minorTickMark val="none"/>
        <c:tickLblPos val="nextTo"/>
        <c:spPr>
          <a:ln w="31750">
            <a:solidFill>
              <a:srgbClr val="000000"/>
            </a:solidFill>
            <a:prstDash val="solid"/>
          </a:ln>
        </c:spPr>
        <c:txPr>
          <a:bodyPr rot="0" vert="horz"/>
          <a:lstStyle/>
          <a:p>
            <a:pPr>
              <a:defRPr sz="1400" b="0" i="0" u="none" strike="noStrike" baseline="0">
                <a:solidFill>
                  <a:srgbClr val="000000"/>
                </a:solidFill>
                <a:latin typeface="Calibri"/>
                <a:ea typeface="Calibri"/>
                <a:cs typeface="Calibri"/>
              </a:defRPr>
            </a:pPr>
            <a:endParaRPr lang="en-US"/>
          </a:p>
        </c:txPr>
        <c:crossAx val="118444416"/>
        <c:crosses val="autoZero"/>
        <c:auto val="1"/>
        <c:lblAlgn val="ctr"/>
        <c:lblOffset val="100"/>
        <c:tickLblSkip val="1"/>
        <c:tickMarkSkip val="1"/>
        <c:noMultiLvlLbl val="0"/>
      </c:catAx>
      <c:valAx>
        <c:axId val="118444416"/>
        <c:scaling>
          <c:orientation val="minMax"/>
          <c:max val="10"/>
          <c:min val="0"/>
        </c:scaling>
        <c:delete val="0"/>
        <c:axPos val="l"/>
        <c:title>
          <c:tx>
            <c:rich>
              <a:bodyPr/>
              <a:lstStyle/>
              <a:p>
                <a:pPr>
                  <a:defRPr sz="1400" b="1" i="0" u="none" strike="noStrike" baseline="0">
                    <a:solidFill>
                      <a:srgbClr val="000000"/>
                    </a:solidFill>
                    <a:latin typeface="Calibri"/>
                    <a:ea typeface="Calibri"/>
                    <a:cs typeface="Calibri"/>
                  </a:defRPr>
                </a:pPr>
                <a:r>
                  <a:rPr lang="en-US" sz="1400"/>
                  <a:t>Hepcidin secretion ng/mL</a:t>
                </a:r>
              </a:p>
            </c:rich>
          </c:tx>
          <c:layout>
            <c:manualLayout>
              <c:xMode val="edge"/>
              <c:yMode val="edge"/>
              <c:x val="1.0285409035409188E-3"/>
              <c:y val="4.2425665101721534E-3"/>
            </c:manualLayout>
          </c:layout>
          <c:overlay val="0"/>
          <c:spPr>
            <a:noFill/>
            <a:ln w="25400">
              <a:noFill/>
            </a:ln>
          </c:spPr>
        </c:title>
        <c:numFmt formatCode="0" sourceLinked="0"/>
        <c:majorTickMark val="out"/>
        <c:minorTickMark val="none"/>
        <c:tickLblPos val="nextTo"/>
        <c:spPr>
          <a:ln w="31750">
            <a:solidFill>
              <a:srgbClr val="000000"/>
            </a:solidFill>
            <a:prstDash val="solid"/>
          </a:ln>
        </c:spPr>
        <c:txPr>
          <a:bodyPr rot="0" vert="horz"/>
          <a:lstStyle/>
          <a:p>
            <a:pPr>
              <a:defRPr sz="1400" b="0" i="0" u="none" strike="noStrike" baseline="0">
                <a:solidFill>
                  <a:srgbClr val="000000"/>
                </a:solidFill>
                <a:latin typeface="Calibri"/>
                <a:ea typeface="Calibri"/>
                <a:cs typeface="Calibri"/>
              </a:defRPr>
            </a:pPr>
            <a:endParaRPr lang="en-US"/>
          </a:p>
        </c:txPr>
        <c:crossAx val="118343936"/>
        <c:crosses val="autoZero"/>
        <c:crossBetween val="between"/>
        <c:majorUnit val="2"/>
      </c:valAx>
      <c:spPr>
        <a:noFill/>
        <a:ln w="25400">
          <a:noFill/>
        </a:ln>
      </c:spPr>
    </c:plotArea>
    <c:legend>
      <c:legendPos val="r"/>
      <c:layout>
        <c:manualLayout>
          <c:xMode val="edge"/>
          <c:yMode val="edge"/>
          <c:x val="0.73887297421155684"/>
          <c:y val="4.2328042328042331E-3"/>
          <c:w val="0.25940657417822782"/>
          <c:h val="0.13640826605204634"/>
        </c:manualLayout>
      </c:layout>
      <c:overlay val="0"/>
      <c:spPr>
        <a:solidFill>
          <a:srgbClr val="FFFFFF"/>
        </a:solidFill>
        <a:ln w="25400">
          <a:noFill/>
        </a:ln>
      </c:spPr>
      <c:txPr>
        <a:bodyPr/>
        <a:lstStyle/>
        <a:p>
          <a:pPr>
            <a:defRPr sz="110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12700">
      <a:noFill/>
      <a:prstDash val="solid"/>
    </a:ln>
  </c:spPr>
  <c:txPr>
    <a:bodyPr/>
    <a:lstStyle/>
    <a:p>
      <a:pPr>
        <a:defRPr sz="800" b="0" i="0" u="none" strike="noStrike" baseline="0">
          <a:solidFill>
            <a:srgbClr val="000000"/>
          </a:solidFill>
          <a:latin typeface="Arial"/>
          <a:ea typeface="Arial"/>
          <a:cs typeface="Arial"/>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688140556369002"/>
          <c:y val="3.5598705501618151E-2"/>
          <c:w val="0.8923220767616814"/>
          <c:h val="0.62387465804526265"/>
        </c:manualLayout>
      </c:layout>
      <c:barChart>
        <c:barDir val="col"/>
        <c:grouping val="clustered"/>
        <c:varyColors val="0"/>
        <c:ser>
          <c:idx val="3"/>
          <c:order val="0"/>
          <c:tx>
            <c:v>Wt HepG2 HAMP mRNA</c:v>
          </c:tx>
          <c:spPr>
            <a:noFill/>
            <a:ln w="31750">
              <a:solidFill>
                <a:schemeClr val="tx1"/>
              </a:solidFill>
            </a:ln>
          </c:spPr>
          <c:invertIfNegative val="0"/>
          <c:errBars>
            <c:errBarType val="plus"/>
            <c:errValType val="cust"/>
            <c:noEndCap val="0"/>
            <c:plus>
              <c:numRef>
                <c:f>Sheet1!$D$115:$D$124</c:f>
                <c:numCache>
                  <c:formatCode>General</c:formatCode>
                  <c:ptCount val="10"/>
                  <c:pt idx="1">
                    <c:v>0.52664508631080753</c:v>
                  </c:pt>
                  <c:pt idx="3">
                    <c:v>1.2591231028166415E-2</c:v>
                  </c:pt>
                  <c:pt idx="5">
                    <c:v>0.12020610332390175</c:v>
                  </c:pt>
                  <c:pt idx="7">
                    <c:v>3.1481171436201452E-2</c:v>
                  </c:pt>
                  <c:pt idx="9">
                    <c:v>0.17110057074462567</c:v>
                  </c:pt>
                </c:numCache>
              </c:numRef>
            </c:plus>
            <c:spPr>
              <a:noFill/>
              <a:ln w="1270">
                <a:solidFill>
                  <a:schemeClr val="tx1"/>
                </a:solidFill>
              </a:ln>
            </c:spPr>
          </c:errBars>
          <c:cat>
            <c:strRef>
              <c:f>'G:\A Ph.D 09052013\My publications 15052013\[4 h results except hepg2 P.xls]WthepG2 RTPCR'!$A$245:$A$254</c:f>
              <c:strCache>
                <c:ptCount val="10"/>
                <c:pt idx="0">
                  <c:v>0 g/L </c:v>
                </c:pt>
                <c:pt idx="1">
                  <c:v>5 g/L</c:v>
                </c:pt>
                <c:pt idx="2">
                  <c:v>0 g/L </c:v>
                </c:pt>
                <c:pt idx="3">
                  <c:v>5 g/L</c:v>
                </c:pt>
                <c:pt idx="4">
                  <c:v>0 g/L </c:v>
                </c:pt>
                <c:pt idx="5">
                  <c:v>5 g/L</c:v>
                </c:pt>
                <c:pt idx="6">
                  <c:v>0 g/L </c:v>
                </c:pt>
                <c:pt idx="7">
                  <c:v>5 g/L</c:v>
                </c:pt>
                <c:pt idx="8">
                  <c:v>0 g/L </c:v>
                </c:pt>
                <c:pt idx="9">
                  <c:v>5 g/L</c:v>
                </c:pt>
              </c:strCache>
            </c:strRef>
          </c:cat>
          <c:val>
            <c:numRef>
              <c:f>Sheet1!$C$115:$C$124</c:f>
              <c:numCache>
                <c:formatCode>0.0</c:formatCode>
                <c:ptCount val="10"/>
                <c:pt idx="0" formatCode="General">
                  <c:v>1</c:v>
                </c:pt>
                <c:pt idx="1">
                  <c:v>2.1289352060551656</c:v>
                </c:pt>
                <c:pt idx="2" formatCode="General">
                  <c:v>1</c:v>
                </c:pt>
                <c:pt idx="3">
                  <c:v>0.8900037156820908</c:v>
                </c:pt>
                <c:pt idx="4" formatCode="General">
                  <c:v>1</c:v>
                </c:pt>
                <c:pt idx="5">
                  <c:v>2.1651184185772836</c:v>
                </c:pt>
                <c:pt idx="6" formatCode="General">
                  <c:v>1</c:v>
                </c:pt>
                <c:pt idx="7">
                  <c:v>1.610183715064367</c:v>
                </c:pt>
                <c:pt idx="8" formatCode="General">
                  <c:v>1</c:v>
                </c:pt>
                <c:pt idx="9">
                  <c:v>0.543732814216764</c:v>
                </c:pt>
              </c:numCache>
            </c:numRef>
          </c:val>
          <c:extLst>
            <c:ext xmlns:c16="http://schemas.microsoft.com/office/drawing/2014/chart" uri="{C3380CC4-5D6E-409C-BE32-E72D297353CC}">
              <c16:uniqueId val="{00000000-31F2-436D-82C5-0B14F1B31243}"/>
            </c:ext>
          </c:extLst>
        </c:ser>
        <c:ser>
          <c:idx val="0"/>
          <c:order val="1"/>
          <c:tx>
            <c:v>Rec-TfR1 HepG2 HAMP mRNA</c:v>
          </c:tx>
          <c:spPr>
            <a:pattFill prst="horzBrick">
              <a:fgClr>
                <a:srgbClr val="000000"/>
              </a:fgClr>
              <a:bgClr>
                <a:srgbClr val="FFFFFF"/>
              </a:bgClr>
            </a:pattFill>
            <a:ln w="25400">
              <a:solidFill>
                <a:sysClr val="windowText" lastClr="000000"/>
              </a:solidFill>
            </a:ln>
          </c:spPr>
          <c:invertIfNegative val="0"/>
          <c:errBars>
            <c:errBarType val="plus"/>
            <c:errValType val="cust"/>
            <c:noEndCap val="0"/>
            <c:plus>
              <c:numRef>
                <c:f>'G:\A Ph.D 09052013\My publications 15052013\[4 h results except hepg2 P.xls]RecHepG2RTPCR'!$J$235:$J$244</c:f>
                <c:numCache>
                  <c:formatCode>General</c:formatCode>
                  <c:ptCount val="10"/>
                  <c:pt idx="0">
                    <c:v>0</c:v>
                  </c:pt>
                  <c:pt idx="1">
                    <c:v>0.23543308090695694</c:v>
                  </c:pt>
                  <c:pt idx="2">
                    <c:v>0</c:v>
                  </c:pt>
                  <c:pt idx="3">
                    <c:v>0.11940567900414613</c:v>
                  </c:pt>
                  <c:pt idx="4">
                    <c:v>0</c:v>
                  </c:pt>
                  <c:pt idx="5">
                    <c:v>0.48526140884590685</c:v>
                  </c:pt>
                  <c:pt idx="6">
                    <c:v>0</c:v>
                  </c:pt>
                  <c:pt idx="7">
                    <c:v>0.25</c:v>
                  </c:pt>
                  <c:pt idx="8">
                    <c:v>0</c:v>
                  </c:pt>
                  <c:pt idx="9">
                    <c:v>0.23</c:v>
                  </c:pt>
                </c:numCache>
              </c:numRef>
            </c:plus>
            <c:spPr>
              <a:pattFill prst="horzBrick">
                <a:fgClr>
                  <a:srgbClr val="000000"/>
                </a:fgClr>
                <a:bgClr>
                  <a:srgbClr val="FFFFFF"/>
                </a:bgClr>
              </a:pattFill>
              <a:ln w="1270">
                <a:solidFill>
                  <a:sysClr val="windowText" lastClr="000000"/>
                </a:solidFill>
              </a:ln>
            </c:spPr>
          </c:errBars>
          <c:val>
            <c:numRef>
              <c:f>'G:\A Ph.D 09052013\My publications 15052013\[4 h results except hepg2 P.xls]RecHepG2RTPCR'!$J$224:$J$233</c:f>
              <c:numCache>
                <c:formatCode>General</c:formatCode>
                <c:ptCount val="10"/>
                <c:pt idx="0">
                  <c:v>1</c:v>
                </c:pt>
                <c:pt idx="1">
                  <c:v>0.99328899817500149</c:v>
                </c:pt>
                <c:pt idx="2">
                  <c:v>1</c:v>
                </c:pt>
                <c:pt idx="3">
                  <c:v>1.4991395125649636</c:v>
                </c:pt>
                <c:pt idx="4">
                  <c:v>1</c:v>
                </c:pt>
                <c:pt idx="5">
                  <c:v>0.99859423835721939</c:v>
                </c:pt>
                <c:pt idx="6">
                  <c:v>1</c:v>
                </c:pt>
                <c:pt idx="7">
                  <c:v>0.71000000000000063</c:v>
                </c:pt>
                <c:pt idx="8">
                  <c:v>1</c:v>
                </c:pt>
                <c:pt idx="9">
                  <c:v>0.56000000000000005</c:v>
                </c:pt>
              </c:numCache>
            </c:numRef>
          </c:val>
          <c:extLst>
            <c:ext xmlns:c16="http://schemas.microsoft.com/office/drawing/2014/chart" uri="{C3380CC4-5D6E-409C-BE32-E72D297353CC}">
              <c16:uniqueId val="{00000001-31F2-436D-82C5-0B14F1B31243}"/>
            </c:ext>
          </c:extLst>
        </c:ser>
        <c:dLbls>
          <c:showLegendKey val="0"/>
          <c:showVal val="0"/>
          <c:showCatName val="0"/>
          <c:showSerName val="0"/>
          <c:showPercent val="0"/>
          <c:showBubbleSize val="0"/>
        </c:dLbls>
        <c:gapWidth val="150"/>
        <c:axId val="118462720"/>
        <c:axId val="118473088"/>
      </c:barChart>
      <c:catAx>
        <c:axId val="118462720"/>
        <c:scaling>
          <c:orientation val="minMax"/>
        </c:scaling>
        <c:delete val="0"/>
        <c:axPos val="b"/>
        <c:title>
          <c:tx>
            <c:rich>
              <a:bodyPr/>
              <a:lstStyle/>
              <a:p>
                <a:pPr algn="l">
                  <a:defRPr sz="1100" b="0" i="0" u="none" strike="noStrike" baseline="0">
                    <a:solidFill>
                      <a:srgbClr val="000000"/>
                    </a:solidFill>
                    <a:latin typeface="Calibri"/>
                    <a:ea typeface="Calibri"/>
                    <a:cs typeface="Calibri"/>
                  </a:defRPr>
                </a:pPr>
                <a:r>
                  <a:rPr lang="en-US" sz="1400" b="1" i="0" u="none" strike="noStrike" baseline="0">
                    <a:solidFill>
                      <a:srgbClr val="000000"/>
                    </a:solidFill>
                    <a:latin typeface="Calibri"/>
                  </a:rPr>
                  <a:t>30 min                   2 h                        4 h                        24 h                     48 h </a:t>
                </a:r>
              </a:p>
              <a:p>
                <a:pPr algn="l">
                  <a:defRPr sz="1100" b="0" i="0" u="none" strike="noStrike" baseline="0">
                    <a:solidFill>
                      <a:srgbClr val="000000"/>
                    </a:solidFill>
                    <a:latin typeface="Calibri"/>
                    <a:ea typeface="Calibri"/>
                    <a:cs typeface="Calibri"/>
                  </a:defRPr>
                </a:pPr>
                <a:r>
                  <a:rPr lang="en-US" sz="1400" b="1" i="0" u="none" strike="noStrike" baseline="0">
                    <a:solidFill>
                      <a:srgbClr val="000000"/>
                    </a:solidFill>
                    <a:latin typeface="Calibri"/>
                  </a:rPr>
                  <a:t>            		              Time</a:t>
                </a:r>
              </a:p>
            </c:rich>
          </c:tx>
          <c:layout>
            <c:manualLayout>
              <c:xMode val="edge"/>
              <c:yMode val="edge"/>
              <c:x val="0.15322148561217541"/>
              <c:y val="0.80134849037911282"/>
            </c:manualLayout>
          </c:layout>
          <c:overlay val="0"/>
          <c:spPr>
            <a:noFill/>
            <a:ln w="25400">
              <a:noFill/>
            </a:ln>
          </c:spPr>
        </c:title>
        <c:numFmt formatCode="General" sourceLinked="1"/>
        <c:majorTickMark val="out"/>
        <c:minorTickMark val="none"/>
        <c:tickLblPos val="nextTo"/>
        <c:spPr>
          <a:ln w="31750">
            <a:solidFill>
              <a:srgbClr val="000000"/>
            </a:solidFill>
            <a:prstDash val="solid"/>
          </a:ln>
        </c:spPr>
        <c:txPr>
          <a:bodyPr rot="0" vert="horz"/>
          <a:lstStyle/>
          <a:p>
            <a:pPr>
              <a:defRPr sz="1400" b="0" i="0" u="none" strike="noStrike" baseline="0">
                <a:solidFill>
                  <a:srgbClr val="000000"/>
                </a:solidFill>
                <a:latin typeface="Calibri"/>
                <a:ea typeface="Calibri"/>
                <a:cs typeface="Calibri"/>
              </a:defRPr>
            </a:pPr>
            <a:endParaRPr lang="en-US"/>
          </a:p>
        </c:txPr>
        <c:crossAx val="118473088"/>
        <c:crosses val="autoZero"/>
        <c:auto val="1"/>
        <c:lblAlgn val="ctr"/>
        <c:lblOffset val="100"/>
        <c:noMultiLvlLbl val="0"/>
      </c:catAx>
      <c:valAx>
        <c:axId val="118473088"/>
        <c:scaling>
          <c:orientation val="minMax"/>
          <c:max val="3"/>
          <c:min val="0"/>
        </c:scaling>
        <c:delete val="0"/>
        <c:axPos val="l"/>
        <c:title>
          <c:tx>
            <c:rich>
              <a:bodyPr/>
              <a:lstStyle/>
              <a:p>
                <a:pPr>
                  <a:defRPr sz="1100" b="0" i="0" u="none" strike="noStrike" baseline="0">
                    <a:solidFill>
                      <a:srgbClr val="000000"/>
                    </a:solidFill>
                    <a:latin typeface="Calibri"/>
                    <a:ea typeface="Calibri"/>
                    <a:cs typeface="Calibri"/>
                  </a:defRPr>
                </a:pPr>
                <a:r>
                  <a:rPr lang="en-US" sz="1800" b="1" i="0" u="none" strike="noStrike" baseline="0">
                    <a:solidFill>
                      <a:srgbClr val="000000"/>
                    </a:solidFill>
                    <a:latin typeface="Calibri"/>
                  </a:rPr>
                  <a:t>2</a:t>
                </a:r>
                <a:r>
                  <a:rPr lang="en-US" sz="1600" b="1" i="0" u="none" strike="noStrike" baseline="0">
                    <a:solidFill>
                      <a:srgbClr val="000000"/>
                    </a:solidFill>
                    <a:latin typeface="Calibri"/>
                  </a:rPr>
                  <a:t> </a:t>
                </a:r>
                <a:r>
                  <a:rPr lang="en-US" sz="2400" b="1" i="0" u="none" strike="noStrike" baseline="30000">
                    <a:solidFill>
                      <a:srgbClr val="000000"/>
                    </a:solidFill>
                    <a:latin typeface="Calibri"/>
                  </a:rPr>
                  <a:t>-∆∆Ct</a:t>
                </a:r>
              </a:p>
            </c:rich>
          </c:tx>
          <c:layout>
            <c:manualLayout>
              <c:xMode val="edge"/>
              <c:yMode val="edge"/>
              <c:x val="7.1261836951233308E-3"/>
              <c:y val="0.23581894978359494"/>
            </c:manualLayout>
          </c:layout>
          <c:overlay val="0"/>
          <c:spPr>
            <a:noFill/>
            <a:ln w="25400">
              <a:noFill/>
            </a:ln>
          </c:spPr>
        </c:title>
        <c:numFmt formatCode="General" sourceLinked="0"/>
        <c:majorTickMark val="out"/>
        <c:minorTickMark val="none"/>
        <c:tickLblPos val="nextTo"/>
        <c:spPr>
          <a:ln w="31750">
            <a:solidFill>
              <a:srgbClr val="000000"/>
            </a:solidFill>
            <a:prstDash val="solid"/>
          </a:ln>
        </c:spPr>
        <c:txPr>
          <a:bodyPr rot="0" vert="horz"/>
          <a:lstStyle/>
          <a:p>
            <a:pPr>
              <a:defRPr sz="1400" b="0" i="0" u="none" strike="noStrike" baseline="0">
                <a:solidFill>
                  <a:srgbClr val="000000"/>
                </a:solidFill>
                <a:latin typeface="Calibri"/>
                <a:ea typeface="Calibri"/>
                <a:cs typeface="Calibri"/>
              </a:defRPr>
            </a:pPr>
            <a:endParaRPr lang="en-US"/>
          </a:p>
        </c:txPr>
        <c:crossAx val="118462720"/>
        <c:crosses val="autoZero"/>
        <c:crossBetween val="between"/>
        <c:majorUnit val="1"/>
      </c:valAx>
    </c:plotArea>
    <c:legend>
      <c:legendPos val="r"/>
      <c:layout>
        <c:manualLayout>
          <c:xMode val="edge"/>
          <c:yMode val="edge"/>
          <c:x val="0.61539796887091236"/>
          <c:y val="3.4131164068067692E-3"/>
          <c:w val="0.38262132127101667"/>
          <c:h val="0.12951139385723079"/>
        </c:manualLayout>
      </c:layout>
      <c:overlay val="0"/>
      <c:txPr>
        <a:bodyPr/>
        <a:lstStyle/>
        <a:p>
          <a:pPr>
            <a:defRPr sz="110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12700">
      <a:noFill/>
      <a:prstDash val="solid"/>
    </a:ln>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791486170611662"/>
          <c:y val="4.5501448241299876E-2"/>
          <c:w val="0.87483003260958048"/>
          <c:h val="0.61583771812159538"/>
        </c:manualLayout>
      </c:layout>
      <c:barChart>
        <c:barDir val="col"/>
        <c:grouping val="clustered"/>
        <c:varyColors val="0"/>
        <c:ser>
          <c:idx val="3"/>
          <c:order val="0"/>
          <c:tx>
            <c:v>Wt HepG2 SLC40A1 mRNA</c:v>
          </c:tx>
          <c:spPr>
            <a:noFill/>
            <a:ln w="31750">
              <a:solidFill>
                <a:schemeClr val="tx1"/>
              </a:solidFill>
            </a:ln>
          </c:spPr>
          <c:invertIfNegative val="0"/>
          <c:errBars>
            <c:errBarType val="plus"/>
            <c:errValType val="cust"/>
            <c:noEndCap val="0"/>
            <c:plus>
              <c:numRef>
                <c:f>'WthepG2 RTPCR'!$H$255:$H$264</c:f>
                <c:numCache>
                  <c:formatCode>General</c:formatCode>
                  <c:ptCount val="10"/>
                  <c:pt idx="1">
                    <c:v>5.9713403336373927E-2</c:v>
                  </c:pt>
                  <c:pt idx="3">
                    <c:v>4.2757572751586113E-2</c:v>
                  </c:pt>
                  <c:pt idx="5">
                    <c:v>0.31797642837030216</c:v>
                  </c:pt>
                  <c:pt idx="7">
                    <c:v>0.48000000000000032</c:v>
                  </c:pt>
                  <c:pt idx="9">
                    <c:v>0.46650000000000008</c:v>
                  </c:pt>
                </c:numCache>
              </c:numRef>
            </c:plus>
            <c:spPr>
              <a:noFill/>
              <a:ln w="1270">
                <a:solidFill>
                  <a:schemeClr val="tx1"/>
                </a:solidFill>
              </a:ln>
            </c:spPr>
          </c:errBars>
          <c:cat>
            <c:strRef>
              <c:f>'WthepG2 RTPCR'!$A$255:$A$264</c:f>
              <c:strCache>
                <c:ptCount val="10"/>
                <c:pt idx="0">
                  <c:v>0 g/L </c:v>
                </c:pt>
                <c:pt idx="1">
                  <c:v>5 g/L</c:v>
                </c:pt>
                <c:pt idx="2">
                  <c:v>0 g/L </c:v>
                </c:pt>
                <c:pt idx="3">
                  <c:v>5 g/L</c:v>
                </c:pt>
                <c:pt idx="4">
                  <c:v>0 g/L </c:v>
                </c:pt>
                <c:pt idx="5">
                  <c:v>5 g/L</c:v>
                </c:pt>
                <c:pt idx="6">
                  <c:v>0 g/L </c:v>
                </c:pt>
                <c:pt idx="7">
                  <c:v>5 g/L</c:v>
                </c:pt>
                <c:pt idx="8">
                  <c:v>0 g/L </c:v>
                </c:pt>
                <c:pt idx="9">
                  <c:v>5 g/L</c:v>
                </c:pt>
              </c:strCache>
            </c:strRef>
          </c:cat>
          <c:val>
            <c:numRef>
              <c:f>'WthepG2 RTPCR'!$E$255:$E$264</c:f>
              <c:numCache>
                <c:formatCode>0.00</c:formatCode>
                <c:ptCount val="10"/>
                <c:pt idx="0">
                  <c:v>1</c:v>
                </c:pt>
                <c:pt idx="1">
                  <c:v>0.5949366471314862</c:v>
                </c:pt>
                <c:pt idx="2">
                  <c:v>1</c:v>
                </c:pt>
                <c:pt idx="3">
                  <c:v>0.82499755657978524</c:v>
                </c:pt>
                <c:pt idx="4">
                  <c:v>1</c:v>
                </c:pt>
                <c:pt idx="5">
                  <c:v>0.78735437983346357</c:v>
                </c:pt>
                <c:pt idx="6">
                  <c:v>1</c:v>
                </c:pt>
                <c:pt idx="7">
                  <c:v>1.2</c:v>
                </c:pt>
                <c:pt idx="8">
                  <c:v>1</c:v>
                </c:pt>
                <c:pt idx="9">
                  <c:v>0.9</c:v>
                </c:pt>
              </c:numCache>
            </c:numRef>
          </c:val>
          <c:extLst>
            <c:ext xmlns:c16="http://schemas.microsoft.com/office/drawing/2014/chart" uri="{C3380CC4-5D6E-409C-BE32-E72D297353CC}">
              <c16:uniqueId val="{00000000-C0B1-4EE7-A2A2-A0D95AB04B43}"/>
            </c:ext>
          </c:extLst>
        </c:ser>
        <c:ser>
          <c:idx val="0"/>
          <c:order val="1"/>
          <c:tx>
            <c:v>Rec-TfR1 HepG2 SLC40A mRNA</c:v>
          </c:tx>
          <c:spPr>
            <a:pattFill prst="lgCheck">
              <a:fgClr>
                <a:srgbClr val="000000"/>
              </a:fgClr>
              <a:bgClr>
                <a:schemeClr val="bg1"/>
              </a:bgClr>
            </a:pattFill>
            <a:ln w="25400">
              <a:solidFill>
                <a:sysClr val="windowText" lastClr="000000"/>
              </a:solidFill>
            </a:ln>
          </c:spPr>
          <c:invertIfNegative val="0"/>
          <c:errBars>
            <c:errBarType val="plus"/>
            <c:errValType val="cust"/>
            <c:noEndCap val="0"/>
            <c:plus>
              <c:numRef>
                <c:f>RecHepG2RTPCR!$H$233:$H$242</c:f>
                <c:numCache>
                  <c:formatCode>General</c:formatCode>
                  <c:ptCount val="10"/>
                  <c:pt idx="1">
                    <c:v>5.9713403336373927E-2</c:v>
                  </c:pt>
                  <c:pt idx="3">
                    <c:v>4.2757572751586113E-2</c:v>
                  </c:pt>
                  <c:pt idx="5">
                    <c:v>0.31797642837030216</c:v>
                  </c:pt>
                  <c:pt idx="7">
                    <c:v>0.2</c:v>
                  </c:pt>
                  <c:pt idx="9">
                    <c:v>0.46</c:v>
                  </c:pt>
                </c:numCache>
              </c:numRef>
            </c:plus>
            <c:spPr>
              <a:gradFill flip="none" rotWithShape="1">
                <a:gsLst>
                  <a:gs pos="0">
                    <a:srgbClr val="FFFFFF"/>
                  </a:gs>
                  <a:gs pos="16000">
                    <a:srgbClr val="1F1F1F"/>
                  </a:gs>
                  <a:gs pos="17999">
                    <a:srgbClr val="FFFFFF"/>
                  </a:gs>
                  <a:gs pos="42000">
                    <a:srgbClr val="636363"/>
                  </a:gs>
                  <a:gs pos="53000">
                    <a:srgbClr val="CFCFCF"/>
                  </a:gs>
                  <a:gs pos="66000">
                    <a:srgbClr val="CFCFCF"/>
                  </a:gs>
                  <a:gs pos="75999">
                    <a:srgbClr val="1F1F1F"/>
                  </a:gs>
                  <a:gs pos="78999">
                    <a:srgbClr val="FFFFFF"/>
                  </a:gs>
                  <a:gs pos="100000">
                    <a:srgbClr val="7F7F7F"/>
                  </a:gs>
                </a:gsLst>
                <a:lin ang="5400000" scaled="0"/>
                <a:tileRect/>
              </a:gradFill>
              <a:ln w="1270">
                <a:solidFill>
                  <a:sysClr val="windowText" lastClr="000000"/>
                </a:solidFill>
              </a:ln>
            </c:spPr>
          </c:errBars>
          <c:val>
            <c:numRef>
              <c:f>RecHepG2RTPCR!$E$233:$E$242</c:f>
              <c:numCache>
                <c:formatCode>0.00</c:formatCode>
                <c:ptCount val="10"/>
                <c:pt idx="0">
                  <c:v>1</c:v>
                </c:pt>
                <c:pt idx="1">
                  <c:v>0.75956399610720216</c:v>
                </c:pt>
                <c:pt idx="2">
                  <c:v>1</c:v>
                </c:pt>
                <c:pt idx="3">
                  <c:v>1.8136988651329558</c:v>
                </c:pt>
                <c:pt idx="4">
                  <c:v>1</c:v>
                </c:pt>
                <c:pt idx="5">
                  <c:v>2.9741456611449197</c:v>
                </c:pt>
                <c:pt idx="6">
                  <c:v>1</c:v>
                </c:pt>
                <c:pt idx="7">
                  <c:v>0.88</c:v>
                </c:pt>
                <c:pt idx="8">
                  <c:v>1</c:v>
                </c:pt>
                <c:pt idx="9">
                  <c:v>1.06</c:v>
                </c:pt>
              </c:numCache>
            </c:numRef>
          </c:val>
          <c:extLst>
            <c:ext xmlns:c16="http://schemas.microsoft.com/office/drawing/2014/chart" uri="{C3380CC4-5D6E-409C-BE32-E72D297353CC}">
              <c16:uniqueId val="{00000001-C0B1-4EE7-A2A2-A0D95AB04B43}"/>
            </c:ext>
          </c:extLst>
        </c:ser>
        <c:dLbls>
          <c:showLegendKey val="0"/>
          <c:showVal val="0"/>
          <c:showCatName val="0"/>
          <c:showSerName val="0"/>
          <c:showPercent val="0"/>
          <c:showBubbleSize val="0"/>
        </c:dLbls>
        <c:gapWidth val="150"/>
        <c:axId val="118580736"/>
        <c:axId val="118582656"/>
      </c:barChart>
      <c:catAx>
        <c:axId val="118580736"/>
        <c:scaling>
          <c:orientation val="minMax"/>
        </c:scaling>
        <c:delete val="0"/>
        <c:axPos val="b"/>
        <c:title>
          <c:tx>
            <c:rich>
              <a:bodyPr/>
              <a:lstStyle/>
              <a:p>
                <a:pPr algn="l">
                  <a:defRPr sz="1400" b="0" i="0" u="none" strike="noStrike" baseline="0">
                    <a:solidFill>
                      <a:srgbClr val="000000"/>
                    </a:solidFill>
                    <a:latin typeface="Calibri"/>
                    <a:ea typeface="Calibri"/>
                    <a:cs typeface="Calibri"/>
                  </a:defRPr>
                </a:pPr>
                <a:r>
                  <a:rPr lang="en-US" sz="1400" b="1" i="0" u="none" strike="noStrike" baseline="0">
                    <a:solidFill>
                      <a:srgbClr val="000000"/>
                    </a:solidFill>
                    <a:latin typeface="Calibri"/>
                  </a:rPr>
                  <a:t>30 min                    2 h                      4 h                    24 h                      48 h </a:t>
                </a:r>
              </a:p>
              <a:p>
                <a:pPr algn="l">
                  <a:defRPr sz="1400" b="0" i="0" u="none" strike="noStrike" baseline="0">
                    <a:solidFill>
                      <a:srgbClr val="000000"/>
                    </a:solidFill>
                    <a:latin typeface="Calibri"/>
                    <a:ea typeface="Calibri"/>
                    <a:cs typeface="Calibri"/>
                  </a:defRPr>
                </a:pPr>
                <a:r>
                  <a:rPr lang="en-US" sz="1400" b="1" i="0" u="none" strike="noStrike" baseline="0">
                    <a:solidFill>
                      <a:srgbClr val="000000"/>
                    </a:solidFill>
                    <a:latin typeface="Calibri"/>
                  </a:rPr>
                  <a:t>            		              Time</a:t>
                </a:r>
              </a:p>
            </c:rich>
          </c:tx>
          <c:layout>
            <c:manualLayout>
              <c:xMode val="edge"/>
              <c:yMode val="edge"/>
              <c:x val="0.15322148833960059"/>
              <c:y val="0.8013485207552935"/>
            </c:manualLayout>
          </c:layout>
          <c:overlay val="0"/>
          <c:spPr>
            <a:noFill/>
            <a:ln w="25400">
              <a:noFill/>
            </a:ln>
          </c:spPr>
        </c:title>
        <c:numFmt formatCode="General" sourceLinked="1"/>
        <c:majorTickMark val="out"/>
        <c:minorTickMark val="none"/>
        <c:tickLblPos val="nextTo"/>
        <c:spPr>
          <a:ln w="31750">
            <a:solidFill>
              <a:srgbClr val="000000"/>
            </a:solidFill>
            <a:prstDash val="solid"/>
          </a:ln>
        </c:spPr>
        <c:txPr>
          <a:bodyPr rot="0" vert="horz"/>
          <a:lstStyle/>
          <a:p>
            <a:pPr>
              <a:defRPr sz="1400" b="0" i="0" u="none" strike="noStrike" baseline="0">
                <a:solidFill>
                  <a:srgbClr val="000000"/>
                </a:solidFill>
                <a:latin typeface="Calibri"/>
                <a:ea typeface="Calibri"/>
                <a:cs typeface="Calibri"/>
              </a:defRPr>
            </a:pPr>
            <a:endParaRPr lang="en-US"/>
          </a:p>
        </c:txPr>
        <c:crossAx val="118582656"/>
        <c:crosses val="autoZero"/>
        <c:auto val="1"/>
        <c:lblAlgn val="ctr"/>
        <c:lblOffset val="100"/>
        <c:noMultiLvlLbl val="0"/>
      </c:catAx>
      <c:valAx>
        <c:axId val="118582656"/>
        <c:scaling>
          <c:orientation val="minMax"/>
          <c:max val="4"/>
          <c:min val="0"/>
        </c:scaling>
        <c:delete val="0"/>
        <c:axPos val="l"/>
        <c:title>
          <c:tx>
            <c:rich>
              <a:bodyPr/>
              <a:lstStyle/>
              <a:p>
                <a:pPr>
                  <a:defRPr sz="1100" b="0" i="0" u="none" strike="noStrike" baseline="0">
                    <a:solidFill>
                      <a:srgbClr val="000000"/>
                    </a:solidFill>
                    <a:latin typeface="Calibri"/>
                    <a:ea typeface="Calibri"/>
                    <a:cs typeface="Calibri"/>
                  </a:defRPr>
                </a:pPr>
                <a:r>
                  <a:rPr lang="en-US" sz="1800" b="1" i="0" u="none" strike="noStrike" baseline="0">
                    <a:solidFill>
                      <a:srgbClr val="000000"/>
                    </a:solidFill>
                    <a:latin typeface="Calibri"/>
                  </a:rPr>
                  <a:t>2</a:t>
                </a:r>
                <a:r>
                  <a:rPr lang="en-US" sz="1600" b="1" i="0" u="none" strike="noStrike" baseline="0">
                    <a:solidFill>
                      <a:srgbClr val="000000"/>
                    </a:solidFill>
                    <a:latin typeface="Calibri"/>
                  </a:rPr>
                  <a:t> </a:t>
                </a:r>
                <a:r>
                  <a:rPr lang="en-US" sz="2400" b="1" i="0" u="none" strike="noStrike" baseline="30000">
                    <a:solidFill>
                      <a:srgbClr val="000000"/>
                    </a:solidFill>
                    <a:latin typeface="Calibri"/>
                  </a:rPr>
                  <a:t>-∆∆Ct</a:t>
                </a:r>
              </a:p>
            </c:rich>
          </c:tx>
          <c:layout>
            <c:manualLayout>
              <c:xMode val="edge"/>
              <c:yMode val="edge"/>
              <c:x val="7.1261605119872836E-3"/>
              <c:y val="0.2358188721555437"/>
            </c:manualLayout>
          </c:layout>
          <c:overlay val="0"/>
          <c:spPr>
            <a:noFill/>
            <a:ln w="25400">
              <a:noFill/>
            </a:ln>
          </c:spPr>
        </c:title>
        <c:numFmt formatCode="General" sourceLinked="0"/>
        <c:majorTickMark val="out"/>
        <c:minorTickMark val="none"/>
        <c:tickLblPos val="nextTo"/>
        <c:spPr>
          <a:ln w="31750">
            <a:solidFill>
              <a:srgbClr val="000000"/>
            </a:solidFill>
            <a:prstDash val="solid"/>
          </a:ln>
        </c:spPr>
        <c:txPr>
          <a:bodyPr rot="0" vert="horz"/>
          <a:lstStyle/>
          <a:p>
            <a:pPr>
              <a:defRPr sz="1400" b="0" i="0" u="none" strike="noStrike" baseline="0">
                <a:solidFill>
                  <a:srgbClr val="000000"/>
                </a:solidFill>
                <a:latin typeface="Calibri"/>
                <a:ea typeface="Calibri"/>
                <a:cs typeface="Calibri"/>
              </a:defRPr>
            </a:pPr>
            <a:endParaRPr lang="en-US"/>
          </a:p>
        </c:txPr>
        <c:crossAx val="118580736"/>
        <c:crosses val="autoZero"/>
        <c:crossBetween val="between"/>
        <c:majorUnit val="1"/>
      </c:valAx>
    </c:plotArea>
    <c:legend>
      <c:legendPos val="r"/>
      <c:legendEntry>
        <c:idx val="0"/>
        <c:txPr>
          <a:bodyPr/>
          <a:lstStyle/>
          <a:p>
            <a:pPr>
              <a:defRPr sz="1200" b="0" i="0" u="none" strike="noStrike" baseline="0">
                <a:solidFill>
                  <a:srgbClr val="000000"/>
                </a:solidFill>
                <a:latin typeface="Calibri"/>
                <a:ea typeface="Calibri"/>
                <a:cs typeface="Calibri"/>
              </a:defRPr>
            </a:pPr>
            <a:endParaRPr lang="en-US"/>
          </a:p>
        </c:txPr>
      </c:legendEntry>
      <c:legendEntry>
        <c:idx val="1"/>
        <c:txPr>
          <a:bodyPr/>
          <a:lstStyle/>
          <a:p>
            <a:pPr>
              <a:defRPr sz="1200" b="0" i="0" u="none" strike="noStrike" baseline="0">
                <a:solidFill>
                  <a:srgbClr val="000000"/>
                </a:solidFill>
                <a:latin typeface="Calibri"/>
                <a:ea typeface="Calibri"/>
                <a:cs typeface="Calibri"/>
              </a:defRPr>
            </a:pPr>
            <a:endParaRPr lang="en-US"/>
          </a:p>
        </c:txPr>
      </c:legendEntry>
      <c:layout>
        <c:manualLayout>
          <c:xMode val="edge"/>
          <c:yMode val="edge"/>
          <c:x val="0.67551959348104762"/>
          <c:y val="3.8131641311826689E-3"/>
          <c:w val="0.32301226881524059"/>
          <c:h val="0.1337914710485133"/>
        </c:manualLayout>
      </c:layout>
      <c:overlay val="0"/>
      <c:txPr>
        <a:bodyPr/>
        <a:lstStyle/>
        <a:p>
          <a:pPr>
            <a:defRPr sz="140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12700">
      <a:noFill/>
      <a:prstDash val="solid"/>
    </a:ln>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688140556369002"/>
          <c:y val="3.6585365853658611E-2"/>
          <c:w val="0.87408491947291367"/>
          <c:h val="0.6206706131392894"/>
        </c:manualLayout>
      </c:layout>
      <c:barChart>
        <c:barDir val="col"/>
        <c:grouping val="clustered"/>
        <c:varyColors val="0"/>
        <c:ser>
          <c:idx val="3"/>
          <c:order val="0"/>
          <c:tx>
            <c:v>Wt HepG2 HFE mRNA</c:v>
          </c:tx>
          <c:spPr>
            <a:noFill/>
            <a:ln w="31750">
              <a:solidFill>
                <a:schemeClr val="tx1"/>
              </a:solidFill>
            </a:ln>
          </c:spPr>
          <c:invertIfNegative val="0"/>
          <c:errBars>
            <c:errBarType val="plus"/>
            <c:errValType val="cust"/>
            <c:noEndCap val="0"/>
            <c:plus>
              <c:numRef>
                <c:f>'G:\A Ph.D 09052013\My publications 15052013\[4 h results except hepg2 P.xls]WthepG2 RTPCR'!$H$260:$H$269</c:f>
                <c:numCache>
                  <c:formatCode>General</c:formatCode>
                  <c:ptCount val="10"/>
                  <c:pt idx="1">
                    <c:v>8.1523955241580723E-2</c:v>
                  </c:pt>
                  <c:pt idx="3">
                    <c:v>0.14175144433880341</c:v>
                  </c:pt>
                  <c:pt idx="5">
                    <c:v>0.14321485989491844</c:v>
                  </c:pt>
                  <c:pt idx="7">
                    <c:v>0.29800000000000032</c:v>
                  </c:pt>
                  <c:pt idx="9">
                    <c:v>0.13700000000000001</c:v>
                  </c:pt>
                </c:numCache>
              </c:numRef>
            </c:plus>
            <c:spPr>
              <a:noFill/>
              <a:ln w="1270">
                <a:solidFill>
                  <a:schemeClr val="tx1"/>
                </a:solidFill>
              </a:ln>
            </c:spPr>
          </c:errBars>
          <c:cat>
            <c:strRef>
              <c:f>'G:\A Ph.D 09052013\My publications 15052013\[4 h results except hepg2 P.xls]WthepG2 RTPCR'!$A$245:$A$254</c:f>
              <c:strCache>
                <c:ptCount val="10"/>
                <c:pt idx="0">
                  <c:v>0 g/L </c:v>
                </c:pt>
                <c:pt idx="1">
                  <c:v>5 g/L</c:v>
                </c:pt>
                <c:pt idx="2">
                  <c:v>0 g/L </c:v>
                </c:pt>
                <c:pt idx="3">
                  <c:v>5 g/L</c:v>
                </c:pt>
                <c:pt idx="4">
                  <c:v>0 g/L </c:v>
                </c:pt>
                <c:pt idx="5">
                  <c:v>5 g/L</c:v>
                </c:pt>
                <c:pt idx="6">
                  <c:v>0 g/L </c:v>
                </c:pt>
                <c:pt idx="7">
                  <c:v>5 g/L</c:v>
                </c:pt>
                <c:pt idx="8">
                  <c:v>0 g/L </c:v>
                </c:pt>
                <c:pt idx="9">
                  <c:v>5 g/L</c:v>
                </c:pt>
              </c:strCache>
            </c:strRef>
          </c:cat>
          <c:val>
            <c:numRef>
              <c:f>'G:\A Ph.D 09052013\My publications 15052013\[4 h results except hepg2 P.xls]WthepG2 RTPCR'!$E$260:$E$269</c:f>
              <c:numCache>
                <c:formatCode>General</c:formatCode>
                <c:ptCount val="10"/>
                <c:pt idx="0">
                  <c:v>1</c:v>
                </c:pt>
                <c:pt idx="1">
                  <c:v>0.95852798644367165</c:v>
                </c:pt>
                <c:pt idx="2">
                  <c:v>1</c:v>
                </c:pt>
                <c:pt idx="3">
                  <c:v>0.87068573676535665</c:v>
                </c:pt>
                <c:pt idx="4">
                  <c:v>1</c:v>
                </c:pt>
                <c:pt idx="5">
                  <c:v>1.0122054631383941</c:v>
                </c:pt>
                <c:pt idx="6">
                  <c:v>1</c:v>
                </c:pt>
                <c:pt idx="7">
                  <c:v>0.99</c:v>
                </c:pt>
                <c:pt idx="8">
                  <c:v>1</c:v>
                </c:pt>
                <c:pt idx="9">
                  <c:v>0.38000000000000667</c:v>
                </c:pt>
              </c:numCache>
            </c:numRef>
          </c:val>
          <c:extLst>
            <c:ext xmlns:c16="http://schemas.microsoft.com/office/drawing/2014/chart" uri="{C3380CC4-5D6E-409C-BE32-E72D297353CC}">
              <c16:uniqueId val="{00000000-998B-4CB2-A912-BF9ADDD00E18}"/>
            </c:ext>
          </c:extLst>
        </c:ser>
        <c:ser>
          <c:idx val="0"/>
          <c:order val="1"/>
          <c:tx>
            <c:v>Rec-TfR1 HepG2 HFE mRNA</c:v>
          </c:tx>
          <c:spPr>
            <a:pattFill prst="narVert">
              <a:fgClr>
                <a:srgbClr val="000000"/>
              </a:fgClr>
              <a:bgClr>
                <a:srgbClr val="FFFFFF"/>
              </a:bgClr>
            </a:pattFill>
            <a:ln w="25400">
              <a:solidFill>
                <a:sysClr val="windowText" lastClr="000000"/>
              </a:solidFill>
            </a:ln>
          </c:spPr>
          <c:invertIfNegative val="0"/>
          <c:errBars>
            <c:errBarType val="plus"/>
            <c:errValType val="cust"/>
            <c:noEndCap val="0"/>
            <c:plus>
              <c:numRef>
                <c:f>'G:\A Ph.D 09052013\My publications 15052013\[4 h results except hepg2 P.xls]RecHepG2RTPCR'!$H$244:$H$253</c:f>
                <c:numCache>
                  <c:formatCode>General</c:formatCode>
                  <c:ptCount val="10"/>
                  <c:pt idx="1">
                    <c:v>0.11672809446444649</c:v>
                  </c:pt>
                  <c:pt idx="3">
                    <c:v>0.1303014857581542</c:v>
                  </c:pt>
                  <c:pt idx="5">
                    <c:v>0.16343282440166929</c:v>
                  </c:pt>
                  <c:pt idx="7">
                    <c:v>0.2</c:v>
                  </c:pt>
                  <c:pt idx="9">
                    <c:v>4.7000000000000014E-2</c:v>
                  </c:pt>
                </c:numCache>
              </c:numRef>
            </c:plus>
            <c:spPr>
              <a:pattFill prst="narVert">
                <a:fgClr>
                  <a:srgbClr val="000000"/>
                </a:fgClr>
                <a:bgClr>
                  <a:srgbClr val="FFFFFF"/>
                </a:bgClr>
              </a:pattFill>
              <a:ln w="1270">
                <a:solidFill>
                  <a:sysClr val="windowText" lastClr="000000"/>
                </a:solidFill>
              </a:ln>
            </c:spPr>
          </c:errBars>
          <c:val>
            <c:numRef>
              <c:f>'G:\A Ph.D 09052013\My publications 15052013\[4 h results except hepg2 P.xls]RecHepG2RTPCR'!$E$244:$E$253</c:f>
              <c:numCache>
                <c:formatCode>General</c:formatCode>
                <c:ptCount val="10"/>
                <c:pt idx="0">
                  <c:v>1</c:v>
                </c:pt>
                <c:pt idx="1">
                  <c:v>0.97156772397575042</c:v>
                </c:pt>
                <c:pt idx="2">
                  <c:v>1</c:v>
                </c:pt>
                <c:pt idx="3">
                  <c:v>0.955122560171908</c:v>
                </c:pt>
                <c:pt idx="4">
                  <c:v>1</c:v>
                </c:pt>
                <c:pt idx="5">
                  <c:v>0.90237154109285556</c:v>
                </c:pt>
                <c:pt idx="6">
                  <c:v>1</c:v>
                </c:pt>
                <c:pt idx="7">
                  <c:v>0.37000000000000038</c:v>
                </c:pt>
                <c:pt idx="8">
                  <c:v>1</c:v>
                </c:pt>
                <c:pt idx="9">
                  <c:v>1.37</c:v>
                </c:pt>
              </c:numCache>
            </c:numRef>
          </c:val>
          <c:extLst>
            <c:ext xmlns:c16="http://schemas.microsoft.com/office/drawing/2014/chart" uri="{C3380CC4-5D6E-409C-BE32-E72D297353CC}">
              <c16:uniqueId val="{00000001-998B-4CB2-A912-BF9ADDD00E18}"/>
            </c:ext>
          </c:extLst>
        </c:ser>
        <c:dLbls>
          <c:showLegendKey val="0"/>
          <c:showVal val="0"/>
          <c:showCatName val="0"/>
          <c:showSerName val="0"/>
          <c:showPercent val="0"/>
          <c:showBubbleSize val="0"/>
        </c:dLbls>
        <c:gapWidth val="150"/>
        <c:axId val="118637312"/>
        <c:axId val="118639232"/>
      </c:barChart>
      <c:catAx>
        <c:axId val="118637312"/>
        <c:scaling>
          <c:orientation val="minMax"/>
        </c:scaling>
        <c:delete val="0"/>
        <c:axPos val="b"/>
        <c:title>
          <c:tx>
            <c:rich>
              <a:bodyPr/>
              <a:lstStyle/>
              <a:p>
                <a:pPr algn="l">
                  <a:defRPr sz="1200" b="0" i="0" u="none" strike="noStrike" baseline="0">
                    <a:solidFill>
                      <a:srgbClr val="000000"/>
                    </a:solidFill>
                    <a:latin typeface="Calibri"/>
                    <a:ea typeface="Calibri"/>
                    <a:cs typeface="Calibri"/>
                  </a:defRPr>
                </a:pPr>
                <a:r>
                  <a:rPr lang="en-US" sz="1400" b="1" i="0" u="none" strike="noStrike" baseline="0">
                    <a:solidFill>
                      <a:srgbClr val="000000"/>
                    </a:solidFill>
                    <a:latin typeface="Calibri"/>
                  </a:rPr>
                  <a:t>30 min                  2 h                       4 h                      24 h                     48 h </a:t>
                </a:r>
              </a:p>
              <a:p>
                <a:pPr algn="l">
                  <a:defRPr sz="1200" b="0" i="0" u="none" strike="noStrike" baseline="0">
                    <a:solidFill>
                      <a:srgbClr val="000000"/>
                    </a:solidFill>
                    <a:latin typeface="Calibri"/>
                    <a:ea typeface="Calibri"/>
                    <a:cs typeface="Calibri"/>
                  </a:defRPr>
                </a:pPr>
                <a:r>
                  <a:rPr lang="en-US" sz="1400" b="1" i="0" u="none" strike="noStrike" baseline="0">
                    <a:solidFill>
                      <a:srgbClr val="000000"/>
                    </a:solidFill>
                    <a:latin typeface="Calibri"/>
                  </a:rPr>
                  <a:t>            		            Time   </a:t>
                </a:r>
              </a:p>
            </c:rich>
          </c:tx>
          <c:layout>
            <c:manualLayout>
              <c:xMode val="edge"/>
              <c:yMode val="edge"/>
              <c:x val="0.16291315628815628"/>
              <c:y val="0.81502487562190062"/>
            </c:manualLayout>
          </c:layout>
          <c:overlay val="0"/>
          <c:spPr>
            <a:noFill/>
            <a:ln w="25400">
              <a:noFill/>
            </a:ln>
          </c:spPr>
        </c:title>
        <c:numFmt formatCode="General" sourceLinked="1"/>
        <c:majorTickMark val="out"/>
        <c:minorTickMark val="none"/>
        <c:tickLblPos val="nextTo"/>
        <c:spPr>
          <a:ln w="31750">
            <a:solidFill>
              <a:srgbClr val="000000"/>
            </a:solidFill>
            <a:prstDash val="solid"/>
          </a:ln>
        </c:spPr>
        <c:txPr>
          <a:bodyPr rot="0" vert="horz"/>
          <a:lstStyle/>
          <a:p>
            <a:pPr>
              <a:defRPr sz="1400" b="0" i="0" u="none" strike="noStrike" baseline="0">
                <a:solidFill>
                  <a:srgbClr val="000000"/>
                </a:solidFill>
                <a:latin typeface="Calibri"/>
                <a:ea typeface="Calibri"/>
                <a:cs typeface="Calibri"/>
              </a:defRPr>
            </a:pPr>
            <a:endParaRPr lang="en-US"/>
          </a:p>
        </c:txPr>
        <c:crossAx val="118639232"/>
        <c:crosses val="autoZero"/>
        <c:auto val="1"/>
        <c:lblAlgn val="ctr"/>
        <c:lblOffset val="100"/>
        <c:noMultiLvlLbl val="0"/>
      </c:catAx>
      <c:valAx>
        <c:axId val="118639232"/>
        <c:scaling>
          <c:orientation val="minMax"/>
          <c:max val="2"/>
          <c:min val="0"/>
        </c:scaling>
        <c:delete val="0"/>
        <c:axPos val="l"/>
        <c:title>
          <c:tx>
            <c:rich>
              <a:bodyPr/>
              <a:lstStyle/>
              <a:p>
                <a:pPr>
                  <a:defRPr sz="1100" b="0" i="0" u="none" strike="noStrike" baseline="0">
                    <a:solidFill>
                      <a:srgbClr val="000000"/>
                    </a:solidFill>
                    <a:latin typeface="Calibri"/>
                    <a:ea typeface="Calibri"/>
                    <a:cs typeface="Calibri"/>
                  </a:defRPr>
                </a:pPr>
                <a:r>
                  <a:rPr lang="en-US" sz="1800" b="1" i="0" u="none" strike="noStrike" baseline="0">
                    <a:solidFill>
                      <a:srgbClr val="000000"/>
                    </a:solidFill>
                    <a:latin typeface="Calibri"/>
                  </a:rPr>
                  <a:t>2 </a:t>
                </a:r>
                <a:r>
                  <a:rPr lang="en-US" sz="2200" b="1" i="0" u="none" strike="noStrike" baseline="30000">
                    <a:solidFill>
                      <a:srgbClr val="000000"/>
                    </a:solidFill>
                    <a:latin typeface="Calibri"/>
                  </a:rPr>
                  <a:t>-∆∆Ct</a:t>
                </a:r>
              </a:p>
            </c:rich>
          </c:tx>
          <c:layout>
            <c:manualLayout>
              <c:xMode val="edge"/>
              <c:yMode val="edge"/>
              <c:x val="7.1262520756334114E-3"/>
              <c:y val="0.23581876960501888"/>
            </c:manualLayout>
          </c:layout>
          <c:overlay val="0"/>
          <c:spPr>
            <a:noFill/>
            <a:ln w="25400">
              <a:noFill/>
            </a:ln>
          </c:spPr>
        </c:title>
        <c:numFmt formatCode="General" sourceLinked="0"/>
        <c:majorTickMark val="out"/>
        <c:minorTickMark val="none"/>
        <c:tickLblPos val="nextTo"/>
        <c:spPr>
          <a:ln w="31750">
            <a:solidFill>
              <a:srgbClr val="000000"/>
            </a:solidFill>
            <a:prstDash val="solid"/>
          </a:ln>
        </c:spPr>
        <c:txPr>
          <a:bodyPr rot="0" vert="horz"/>
          <a:lstStyle/>
          <a:p>
            <a:pPr>
              <a:defRPr sz="1400" b="0" i="0" u="none" strike="noStrike" baseline="0">
                <a:solidFill>
                  <a:srgbClr val="000000"/>
                </a:solidFill>
                <a:latin typeface="Calibri"/>
                <a:ea typeface="Calibri"/>
                <a:cs typeface="Calibri"/>
              </a:defRPr>
            </a:pPr>
            <a:endParaRPr lang="en-US"/>
          </a:p>
        </c:txPr>
        <c:crossAx val="118637312"/>
        <c:crosses val="autoZero"/>
        <c:crossBetween val="between"/>
        <c:majorUnit val="1"/>
      </c:valAx>
    </c:plotArea>
    <c:legend>
      <c:legendPos val="r"/>
      <c:layout>
        <c:manualLayout>
          <c:xMode val="edge"/>
          <c:yMode val="edge"/>
          <c:x val="0.67044907407409937"/>
          <c:y val="1.4941509794719906E-3"/>
          <c:w val="0.32853144955300134"/>
          <c:h val="0.13382628495941321"/>
        </c:manualLayout>
      </c:layout>
      <c:overlay val="0"/>
      <c:txPr>
        <a:bodyPr/>
        <a:lstStyle/>
        <a:p>
          <a:pPr>
            <a:defRPr sz="120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31750">
      <a:noFill/>
      <a:prstDash val="solid"/>
    </a:ln>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35233077905493"/>
          <c:y val="3.7726095496341101E-2"/>
          <c:w val="0.85217391304350465"/>
          <c:h val="0.63337830719431665"/>
        </c:manualLayout>
      </c:layout>
      <c:barChart>
        <c:barDir val="col"/>
        <c:grouping val="clustered"/>
        <c:varyColors val="0"/>
        <c:ser>
          <c:idx val="0"/>
          <c:order val="0"/>
          <c:tx>
            <c:v>Wt HepG2 TFR2 mRNA</c:v>
          </c:tx>
          <c:spPr>
            <a:noFill/>
            <a:ln w="31750">
              <a:solidFill>
                <a:schemeClr val="tx1"/>
              </a:solidFill>
            </a:ln>
          </c:spPr>
          <c:invertIfNegative val="0"/>
          <c:errBars>
            <c:errBarType val="plus"/>
            <c:errValType val="cust"/>
            <c:noEndCap val="0"/>
            <c:plus>
              <c:numRef>
                <c:f>'Sheet1 (2)'!$H$375:$H$385</c:f>
                <c:numCache>
                  <c:formatCode>General</c:formatCode>
                  <c:ptCount val="11"/>
                  <c:pt idx="1">
                    <c:v>0.2521283319402699</c:v>
                  </c:pt>
                  <c:pt idx="3">
                    <c:v>0.12292628844677521</c:v>
                  </c:pt>
                  <c:pt idx="5">
                    <c:v>0.29326198237998036</c:v>
                  </c:pt>
                  <c:pt idx="7">
                    <c:v>0.21017846434429391</c:v>
                  </c:pt>
                  <c:pt idx="9">
                    <c:v>0.27100000000000002</c:v>
                  </c:pt>
                </c:numCache>
              </c:numRef>
            </c:plus>
            <c:spPr>
              <a:noFill/>
              <a:ln w="1270">
                <a:solidFill>
                  <a:schemeClr val="tx1"/>
                </a:solidFill>
              </a:ln>
            </c:spPr>
          </c:errBars>
          <c:cat>
            <c:strRef>
              <c:f>'Sheet1 (2)'!$A$375:$A$384</c:f>
              <c:strCache>
                <c:ptCount val="10"/>
                <c:pt idx="0">
                  <c:v>0 g/L</c:v>
                </c:pt>
                <c:pt idx="1">
                  <c:v>5 g/L </c:v>
                </c:pt>
                <c:pt idx="2">
                  <c:v>0g/L </c:v>
                </c:pt>
                <c:pt idx="3">
                  <c:v>5 g/L </c:v>
                </c:pt>
                <c:pt idx="4">
                  <c:v>0g/L </c:v>
                </c:pt>
                <c:pt idx="5">
                  <c:v>5 g/L </c:v>
                </c:pt>
                <c:pt idx="6">
                  <c:v>0g/L </c:v>
                </c:pt>
                <c:pt idx="7">
                  <c:v>5 g/L </c:v>
                </c:pt>
                <c:pt idx="8">
                  <c:v>0g/L </c:v>
                </c:pt>
                <c:pt idx="9">
                  <c:v>5 g/L </c:v>
                </c:pt>
              </c:strCache>
            </c:strRef>
          </c:cat>
          <c:val>
            <c:numRef>
              <c:f>'Sheet1 (2)'!$E$375:$E$384</c:f>
              <c:numCache>
                <c:formatCode>0.0</c:formatCode>
                <c:ptCount val="10"/>
                <c:pt idx="0">
                  <c:v>1</c:v>
                </c:pt>
                <c:pt idx="1">
                  <c:v>2.3180562302804577</c:v>
                </c:pt>
                <c:pt idx="2">
                  <c:v>1</c:v>
                </c:pt>
                <c:pt idx="3">
                  <c:v>1.0326373735390939</c:v>
                </c:pt>
                <c:pt idx="4">
                  <c:v>1</c:v>
                </c:pt>
                <c:pt idx="5">
                  <c:v>2.8673959279945156</c:v>
                </c:pt>
                <c:pt idx="6">
                  <c:v>1</c:v>
                </c:pt>
                <c:pt idx="7">
                  <c:v>0.8330927363826226</c:v>
                </c:pt>
                <c:pt idx="8">
                  <c:v>1</c:v>
                </c:pt>
                <c:pt idx="9">
                  <c:v>1</c:v>
                </c:pt>
              </c:numCache>
            </c:numRef>
          </c:val>
          <c:extLst>
            <c:ext xmlns:c16="http://schemas.microsoft.com/office/drawing/2014/chart" uri="{C3380CC4-5D6E-409C-BE32-E72D297353CC}">
              <c16:uniqueId val="{00000000-864E-417A-8808-B214D2D94605}"/>
            </c:ext>
          </c:extLst>
        </c:ser>
        <c:ser>
          <c:idx val="1"/>
          <c:order val="1"/>
          <c:tx>
            <c:v>Rec-TfR1 HepG2 TFR2 mRNA</c:v>
          </c:tx>
          <c:spPr>
            <a:pattFill prst="pct40">
              <a:fgClr>
                <a:srgbClr val="000000"/>
              </a:fgClr>
              <a:bgClr>
                <a:srgbClr val="FFFFFF"/>
              </a:bgClr>
            </a:pattFill>
            <a:ln w="31750">
              <a:solidFill>
                <a:prstClr val="black"/>
              </a:solidFill>
            </a:ln>
          </c:spPr>
          <c:invertIfNegative val="0"/>
          <c:errBars>
            <c:errBarType val="plus"/>
            <c:errValType val="cust"/>
            <c:noEndCap val="0"/>
            <c:plus>
              <c:numRef>
                <c:f>'Sheet1 (2)'!$H$392:$H$403</c:f>
                <c:numCache>
                  <c:formatCode>General</c:formatCode>
                  <c:ptCount val="12"/>
                  <c:pt idx="1">
                    <c:v>0.42656650056675782</c:v>
                  </c:pt>
                  <c:pt idx="3">
                    <c:v>0.11120622237582869</c:v>
                  </c:pt>
                  <c:pt idx="5">
                    <c:v>2.9625033729661812E-2</c:v>
                  </c:pt>
                  <c:pt idx="7">
                    <c:v>0.50198373436801569</c:v>
                  </c:pt>
                  <c:pt idx="8">
                    <c:v>0</c:v>
                  </c:pt>
                  <c:pt idx="9">
                    <c:v>0.27895767556405626</c:v>
                  </c:pt>
                </c:numCache>
              </c:numRef>
            </c:plus>
            <c:spPr>
              <a:pattFill prst="pct40">
                <a:fgClr>
                  <a:srgbClr val="000000"/>
                </a:fgClr>
                <a:bgClr>
                  <a:srgbClr val="FFFFFF"/>
                </a:bgClr>
              </a:pattFill>
              <a:ln w="1270">
                <a:solidFill>
                  <a:prstClr val="black"/>
                </a:solidFill>
              </a:ln>
            </c:spPr>
          </c:errBars>
          <c:cat>
            <c:strRef>
              <c:f>'Sheet1 (2)'!$A$375:$A$384</c:f>
              <c:strCache>
                <c:ptCount val="10"/>
                <c:pt idx="0">
                  <c:v>0 g/L</c:v>
                </c:pt>
                <c:pt idx="1">
                  <c:v>5 g/L </c:v>
                </c:pt>
                <c:pt idx="2">
                  <c:v>0g/L </c:v>
                </c:pt>
                <c:pt idx="3">
                  <c:v>5 g/L </c:v>
                </c:pt>
                <c:pt idx="4">
                  <c:v>0g/L </c:v>
                </c:pt>
                <c:pt idx="5">
                  <c:v>5 g/L </c:v>
                </c:pt>
                <c:pt idx="6">
                  <c:v>0g/L </c:v>
                </c:pt>
                <c:pt idx="7">
                  <c:v>5 g/L </c:v>
                </c:pt>
                <c:pt idx="8">
                  <c:v>0g/L </c:v>
                </c:pt>
                <c:pt idx="9">
                  <c:v>5 g/L </c:v>
                </c:pt>
              </c:strCache>
            </c:strRef>
          </c:cat>
          <c:val>
            <c:numRef>
              <c:f>'Sheet1 (2)'!$E$392:$E$401</c:f>
              <c:numCache>
                <c:formatCode>0.00</c:formatCode>
                <c:ptCount val="10"/>
                <c:pt idx="0" formatCode="0.0">
                  <c:v>1</c:v>
                </c:pt>
                <c:pt idx="1">
                  <c:v>1.6018899471214338</c:v>
                </c:pt>
                <c:pt idx="2">
                  <c:v>1</c:v>
                </c:pt>
                <c:pt idx="3">
                  <c:v>0.70765264979675058</c:v>
                </c:pt>
                <c:pt idx="4">
                  <c:v>1</c:v>
                </c:pt>
                <c:pt idx="5">
                  <c:v>0.28659908216900781</c:v>
                </c:pt>
                <c:pt idx="6">
                  <c:v>1</c:v>
                </c:pt>
                <c:pt idx="7">
                  <c:v>0.92835868686597145</c:v>
                </c:pt>
                <c:pt idx="8">
                  <c:v>1</c:v>
                </c:pt>
                <c:pt idx="9">
                  <c:v>0.53159396030988104</c:v>
                </c:pt>
              </c:numCache>
            </c:numRef>
          </c:val>
          <c:extLst>
            <c:ext xmlns:c16="http://schemas.microsoft.com/office/drawing/2014/chart" uri="{C3380CC4-5D6E-409C-BE32-E72D297353CC}">
              <c16:uniqueId val="{00000001-864E-417A-8808-B214D2D94605}"/>
            </c:ext>
          </c:extLst>
        </c:ser>
        <c:dLbls>
          <c:showLegendKey val="0"/>
          <c:showVal val="0"/>
          <c:showCatName val="0"/>
          <c:showSerName val="0"/>
          <c:showPercent val="0"/>
          <c:showBubbleSize val="0"/>
        </c:dLbls>
        <c:gapWidth val="150"/>
        <c:axId val="118673408"/>
        <c:axId val="118675328"/>
      </c:barChart>
      <c:catAx>
        <c:axId val="118673408"/>
        <c:scaling>
          <c:orientation val="minMax"/>
        </c:scaling>
        <c:delete val="0"/>
        <c:axPos val="b"/>
        <c:title>
          <c:tx>
            <c:rich>
              <a:bodyPr/>
              <a:lstStyle/>
              <a:p>
                <a:pPr>
                  <a:defRPr sz="1400" b="1" i="0" u="none" strike="noStrike" baseline="0">
                    <a:solidFill>
                      <a:srgbClr val="000000"/>
                    </a:solidFill>
                    <a:latin typeface="Calibri"/>
                    <a:ea typeface="Calibri"/>
                    <a:cs typeface="Calibri"/>
                  </a:defRPr>
                </a:pPr>
                <a:r>
                  <a:rPr lang="en-US" sz="1400"/>
                  <a:t>30 min                  2 h                      4 h                       24 h                   48 h</a:t>
                </a:r>
                <a:r>
                  <a:rPr lang="en-US" sz="1400" baseline="0"/>
                  <a:t>         </a:t>
                </a:r>
              </a:p>
              <a:p>
                <a:pPr>
                  <a:defRPr sz="1400" b="1" i="0" u="none" strike="noStrike" baseline="0">
                    <a:solidFill>
                      <a:srgbClr val="000000"/>
                    </a:solidFill>
                    <a:latin typeface="Calibri"/>
                    <a:ea typeface="Calibri"/>
                    <a:cs typeface="Calibri"/>
                  </a:defRPr>
                </a:pPr>
                <a:r>
                  <a:rPr lang="en-US" sz="1400"/>
                  <a:t> Time   </a:t>
                </a:r>
              </a:p>
            </c:rich>
          </c:tx>
          <c:layout>
            <c:manualLayout>
              <c:xMode val="edge"/>
              <c:yMode val="edge"/>
              <c:x val="0.16523962148962149"/>
              <c:y val="0.83343675324166056"/>
            </c:manualLayout>
          </c:layout>
          <c:overlay val="0"/>
        </c:title>
        <c:numFmt formatCode="General" sourceLinked="1"/>
        <c:majorTickMark val="out"/>
        <c:minorTickMark val="none"/>
        <c:tickLblPos val="nextTo"/>
        <c:spPr>
          <a:ln w="31750">
            <a:solidFill>
              <a:prstClr val="black"/>
            </a:solidFill>
          </a:ln>
        </c:spPr>
        <c:txPr>
          <a:bodyPr rot="0" vert="horz"/>
          <a:lstStyle/>
          <a:p>
            <a:pPr>
              <a:defRPr sz="1400" b="0" i="0" u="none" strike="noStrike" baseline="0">
                <a:solidFill>
                  <a:srgbClr val="000000"/>
                </a:solidFill>
                <a:latin typeface="Calibri"/>
                <a:ea typeface="Calibri"/>
                <a:cs typeface="Calibri"/>
              </a:defRPr>
            </a:pPr>
            <a:endParaRPr lang="en-US"/>
          </a:p>
        </c:txPr>
        <c:crossAx val="118675328"/>
        <c:crosses val="autoZero"/>
        <c:auto val="1"/>
        <c:lblAlgn val="ctr"/>
        <c:lblOffset val="100"/>
        <c:noMultiLvlLbl val="0"/>
      </c:catAx>
      <c:valAx>
        <c:axId val="118675328"/>
        <c:scaling>
          <c:orientation val="minMax"/>
          <c:max val="4"/>
        </c:scaling>
        <c:delete val="0"/>
        <c:axPos val="l"/>
        <c:title>
          <c:tx>
            <c:rich>
              <a:bodyPr rot="-5400000" vert="horz"/>
              <a:lstStyle/>
              <a:p>
                <a:pPr>
                  <a:defRPr sz="1600" b="1"/>
                </a:pPr>
                <a:r>
                  <a:rPr lang="en-US" sz="1600" b="1"/>
                  <a:t>2</a:t>
                </a:r>
                <a:r>
                  <a:rPr lang="en-US" sz="2400" b="1" baseline="50000"/>
                  <a:t>-∆∆Ct</a:t>
                </a:r>
              </a:p>
            </c:rich>
          </c:tx>
          <c:overlay val="0"/>
        </c:title>
        <c:numFmt formatCode="General" sourceLinked="0"/>
        <c:majorTickMark val="out"/>
        <c:minorTickMark val="none"/>
        <c:tickLblPos val="nextTo"/>
        <c:spPr>
          <a:ln w="31750">
            <a:solidFill>
              <a:prstClr val="black"/>
            </a:solidFill>
          </a:ln>
        </c:spPr>
        <c:txPr>
          <a:bodyPr rot="0" vert="horz"/>
          <a:lstStyle/>
          <a:p>
            <a:pPr>
              <a:defRPr sz="1400" b="0" i="0" u="none" strike="noStrike" baseline="0">
                <a:solidFill>
                  <a:srgbClr val="000000"/>
                </a:solidFill>
                <a:latin typeface="Calibri"/>
                <a:ea typeface="Calibri"/>
                <a:cs typeface="Calibri"/>
              </a:defRPr>
            </a:pPr>
            <a:endParaRPr lang="en-US"/>
          </a:p>
        </c:txPr>
        <c:crossAx val="118673408"/>
        <c:crosses val="autoZero"/>
        <c:crossBetween val="between"/>
        <c:majorUnit val="1"/>
      </c:valAx>
    </c:plotArea>
    <c:legend>
      <c:legendPos val="r"/>
      <c:layout>
        <c:manualLayout>
          <c:xMode val="edge"/>
          <c:yMode val="edge"/>
          <c:x val="0.67458556832694749"/>
          <c:y val="2.1345013992456292E-3"/>
          <c:w val="0.32322238186463847"/>
          <c:h val="0.13172133284664228"/>
        </c:manualLayout>
      </c:layout>
      <c:overlay val="0"/>
      <c:txPr>
        <a:bodyPr/>
        <a:lstStyle/>
        <a:p>
          <a:pPr>
            <a:defRPr sz="1200" b="0" i="0" u="none" strike="noStrike" baseline="0">
              <a:solidFill>
                <a:srgbClr val="000000"/>
              </a:solidFill>
              <a:latin typeface="Calibri"/>
              <a:ea typeface="Calibri"/>
              <a:cs typeface="Calibri"/>
            </a:defRPr>
          </a:pPr>
          <a:endParaRPr lang="en-US"/>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358878105353121"/>
          <c:y val="2.8252405949256338E-2"/>
          <c:w val="0.84205762070438872"/>
          <c:h val="0.61989828988362283"/>
        </c:manualLayout>
      </c:layout>
      <c:barChart>
        <c:barDir val="col"/>
        <c:grouping val="clustered"/>
        <c:varyColors val="0"/>
        <c:ser>
          <c:idx val="0"/>
          <c:order val="0"/>
          <c:tx>
            <c:v>Wt HepG2 cells </c:v>
          </c:tx>
          <c:spPr>
            <a:noFill/>
            <a:ln w="31750">
              <a:solidFill>
                <a:schemeClr val="tx1"/>
              </a:solidFill>
            </a:ln>
          </c:spPr>
          <c:invertIfNegative val="0"/>
          <c:errBars>
            <c:errBarType val="plus"/>
            <c:errValType val="cust"/>
            <c:noEndCap val="0"/>
            <c:plus>
              <c:numRef>
                <c:f>MTT!$E$12:$E$21</c:f>
                <c:numCache>
                  <c:formatCode>General</c:formatCode>
                  <c:ptCount val="10"/>
                  <c:pt idx="1">
                    <c:v>3.0000000000000002E-2</c:v>
                  </c:pt>
                  <c:pt idx="3">
                    <c:v>0.05</c:v>
                  </c:pt>
                  <c:pt idx="5">
                    <c:v>2.0000000000000011E-2</c:v>
                  </c:pt>
                  <c:pt idx="7">
                    <c:v>0.2</c:v>
                  </c:pt>
                  <c:pt idx="9">
                    <c:v>0.1</c:v>
                  </c:pt>
                </c:numCache>
              </c:numRef>
            </c:plus>
            <c:minus>
              <c:numLit>
                <c:formatCode>General</c:formatCode>
                <c:ptCount val="1"/>
                <c:pt idx="0">
                  <c:v>1</c:v>
                </c:pt>
              </c:numLit>
            </c:minus>
            <c:spPr>
              <a:ln w="1270">
                <a:solidFill>
                  <a:prstClr val="black"/>
                </a:solidFill>
              </a:ln>
            </c:spPr>
          </c:errBars>
          <c:cat>
            <c:strRef>
              <c:f>MTT!$B$12:$B$21</c:f>
              <c:strCache>
                <c:ptCount val="10"/>
                <c:pt idx="0">
                  <c:v>0 g/L </c:v>
                </c:pt>
                <c:pt idx="1">
                  <c:v>5 g/L </c:v>
                </c:pt>
                <c:pt idx="2">
                  <c:v>0 g/L </c:v>
                </c:pt>
                <c:pt idx="3">
                  <c:v>5 g/L </c:v>
                </c:pt>
                <c:pt idx="4">
                  <c:v>0 g/L </c:v>
                </c:pt>
                <c:pt idx="5">
                  <c:v>5 g/L </c:v>
                </c:pt>
                <c:pt idx="6">
                  <c:v>0 g/L </c:v>
                </c:pt>
                <c:pt idx="7">
                  <c:v>5 g/L </c:v>
                </c:pt>
                <c:pt idx="8">
                  <c:v>0 g/L </c:v>
                </c:pt>
                <c:pt idx="9">
                  <c:v>5 g/L </c:v>
                </c:pt>
              </c:strCache>
            </c:strRef>
          </c:cat>
          <c:val>
            <c:numRef>
              <c:f>MTT!$C$12:$C$21</c:f>
              <c:numCache>
                <c:formatCode>General</c:formatCode>
                <c:ptCount val="10"/>
                <c:pt idx="0">
                  <c:v>1</c:v>
                </c:pt>
                <c:pt idx="1">
                  <c:v>1.1000000000000001</c:v>
                </c:pt>
                <c:pt idx="2">
                  <c:v>1</c:v>
                </c:pt>
                <c:pt idx="3">
                  <c:v>1.2</c:v>
                </c:pt>
                <c:pt idx="4">
                  <c:v>1</c:v>
                </c:pt>
                <c:pt idx="5">
                  <c:v>0.9</c:v>
                </c:pt>
                <c:pt idx="6">
                  <c:v>1</c:v>
                </c:pt>
                <c:pt idx="7">
                  <c:v>1.2</c:v>
                </c:pt>
                <c:pt idx="8">
                  <c:v>1</c:v>
                </c:pt>
                <c:pt idx="9">
                  <c:v>1.4</c:v>
                </c:pt>
              </c:numCache>
            </c:numRef>
          </c:val>
          <c:extLst>
            <c:ext xmlns:c16="http://schemas.microsoft.com/office/drawing/2014/chart" uri="{C3380CC4-5D6E-409C-BE32-E72D297353CC}">
              <c16:uniqueId val="{00000000-2F64-4DB1-81A6-3DCA5E863128}"/>
            </c:ext>
          </c:extLst>
        </c:ser>
        <c:ser>
          <c:idx val="1"/>
          <c:order val="1"/>
          <c:tx>
            <c:v>Rec-TfR1 HepG2 cells</c:v>
          </c:tx>
          <c:spPr>
            <a:solidFill>
              <a:schemeClr val="bg1">
                <a:lumMod val="65000"/>
              </a:schemeClr>
            </a:solidFill>
            <a:ln w="31750">
              <a:solidFill>
                <a:prstClr val="black"/>
              </a:solidFill>
            </a:ln>
          </c:spPr>
          <c:invertIfNegative val="0"/>
          <c:errBars>
            <c:errBarType val="plus"/>
            <c:errValType val="cust"/>
            <c:noEndCap val="0"/>
            <c:plus>
              <c:numRef>
                <c:f>MTT!$F$12:$F$21</c:f>
                <c:numCache>
                  <c:formatCode>General</c:formatCode>
                  <c:ptCount val="10"/>
                  <c:pt idx="1">
                    <c:v>1.0000000000000005E-2</c:v>
                  </c:pt>
                  <c:pt idx="3">
                    <c:v>1.0000000000000005E-2</c:v>
                  </c:pt>
                  <c:pt idx="5">
                    <c:v>2.0000000000000011E-2</c:v>
                  </c:pt>
                  <c:pt idx="7">
                    <c:v>0.05</c:v>
                  </c:pt>
                  <c:pt idx="9">
                    <c:v>8.0000000000000043E-2</c:v>
                  </c:pt>
                </c:numCache>
              </c:numRef>
            </c:plus>
            <c:minus>
              <c:numLit>
                <c:formatCode>General</c:formatCode>
                <c:ptCount val="1"/>
                <c:pt idx="0">
                  <c:v>1</c:v>
                </c:pt>
              </c:numLit>
            </c:minus>
            <c:spPr>
              <a:ln w="1270"/>
            </c:spPr>
          </c:errBars>
          <c:val>
            <c:numRef>
              <c:f>MTT!$D$12:$D$21</c:f>
              <c:numCache>
                <c:formatCode>General</c:formatCode>
                <c:ptCount val="10"/>
                <c:pt idx="0">
                  <c:v>1</c:v>
                </c:pt>
                <c:pt idx="1">
                  <c:v>0.97000000000000064</c:v>
                </c:pt>
                <c:pt idx="2">
                  <c:v>1</c:v>
                </c:pt>
                <c:pt idx="3">
                  <c:v>1.24</c:v>
                </c:pt>
                <c:pt idx="4">
                  <c:v>1</c:v>
                </c:pt>
                <c:pt idx="5">
                  <c:v>1.03</c:v>
                </c:pt>
                <c:pt idx="6">
                  <c:v>1</c:v>
                </c:pt>
                <c:pt idx="7">
                  <c:v>0.75880000000001424</c:v>
                </c:pt>
                <c:pt idx="8">
                  <c:v>1</c:v>
                </c:pt>
                <c:pt idx="9">
                  <c:v>0.8617000000000129</c:v>
                </c:pt>
              </c:numCache>
            </c:numRef>
          </c:val>
          <c:extLst>
            <c:ext xmlns:c16="http://schemas.microsoft.com/office/drawing/2014/chart" uri="{C3380CC4-5D6E-409C-BE32-E72D297353CC}">
              <c16:uniqueId val="{00000001-2F64-4DB1-81A6-3DCA5E863128}"/>
            </c:ext>
          </c:extLst>
        </c:ser>
        <c:dLbls>
          <c:showLegendKey val="0"/>
          <c:showVal val="0"/>
          <c:showCatName val="0"/>
          <c:showSerName val="0"/>
          <c:showPercent val="0"/>
          <c:showBubbleSize val="0"/>
        </c:dLbls>
        <c:gapWidth val="150"/>
        <c:axId val="118688768"/>
        <c:axId val="118690944"/>
      </c:barChart>
      <c:catAx>
        <c:axId val="118688768"/>
        <c:scaling>
          <c:orientation val="minMax"/>
        </c:scaling>
        <c:delete val="0"/>
        <c:axPos val="b"/>
        <c:title>
          <c:tx>
            <c:rich>
              <a:bodyPr/>
              <a:lstStyle/>
              <a:p>
                <a:pPr>
                  <a:defRPr sz="1400"/>
                </a:pPr>
                <a:r>
                  <a:rPr lang="en-US" sz="1400"/>
                  <a:t>30</a:t>
                </a:r>
                <a:r>
                  <a:rPr lang="en-US" sz="1400" baseline="0"/>
                  <a:t> min                 2 h                      4 h                     24 h                    48 h </a:t>
                </a:r>
              </a:p>
              <a:p>
                <a:pPr>
                  <a:defRPr sz="1400"/>
                </a:pPr>
                <a:r>
                  <a:rPr lang="en-US" sz="1400" baseline="0"/>
                  <a:t> Time </a:t>
                </a:r>
                <a:endParaRPr lang="en-US" sz="1400"/>
              </a:p>
            </c:rich>
          </c:tx>
          <c:layout>
            <c:manualLayout>
              <c:xMode val="edge"/>
              <c:yMode val="edge"/>
              <c:x val="0.19955472135750468"/>
              <c:y val="0.81526369327073567"/>
            </c:manualLayout>
          </c:layout>
          <c:overlay val="0"/>
        </c:title>
        <c:numFmt formatCode="General" sourceLinked="0"/>
        <c:majorTickMark val="out"/>
        <c:minorTickMark val="none"/>
        <c:tickLblPos val="nextTo"/>
        <c:spPr>
          <a:ln w="31750">
            <a:solidFill>
              <a:prstClr val="black"/>
            </a:solidFill>
          </a:ln>
        </c:spPr>
        <c:txPr>
          <a:bodyPr/>
          <a:lstStyle/>
          <a:p>
            <a:pPr>
              <a:defRPr sz="1400"/>
            </a:pPr>
            <a:endParaRPr lang="en-US"/>
          </a:p>
        </c:txPr>
        <c:crossAx val="118690944"/>
        <c:crosses val="autoZero"/>
        <c:auto val="1"/>
        <c:lblAlgn val="ctr"/>
        <c:lblOffset val="100"/>
        <c:noMultiLvlLbl val="0"/>
      </c:catAx>
      <c:valAx>
        <c:axId val="118690944"/>
        <c:scaling>
          <c:orientation val="minMax"/>
          <c:max val="2"/>
        </c:scaling>
        <c:delete val="0"/>
        <c:axPos val="l"/>
        <c:title>
          <c:tx>
            <c:rich>
              <a:bodyPr rot="-5400000" vert="horz"/>
              <a:lstStyle/>
              <a:p>
                <a:pPr>
                  <a:defRPr sz="1400"/>
                </a:pPr>
                <a:r>
                  <a:rPr lang="en-US" sz="1400"/>
                  <a:t>Relative</a:t>
                </a:r>
                <a:r>
                  <a:rPr lang="en-US" sz="1400" baseline="0"/>
                  <a:t> mitochondrial activity </a:t>
                </a:r>
                <a:endParaRPr lang="en-US" sz="1400"/>
              </a:p>
            </c:rich>
          </c:tx>
          <c:layout>
            <c:manualLayout>
              <c:xMode val="edge"/>
              <c:yMode val="edge"/>
              <c:x val="7.6542254722122014E-3"/>
              <c:y val="1.4165362880128572E-2"/>
            </c:manualLayout>
          </c:layout>
          <c:overlay val="0"/>
        </c:title>
        <c:numFmt formatCode="General" sourceLinked="1"/>
        <c:majorTickMark val="out"/>
        <c:minorTickMark val="none"/>
        <c:tickLblPos val="nextTo"/>
        <c:spPr>
          <a:ln w="31750">
            <a:solidFill>
              <a:prstClr val="black"/>
            </a:solidFill>
          </a:ln>
        </c:spPr>
        <c:txPr>
          <a:bodyPr/>
          <a:lstStyle/>
          <a:p>
            <a:pPr>
              <a:defRPr sz="1400">
                <a:latin typeface="+mn-lt"/>
              </a:defRPr>
            </a:pPr>
            <a:endParaRPr lang="en-US"/>
          </a:p>
        </c:txPr>
        <c:crossAx val="118688768"/>
        <c:crosses val="autoZero"/>
        <c:crossBetween val="between"/>
        <c:majorUnit val="0.5"/>
      </c:valAx>
    </c:plotArea>
    <c:legend>
      <c:legendPos val="r"/>
      <c:layout>
        <c:manualLayout>
          <c:xMode val="edge"/>
          <c:yMode val="edge"/>
          <c:x val="0.72979419628622433"/>
          <c:y val="1.8326407115777581E-2"/>
          <c:w val="0.27020580371378811"/>
          <c:h val="0.12830388058170294"/>
        </c:manualLayout>
      </c:layout>
      <c:overlay val="0"/>
      <c:txPr>
        <a:bodyPr/>
        <a:lstStyle/>
        <a:p>
          <a:pPr>
            <a:defRPr sz="1200"/>
          </a:pPr>
          <a:endParaRPr lang="en-US"/>
        </a:p>
      </c:txPr>
    </c:legend>
    <c:plotVisOnly val="1"/>
    <c:dispBlanksAs val="gap"/>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139391027456197"/>
          <c:y val="7.4074408973564876E-2"/>
          <c:w val="0.78716433343502967"/>
          <c:h val="0.58796562122767049"/>
        </c:manualLayout>
      </c:layout>
      <c:barChart>
        <c:barDir val="col"/>
        <c:grouping val="clustered"/>
        <c:varyColors val="0"/>
        <c:ser>
          <c:idx val="0"/>
          <c:order val="0"/>
          <c:tx>
            <c:v>TFRC</c:v>
          </c:tx>
          <c:spPr>
            <a:solidFill>
              <a:schemeClr val="tx1"/>
            </a:solidFill>
            <a:ln w="25400">
              <a:noFill/>
            </a:ln>
          </c:spPr>
          <c:invertIfNegative val="0"/>
          <c:errBars>
            <c:errBarType val="plus"/>
            <c:errValType val="cust"/>
            <c:noEndCap val="0"/>
            <c:plus>
              <c:numRef>
                <c:f>'Rec HepG2 (2)'!$V$296:$V$303</c:f>
                <c:numCache>
                  <c:formatCode>General</c:formatCode>
                  <c:ptCount val="8"/>
                  <c:pt idx="0">
                    <c:v>0</c:v>
                  </c:pt>
                  <c:pt idx="1">
                    <c:v>0.1432215464334777</c:v>
                  </c:pt>
                  <c:pt idx="3">
                    <c:v>0</c:v>
                  </c:pt>
                  <c:pt idx="4">
                    <c:v>4.1446085886859482E-2</c:v>
                  </c:pt>
                  <c:pt idx="6">
                    <c:v>0</c:v>
                  </c:pt>
                  <c:pt idx="7">
                    <c:v>0.10968590660932458</c:v>
                  </c:pt>
                </c:numCache>
              </c:numRef>
            </c:plus>
            <c:minus>
              <c:numRef>
                <c:f>'WT HepG2  (2)'!$Y$314</c:f>
                <c:numCache>
                  <c:formatCode>General</c:formatCode>
                  <c:ptCount val="1"/>
                  <c:pt idx="0">
                    <c:v>0.24176321678585624</c:v>
                  </c:pt>
                </c:numCache>
              </c:numRef>
            </c:minus>
          </c:errBars>
          <c:cat>
            <c:strRef>
              <c:f>'WT HepG2  (2)'!$U$323:$U$330</c:f>
              <c:strCache>
                <c:ptCount val="8"/>
                <c:pt idx="0">
                  <c:v>0 g/L</c:v>
                </c:pt>
                <c:pt idx="1">
                  <c:v>5 g/L</c:v>
                </c:pt>
                <c:pt idx="3">
                  <c:v>0 g/L</c:v>
                </c:pt>
                <c:pt idx="4">
                  <c:v>5 g/L</c:v>
                </c:pt>
                <c:pt idx="6">
                  <c:v>0 g/L</c:v>
                </c:pt>
                <c:pt idx="7">
                  <c:v>5 g/L</c:v>
                </c:pt>
              </c:strCache>
            </c:strRef>
          </c:cat>
          <c:val>
            <c:numRef>
              <c:f>'Rec HepG2 (2)'!$V$287:$V$294</c:f>
              <c:numCache>
                <c:formatCode>0.00</c:formatCode>
                <c:ptCount val="8"/>
                <c:pt idx="0">
                  <c:v>1</c:v>
                </c:pt>
                <c:pt idx="1">
                  <c:v>1.6907865399758681</c:v>
                </c:pt>
                <c:pt idx="3">
                  <c:v>1</c:v>
                </c:pt>
                <c:pt idx="4">
                  <c:v>3.2550403914876607</c:v>
                </c:pt>
                <c:pt idx="6" formatCode="General">
                  <c:v>1</c:v>
                </c:pt>
                <c:pt idx="7">
                  <c:v>0.25129639227129924</c:v>
                </c:pt>
              </c:numCache>
            </c:numRef>
          </c:val>
          <c:extLst>
            <c:ext xmlns:c16="http://schemas.microsoft.com/office/drawing/2014/chart" uri="{C3380CC4-5D6E-409C-BE32-E72D297353CC}">
              <c16:uniqueId val="{00000000-AA72-4031-9298-28F0C8E5FA16}"/>
            </c:ext>
          </c:extLst>
        </c:ser>
        <c:ser>
          <c:idx val="1"/>
          <c:order val="1"/>
          <c:tx>
            <c:v>TFRC-IRE</c:v>
          </c:tx>
          <c:spPr>
            <a:solidFill>
              <a:schemeClr val="bg1">
                <a:lumMod val="50000"/>
              </a:schemeClr>
            </a:solidFill>
            <a:ln w="25400">
              <a:noFill/>
            </a:ln>
          </c:spPr>
          <c:invertIfNegative val="0"/>
          <c:errBars>
            <c:errBarType val="plus"/>
            <c:errValType val="cust"/>
            <c:noEndCap val="0"/>
            <c:plus>
              <c:numRef>
                <c:f>'Rec HepG2 (2)'!$W$296:$W$303</c:f>
                <c:numCache>
                  <c:formatCode>General</c:formatCode>
                  <c:ptCount val="8"/>
                  <c:pt idx="0">
                    <c:v>0</c:v>
                  </c:pt>
                  <c:pt idx="1">
                    <c:v>0.33000000000000046</c:v>
                  </c:pt>
                  <c:pt idx="3">
                    <c:v>0</c:v>
                  </c:pt>
                  <c:pt idx="4">
                    <c:v>0.12000000000000002</c:v>
                  </c:pt>
                  <c:pt idx="6">
                    <c:v>0</c:v>
                  </c:pt>
                  <c:pt idx="7">
                    <c:v>0.22</c:v>
                  </c:pt>
                </c:numCache>
              </c:numRef>
            </c:plus>
            <c:minus>
              <c:numRef>
                <c:f>'WT HepG2  (2)'!$X$307</c:f>
                <c:numCache>
                  <c:formatCode>General</c:formatCode>
                  <c:ptCount val="1"/>
                </c:numCache>
              </c:numRef>
            </c:minus>
          </c:errBars>
          <c:cat>
            <c:strRef>
              <c:f>'WT HepG2  (2)'!$U$323:$U$330</c:f>
              <c:strCache>
                <c:ptCount val="8"/>
                <c:pt idx="0">
                  <c:v>0 g/L</c:v>
                </c:pt>
                <c:pt idx="1">
                  <c:v>5 g/L</c:v>
                </c:pt>
                <c:pt idx="3">
                  <c:v>0 g/L</c:v>
                </c:pt>
                <c:pt idx="4">
                  <c:v>5 g/L</c:v>
                </c:pt>
                <c:pt idx="6">
                  <c:v>0 g/L</c:v>
                </c:pt>
                <c:pt idx="7">
                  <c:v>5 g/L</c:v>
                </c:pt>
              </c:strCache>
            </c:strRef>
          </c:cat>
          <c:val>
            <c:numRef>
              <c:f>'Rec HepG2 (2)'!$W$287:$W$294</c:f>
              <c:numCache>
                <c:formatCode>0.00</c:formatCode>
                <c:ptCount val="8"/>
                <c:pt idx="0" formatCode="General">
                  <c:v>1</c:v>
                </c:pt>
                <c:pt idx="1">
                  <c:v>0.47631899902196934</c:v>
                </c:pt>
                <c:pt idx="3" formatCode="General">
                  <c:v>1</c:v>
                </c:pt>
                <c:pt idx="4">
                  <c:v>0.18000000000000016</c:v>
                </c:pt>
                <c:pt idx="6" formatCode="General">
                  <c:v>1</c:v>
                </c:pt>
                <c:pt idx="7">
                  <c:v>0.18160227181760891</c:v>
                </c:pt>
              </c:numCache>
            </c:numRef>
          </c:val>
          <c:extLst>
            <c:ext xmlns:c16="http://schemas.microsoft.com/office/drawing/2014/chart" uri="{C3380CC4-5D6E-409C-BE32-E72D297353CC}">
              <c16:uniqueId val="{00000001-AA72-4031-9298-28F0C8E5FA16}"/>
            </c:ext>
          </c:extLst>
        </c:ser>
        <c:dLbls>
          <c:showLegendKey val="0"/>
          <c:showVal val="0"/>
          <c:showCatName val="0"/>
          <c:showSerName val="0"/>
          <c:showPercent val="0"/>
          <c:showBubbleSize val="0"/>
        </c:dLbls>
        <c:gapWidth val="150"/>
        <c:axId val="122235520"/>
        <c:axId val="122275328"/>
      </c:barChart>
      <c:catAx>
        <c:axId val="122235520"/>
        <c:scaling>
          <c:orientation val="minMax"/>
        </c:scaling>
        <c:delete val="0"/>
        <c:axPos val="b"/>
        <c:title>
          <c:tx>
            <c:rich>
              <a:bodyPr/>
              <a:lstStyle/>
              <a:p>
                <a:pPr algn="l">
                  <a:defRPr sz="1200" b="1" i="0" u="none" strike="noStrike" baseline="0">
                    <a:solidFill>
                      <a:srgbClr val="000000"/>
                    </a:solidFill>
                    <a:latin typeface="Calibri"/>
                    <a:ea typeface="Calibri"/>
                    <a:cs typeface="Calibri"/>
                  </a:defRPr>
                </a:pPr>
                <a:r>
                  <a:rPr lang="en-GB" sz="1100"/>
                  <a:t>     6</a:t>
                </a:r>
                <a:r>
                  <a:rPr lang="en-GB" sz="1100" baseline="0"/>
                  <a:t> h                     </a:t>
                </a:r>
                <a:r>
                  <a:rPr lang="en-GB" sz="1100"/>
                  <a:t> 24 h                 48 h 
 Treatment</a:t>
                </a:r>
                <a:r>
                  <a:rPr lang="en-GB" sz="1100" baseline="0"/>
                  <a:t> to rec-TfR1 HepG2 cells </a:t>
                </a:r>
                <a:endParaRPr lang="en-GB" sz="1100"/>
              </a:p>
            </c:rich>
          </c:tx>
          <c:layout>
            <c:manualLayout>
              <c:xMode val="edge"/>
              <c:yMode val="edge"/>
              <c:x val="0.16895081412145471"/>
              <c:y val="0.78574849009475212"/>
            </c:manualLayout>
          </c:layout>
          <c:overlay val="0"/>
          <c:spPr>
            <a:noFill/>
            <a:ln w="25400">
              <a:noFill/>
            </a:ln>
          </c:spPr>
        </c:title>
        <c:numFmt formatCode="General" sourceLinked="1"/>
        <c:majorTickMark val="out"/>
        <c:minorTickMark val="none"/>
        <c:tickLblPos val="low"/>
        <c:spPr>
          <a:ln w="31750">
            <a:solidFill>
              <a:schemeClr val="tx1"/>
            </a:solidFill>
          </a:ln>
        </c:spPr>
        <c:txPr>
          <a:bodyPr rot="0" vert="horz"/>
          <a:lstStyle/>
          <a:p>
            <a:pPr>
              <a:defRPr sz="900" b="1" i="0" u="none" strike="noStrike" baseline="0">
                <a:solidFill>
                  <a:srgbClr val="000000"/>
                </a:solidFill>
                <a:latin typeface="Arial" pitchFamily="34" charset="0"/>
                <a:ea typeface="Calibri"/>
                <a:cs typeface="Arial" pitchFamily="34" charset="0"/>
              </a:defRPr>
            </a:pPr>
            <a:endParaRPr lang="en-US"/>
          </a:p>
        </c:txPr>
        <c:crossAx val="122275328"/>
        <c:crossesAt val="0"/>
        <c:auto val="1"/>
        <c:lblAlgn val="ctr"/>
        <c:lblOffset val="100"/>
        <c:tickLblSkip val="1"/>
        <c:tickMarkSkip val="1"/>
        <c:noMultiLvlLbl val="0"/>
      </c:catAx>
      <c:valAx>
        <c:axId val="122275328"/>
        <c:scaling>
          <c:orientation val="minMax"/>
          <c:max val="3.5"/>
        </c:scaling>
        <c:delete val="0"/>
        <c:axPos val="l"/>
        <c:title>
          <c:tx>
            <c:rich>
              <a:bodyPr/>
              <a:lstStyle/>
              <a:p>
                <a:pPr>
                  <a:defRPr sz="1600" b="1" i="0" u="none" strike="noStrike" baseline="0">
                    <a:solidFill>
                      <a:srgbClr val="000000"/>
                    </a:solidFill>
                    <a:latin typeface="Calibri"/>
                    <a:ea typeface="Calibri"/>
                    <a:cs typeface="Calibri"/>
                  </a:defRPr>
                </a:pPr>
                <a:r>
                  <a:rPr lang="en-GB" sz="1600"/>
                  <a:t>2</a:t>
                </a:r>
                <a:r>
                  <a:rPr lang="en-GB" sz="1600" baseline="30000"/>
                  <a:t> -</a:t>
                </a:r>
                <a:r>
                  <a:rPr lang="el-GR" sz="1600" baseline="30000"/>
                  <a:t>ΔΔ</a:t>
                </a:r>
                <a:r>
                  <a:rPr lang="en-GB" sz="1600" baseline="30000"/>
                  <a:t>Ct</a:t>
                </a:r>
              </a:p>
            </c:rich>
          </c:tx>
          <c:layout>
            <c:manualLayout>
              <c:xMode val="edge"/>
              <c:yMode val="edge"/>
              <c:x val="1.144159544159549E-2"/>
              <c:y val="0.24445452897799524"/>
            </c:manualLayout>
          </c:layout>
          <c:overlay val="0"/>
          <c:spPr>
            <a:noFill/>
            <a:ln w="25400">
              <a:noFill/>
            </a:ln>
          </c:spPr>
        </c:title>
        <c:numFmt formatCode="General" sourceLinked="0"/>
        <c:majorTickMark val="out"/>
        <c:minorTickMark val="none"/>
        <c:tickLblPos val="low"/>
        <c:spPr>
          <a:ln w="31750">
            <a:solidFill>
              <a:srgbClr val="000000"/>
            </a:solidFill>
          </a:ln>
        </c:spPr>
        <c:txPr>
          <a:bodyPr rot="0" vert="horz"/>
          <a:lstStyle/>
          <a:p>
            <a:pPr>
              <a:defRPr sz="1000" b="0" i="0" u="none" strike="noStrike" baseline="0">
                <a:solidFill>
                  <a:srgbClr val="000000"/>
                </a:solidFill>
                <a:latin typeface="Calibri"/>
                <a:ea typeface="Calibri"/>
                <a:cs typeface="Calibri"/>
              </a:defRPr>
            </a:pPr>
            <a:endParaRPr lang="en-US"/>
          </a:p>
        </c:txPr>
        <c:crossAx val="122235520"/>
        <c:crosses val="autoZero"/>
        <c:crossBetween val="between"/>
        <c:majorUnit val="0.5"/>
      </c:valAx>
    </c:plotArea>
    <c:legend>
      <c:legendPos val="r"/>
      <c:layout>
        <c:manualLayout>
          <c:xMode val="edge"/>
          <c:yMode val="edge"/>
          <c:x val="0.72611701388889072"/>
          <c:y val="3.2407407407407669E-2"/>
          <c:w val="0.25557638888888967"/>
          <c:h val="0.16666763876737711"/>
        </c:manualLayout>
      </c:layout>
      <c:overlay val="0"/>
      <c:txPr>
        <a:bodyPr/>
        <a:lstStyle/>
        <a:p>
          <a:pPr>
            <a:defRPr sz="1100" b="1" i="1" u="none" strike="noStrike" baseline="0">
              <a:solidFill>
                <a:srgbClr val="000000"/>
              </a:solidFill>
              <a:latin typeface="Calibri"/>
              <a:ea typeface="Calibri"/>
              <a:cs typeface="Calibri"/>
            </a:defRPr>
          </a:pPr>
          <a:endParaRPr lang="en-US"/>
        </a:p>
      </c:txPr>
    </c:legend>
    <c:plotVisOnly val="1"/>
    <c:dispBlanksAs val="gap"/>
    <c:showDLblsOverMax val="0"/>
  </c:chart>
  <c:spPr>
    <a:ln w="38100">
      <a:solidFill>
        <a:sysClr val="windowText" lastClr="000000"/>
      </a:solid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397638888888926"/>
          <c:y val="7.4074408973564876E-2"/>
          <c:w val="0.77458194444444461"/>
          <c:h val="0.58796562122767049"/>
        </c:manualLayout>
      </c:layout>
      <c:barChart>
        <c:barDir val="col"/>
        <c:grouping val="clustered"/>
        <c:varyColors val="0"/>
        <c:ser>
          <c:idx val="0"/>
          <c:order val="0"/>
          <c:tx>
            <c:v>TFRC</c:v>
          </c:tx>
          <c:spPr>
            <a:solidFill>
              <a:schemeClr val="tx1"/>
            </a:solidFill>
            <a:ln w="25400">
              <a:noFill/>
            </a:ln>
          </c:spPr>
          <c:invertIfNegative val="0"/>
          <c:errBars>
            <c:errBarType val="plus"/>
            <c:errValType val="cust"/>
            <c:noEndCap val="0"/>
            <c:plus>
              <c:numRef>
                <c:f>'WT HepG2  (2)'!$W$332:$W$339</c:f>
                <c:numCache>
                  <c:formatCode>General</c:formatCode>
                  <c:ptCount val="8"/>
                  <c:pt idx="0">
                    <c:v>0</c:v>
                  </c:pt>
                  <c:pt idx="1">
                    <c:v>0.11756919522089725</c:v>
                  </c:pt>
                  <c:pt idx="3">
                    <c:v>0</c:v>
                  </c:pt>
                  <c:pt idx="4">
                    <c:v>0.13656433108423524</c:v>
                  </c:pt>
                  <c:pt idx="6">
                    <c:v>0</c:v>
                  </c:pt>
                  <c:pt idx="7">
                    <c:v>6.5380308737033169E-2</c:v>
                  </c:pt>
                </c:numCache>
              </c:numRef>
            </c:plus>
            <c:minus>
              <c:numLit>
                <c:formatCode>General</c:formatCode>
                <c:ptCount val="1"/>
                <c:pt idx="0">
                  <c:v>1</c:v>
                </c:pt>
              </c:numLit>
            </c:minus>
          </c:errBars>
          <c:cat>
            <c:strRef>
              <c:f>'WT HepG2  (2)'!$U$323:$U$330</c:f>
              <c:strCache>
                <c:ptCount val="8"/>
                <c:pt idx="0">
                  <c:v>0 g/L</c:v>
                </c:pt>
                <c:pt idx="1">
                  <c:v>5 g/L</c:v>
                </c:pt>
                <c:pt idx="3">
                  <c:v>0 g/L</c:v>
                </c:pt>
                <c:pt idx="4">
                  <c:v>5 g/L</c:v>
                </c:pt>
                <c:pt idx="6">
                  <c:v>0 g/L</c:v>
                </c:pt>
                <c:pt idx="7">
                  <c:v>5 g/L</c:v>
                </c:pt>
              </c:strCache>
            </c:strRef>
          </c:cat>
          <c:val>
            <c:numRef>
              <c:f>'WT HepG2  (2)'!$W$323:$W$330</c:f>
              <c:numCache>
                <c:formatCode>0.00</c:formatCode>
                <c:ptCount val="8"/>
                <c:pt idx="0" formatCode="General">
                  <c:v>1</c:v>
                </c:pt>
                <c:pt idx="1">
                  <c:v>1.0324569549698461</c:v>
                </c:pt>
                <c:pt idx="3" formatCode="General">
                  <c:v>1</c:v>
                </c:pt>
                <c:pt idx="4" formatCode="0.0">
                  <c:v>0.22358488437370339</c:v>
                </c:pt>
                <c:pt idx="6" formatCode="General">
                  <c:v>1</c:v>
                </c:pt>
                <c:pt idx="7" formatCode="0.0">
                  <c:v>6.5380308737033169E-2</c:v>
                </c:pt>
              </c:numCache>
            </c:numRef>
          </c:val>
          <c:extLst>
            <c:ext xmlns:c16="http://schemas.microsoft.com/office/drawing/2014/chart" uri="{C3380CC4-5D6E-409C-BE32-E72D297353CC}">
              <c16:uniqueId val="{00000000-224B-42D7-A90C-05488CFB23A0}"/>
            </c:ext>
          </c:extLst>
        </c:ser>
        <c:ser>
          <c:idx val="1"/>
          <c:order val="1"/>
          <c:tx>
            <c:v>TFRC-IRE</c:v>
          </c:tx>
          <c:spPr>
            <a:solidFill>
              <a:schemeClr val="bg1">
                <a:lumMod val="50000"/>
              </a:schemeClr>
            </a:solidFill>
            <a:ln w="25400">
              <a:noFill/>
            </a:ln>
          </c:spPr>
          <c:invertIfNegative val="0"/>
          <c:errBars>
            <c:errBarType val="plus"/>
            <c:errValType val="cust"/>
            <c:noEndCap val="0"/>
            <c:plus>
              <c:numRef>
                <c:f>'WT HepG2  (2)'!$V$332:$V$339</c:f>
                <c:numCache>
                  <c:formatCode>General</c:formatCode>
                  <c:ptCount val="8"/>
                  <c:pt idx="0">
                    <c:v>0</c:v>
                  </c:pt>
                  <c:pt idx="1">
                    <c:v>0.30755576344814595</c:v>
                  </c:pt>
                  <c:pt idx="3">
                    <c:v>0</c:v>
                  </c:pt>
                  <c:pt idx="4">
                    <c:v>0.52679455198403213</c:v>
                  </c:pt>
                  <c:pt idx="6">
                    <c:v>0</c:v>
                  </c:pt>
                  <c:pt idx="7">
                    <c:v>0.20533880903490764</c:v>
                  </c:pt>
                </c:numCache>
              </c:numRef>
            </c:plus>
            <c:minus>
              <c:numLit>
                <c:formatCode>General</c:formatCode>
                <c:ptCount val="1"/>
                <c:pt idx="0">
                  <c:v>1</c:v>
                </c:pt>
              </c:numLit>
            </c:minus>
          </c:errBars>
          <c:cat>
            <c:strRef>
              <c:f>'WT HepG2  (2)'!$U$323:$U$330</c:f>
              <c:strCache>
                <c:ptCount val="8"/>
                <c:pt idx="0">
                  <c:v>0 g/L</c:v>
                </c:pt>
                <c:pt idx="1">
                  <c:v>5 g/L</c:v>
                </c:pt>
                <c:pt idx="3">
                  <c:v>0 g/L</c:v>
                </c:pt>
                <c:pt idx="4">
                  <c:v>5 g/L</c:v>
                </c:pt>
                <c:pt idx="6">
                  <c:v>0 g/L</c:v>
                </c:pt>
                <c:pt idx="7">
                  <c:v>5 g/L</c:v>
                </c:pt>
              </c:strCache>
            </c:strRef>
          </c:cat>
          <c:val>
            <c:numRef>
              <c:f>'WT HepG2  (2)'!$V$323:$V$330</c:f>
              <c:numCache>
                <c:formatCode>0.00</c:formatCode>
                <c:ptCount val="8"/>
                <c:pt idx="0">
                  <c:v>1</c:v>
                </c:pt>
                <c:pt idx="1">
                  <c:v>0.89755576344814592</c:v>
                </c:pt>
                <c:pt idx="3">
                  <c:v>1</c:v>
                </c:pt>
                <c:pt idx="4">
                  <c:v>0.13869618400848091</c:v>
                </c:pt>
                <c:pt idx="6" formatCode="General">
                  <c:v>1</c:v>
                </c:pt>
                <c:pt idx="7">
                  <c:v>9.2461719328052444E-2</c:v>
                </c:pt>
              </c:numCache>
            </c:numRef>
          </c:val>
          <c:extLst>
            <c:ext xmlns:c16="http://schemas.microsoft.com/office/drawing/2014/chart" uri="{C3380CC4-5D6E-409C-BE32-E72D297353CC}">
              <c16:uniqueId val="{00000001-224B-42D7-A90C-05488CFB23A0}"/>
            </c:ext>
          </c:extLst>
        </c:ser>
        <c:dLbls>
          <c:showLegendKey val="0"/>
          <c:showVal val="0"/>
          <c:showCatName val="0"/>
          <c:showSerName val="0"/>
          <c:showPercent val="0"/>
          <c:showBubbleSize val="0"/>
        </c:dLbls>
        <c:gapWidth val="150"/>
        <c:axId val="125833984"/>
        <c:axId val="133112192"/>
      </c:barChart>
      <c:catAx>
        <c:axId val="125833984"/>
        <c:scaling>
          <c:orientation val="minMax"/>
        </c:scaling>
        <c:delete val="0"/>
        <c:axPos val="b"/>
        <c:title>
          <c:tx>
            <c:rich>
              <a:bodyPr/>
              <a:lstStyle/>
              <a:p>
                <a:pPr algn="l">
                  <a:defRPr sz="1100" b="1" i="0" u="none" strike="noStrike" baseline="0">
                    <a:solidFill>
                      <a:srgbClr val="000000"/>
                    </a:solidFill>
                    <a:latin typeface="Calibri"/>
                    <a:ea typeface="Calibri"/>
                    <a:cs typeface="Calibri"/>
                  </a:defRPr>
                </a:pPr>
                <a:r>
                  <a:rPr lang="en-GB" sz="1100"/>
                  <a:t>      6</a:t>
                </a:r>
                <a:r>
                  <a:rPr lang="en-GB" sz="1100" baseline="0"/>
                  <a:t> h                  </a:t>
                </a:r>
                <a:r>
                  <a:rPr lang="en-GB" sz="1100"/>
                  <a:t> 24 h                   48 h 
         Treatment</a:t>
                </a:r>
                <a:r>
                  <a:rPr lang="en-GB" sz="1100" baseline="0"/>
                  <a:t> to Wt HepG2 cells </a:t>
                </a:r>
                <a:endParaRPr lang="en-GB" sz="1100"/>
              </a:p>
            </c:rich>
          </c:tx>
          <c:layout>
            <c:manualLayout>
              <c:xMode val="edge"/>
              <c:yMode val="edge"/>
              <c:x val="0.19221967963386727"/>
              <c:y val="0.7916700690191506"/>
            </c:manualLayout>
          </c:layout>
          <c:overlay val="0"/>
          <c:spPr>
            <a:noFill/>
            <a:ln w="25400">
              <a:noFill/>
            </a:ln>
          </c:spPr>
        </c:title>
        <c:numFmt formatCode="General" sourceLinked="1"/>
        <c:majorTickMark val="out"/>
        <c:minorTickMark val="none"/>
        <c:tickLblPos val="low"/>
        <c:spPr>
          <a:ln w="31750">
            <a:solidFill>
              <a:schemeClr val="tx1"/>
            </a:solidFill>
          </a:ln>
        </c:spPr>
        <c:txPr>
          <a:bodyPr rot="0" vert="horz"/>
          <a:lstStyle/>
          <a:p>
            <a:pPr>
              <a:defRPr sz="900" b="1" i="0" u="none" strike="noStrike" baseline="0">
                <a:solidFill>
                  <a:srgbClr val="000000"/>
                </a:solidFill>
                <a:latin typeface="Arial" pitchFamily="34" charset="0"/>
                <a:ea typeface="Calibri"/>
                <a:cs typeface="Arial" pitchFamily="34" charset="0"/>
              </a:defRPr>
            </a:pPr>
            <a:endParaRPr lang="en-US"/>
          </a:p>
        </c:txPr>
        <c:crossAx val="133112192"/>
        <c:crossesAt val="0"/>
        <c:auto val="1"/>
        <c:lblAlgn val="ctr"/>
        <c:lblOffset val="100"/>
        <c:tickLblSkip val="1"/>
        <c:tickMarkSkip val="1"/>
        <c:noMultiLvlLbl val="0"/>
      </c:catAx>
      <c:valAx>
        <c:axId val="133112192"/>
        <c:scaling>
          <c:orientation val="minMax"/>
          <c:max val="3.5"/>
        </c:scaling>
        <c:delete val="0"/>
        <c:axPos val="l"/>
        <c:title>
          <c:tx>
            <c:rich>
              <a:bodyPr/>
              <a:lstStyle/>
              <a:p>
                <a:pPr>
                  <a:defRPr sz="1600" b="1" i="0" u="none" strike="noStrike" baseline="0">
                    <a:solidFill>
                      <a:srgbClr val="000000"/>
                    </a:solidFill>
                    <a:latin typeface="Calibri"/>
                    <a:ea typeface="Calibri"/>
                    <a:cs typeface="Calibri"/>
                  </a:defRPr>
                </a:pPr>
                <a:r>
                  <a:rPr lang="en-GB" sz="1600"/>
                  <a:t>2</a:t>
                </a:r>
                <a:r>
                  <a:rPr lang="en-GB" sz="1600" baseline="30000"/>
                  <a:t> -</a:t>
                </a:r>
                <a:r>
                  <a:rPr lang="el-GR" sz="1600" baseline="30000"/>
                  <a:t>ΔΔ</a:t>
                </a:r>
                <a:r>
                  <a:rPr lang="en-GB" sz="1600" baseline="30000"/>
                  <a:t>Ct</a:t>
                </a:r>
              </a:p>
            </c:rich>
          </c:tx>
          <c:layout>
            <c:manualLayout>
              <c:xMode val="edge"/>
              <c:yMode val="edge"/>
              <c:x val="1.1441595441595483E-2"/>
              <c:y val="0.24445452897799524"/>
            </c:manualLayout>
          </c:layout>
          <c:overlay val="0"/>
          <c:spPr>
            <a:noFill/>
            <a:ln w="25400">
              <a:noFill/>
            </a:ln>
          </c:spPr>
        </c:title>
        <c:numFmt formatCode="General" sourceLinked="0"/>
        <c:majorTickMark val="out"/>
        <c:minorTickMark val="none"/>
        <c:tickLblPos val="low"/>
        <c:spPr>
          <a:ln w="31750">
            <a:solidFill>
              <a:srgbClr val="000000"/>
            </a:solidFill>
          </a:ln>
        </c:spPr>
        <c:txPr>
          <a:bodyPr rot="0" vert="horz"/>
          <a:lstStyle/>
          <a:p>
            <a:pPr>
              <a:defRPr sz="1000" b="0" i="0" u="none" strike="noStrike" baseline="0">
                <a:solidFill>
                  <a:srgbClr val="000000"/>
                </a:solidFill>
                <a:latin typeface="Calibri"/>
                <a:ea typeface="Calibri"/>
                <a:cs typeface="Calibri"/>
              </a:defRPr>
            </a:pPr>
            <a:endParaRPr lang="en-US"/>
          </a:p>
        </c:txPr>
        <c:crossAx val="125833984"/>
        <c:crosses val="autoZero"/>
        <c:crossBetween val="between"/>
        <c:majorUnit val="0.5"/>
      </c:valAx>
    </c:plotArea>
    <c:legend>
      <c:legendPos val="r"/>
      <c:layout>
        <c:manualLayout>
          <c:xMode val="edge"/>
          <c:yMode val="edge"/>
          <c:x val="0.72611701388889038"/>
          <c:y val="3.2407407407407655E-2"/>
          <c:w val="0.25557638888888956"/>
          <c:h val="0.16666763876737706"/>
        </c:manualLayout>
      </c:layout>
      <c:overlay val="0"/>
      <c:txPr>
        <a:bodyPr/>
        <a:lstStyle/>
        <a:p>
          <a:pPr>
            <a:defRPr sz="1100" b="1" i="1" u="none" strike="noStrike" baseline="0">
              <a:solidFill>
                <a:srgbClr val="000000"/>
              </a:solidFill>
              <a:latin typeface="Calibri"/>
              <a:ea typeface="Calibri"/>
              <a:cs typeface="Calibri"/>
            </a:defRPr>
          </a:pPr>
          <a:endParaRPr lang="en-US"/>
        </a:p>
      </c:txPr>
    </c:legend>
    <c:plotVisOnly val="1"/>
    <c:dispBlanksAs val="gap"/>
    <c:showDLblsOverMax val="0"/>
  </c:chart>
  <c:spPr>
    <a:ln w="38100">
      <a:solidFill>
        <a:sysClr val="windowText" lastClr="000000"/>
      </a:solid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260869565217578"/>
          <c:y val="3.9307695233747955E-2"/>
          <c:w val="0.67826086956521769"/>
          <c:h val="0.70620436488143257"/>
        </c:manualLayout>
      </c:layout>
      <c:barChart>
        <c:barDir val="col"/>
        <c:grouping val="clustered"/>
        <c:varyColors val="0"/>
        <c:ser>
          <c:idx val="1"/>
          <c:order val="0"/>
          <c:spPr>
            <a:solidFill>
              <a:srgbClr val="0000FF"/>
            </a:solidFill>
            <a:ln w="25400">
              <a:solidFill>
                <a:srgbClr val="000000"/>
              </a:solidFill>
              <a:prstDash val="solid"/>
            </a:ln>
          </c:spPr>
          <c:invertIfNegative val="0"/>
          <c:dPt>
            <c:idx val="0"/>
            <c:invertIfNegative val="0"/>
            <c:bubble3D val="0"/>
            <c:spPr>
              <a:noFill/>
              <a:ln w="25400">
                <a:solidFill>
                  <a:srgbClr val="000000"/>
                </a:solidFill>
                <a:prstDash val="solid"/>
              </a:ln>
            </c:spPr>
            <c:extLst>
              <c:ext xmlns:c16="http://schemas.microsoft.com/office/drawing/2014/chart" uri="{C3380CC4-5D6E-409C-BE32-E72D297353CC}">
                <c16:uniqueId val="{00000001-CAD1-474B-8A7A-587D3FEE21F3}"/>
              </c:ext>
            </c:extLst>
          </c:dPt>
          <c:dPt>
            <c:idx val="1"/>
            <c:invertIfNegative val="0"/>
            <c:bubble3D val="0"/>
            <c:spPr>
              <a:solidFill>
                <a:schemeClr val="bg1">
                  <a:lumMod val="50000"/>
                </a:schemeClr>
              </a:solidFill>
              <a:ln w="25400">
                <a:solidFill>
                  <a:srgbClr val="000000"/>
                </a:solidFill>
                <a:prstDash val="solid"/>
              </a:ln>
            </c:spPr>
            <c:extLst>
              <c:ext xmlns:c16="http://schemas.microsoft.com/office/drawing/2014/chart" uri="{C3380CC4-5D6E-409C-BE32-E72D297353CC}">
                <c16:uniqueId val="{00000003-CAD1-474B-8A7A-587D3FEE21F3}"/>
              </c:ext>
            </c:extLst>
          </c:dPt>
          <c:errBars>
            <c:errBarType val="both"/>
            <c:errValType val="cust"/>
            <c:noEndCap val="0"/>
            <c:plus>
              <c:numRef>
                <c:f>Sheet1!$R$218:$R$220</c:f>
                <c:numCache>
                  <c:formatCode>General</c:formatCode>
                  <c:ptCount val="3"/>
                  <c:pt idx="0">
                    <c:v>0</c:v>
                  </c:pt>
                  <c:pt idx="1">
                    <c:v>0.2556469252835214</c:v>
                  </c:pt>
                  <c:pt idx="2">
                    <c:v>0.18872327123760221</c:v>
                  </c:pt>
                </c:numCache>
              </c:numRef>
            </c:plus>
            <c:minus>
              <c:numRef>
                <c:f>Sheet1!$R$218:$R$220</c:f>
                <c:numCache>
                  <c:formatCode>General</c:formatCode>
                  <c:ptCount val="3"/>
                  <c:pt idx="0">
                    <c:v>0</c:v>
                  </c:pt>
                  <c:pt idx="1">
                    <c:v>0.2556469252835214</c:v>
                  </c:pt>
                  <c:pt idx="2">
                    <c:v>0.18872327123760221</c:v>
                  </c:pt>
                </c:numCache>
              </c:numRef>
            </c:minus>
            <c:spPr>
              <a:ln w="1905">
                <a:solidFill>
                  <a:srgbClr val="000000"/>
                </a:solidFill>
                <a:prstDash val="solid"/>
              </a:ln>
            </c:spPr>
          </c:errBars>
          <c:cat>
            <c:strRef>
              <c:f>Sheet1!$I$218:$I$219</c:f>
              <c:strCache>
                <c:ptCount val="2"/>
                <c:pt idx="0">
                  <c:v>Wt HepG2 cells</c:v>
                </c:pt>
                <c:pt idx="1">
                  <c:v>HepG2 (p) cells</c:v>
                </c:pt>
              </c:strCache>
            </c:strRef>
          </c:cat>
          <c:val>
            <c:numRef>
              <c:f>Sheet1!$P$218:$P$219</c:f>
              <c:numCache>
                <c:formatCode>0.0</c:formatCode>
                <c:ptCount val="2"/>
                <c:pt idx="0" formatCode="General">
                  <c:v>1</c:v>
                </c:pt>
                <c:pt idx="1">
                  <c:v>1.492501414827391</c:v>
                </c:pt>
              </c:numCache>
            </c:numRef>
          </c:val>
          <c:extLst>
            <c:ext xmlns:c16="http://schemas.microsoft.com/office/drawing/2014/chart" uri="{C3380CC4-5D6E-409C-BE32-E72D297353CC}">
              <c16:uniqueId val="{00000004-CAD1-474B-8A7A-587D3FEE21F3}"/>
            </c:ext>
          </c:extLst>
        </c:ser>
        <c:dLbls>
          <c:showLegendKey val="0"/>
          <c:showVal val="0"/>
          <c:showCatName val="0"/>
          <c:showSerName val="0"/>
          <c:showPercent val="0"/>
          <c:showBubbleSize val="0"/>
        </c:dLbls>
        <c:gapWidth val="150"/>
        <c:axId val="133443584"/>
        <c:axId val="133445888"/>
      </c:barChart>
      <c:catAx>
        <c:axId val="133443584"/>
        <c:scaling>
          <c:orientation val="minMax"/>
        </c:scaling>
        <c:delete val="0"/>
        <c:axPos val="b"/>
        <c:title>
          <c:tx>
            <c:rich>
              <a:bodyPr/>
              <a:lstStyle/>
              <a:p>
                <a:pPr>
                  <a:defRPr sz="1200" b="1" i="0" u="none" strike="noStrike" baseline="0">
                    <a:solidFill>
                      <a:srgbClr val="000000"/>
                    </a:solidFill>
                    <a:latin typeface="Calibri"/>
                    <a:ea typeface="Calibri"/>
                    <a:cs typeface="Calibri"/>
                  </a:defRPr>
                </a:pPr>
                <a:r>
                  <a:rPr lang="en-US" sz="1200"/>
                  <a:t>Basal conditions </a:t>
                </a:r>
              </a:p>
            </c:rich>
          </c:tx>
          <c:layout>
            <c:manualLayout>
              <c:xMode val="edge"/>
              <c:yMode val="edge"/>
              <c:x val="0.39576664619050456"/>
              <c:y val="0.87978635765383328"/>
            </c:manualLayout>
          </c:layout>
          <c:overlay val="0"/>
          <c:spPr>
            <a:noFill/>
            <a:ln w="25400">
              <a:noFill/>
            </a:ln>
          </c:spPr>
        </c:title>
        <c:numFmt formatCode="General" sourceLinked="1"/>
        <c:majorTickMark val="out"/>
        <c:minorTickMark val="none"/>
        <c:tickLblPos val="nextTo"/>
        <c:spPr>
          <a:ln w="31750">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133445888"/>
        <c:crosses val="autoZero"/>
        <c:auto val="1"/>
        <c:lblAlgn val="ctr"/>
        <c:lblOffset val="100"/>
        <c:noMultiLvlLbl val="0"/>
      </c:catAx>
      <c:valAx>
        <c:axId val="133445888"/>
        <c:scaling>
          <c:orientation val="minMax"/>
          <c:max val="3"/>
        </c:scaling>
        <c:delete val="0"/>
        <c:axPos val="l"/>
        <c:title>
          <c:tx>
            <c:rich>
              <a:bodyPr/>
              <a:lstStyle/>
              <a:p>
                <a:pPr>
                  <a:defRPr sz="1100" b="1" i="0" u="none" strike="noStrike" baseline="0">
                    <a:solidFill>
                      <a:srgbClr val="000000"/>
                    </a:solidFill>
                    <a:latin typeface="Calibri"/>
                    <a:ea typeface="Calibri"/>
                    <a:cs typeface="Calibri"/>
                  </a:defRPr>
                </a:pPr>
                <a:r>
                  <a:rPr lang="en-GB" sz="1100"/>
                  <a:t>Relative expression of cell surface TfR1</a:t>
                </a:r>
              </a:p>
            </c:rich>
          </c:tx>
          <c:layout>
            <c:manualLayout>
              <c:xMode val="edge"/>
              <c:yMode val="edge"/>
              <c:x val="2.1738928203594805E-2"/>
              <c:y val="3.8647342995169448E-2"/>
            </c:manualLayout>
          </c:layout>
          <c:overlay val="0"/>
          <c:spPr>
            <a:noFill/>
            <a:ln w="25400">
              <a:noFill/>
            </a:ln>
          </c:spPr>
        </c:title>
        <c:numFmt formatCode="General" sourceLinked="0"/>
        <c:majorTickMark val="out"/>
        <c:minorTickMark val="none"/>
        <c:tickLblPos val="nextTo"/>
        <c:spPr>
          <a:ln w="31750">
            <a:solidFill>
              <a:srgbClr val="000000"/>
            </a:solidFill>
            <a:prstDash val="solid"/>
          </a:ln>
        </c:spPr>
        <c:txPr>
          <a:bodyPr rot="0" vert="horz"/>
          <a:lstStyle/>
          <a:p>
            <a:pPr>
              <a:defRPr sz="1100" b="0" i="0" u="none" strike="noStrike" baseline="0">
                <a:solidFill>
                  <a:srgbClr val="000000"/>
                </a:solidFill>
                <a:latin typeface="Calibri"/>
                <a:ea typeface="Calibri"/>
                <a:cs typeface="Calibri"/>
              </a:defRPr>
            </a:pPr>
            <a:endParaRPr lang="en-US"/>
          </a:p>
        </c:txPr>
        <c:crossAx val="133443584"/>
        <c:crosses val="autoZero"/>
        <c:crossBetween val="between"/>
        <c:majorUnit val="1"/>
      </c:valAx>
      <c:spPr>
        <a:noFill/>
        <a:ln w="25400">
          <a:noFill/>
        </a:ln>
      </c:spPr>
    </c:plotArea>
    <c:plotVisOnly val="1"/>
    <c:dispBlanksAs val="gap"/>
    <c:showDLblsOverMax val="0"/>
  </c:chart>
  <c:spPr>
    <a:solidFill>
      <a:srgbClr val="FFFFFF"/>
    </a:solidFill>
    <a:ln w="12700">
      <a:noFill/>
      <a:prstDash val="solid"/>
    </a:ln>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0754780718052196"/>
          <c:y val="3.9307695233747955E-2"/>
          <c:w val="0.76729795381890042"/>
          <c:h val="0.68800755554091308"/>
        </c:manualLayout>
      </c:layout>
      <c:barChart>
        <c:barDir val="col"/>
        <c:grouping val="clustered"/>
        <c:varyColors val="0"/>
        <c:ser>
          <c:idx val="1"/>
          <c:order val="0"/>
          <c:tx>
            <c:v>Wt HepG2 cells</c:v>
          </c:tx>
          <c:spPr>
            <a:noFill/>
            <a:ln w="25400">
              <a:solidFill>
                <a:srgbClr val="000000"/>
              </a:solidFill>
              <a:prstDash val="solid"/>
            </a:ln>
          </c:spPr>
          <c:invertIfNegative val="0"/>
          <c:errBars>
            <c:errBarType val="both"/>
            <c:errValType val="cust"/>
            <c:noEndCap val="0"/>
            <c:plus>
              <c:numRef>
                <c:f>Sheet1!$R$227:$R$229</c:f>
                <c:numCache>
                  <c:formatCode>General</c:formatCode>
                  <c:ptCount val="3"/>
                  <c:pt idx="0">
                    <c:v>0</c:v>
                  </c:pt>
                  <c:pt idx="1">
                    <c:v>4.4950931752299514E-2</c:v>
                  </c:pt>
                  <c:pt idx="2">
                    <c:v>9.0639369948101067E-2</c:v>
                  </c:pt>
                </c:numCache>
              </c:numRef>
            </c:plus>
            <c:minus>
              <c:numRef>
                <c:f>Sheet1!$R$227:$R$229</c:f>
                <c:numCache>
                  <c:formatCode>General</c:formatCode>
                  <c:ptCount val="3"/>
                  <c:pt idx="0">
                    <c:v>0</c:v>
                  </c:pt>
                  <c:pt idx="1">
                    <c:v>4.4950931752299514E-2</c:v>
                  </c:pt>
                  <c:pt idx="2">
                    <c:v>9.0639369948101067E-2</c:v>
                  </c:pt>
                </c:numCache>
              </c:numRef>
            </c:minus>
            <c:spPr>
              <a:ln w="3175">
                <a:solidFill>
                  <a:srgbClr val="000000"/>
                </a:solidFill>
                <a:prstDash val="solid"/>
              </a:ln>
            </c:spPr>
          </c:errBars>
          <c:cat>
            <c:strRef>
              <c:f>Sheet1!$I$227:$I$229</c:f>
              <c:strCache>
                <c:ptCount val="3"/>
                <c:pt idx="0">
                  <c:v>Basal conditions</c:v>
                </c:pt>
                <c:pt idx="1">
                  <c:v>24 h (5 g/L)</c:v>
                </c:pt>
                <c:pt idx="2">
                  <c:v>48 h (5 g/L)</c:v>
                </c:pt>
              </c:strCache>
            </c:strRef>
          </c:cat>
          <c:val>
            <c:numRef>
              <c:f>Sheet1!$T$227:$T$229</c:f>
              <c:numCache>
                <c:formatCode>General</c:formatCode>
                <c:ptCount val="3"/>
                <c:pt idx="0">
                  <c:v>1</c:v>
                </c:pt>
                <c:pt idx="1">
                  <c:v>0.79</c:v>
                </c:pt>
                <c:pt idx="2">
                  <c:v>0.45</c:v>
                </c:pt>
              </c:numCache>
            </c:numRef>
          </c:val>
          <c:extLst>
            <c:ext xmlns:c16="http://schemas.microsoft.com/office/drawing/2014/chart" uri="{C3380CC4-5D6E-409C-BE32-E72D297353CC}">
              <c16:uniqueId val="{00000000-386E-49DD-94C3-27AE68076898}"/>
            </c:ext>
          </c:extLst>
        </c:ser>
        <c:ser>
          <c:idx val="0"/>
          <c:order val="1"/>
          <c:tx>
            <c:v>HepG2 (p) cells</c:v>
          </c:tx>
          <c:spPr>
            <a:solidFill>
              <a:sysClr val="window" lastClr="FFFFFF">
                <a:lumMod val="50000"/>
              </a:sysClr>
            </a:solidFill>
            <a:ln w="25400">
              <a:solidFill>
                <a:srgbClr val="000000"/>
              </a:solidFill>
              <a:prstDash val="solid"/>
            </a:ln>
          </c:spPr>
          <c:invertIfNegative val="0"/>
          <c:errBars>
            <c:errBarType val="both"/>
            <c:errValType val="cust"/>
            <c:noEndCap val="0"/>
            <c:plus>
              <c:numRef>
                <c:f>Sheet1!$R$232:$R$234</c:f>
                <c:numCache>
                  <c:formatCode>General</c:formatCode>
                  <c:ptCount val="3"/>
                  <c:pt idx="0">
                    <c:v>0</c:v>
                  </c:pt>
                  <c:pt idx="1">
                    <c:v>8.7082358645505939E-2</c:v>
                  </c:pt>
                  <c:pt idx="2">
                    <c:v>0.16626392046677144</c:v>
                  </c:pt>
                </c:numCache>
              </c:numRef>
            </c:plus>
            <c:minus>
              <c:numRef>
                <c:f>Sheet1!$R$232:$R$234</c:f>
                <c:numCache>
                  <c:formatCode>General</c:formatCode>
                  <c:ptCount val="3"/>
                  <c:pt idx="0">
                    <c:v>0</c:v>
                  </c:pt>
                  <c:pt idx="1">
                    <c:v>8.7082358645505939E-2</c:v>
                  </c:pt>
                  <c:pt idx="2">
                    <c:v>0.16626392046677144</c:v>
                  </c:pt>
                </c:numCache>
              </c:numRef>
            </c:minus>
            <c:spPr>
              <a:ln w="3175">
                <a:solidFill>
                  <a:srgbClr val="000000"/>
                </a:solidFill>
                <a:prstDash val="solid"/>
              </a:ln>
            </c:spPr>
          </c:errBars>
          <c:val>
            <c:numRef>
              <c:f>Sheet1!$T$232:$T$234</c:f>
              <c:numCache>
                <c:formatCode>General</c:formatCode>
                <c:ptCount val="3"/>
                <c:pt idx="0">
                  <c:v>1</c:v>
                </c:pt>
                <c:pt idx="1">
                  <c:v>0.9</c:v>
                </c:pt>
                <c:pt idx="2">
                  <c:v>0.44</c:v>
                </c:pt>
              </c:numCache>
            </c:numRef>
          </c:val>
          <c:extLst>
            <c:ext xmlns:c16="http://schemas.microsoft.com/office/drawing/2014/chart" uri="{C3380CC4-5D6E-409C-BE32-E72D297353CC}">
              <c16:uniqueId val="{00000001-386E-49DD-94C3-27AE68076898}"/>
            </c:ext>
          </c:extLst>
        </c:ser>
        <c:dLbls>
          <c:showLegendKey val="0"/>
          <c:showVal val="0"/>
          <c:showCatName val="0"/>
          <c:showSerName val="0"/>
          <c:showPercent val="0"/>
          <c:showBubbleSize val="0"/>
        </c:dLbls>
        <c:gapWidth val="150"/>
        <c:axId val="153914368"/>
        <c:axId val="153945216"/>
      </c:barChart>
      <c:catAx>
        <c:axId val="153914368"/>
        <c:scaling>
          <c:orientation val="minMax"/>
        </c:scaling>
        <c:delete val="0"/>
        <c:axPos val="b"/>
        <c:title>
          <c:tx>
            <c:rich>
              <a:bodyPr/>
              <a:lstStyle/>
              <a:p>
                <a:pPr>
                  <a:defRPr sz="1100" b="1" i="0" u="none" strike="noStrike" baseline="0">
                    <a:solidFill>
                      <a:srgbClr val="000000"/>
                    </a:solidFill>
                    <a:latin typeface="Calibri"/>
                    <a:ea typeface="Calibri"/>
                    <a:cs typeface="Calibri"/>
                  </a:defRPr>
                </a:pPr>
                <a:r>
                  <a:rPr lang="en-GB" sz="1100"/>
                  <a:t>Time </a:t>
                </a:r>
              </a:p>
            </c:rich>
          </c:tx>
          <c:layout>
            <c:manualLayout>
              <c:xMode val="edge"/>
              <c:yMode val="edge"/>
              <c:x val="0.54320425331449484"/>
              <c:y val="0.88889313522002222"/>
            </c:manualLayout>
          </c:layout>
          <c:overlay val="0"/>
          <c:spPr>
            <a:noFill/>
            <a:ln w="25400">
              <a:noFill/>
            </a:ln>
          </c:spPr>
        </c:title>
        <c:numFmt formatCode="General" sourceLinked="1"/>
        <c:majorTickMark val="out"/>
        <c:minorTickMark val="none"/>
        <c:tickLblPos val="nextTo"/>
        <c:spPr>
          <a:ln w="31750">
            <a:solidFill>
              <a:srgbClr val="000000"/>
            </a:solidFill>
            <a:prstDash val="solid"/>
          </a:ln>
        </c:spPr>
        <c:txPr>
          <a:bodyPr rot="0" vert="horz"/>
          <a:lstStyle/>
          <a:p>
            <a:pPr>
              <a:defRPr sz="1100" b="0" i="0" u="none" strike="noStrike" baseline="0">
                <a:solidFill>
                  <a:srgbClr val="000000"/>
                </a:solidFill>
                <a:latin typeface="Calibri"/>
                <a:ea typeface="Calibri"/>
                <a:cs typeface="Calibri"/>
              </a:defRPr>
            </a:pPr>
            <a:endParaRPr lang="en-US"/>
          </a:p>
        </c:txPr>
        <c:crossAx val="153945216"/>
        <c:crosses val="autoZero"/>
        <c:auto val="1"/>
        <c:lblAlgn val="ctr"/>
        <c:lblOffset val="100"/>
        <c:tickLblSkip val="1"/>
        <c:noMultiLvlLbl val="0"/>
      </c:catAx>
      <c:valAx>
        <c:axId val="153945216"/>
        <c:scaling>
          <c:orientation val="minMax"/>
          <c:max val="3"/>
        </c:scaling>
        <c:delete val="0"/>
        <c:axPos val="l"/>
        <c:title>
          <c:tx>
            <c:rich>
              <a:bodyPr/>
              <a:lstStyle/>
              <a:p>
                <a:pPr>
                  <a:defRPr sz="1100" b="1" i="0" u="none" strike="noStrike" baseline="0">
                    <a:solidFill>
                      <a:srgbClr val="000000"/>
                    </a:solidFill>
                    <a:latin typeface="Calibri"/>
                    <a:ea typeface="Calibri"/>
                    <a:cs typeface="Calibri"/>
                  </a:defRPr>
                </a:pPr>
                <a:r>
                  <a:rPr lang="en-GB" sz="1100"/>
                  <a:t>Relative expression of cell surface TfR1</a:t>
                </a:r>
              </a:p>
            </c:rich>
          </c:tx>
          <c:layout>
            <c:manualLayout>
              <c:xMode val="edge"/>
              <c:yMode val="edge"/>
              <c:x val="2.5157309961275211E-2"/>
              <c:y val="4.3478465987630152E-2"/>
            </c:manualLayout>
          </c:layout>
          <c:overlay val="0"/>
          <c:spPr>
            <a:noFill/>
            <a:ln w="25400">
              <a:noFill/>
            </a:ln>
          </c:spPr>
        </c:title>
        <c:numFmt formatCode="General" sourceLinked="0"/>
        <c:majorTickMark val="out"/>
        <c:minorTickMark val="none"/>
        <c:tickLblPos val="nextTo"/>
        <c:spPr>
          <a:ln w="31750">
            <a:solidFill>
              <a:srgbClr val="000000"/>
            </a:solidFill>
            <a:prstDash val="solid"/>
          </a:ln>
        </c:spPr>
        <c:crossAx val="153914368"/>
        <c:crosses val="autoZero"/>
        <c:crossBetween val="between"/>
        <c:majorUnit val="1"/>
      </c:valAx>
      <c:spPr>
        <a:noFill/>
        <a:ln w="25400">
          <a:noFill/>
        </a:ln>
      </c:spPr>
    </c:plotArea>
    <c:legend>
      <c:legendPos val="r"/>
      <c:layout>
        <c:manualLayout>
          <c:xMode val="edge"/>
          <c:yMode val="edge"/>
          <c:x val="0.59738824954572856"/>
          <c:y val="2.1567115826003142E-2"/>
          <c:w val="0.37002261509764695"/>
          <c:h val="0.1610316101791624"/>
        </c:manualLayout>
      </c:layout>
      <c:overlay val="0"/>
      <c:spPr>
        <a:noFill/>
        <a:ln w="25400">
          <a:noFill/>
        </a:ln>
      </c:spPr>
      <c:txPr>
        <a:bodyPr/>
        <a:lstStyle/>
        <a:p>
          <a:pPr>
            <a:defRPr sz="110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12700">
      <a:noFill/>
      <a:prstDash val="solid"/>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668715846994541"/>
          <c:y val="3.6855147823504526E-2"/>
          <c:w val="0.71762795992714024"/>
          <c:h val="0.86675739117515971"/>
        </c:manualLayout>
      </c:layout>
      <c:barChart>
        <c:barDir val="col"/>
        <c:grouping val="clustered"/>
        <c:varyColors val="0"/>
        <c:ser>
          <c:idx val="0"/>
          <c:order val="0"/>
          <c:spPr>
            <a:ln w="31750">
              <a:solidFill>
                <a:sysClr val="windowText" lastClr="000000"/>
              </a:solidFill>
            </a:ln>
          </c:spPr>
          <c:invertIfNegative val="0"/>
          <c:dPt>
            <c:idx val="0"/>
            <c:invertIfNegative val="0"/>
            <c:bubble3D val="0"/>
            <c:spPr>
              <a:noFill/>
              <a:ln w="31750">
                <a:solidFill>
                  <a:sysClr val="windowText" lastClr="000000"/>
                </a:solidFill>
              </a:ln>
            </c:spPr>
            <c:extLst>
              <c:ext xmlns:c16="http://schemas.microsoft.com/office/drawing/2014/chart" uri="{C3380CC4-5D6E-409C-BE32-E72D297353CC}">
                <c16:uniqueId val="{00000001-1C81-4F5C-B1EF-913D924F634E}"/>
              </c:ext>
            </c:extLst>
          </c:dPt>
          <c:dPt>
            <c:idx val="1"/>
            <c:invertIfNegative val="0"/>
            <c:bubble3D val="0"/>
            <c:spPr>
              <a:blipFill>
                <a:blip xmlns:r="http://schemas.openxmlformats.org/officeDocument/2006/relationships" r:embed="rId2"/>
                <a:tile tx="0" ty="0" sx="100000" sy="100000" flip="none" algn="tl"/>
              </a:blipFill>
              <a:ln w="31750">
                <a:solidFill>
                  <a:sysClr val="windowText" lastClr="000000"/>
                </a:solidFill>
              </a:ln>
            </c:spPr>
            <c:extLst>
              <c:ext xmlns:c16="http://schemas.microsoft.com/office/drawing/2014/chart" uri="{C3380CC4-5D6E-409C-BE32-E72D297353CC}">
                <c16:uniqueId val="{00000003-1C81-4F5C-B1EF-913D924F634E}"/>
              </c:ext>
            </c:extLst>
          </c:dPt>
          <c:errBars>
            <c:errBarType val="plus"/>
            <c:errValType val="cust"/>
            <c:noEndCap val="0"/>
            <c:plus>
              <c:numRef>
                <c:f>'Sheet1 (2)'!$U$118:$U$119</c:f>
                <c:numCache>
                  <c:formatCode>General</c:formatCode>
                  <c:ptCount val="2"/>
                  <c:pt idx="0">
                    <c:v>0.33012220964299466</c:v>
                  </c:pt>
                  <c:pt idx="1">
                    <c:v>1.2512572110945082</c:v>
                  </c:pt>
                </c:numCache>
              </c:numRef>
            </c:plus>
            <c:spPr>
              <a:ln w="1270">
                <a:solidFill>
                  <a:sysClr val="windowText" lastClr="000000"/>
                </a:solidFill>
              </a:ln>
            </c:spPr>
          </c:errBars>
          <c:cat>
            <c:strRef>
              <c:f>'Sheet1 (2)'!$R$114:$S$115</c:f>
              <c:strCache>
                <c:ptCount val="2"/>
                <c:pt idx="0">
                  <c:v>Wt HepG2 </c:v>
                </c:pt>
                <c:pt idx="1">
                  <c:v>Rec-TfR1 HepG2  </c:v>
                </c:pt>
              </c:strCache>
            </c:strRef>
          </c:cat>
          <c:val>
            <c:numRef>
              <c:f>'Sheet1 (2)'!$T$118:$T$119</c:f>
              <c:numCache>
                <c:formatCode>0.0</c:formatCode>
                <c:ptCount val="2"/>
                <c:pt idx="0">
                  <c:v>5.0658033623081664</c:v>
                </c:pt>
                <c:pt idx="1">
                  <c:v>15.466955468295389</c:v>
                </c:pt>
              </c:numCache>
            </c:numRef>
          </c:val>
          <c:extLst>
            <c:ext xmlns:c16="http://schemas.microsoft.com/office/drawing/2014/chart" uri="{C3380CC4-5D6E-409C-BE32-E72D297353CC}">
              <c16:uniqueId val="{00000004-1C81-4F5C-B1EF-913D924F634E}"/>
            </c:ext>
          </c:extLst>
        </c:ser>
        <c:dLbls>
          <c:showLegendKey val="0"/>
          <c:showVal val="0"/>
          <c:showCatName val="0"/>
          <c:showSerName val="0"/>
          <c:showPercent val="0"/>
          <c:showBubbleSize val="0"/>
        </c:dLbls>
        <c:gapWidth val="150"/>
        <c:axId val="114752512"/>
        <c:axId val="116660096"/>
      </c:barChart>
      <c:catAx>
        <c:axId val="114752512"/>
        <c:scaling>
          <c:orientation val="minMax"/>
        </c:scaling>
        <c:delete val="0"/>
        <c:axPos val="b"/>
        <c:numFmt formatCode="General" sourceLinked="1"/>
        <c:majorTickMark val="out"/>
        <c:minorTickMark val="none"/>
        <c:tickLblPos val="nextTo"/>
        <c:spPr>
          <a:ln w="31750">
            <a:solidFill>
              <a:sysClr val="windowText" lastClr="000000"/>
            </a:solidFill>
          </a:ln>
        </c:spPr>
        <c:txPr>
          <a:bodyPr rot="0" vert="horz"/>
          <a:lstStyle/>
          <a:p>
            <a:pPr>
              <a:defRPr sz="900" b="1" i="0" u="none" strike="noStrike" baseline="0">
                <a:solidFill>
                  <a:srgbClr val="000000"/>
                </a:solidFill>
                <a:latin typeface="Calibri"/>
                <a:ea typeface="Calibri"/>
                <a:cs typeface="Calibri"/>
              </a:defRPr>
            </a:pPr>
            <a:endParaRPr lang="en-US"/>
          </a:p>
        </c:txPr>
        <c:crossAx val="116660096"/>
        <c:crosses val="autoZero"/>
        <c:auto val="1"/>
        <c:lblAlgn val="ctr"/>
        <c:lblOffset val="100"/>
        <c:noMultiLvlLbl val="0"/>
      </c:catAx>
      <c:valAx>
        <c:axId val="116660096"/>
        <c:scaling>
          <c:orientation val="minMax"/>
          <c:max val="20"/>
        </c:scaling>
        <c:delete val="0"/>
        <c:axPos val="l"/>
        <c:title>
          <c:tx>
            <c:rich>
              <a:bodyPr/>
              <a:lstStyle/>
              <a:p>
                <a:pPr>
                  <a:defRPr sz="1300" b="1" i="0" u="none" strike="noStrike" baseline="0">
                    <a:solidFill>
                      <a:srgbClr val="000000"/>
                    </a:solidFill>
                    <a:latin typeface="Calibri"/>
                    <a:ea typeface="Calibri"/>
                    <a:cs typeface="Calibri"/>
                  </a:defRPr>
                </a:pPr>
                <a:r>
                  <a:rPr lang="en-US" sz="1300" b="1"/>
                  <a:t>nmoles Fe /mg protein </a:t>
                </a:r>
              </a:p>
            </c:rich>
          </c:tx>
          <c:layout>
            <c:manualLayout>
              <c:xMode val="edge"/>
              <c:yMode val="edge"/>
              <c:x val="1.3524590163934631E-4"/>
              <c:y val="0.10588302877234686"/>
            </c:manualLayout>
          </c:layout>
          <c:overlay val="0"/>
        </c:title>
        <c:numFmt formatCode="General" sourceLinked="0"/>
        <c:majorTickMark val="out"/>
        <c:minorTickMark val="none"/>
        <c:tickLblPos val="nextTo"/>
        <c:spPr>
          <a:ln w="31750">
            <a:solidFill>
              <a:schemeClr val="tx1"/>
            </a:solidFill>
          </a:ln>
        </c:spPr>
        <c:txPr>
          <a:bodyPr rot="0" vert="horz"/>
          <a:lstStyle/>
          <a:p>
            <a:pPr>
              <a:defRPr sz="1200" b="0" i="0" u="none" strike="noStrike" baseline="0">
                <a:solidFill>
                  <a:srgbClr val="000000"/>
                </a:solidFill>
                <a:latin typeface="Calibri"/>
                <a:ea typeface="Calibri"/>
                <a:cs typeface="Calibri"/>
              </a:defRPr>
            </a:pPr>
            <a:endParaRPr lang="en-US"/>
          </a:p>
        </c:txPr>
        <c:crossAx val="114752512"/>
        <c:crosses val="autoZero"/>
        <c:crossBetween val="between"/>
        <c:majorUnit val="5"/>
      </c:valAx>
    </c:plotArea>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889809625325219"/>
          <c:y val="3.6003065988432892E-2"/>
          <c:w val="0.85833602677394549"/>
          <c:h val="0.70944092165470463"/>
        </c:manualLayout>
      </c:layout>
      <c:barChart>
        <c:barDir val="col"/>
        <c:grouping val="clustered"/>
        <c:varyColors val="0"/>
        <c:ser>
          <c:idx val="0"/>
          <c:order val="0"/>
          <c:tx>
            <c:v>Wt HepG2 cells</c:v>
          </c:tx>
          <c:spPr>
            <a:noFill/>
            <a:ln w="25400">
              <a:solidFill>
                <a:srgbClr val="000000"/>
              </a:solidFill>
              <a:prstDash val="solid"/>
            </a:ln>
          </c:spPr>
          <c:invertIfNegative val="0"/>
          <c:errBars>
            <c:errBarType val="both"/>
            <c:errValType val="cust"/>
            <c:noEndCap val="0"/>
            <c:plus>
              <c:numRef>
                <c:f>Sheet1!$Q$9:$Q$14</c:f>
                <c:numCache>
                  <c:formatCode>General</c:formatCode>
                  <c:ptCount val="6"/>
                  <c:pt idx="0">
                    <c:v>0.15000000000000024</c:v>
                  </c:pt>
                  <c:pt idx="1">
                    <c:v>0.2</c:v>
                  </c:pt>
                  <c:pt idx="2">
                    <c:v>0.60000000000000064</c:v>
                  </c:pt>
                  <c:pt idx="3">
                    <c:v>0.9</c:v>
                  </c:pt>
                  <c:pt idx="4">
                    <c:v>0.8</c:v>
                  </c:pt>
                  <c:pt idx="5">
                    <c:v>0.8</c:v>
                  </c:pt>
                </c:numCache>
              </c:numRef>
            </c:plus>
            <c:minus>
              <c:numRef>
                <c:f>Sheet1!$Q$9:$Q$14</c:f>
                <c:numCache>
                  <c:formatCode>General</c:formatCode>
                  <c:ptCount val="6"/>
                  <c:pt idx="0">
                    <c:v>0.15000000000000024</c:v>
                  </c:pt>
                  <c:pt idx="1">
                    <c:v>0.2</c:v>
                  </c:pt>
                  <c:pt idx="2">
                    <c:v>0.60000000000000064</c:v>
                  </c:pt>
                  <c:pt idx="3">
                    <c:v>0.9</c:v>
                  </c:pt>
                  <c:pt idx="4">
                    <c:v>0.8</c:v>
                  </c:pt>
                  <c:pt idx="5">
                    <c:v>0.8</c:v>
                  </c:pt>
                </c:numCache>
              </c:numRef>
            </c:minus>
            <c:spPr>
              <a:solidFill>
                <a:srgbClr val="0000FF"/>
              </a:solidFill>
              <a:ln w="1905">
                <a:solidFill>
                  <a:srgbClr val="000000"/>
                </a:solidFill>
                <a:prstDash val="solid"/>
              </a:ln>
            </c:spPr>
          </c:errBars>
          <c:cat>
            <c:strRef>
              <c:f>Sheet1!$P$1:$P$6</c:f>
              <c:strCache>
                <c:ptCount val="6"/>
                <c:pt idx="0">
                  <c:v>Basal </c:v>
                </c:pt>
                <c:pt idx="1">
                  <c:v>30 min</c:v>
                </c:pt>
                <c:pt idx="2">
                  <c:v>2 h</c:v>
                </c:pt>
                <c:pt idx="3">
                  <c:v>4 h</c:v>
                </c:pt>
                <c:pt idx="4">
                  <c:v>24 h </c:v>
                </c:pt>
                <c:pt idx="5">
                  <c:v>48 h </c:v>
                </c:pt>
              </c:strCache>
            </c:strRef>
          </c:cat>
          <c:val>
            <c:numRef>
              <c:f>Sheet1!$Q$1:$Q$6</c:f>
              <c:numCache>
                <c:formatCode>0.0</c:formatCode>
                <c:ptCount val="6"/>
                <c:pt idx="0" formatCode="General">
                  <c:v>5.0999999999999996</c:v>
                </c:pt>
                <c:pt idx="1">
                  <c:v>7.8999999999999995</c:v>
                </c:pt>
                <c:pt idx="2">
                  <c:v>8.4</c:v>
                </c:pt>
                <c:pt idx="3">
                  <c:v>8.6</c:v>
                </c:pt>
                <c:pt idx="4" formatCode="General">
                  <c:v>6</c:v>
                </c:pt>
                <c:pt idx="5" formatCode="General">
                  <c:v>5.6</c:v>
                </c:pt>
              </c:numCache>
            </c:numRef>
          </c:val>
          <c:extLst>
            <c:ext xmlns:c16="http://schemas.microsoft.com/office/drawing/2014/chart" uri="{C3380CC4-5D6E-409C-BE32-E72D297353CC}">
              <c16:uniqueId val="{00000000-4F54-46D1-8B08-D058D0C09843}"/>
            </c:ext>
          </c:extLst>
        </c:ser>
        <c:ser>
          <c:idx val="2"/>
          <c:order val="1"/>
          <c:tx>
            <c:v>HepG2 (p) cells</c:v>
          </c:tx>
          <c:spPr>
            <a:solidFill>
              <a:sysClr val="window" lastClr="FFFFFF">
                <a:lumMod val="50000"/>
              </a:sysClr>
            </a:solidFill>
            <a:ln w="25400">
              <a:solidFill>
                <a:srgbClr val="000000"/>
              </a:solidFill>
              <a:prstDash val="solid"/>
            </a:ln>
          </c:spPr>
          <c:invertIfNegative val="0"/>
          <c:errBars>
            <c:errBarType val="both"/>
            <c:errValType val="cust"/>
            <c:noEndCap val="0"/>
            <c:plus>
              <c:numRef>
                <c:f>Sheet1!$R$9:$R$14</c:f>
                <c:numCache>
                  <c:formatCode>General</c:formatCode>
                  <c:ptCount val="6"/>
                  <c:pt idx="0">
                    <c:v>0.2</c:v>
                  </c:pt>
                  <c:pt idx="1">
                    <c:v>0.5</c:v>
                  </c:pt>
                  <c:pt idx="2">
                    <c:v>0.1</c:v>
                  </c:pt>
                  <c:pt idx="3">
                    <c:v>0.56000000000000005</c:v>
                  </c:pt>
                  <c:pt idx="4">
                    <c:v>0.750000000000003</c:v>
                  </c:pt>
                  <c:pt idx="5">
                    <c:v>0.78</c:v>
                  </c:pt>
                </c:numCache>
              </c:numRef>
            </c:plus>
            <c:minus>
              <c:numRef>
                <c:f>Sheet1!$R$9:$R$14</c:f>
                <c:numCache>
                  <c:formatCode>General</c:formatCode>
                  <c:ptCount val="6"/>
                  <c:pt idx="0">
                    <c:v>0.2</c:v>
                  </c:pt>
                  <c:pt idx="1">
                    <c:v>0.5</c:v>
                  </c:pt>
                  <c:pt idx="2">
                    <c:v>0.1</c:v>
                  </c:pt>
                  <c:pt idx="3">
                    <c:v>0.56000000000000005</c:v>
                  </c:pt>
                  <c:pt idx="4">
                    <c:v>0.750000000000003</c:v>
                  </c:pt>
                  <c:pt idx="5">
                    <c:v>0.78</c:v>
                  </c:pt>
                </c:numCache>
              </c:numRef>
            </c:minus>
            <c:spPr>
              <a:solidFill>
                <a:srgbClr val="00FFFF"/>
              </a:solidFill>
              <a:ln w="1905">
                <a:solidFill>
                  <a:srgbClr val="000000"/>
                </a:solidFill>
                <a:prstDash val="solid"/>
              </a:ln>
            </c:spPr>
          </c:errBars>
          <c:cat>
            <c:strRef>
              <c:f>Sheet1!$P$1:$P$6</c:f>
              <c:strCache>
                <c:ptCount val="6"/>
                <c:pt idx="0">
                  <c:v>Basal </c:v>
                </c:pt>
                <c:pt idx="1">
                  <c:v>30 min</c:v>
                </c:pt>
                <c:pt idx="2">
                  <c:v>2 h</c:v>
                </c:pt>
                <c:pt idx="3">
                  <c:v>4 h</c:v>
                </c:pt>
                <c:pt idx="4">
                  <c:v>24 h </c:v>
                </c:pt>
                <c:pt idx="5">
                  <c:v>48 h </c:v>
                </c:pt>
              </c:strCache>
            </c:strRef>
          </c:cat>
          <c:val>
            <c:numRef>
              <c:f>Sheet1!$R$1:$R$6</c:f>
              <c:numCache>
                <c:formatCode>0.0</c:formatCode>
                <c:ptCount val="6"/>
                <c:pt idx="0" formatCode="General">
                  <c:v>5.7</c:v>
                </c:pt>
                <c:pt idx="1">
                  <c:v>7.166666666666667</c:v>
                </c:pt>
                <c:pt idx="2">
                  <c:v>7.8000000000000007</c:v>
                </c:pt>
                <c:pt idx="3">
                  <c:v>7.2</c:v>
                </c:pt>
                <c:pt idx="4" formatCode="General">
                  <c:v>7.6</c:v>
                </c:pt>
                <c:pt idx="5" formatCode="General">
                  <c:v>6.4</c:v>
                </c:pt>
              </c:numCache>
            </c:numRef>
          </c:val>
          <c:extLst>
            <c:ext xmlns:c16="http://schemas.microsoft.com/office/drawing/2014/chart" uri="{C3380CC4-5D6E-409C-BE32-E72D297353CC}">
              <c16:uniqueId val="{00000001-4F54-46D1-8B08-D058D0C09843}"/>
            </c:ext>
          </c:extLst>
        </c:ser>
        <c:dLbls>
          <c:showLegendKey val="0"/>
          <c:showVal val="0"/>
          <c:showCatName val="0"/>
          <c:showSerName val="0"/>
          <c:showPercent val="0"/>
          <c:showBubbleSize val="0"/>
        </c:dLbls>
        <c:gapWidth val="150"/>
        <c:axId val="159192960"/>
        <c:axId val="159203328"/>
      </c:barChart>
      <c:catAx>
        <c:axId val="159192960"/>
        <c:scaling>
          <c:orientation val="minMax"/>
        </c:scaling>
        <c:delete val="0"/>
        <c:axPos val="b"/>
        <c:title>
          <c:tx>
            <c:rich>
              <a:bodyPr/>
              <a:lstStyle/>
              <a:p>
                <a:pPr algn="l">
                  <a:defRPr sz="1100" b="1" i="0" u="none" strike="noStrike" baseline="0">
                    <a:solidFill>
                      <a:srgbClr val="000000"/>
                    </a:solidFill>
                    <a:latin typeface="Calibri"/>
                    <a:ea typeface="Calibri"/>
                    <a:cs typeface="Calibri"/>
                  </a:defRPr>
                </a:pPr>
                <a:r>
                  <a:rPr lang="en-GB" sz="1100" b="1"/>
                  <a:t>               Time following 5 g/L holo-Tf</a:t>
                </a:r>
                <a:r>
                  <a:rPr lang="en-GB" sz="1100" b="1" baseline="0"/>
                  <a:t> treatment </a:t>
                </a:r>
                <a:r>
                  <a:rPr lang="en-GB" sz="1100" b="1"/>
                  <a:t> </a:t>
                </a:r>
              </a:p>
            </c:rich>
          </c:tx>
          <c:layout>
            <c:manualLayout>
              <c:xMode val="edge"/>
              <c:yMode val="edge"/>
              <c:x val="0.20008023014590523"/>
              <c:y val="0.89716814159291525"/>
            </c:manualLayout>
          </c:layout>
          <c:overlay val="0"/>
          <c:spPr>
            <a:noFill/>
            <a:ln w="25400">
              <a:noFill/>
            </a:ln>
          </c:spPr>
        </c:title>
        <c:numFmt formatCode="General" sourceLinked="1"/>
        <c:majorTickMark val="out"/>
        <c:minorTickMark val="none"/>
        <c:tickLblPos val="nextTo"/>
        <c:spPr>
          <a:ln w="31750">
            <a:solidFill>
              <a:srgbClr val="000000"/>
            </a:solidFill>
            <a:prstDash val="solid"/>
          </a:ln>
        </c:spPr>
        <c:txPr>
          <a:bodyPr rot="0" vert="horz"/>
          <a:lstStyle/>
          <a:p>
            <a:pPr>
              <a:defRPr sz="1100" b="0" i="0" u="none" strike="noStrike" baseline="0">
                <a:solidFill>
                  <a:srgbClr val="000000"/>
                </a:solidFill>
                <a:latin typeface="Calibri"/>
                <a:ea typeface="Calibri"/>
                <a:cs typeface="Calibri"/>
              </a:defRPr>
            </a:pPr>
            <a:endParaRPr lang="en-US"/>
          </a:p>
        </c:txPr>
        <c:crossAx val="159203328"/>
        <c:crosses val="autoZero"/>
        <c:auto val="1"/>
        <c:lblAlgn val="ctr"/>
        <c:lblOffset val="100"/>
        <c:tickLblSkip val="1"/>
        <c:tickMarkSkip val="1"/>
        <c:noMultiLvlLbl val="0"/>
      </c:catAx>
      <c:valAx>
        <c:axId val="159203328"/>
        <c:scaling>
          <c:orientation val="minMax"/>
          <c:max val="12"/>
          <c:min val="0"/>
        </c:scaling>
        <c:delete val="0"/>
        <c:axPos val="l"/>
        <c:title>
          <c:tx>
            <c:rich>
              <a:bodyPr/>
              <a:lstStyle/>
              <a:p>
                <a:pPr>
                  <a:defRPr sz="1100" b="1" i="0" u="none" strike="noStrike" baseline="0">
                    <a:solidFill>
                      <a:srgbClr val="000000"/>
                    </a:solidFill>
                    <a:latin typeface="Calibri"/>
                    <a:ea typeface="Calibri"/>
                    <a:cs typeface="Calibri"/>
                  </a:defRPr>
                </a:pPr>
                <a:r>
                  <a:rPr lang="en-GB" sz="1100"/>
                  <a:t>Hepcidin ng/mL</a:t>
                </a:r>
              </a:p>
            </c:rich>
          </c:tx>
          <c:layout>
            <c:manualLayout>
              <c:xMode val="edge"/>
              <c:yMode val="edge"/>
              <c:x val="2.2922898829786016E-5"/>
              <c:y val="0.15486725663716952"/>
            </c:manualLayout>
          </c:layout>
          <c:overlay val="0"/>
          <c:spPr>
            <a:noFill/>
            <a:ln w="25400">
              <a:noFill/>
            </a:ln>
          </c:spPr>
        </c:title>
        <c:numFmt formatCode="0" sourceLinked="0"/>
        <c:majorTickMark val="out"/>
        <c:minorTickMark val="none"/>
        <c:tickLblPos val="nextTo"/>
        <c:spPr>
          <a:ln w="31750">
            <a:solidFill>
              <a:srgbClr val="000000"/>
            </a:solidFill>
            <a:prstDash val="solid"/>
          </a:ln>
        </c:spPr>
        <c:txPr>
          <a:bodyPr rot="0" vert="horz"/>
          <a:lstStyle/>
          <a:p>
            <a:pPr>
              <a:defRPr sz="1100" b="0" i="0" u="none" strike="noStrike" baseline="0">
                <a:solidFill>
                  <a:srgbClr val="000000"/>
                </a:solidFill>
                <a:latin typeface="Calibri"/>
                <a:ea typeface="Calibri"/>
                <a:cs typeface="Calibri"/>
              </a:defRPr>
            </a:pPr>
            <a:endParaRPr lang="en-US"/>
          </a:p>
        </c:txPr>
        <c:crossAx val="159192960"/>
        <c:crosses val="autoZero"/>
        <c:crossBetween val="between"/>
        <c:majorUnit val="3"/>
      </c:valAx>
      <c:spPr>
        <a:noFill/>
        <a:ln w="25400">
          <a:noFill/>
        </a:ln>
      </c:spPr>
    </c:plotArea>
    <c:legend>
      <c:legendPos val="r"/>
      <c:layout>
        <c:manualLayout>
          <c:xMode val="edge"/>
          <c:yMode val="edge"/>
          <c:x val="0.65001469523830802"/>
          <c:y val="4.4247787610619494E-3"/>
          <c:w val="0.34648301274318427"/>
          <c:h val="0.15729333420099506"/>
        </c:manualLayout>
      </c:layout>
      <c:overlay val="0"/>
      <c:spPr>
        <a:solidFill>
          <a:srgbClr val="FFFFFF"/>
        </a:solidFill>
        <a:ln w="25400">
          <a:noFill/>
        </a:ln>
      </c:spPr>
      <c:txPr>
        <a:bodyPr/>
        <a:lstStyle/>
        <a:p>
          <a:pPr>
            <a:defRPr sz="110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12700">
      <a:noFill/>
      <a:prstDash val="solid"/>
    </a:ln>
  </c:spPr>
  <c:txPr>
    <a:bodyPr/>
    <a:lstStyle/>
    <a:p>
      <a:pPr>
        <a:defRPr sz="800" b="0" i="0" u="none" strike="noStrike" baseline="0">
          <a:solidFill>
            <a:srgbClr val="000000"/>
          </a:solidFill>
          <a:latin typeface="Arial"/>
          <a:ea typeface="Arial"/>
          <a:cs typeface="Arial"/>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67504272570488"/>
          <c:y val="3.7232943921226093E-2"/>
          <c:w val="0.75081201457008229"/>
          <c:h val="0.65959561308540204"/>
        </c:manualLayout>
      </c:layout>
      <c:barChart>
        <c:barDir val="col"/>
        <c:grouping val="clustered"/>
        <c:varyColors val="0"/>
        <c:ser>
          <c:idx val="0"/>
          <c:order val="0"/>
          <c:spPr>
            <a:solidFill>
              <a:schemeClr val="tx1">
                <a:lumMod val="85000"/>
                <a:lumOff val="15000"/>
              </a:schemeClr>
            </a:solidFill>
            <a:ln w="31750">
              <a:solidFill>
                <a:schemeClr val="tx1"/>
              </a:solidFill>
            </a:ln>
          </c:spPr>
          <c:invertIfNegative val="0"/>
          <c:errBars>
            <c:errBarType val="both"/>
            <c:errValType val="cust"/>
            <c:noEndCap val="0"/>
            <c:plus>
              <c:numRef>
                <c:f>'WTHepG2 F.B (2)'!$H$298:$H$300</c:f>
                <c:numCache>
                  <c:formatCode>General</c:formatCode>
                  <c:ptCount val="3"/>
                  <c:pt idx="0">
                    <c:v>0</c:v>
                  </c:pt>
                  <c:pt idx="1">
                    <c:v>1.9377908383861581E-2</c:v>
                  </c:pt>
                  <c:pt idx="2">
                    <c:v>0</c:v>
                  </c:pt>
                </c:numCache>
              </c:numRef>
            </c:plus>
            <c:minus>
              <c:numRef>
                <c:f>'WTHepG2 F.B (2)'!$H$298:$H$300</c:f>
                <c:numCache>
                  <c:formatCode>General</c:formatCode>
                  <c:ptCount val="3"/>
                  <c:pt idx="0">
                    <c:v>0</c:v>
                  </c:pt>
                  <c:pt idx="1">
                    <c:v>1.9377908383861581E-2</c:v>
                  </c:pt>
                  <c:pt idx="2">
                    <c:v>0</c:v>
                  </c:pt>
                </c:numCache>
              </c:numRef>
            </c:minus>
            <c:spPr>
              <a:ln w="1905"/>
            </c:spPr>
          </c:errBars>
          <c:cat>
            <c:strRef>
              <c:f>'WTHepG2 F.B (2)'!$G$321:$G$322</c:f>
              <c:strCache>
                <c:ptCount val="2"/>
                <c:pt idx="0">
                  <c:v>0 g/L </c:v>
                </c:pt>
                <c:pt idx="1">
                  <c:v>5 g/L </c:v>
                </c:pt>
              </c:strCache>
            </c:strRef>
          </c:cat>
          <c:val>
            <c:numRef>
              <c:f>'WTHepG2 F.B (2)'!$J$298:$J$299</c:f>
              <c:numCache>
                <c:formatCode>0.00</c:formatCode>
                <c:ptCount val="2"/>
                <c:pt idx="0">
                  <c:v>0</c:v>
                </c:pt>
                <c:pt idx="1">
                  <c:v>117.85802469135812</c:v>
                </c:pt>
              </c:numCache>
            </c:numRef>
          </c:val>
          <c:extLst>
            <c:ext xmlns:c16="http://schemas.microsoft.com/office/drawing/2014/chart" uri="{C3380CC4-5D6E-409C-BE32-E72D297353CC}">
              <c16:uniqueId val="{00000000-6EB0-43A9-9F30-8FC4B2AF4006}"/>
            </c:ext>
          </c:extLst>
        </c:ser>
        <c:dLbls>
          <c:showLegendKey val="0"/>
          <c:showVal val="0"/>
          <c:showCatName val="0"/>
          <c:showSerName val="0"/>
          <c:showPercent val="0"/>
          <c:showBubbleSize val="0"/>
        </c:dLbls>
        <c:gapWidth val="150"/>
        <c:axId val="159262208"/>
        <c:axId val="159278208"/>
      </c:barChart>
      <c:catAx>
        <c:axId val="159262208"/>
        <c:scaling>
          <c:orientation val="minMax"/>
        </c:scaling>
        <c:delete val="0"/>
        <c:axPos val="b"/>
        <c:title>
          <c:tx>
            <c:rich>
              <a:bodyPr/>
              <a:lstStyle/>
              <a:p>
                <a:pPr>
                  <a:defRPr sz="1200" b="1" i="0" u="none" strike="noStrike" baseline="0">
                    <a:solidFill>
                      <a:srgbClr val="000000"/>
                    </a:solidFill>
                    <a:latin typeface="Calibri"/>
                    <a:ea typeface="Calibri"/>
                    <a:cs typeface="Calibri"/>
                  </a:defRPr>
                </a:pPr>
                <a:r>
                  <a:rPr lang="en-GB" sz="1200"/>
                  <a:t>Treatment media </a:t>
                </a:r>
              </a:p>
            </c:rich>
          </c:tx>
          <c:layout>
            <c:manualLayout>
              <c:xMode val="edge"/>
              <c:yMode val="edge"/>
              <c:x val="0.37762723952984673"/>
              <c:y val="0.89117629904105056"/>
            </c:manualLayout>
          </c:layout>
          <c:overlay val="0"/>
        </c:title>
        <c:numFmt formatCode="General" sourceLinked="1"/>
        <c:majorTickMark val="out"/>
        <c:minorTickMark val="none"/>
        <c:tickLblPos val="nextTo"/>
        <c:spPr>
          <a:ln w="25400">
            <a:solidFill>
              <a:schemeClr val="tx1"/>
            </a:solidFill>
          </a:ln>
        </c:spPr>
        <c:txPr>
          <a:bodyPr rot="0" vert="horz"/>
          <a:lstStyle/>
          <a:p>
            <a:pPr>
              <a:defRPr sz="1100" b="0" i="0" u="none" strike="noStrike" baseline="0">
                <a:solidFill>
                  <a:srgbClr val="000000"/>
                </a:solidFill>
                <a:latin typeface="Calibri"/>
                <a:ea typeface="Calibri"/>
                <a:cs typeface="Calibri"/>
              </a:defRPr>
            </a:pPr>
            <a:endParaRPr lang="en-US"/>
          </a:p>
        </c:txPr>
        <c:crossAx val="159278208"/>
        <c:crossesAt val="0"/>
        <c:auto val="1"/>
        <c:lblAlgn val="ctr"/>
        <c:lblOffset val="100"/>
        <c:noMultiLvlLbl val="0"/>
      </c:catAx>
      <c:valAx>
        <c:axId val="159278208"/>
        <c:scaling>
          <c:orientation val="minMax"/>
          <c:max val="150"/>
          <c:min val="0"/>
        </c:scaling>
        <c:delete val="0"/>
        <c:axPos val="l"/>
        <c:title>
          <c:tx>
            <c:rich>
              <a:bodyPr/>
              <a:lstStyle/>
              <a:p>
                <a:pPr>
                  <a:defRPr sz="1200" b="1" i="0" u="none" strike="noStrike" baseline="0">
                    <a:solidFill>
                      <a:srgbClr val="000000"/>
                    </a:solidFill>
                    <a:latin typeface="Calibri"/>
                    <a:ea typeface="Calibri"/>
                    <a:cs typeface="Calibri"/>
                  </a:defRPr>
                </a:pPr>
                <a:r>
                  <a:rPr lang="en-GB" sz="1200"/>
                  <a:t>µM  iron </a:t>
                </a:r>
              </a:p>
            </c:rich>
          </c:tx>
          <c:layout>
            <c:manualLayout>
              <c:xMode val="edge"/>
              <c:yMode val="edge"/>
              <c:x val="1.0345486705466181E-2"/>
              <c:y val="0.19996534746882344"/>
            </c:manualLayout>
          </c:layout>
          <c:overlay val="0"/>
        </c:title>
        <c:numFmt formatCode="General" sourceLinked="0"/>
        <c:majorTickMark val="out"/>
        <c:minorTickMark val="none"/>
        <c:tickLblPos val="nextTo"/>
        <c:spPr>
          <a:ln w="25400">
            <a:solidFill>
              <a:schemeClr val="tx1"/>
            </a:solidFill>
          </a:ln>
        </c:spPr>
        <c:txPr>
          <a:bodyPr rot="0" vert="horz"/>
          <a:lstStyle/>
          <a:p>
            <a:pPr>
              <a:defRPr sz="1100" b="0" i="0" u="none" strike="noStrike" baseline="0">
                <a:solidFill>
                  <a:srgbClr val="000000"/>
                </a:solidFill>
                <a:latin typeface="Calibri"/>
                <a:ea typeface="Calibri"/>
                <a:cs typeface="Calibri"/>
              </a:defRPr>
            </a:pPr>
            <a:endParaRPr lang="en-US"/>
          </a:p>
        </c:txPr>
        <c:crossAx val="159262208"/>
        <c:crosses val="autoZero"/>
        <c:crossBetween val="between"/>
        <c:majorUnit val="50"/>
      </c:valAx>
    </c:plotArea>
    <c:plotVisOnly val="1"/>
    <c:dispBlanksAs val="gap"/>
    <c:showDLblsOverMax val="0"/>
  </c:chart>
  <c:spPr>
    <a:ln w="25400">
      <a:noFill/>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1283811785262313"/>
          <c:y val="3.6810303893637229E-2"/>
          <c:w val="0.77279062734512627"/>
          <c:h val="0.83332700221589229"/>
        </c:manualLayout>
      </c:layout>
      <c:barChart>
        <c:barDir val="col"/>
        <c:grouping val="clustered"/>
        <c:varyColors val="0"/>
        <c:ser>
          <c:idx val="0"/>
          <c:order val="0"/>
          <c:spPr>
            <a:noFill/>
            <a:ln w="25400">
              <a:solidFill>
                <a:schemeClr val="tx1"/>
              </a:solidFill>
            </a:ln>
          </c:spPr>
          <c:invertIfNegative val="0"/>
          <c:dPt>
            <c:idx val="1"/>
            <c:invertIfNegative val="0"/>
            <c:bubble3D val="0"/>
            <c:spPr>
              <a:solidFill>
                <a:schemeClr val="tx1">
                  <a:lumMod val="75000"/>
                  <a:lumOff val="25000"/>
                </a:schemeClr>
              </a:solidFill>
              <a:ln w="25400">
                <a:solidFill>
                  <a:schemeClr val="tx1"/>
                </a:solidFill>
              </a:ln>
            </c:spPr>
            <c:extLst>
              <c:ext xmlns:c16="http://schemas.microsoft.com/office/drawing/2014/chart" uri="{C3380CC4-5D6E-409C-BE32-E72D297353CC}">
                <c16:uniqueId val="{00000001-222A-461B-AFD5-8D7DAFD2E5A0}"/>
              </c:ext>
            </c:extLst>
          </c:dPt>
          <c:errBars>
            <c:errBarType val="plus"/>
            <c:errValType val="cust"/>
            <c:noEndCap val="0"/>
            <c:plus>
              <c:numRef>
                <c:f>Sheet1!$G$262:$G$263</c:f>
                <c:numCache>
                  <c:formatCode>General</c:formatCode>
                  <c:ptCount val="2"/>
                  <c:pt idx="0">
                    <c:v>0.5</c:v>
                  </c:pt>
                  <c:pt idx="1">
                    <c:v>0.4</c:v>
                  </c:pt>
                </c:numCache>
              </c:numRef>
            </c:plus>
            <c:minus>
              <c:numRef>
                <c:f>Sheet1!$G$262:$G$263</c:f>
                <c:numCache>
                  <c:formatCode>General</c:formatCode>
                  <c:ptCount val="2"/>
                  <c:pt idx="0">
                    <c:v>0.5</c:v>
                  </c:pt>
                  <c:pt idx="1">
                    <c:v>0.4</c:v>
                  </c:pt>
                </c:numCache>
              </c:numRef>
            </c:minus>
            <c:spPr>
              <a:ln w="1905"/>
            </c:spPr>
          </c:errBars>
          <c:cat>
            <c:strRef>
              <c:f>Sheet1!$E$264:$E$265</c:f>
              <c:strCache>
                <c:ptCount val="2"/>
                <c:pt idx="0">
                  <c:v>Wt HepG2 </c:v>
                </c:pt>
                <c:pt idx="1">
                  <c:v>Rec-TfR1 HepG2</c:v>
                </c:pt>
              </c:strCache>
            </c:strRef>
          </c:cat>
          <c:val>
            <c:numRef>
              <c:f>Sheet1!$F$262:$F$263</c:f>
              <c:numCache>
                <c:formatCode>0.0</c:formatCode>
                <c:ptCount val="2"/>
                <c:pt idx="0">
                  <c:v>4.9000000000000004</c:v>
                </c:pt>
                <c:pt idx="1">
                  <c:v>4.7</c:v>
                </c:pt>
              </c:numCache>
            </c:numRef>
          </c:val>
          <c:extLst>
            <c:ext xmlns:c16="http://schemas.microsoft.com/office/drawing/2014/chart" uri="{C3380CC4-5D6E-409C-BE32-E72D297353CC}">
              <c16:uniqueId val="{00000002-222A-461B-AFD5-8D7DAFD2E5A0}"/>
            </c:ext>
          </c:extLst>
        </c:ser>
        <c:dLbls>
          <c:showLegendKey val="0"/>
          <c:showVal val="0"/>
          <c:showCatName val="0"/>
          <c:showSerName val="0"/>
          <c:showPercent val="0"/>
          <c:showBubbleSize val="0"/>
        </c:dLbls>
        <c:gapWidth val="150"/>
        <c:axId val="118771072"/>
        <c:axId val="122119680"/>
      </c:barChart>
      <c:catAx>
        <c:axId val="118771072"/>
        <c:scaling>
          <c:orientation val="minMax"/>
        </c:scaling>
        <c:delete val="0"/>
        <c:axPos val="b"/>
        <c:numFmt formatCode="General" sourceLinked="1"/>
        <c:majorTickMark val="out"/>
        <c:minorTickMark val="none"/>
        <c:tickLblPos val="nextTo"/>
        <c:spPr>
          <a:ln w="31750">
            <a:solidFill>
              <a:schemeClr val="tx1"/>
            </a:solidFill>
          </a:ln>
        </c:spPr>
        <c:txPr>
          <a:bodyPr/>
          <a:lstStyle/>
          <a:p>
            <a:pPr>
              <a:defRPr sz="900" b="1"/>
            </a:pPr>
            <a:endParaRPr lang="en-US"/>
          </a:p>
        </c:txPr>
        <c:crossAx val="122119680"/>
        <c:crossesAt val="0"/>
        <c:auto val="1"/>
        <c:lblAlgn val="ctr"/>
        <c:lblOffset val="100"/>
        <c:noMultiLvlLbl val="0"/>
      </c:catAx>
      <c:valAx>
        <c:axId val="122119680"/>
        <c:scaling>
          <c:orientation val="minMax"/>
          <c:min val="0"/>
        </c:scaling>
        <c:delete val="0"/>
        <c:axPos val="l"/>
        <c:title>
          <c:tx>
            <c:rich>
              <a:bodyPr rot="-5400000" vert="horz"/>
              <a:lstStyle/>
              <a:p>
                <a:pPr>
                  <a:defRPr sz="1300"/>
                </a:pPr>
                <a:r>
                  <a:rPr lang="en-GB" sz="1300"/>
                  <a:t>Hepcidin secretion ng/mL </a:t>
                </a:r>
              </a:p>
            </c:rich>
          </c:tx>
          <c:layout>
            <c:manualLayout>
              <c:xMode val="edge"/>
              <c:yMode val="edge"/>
              <c:x val="0"/>
              <c:y val="5.0628463108778061E-2"/>
            </c:manualLayout>
          </c:layout>
          <c:overlay val="0"/>
        </c:title>
        <c:numFmt formatCode="General" sourceLinked="0"/>
        <c:majorTickMark val="out"/>
        <c:minorTickMark val="none"/>
        <c:tickLblPos val="nextTo"/>
        <c:spPr>
          <a:ln w="31750">
            <a:solidFill>
              <a:schemeClr val="tx1"/>
            </a:solidFill>
          </a:ln>
        </c:spPr>
        <c:txPr>
          <a:bodyPr/>
          <a:lstStyle/>
          <a:p>
            <a:pPr>
              <a:defRPr sz="1200"/>
            </a:pPr>
            <a:endParaRPr lang="en-US"/>
          </a:p>
        </c:txPr>
        <c:crossAx val="118771072"/>
        <c:crosses val="autoZero"/>
        <c:crossBetween val="between"/>
        <c:majorUnit val="2"/>
      </c:valAx>
      <c:spPr>
        <a:noFill/>
        <a:ln w="25400">
          <a:noFill/>
        </a:ln>
      </c:spPr>
    </c:plotArea>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642076502732313"/>
          <c:y val="4.9056603773584909E-2"/>
          <c:w val="0.82103825136612063"/>
          <c:h val="0.72415477362204761"/>
        </c:manualLayout>
      </c:layout>
      <c:barChart>
        <c:barDir val="col"/>
        <c:grouping val="clustered"/>
        <c:varyColors val="0"/>
        <c:ser>
          <c:idx val="0"/>
          <c:order val="0"/>
          <c:tx>
            <c:v>Wt HepG2 cells </c:v>
          </c:tx>
          <c:spPr>
            <a:noFill/>
            <a:ln w="31750">
              <a:solidFill>
                <a:schemeClr val="tx1"/>
              </a:solidFill>
            </a:ln>
          </c:spPr>
          <c:invertIfNegative val="0"/>
          <c:errBars>
            <c:errBarType val="plus"/>
            <c:errValType val="cust"/>
            <c:noEndCap val="0"/>
            <c:plus>
              <c:numRef>
                <c:f>Sheet1!$O$5:$O$9</c:f>
                <c:numCache>
                  <c:formatCode>General</c:formatCode>
                  <c:ptCount val="5"/>
                  <c:pt idx="0">
                    <c:v>9.4449005809005785E-3</c:v>
                  </c:pt>
                  <c:pt idx="1">
                    <c:v>8.1445235615495992E-4</c:v>
                  </c:pt>
                  <c:pt idx="2">
                    <c:v>2.2902548185027324E-3</c:v>
                  </c:pt>
                  <c:pt idx="3">
                    <c:v>4.9231520074772541E-4</c:v>
                  </c:pt>
                  <c:pt idx="4">
                    <c:v>4.0000000000000022E-2</c:v>
                  </c:pt>
                </c:numCache>
              </c:numRef>
            </c:plus>
            <c:spPr>
              <a:noFill/>
              <a:ln w="31750">
                <a:solidFill>
                  <a:schemeClr val="tx1"/>
                </a:solidFill>
              </a:ln>
            </c:spPr>
          </c:errBars>
          <c:cat>
            <c:strRef>
              <c:f>Sheet1!$A$5:$A$8</c:f>
              <c:strCache>
                <c:ptCount val="4"/>
                <c:pt idx="0">
                  <c:v>HAMP</c:v>
                </c:pt>
                <c:pt idx="1">
                  <c:v>SLC40A1</c:v>
                </c:pt>
                <c:pt idx="2">
                  <c:v>HFE </c:v>
                </c:pt>
                <c:pt idx="3">
                  <c:v>TFR2</c:v>
                </c:pt>
              </c:strCache>
            </c:strRef>
          </c:cat>
          <c:val>
            <c:numRef>
              <c:f>Sheet1!$R$6:$R$9</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0-0A00-46E1-8B84-6AC55A42AA76}"/>
            </c:ext>
          </c:extLst>
        </c:ser>
        <c:ser>
          <c:idx val="1"/>
          <c:order val="1"/>
          <c:tx>
            <c:v>Rec-TfR1 HepG2 cells </c:v>
          </c:tx>
          <c:spPr>
            <a:solidFill>
              <a:schemeClr val="bg1">
                <a:lumMod val="50000"/>
              </a:schemeClr>
            </a:solidFill>
            <a:ln w="31750">
              <a:solidFill>
                <a:prstClr val="black"/>
              </a:solidFill>
            </a:ln>
          </c:spPr>
          <c:invertIfNegative val="0"/>
          <c:dPt>
            <c:idx val="0"/>
            <c:invertIfNegative val="0"/>
            <c:bubble3D val="0"/>
            <c:spPr>
              <a:pattFill prst="dkHorz">
                <a:fgClr>
                  <a:srgbClr val="000000"/>
                </a:fgClr>
                <a:bgClr>
                  <a:srgbClr val="FFFFFF"/>
                </a:bgClr>
              </a:pattFill>
              <a:ln w="31750">
                <a:solidFill>
                  <a:prstClr val="black"/>
                </a:solidFill>
              </a:ln>
            </c:spPr>
            <c:extLst>
              <c:ext xmlns:c16="http://schemas.microsoft.com/office/drawing/2014/chart" uri="{C3380CC4-5D6E-409C-BE32-E72D297353CC}">
                <c16:uniqueId val="{00000002-0A00-46E1-8B84-6AC55A42AA76}"/>
              </c:ext>
            </c:extLst>
          </c:dPt>
          <c:dPt>
            <c:idx val="1"/>
            <c:invertIfNegative val="0"/>
            <c:bubble3D val="0"/>
            <c:spPr>
              <a:pattFill prst="horzBrick">
                <a:fgClr>
                  <a:srgbClr val="000000"/>
                </a:fgClr>
                <a:bgClr>
                  <a:srgbClr val="FFFFFF"/>
                </a:bgClr>
              </a:pattFill>
              <a:ln w="31750">
                <a:solidFill>
                  <a:prstClr val="black"/>
                </a:solidFill>
              </a:ln>
            </c:spPr>
            <c:extLst>
              <c:ext xmlns:c16="http://schemas.microsoft.com/office/drawing/2014/chart" uri="{C3380CC4-5D6E-409C-BE32-E72D297353CC}">
                <c16:uniqueId val="{00000004-0A00-46E1-8B84-6AC55A42AA76}"/>
              </c:ext>
            </c:extLst>
          </c:dPt>
          <c:dPt>
            <c:idx val="2"/>
            <c:invertIfNegative val="0"/>
            <c:bubble3D val="0"/>
            <c:spPr>
              <a:pattFill prst="lgCheck">
                <a:fgClr>
                  <a:srgbClr val="000000"/>
                </a:fgClr>
                <a:bgClr>
                  <a:srgbClr val="FFFFFF"/>
                </a:bgClr>
              </a:pattFill>
              <a:ln w="31750">
                <a:solidFill>
                  <a:prstClr val="black"/>
                </a:solidFill>
              </a:ln>
            </c:spPr>
            <c:extLst>
              <c:ext xmlns:c16="http://schemas.microsoft.com/office/drawing/2014/chart" uri="{C3380CC4-5D6E-409C-BE32-E72D297353CC}">
                <c16:uniqueId val="{00000006-0A00-46E1-8B84-6AC55A42AA76}"/>
              </c:ext>
            </c:extLst>
          </c:dPt>
          <c:dPt>
            <c:idx val="3"/>
            <c:invertIfNegative val="0"/>
            <c:bubble3D val="0"/>
            <c:spPr>
              <a:pattFill prst="narVert">
                <a:fgClr>
                  <a:srgbClr val="000000"/>
                </a:fgClr>
                <a:bgClr>
                  <a:srgbClr val="FFFFFF"/>
                </a:bgClr>
              </a:pattFill>
              <a:ln w="31750">
                <a:solidFill>
                  <a:prstClr val="black"/>
                </a:solidFill>
              </a:ln>
            </c:spPr>
            <c:extLst>
              <c:ext xmlns:c16="http://schemas.microsoft.com/office/drawing/2014/chart" uri="{C3380CC4-5D6E-409C-BE32-E72D297353CC}">
                <c16:uniqueId val="{00000008-0A00-46E1-8B84-6AC55A42AA76}"/>
              </c:ext>
            </c:extLst>
          </c:dPt>
          <c:errBars>
            <c:errBarType val="plus"/>
            <c:errValType val="cust"/>
            <c:noEndCap val="0"/>
            <c:plus>
              <c:numRef>
                <c:f>Sheet1!$X$6:$X$9</c:f>
                <c:numCache>
                  <c:formatCode>General</c:formatCode>
                  <c:ptCount val="4"/>
                  <c:pt idx="0">
                    <c:v>1.417374829149662</c:v>
                  </c:pt>
                  <c:pt idx="1">
                    <c:v>1.5849847845250611</c:v>
                  </c:pt>
                  <c:pt idx="2">
                    <c:v>0.21085590394630124</c:v>
                  </c:pt>
                  <c:pt idx="3">
                    <c:v>0.32103258077613317</c:v>
                  </c:pt>
                </c:numCache>
              </c:numRef>
            </c:plus>
            <c:minus>
              <c:numRef>
                <c:f>Sheet1!$X$6:$X$9</c:f>
                <c:numCache>
                  <c:formatCode>General</c:formatCode>
                  <c:ptCount val="4"/>
                  <c:pt idx="0">
                    <c:v>1.417374829149662</c:v>
                  </c:pt>
                  <c:pt idx="1">
                    <c:v>1.5849847845250611</c:v>
                  </c:pt>
                  <c:pt idx="2">
                    <c:v>0.21085590394630124</c:v>
                  </c:pt>
                  <c:pt idx="3">
                    <c:v>0.32103258077613317</c:v>
                  </c:pt>
                </c:numCache>
              </c:numRef>
            </c:minus>
            <c:spPr>
              <a:solidFill>
                <a:schemeClr val="bg1">
                  <a:lumMod val="50000"/>
                </a:schemeClr>
              </a:solidFill>
              <a:ln w="1905">
                <a:solidFill>
                  <a:prstClr val="black"/>
                </a:solidFill>
              </a:ln>
            </c:spPr>
          </c:errBars>
          <c:cat>
            <c:strRef>
              <c:f>Sheet1!$A$5:$A$8</c:f>
              <c:strCache>
                <c:ptCount val="4"/>
                <c:pt idx="0">
                  <c:v>HAMP</c:v>
                </c:pt>
                <c:pt idx="1">
                  <c:v>SLC40A1</c:v>
                </c:pt>
                <c:pt idx="2">
                  <c:v>HFE </c:v>
                </c:pt>
                <c:pt idx="3">
                  <c:v>TFR2</c:v>
                </c:pt>
              </c:strCache>
            </c:strRef>
          </c:cat>
          <c:val>
            <c:numRef>
              <c:f>Sheet1!$V$6:$V$9</c:f>
              <c:numCache>
                <c:formatCode>0.0</c:formatCode>
                <c:ptCount val="4"/>
                <c:pt idx="0">
                  <c:v>3.0139064003885867</c:v>
                </c:pt>
                <c:pt idx="1">
                  <c:v>8.7981472643430809</c:v>
                </c:pt>
                <c:pt idx="2">
                  <c:v>1.2607248666347048</c:v>
                </c:pt>
                <c:pt idx="3">
                  <c:v>1.1373250203349794</c:v>
                </c:pt>
              </c:numCache>
            </c:numRef>
          </c:val>
          <c:extLst>
            <c:ext xmlns:c16="http://schemas.microsoft.com/office/drawing/2014/chart" uri="{C3380CC4-5D6E-409C-BE32-E72D297353CC}">
              <c16:uniqueId val="{00000009-0A00-46E1-8B84-6AC55A42AA76}"/>
            </c:ext>
          </c:extLst>
        </c:ser>
        <c:dLbls>
          <c:showLegendKey val="0"/>
          <c:showVal val="0"/>
          <c:showCatName val="0"/>
          <c:showSerName val="0"/>
          <c:showPercent val="0"/>
          <c:showBubbleSize val="0"/>
        </c:dLbls>
        <c:gapWidth val="150"/>
        <c:axId val="144177408"/>
        <c:axId val="157409664"/>
      </c:barChart>
      <c:catAx>
        <c:axId val="144177408"/>
        <c:scaling>
          <c:orientation val="minMax"/>
        </c:scaling>
        <c:delete val="0"/>
        <c:axPos val="b"/>
        <c:title>
          <c:tx>
            <c:rich>
              <a:bodyPr/>
              <a:lstStyle/>
              <a:p>
                <a:pPr>
                  <a:defRPr sz="1200" b="1" i="0" u="none" strike="noStrike" baseline="0">
                    <a:solidFill>
                      <a:srgbClr val="000000"/>
                    </a:solidFill>
                    <a:latin typeface="Calibri"/>
                    <a:ea typeface="Calibri"/>
                    <a:cs typeface="Calibri"/>
                  </a:defRPr>
                </a:pPr>
                <a:r>
                  <a:rPr lang="en-US" sz="1200"/>
                  <a:t>mRNA</a:t>
                </a:r>
                <a:r>
                  <a:rPr lang="en-US" sz="1200" baseline="0"/>
                  <a:t> </a:t>
                </a:r>
                <a:r>
                  <a:rPr lang="en-US" sz="1200"/>
                  <a:t>expression of iron-related genes  </a:t>
                </a:r>
              </a:p>
            </c:rich>
          </c:tx>
          <c:layout>
            <c:manualLayout>
              <c:xMode val="edge"/>
              <c:yMode val="edge"/>
              <c:x val="0.23952059089958888"/>
              <c:y val="0.91408671477040959"/>
            </c:manualLayout>
          </c:layout>
          <c:overlay val="0"/>
        </c:title>
        <c:numFmt formatCode="General" sourceLinked="1"/>
        <c:majorTickMark val="out"/>
        <c:minorTickMark val="none"/>
        <c:tickLblPos val="nextTo"/>
        <c:spPr>
          <a:ln w="31750">
            <a:solidFill>
              <a:schemeClr val="tx1"/>
            </a:solidFill>
          </a:ln>
        </c:spPr>
        <c:txPr>
          <a:bodyPr rot="0" vert="horz"/>
          <a:lstStyle/>
          <a:p>
            <a:pPr>
              <a:defRPr sz="1200" b="0" i="1" u="none" strike="noStrike" baseline="0">
                <a:solidFill>
                  <a:srgbClr val="000000"/>
                </a:solidFill>
                <a:latin typeface="Calibri"/>
                <a:ea typeface="Calibri"/>
                <a:cs typeface="Calibri"/>
              </a:defRPr>
            </a:pPr>
            <a:endParaRPr lang="en-US"/>
          </a:p>
        </c:txPr>
        <c:crossAx val="157409664"/>
        <c:crosses val="autoZero"/>
        <c:auto val="1"/>
        <c:lblAlgn val="ctr"/>
        <c:lblOffset val="100"/>
        <c:noMultiLvlLbl val="0"/>
      </c:catAx>
      <c:valAx>
        <c:axId val="157409664"/>
        <c:scaling>
          <c:orientation val="minMax"/>
        </c:scaling>
        <c:delete val="0"/>
        <c:axPos val="l"/>
        <c:title>
          <c:tx>
            <c:rich>
              <a:bodyPr/>
              <a:lstStyle/>
              <a:p>
                <a:pPr>
                  <a:defRPr sz="1200" b="1" i="0" u="none" strike="noStrike" baseline="0">
                    <a:solidFill>
                      <a:srgbClr val="000000"/>
                    </a:solidFill>
                    <a:latin typeface="Calibri"/>
                    <a:ea typeface="Calibri"/>
                    <a:cs typeface="Calibri"/>
                  </a:defRPr>
                </a:pPr>
                <a:r>
                  <a:rPr lang="en-US" sz="1200"/>
                  <a:t>Fold</a:t>
                </a:r>
                <a:r>
                  <a:rPr lang="en-US" sz="1200" baseline="0"/>
                  <a:t> expression change </a:t>
                </a:r>
                <a:r>
                  <a:rPr lang="en-US" sz="1200"/>
                  <a:t> </a:t>
                </a:r>
              </a:p>
            </c:rich>
          </c:tx>
          <c:layout>
            <c:manualLayout>
              <c:xMode val="edge"/>
              <c:yMode val="edge"/>
              <c:x val="1.5627250133556328E-3"/>
              <c:y val="9.9030060266857123E-2"/>
            </c:manualLayout>
          </c:layout>
          <c:overlay val="0"/>
        </c:title>
        <c:numFmt formatCode="General" sourceLinked="0"/>
        <c:majorTickMark val="out"/>
        <c:minorTickMark val="none"/>
        <c:tickLblPos val="nextTo"/>
        <c:spPr>
          <a:ln w="31750">
            <a:solidFill>
              <a:schemeClr val="tx1"/>
            </a:solidFill>
          </a:ln>
        </c:spPr>
        <c:txPr>
          <a:bodyPr rot="0" vert="horz"/>
          <a:lstStyle/>
          <a:p>
            <a:pPr>
              <a:defRPr sz="1600" b="0" i="0" u="none" strike="noStrike" baseline="0">
                <a:solidFill>
                  <a:srgbClr val="000000"/>
                </a:solidFill>
                <a:latin typeface="Calibri"/>
                <a:ea typeface="Calibri"/>
                <a:cs typeface="Calibri"/>
              </a:defRPr>
            </a:pPr>
            <a:endParaRPr lang="en-US"/>
          </a:p>
        </c:txPr>
        <c:crossAx val="144177408"/>
        <c:crosses val="autoZero"/>
        <c:crossBetween val="between"/>
      </c:valAx>
    </c:plotArea>
    <c:legend>
      <c:legendPos val="r"/>
      <c:legendEntry>
        <c:idx val="1"/>
        <c:txPr>
          <a:bodyPr/>
          <a:lstStyle/>
          <a:p>
            <a:pPr>
              <a:defRPr sz="1100" b="0" i="0" u="none" strike="noStrike" baseline="0">
                <a:solidFill>
                  <a:srgbClr val="000000"/>
                </a:solidFill>
                <a:latin typeface="Calibri"/>
                <a:ea typeface="Calibri"/>
                <a:cs typeface="Calibri"/>
              </a:defRPr>
            </a:pPr>
            <a:endParaRPr lang="en-US"/>
          </a:p>
        </c:txPr>
      </c:legendEntry>
      <c:layout>
        <c:manualLayout>
          <c:xMode val="edge"/>
          <c:yMode val="edge"/>
          <c:x val="0.55220774394351169"/>
          <c:y val="1.9881661133821721E-3"/>
          <c:w val="0.44349452999790995"/>
          <c:h val="0.16278855386979071"/>
        </c:manualLayout>
      </c:layout>
      <c:overlay val="0"/>
      <c:txPr>
        <a:bodyPr/>
        <a:lstStyle/>
        <a:p>
          <a:pPr>
            <a:defRPr sz="1100" b="0" i="0" u="none" strike="noStrike" baseline="0">
              <a:solidFill>
                <a:srgbClr val="000000"/>
              </a:solidFill>
              <a:latin typeface="Calibri"/>
              <a:ea typeface="Calibri"/>
              <a:cs typeface="Calibri"/>
            </a:defRPr>
          </a:pPr>
          <a:endParaRPr lang="en-US"/>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4665983606557376"/>
          <c:y val="3.6855147823504443E-2"/>
          <c:w val="0.75271834395258963"/>
          <c:h val="0.864732927252018"/>
        </c:manualLayout>
      </c:layout>
      <c:barChart>
        <c:barDir val="col"/>
        <c:grouping val="clustered"/>
        <c:varyColors val="0"/>
        <c:ser>
          <c:idx val="0"/>
          <c:order val="0"/>
          <c:spPr>
            <a:ln w="31750">
              <a:solidFill>
                <a:sysClr val="windowText" lastClr="000000"/>
              </a:solidFill>
            </a:ln>
          </c:spPr>
          <c:invertIfNegative val="0"/>
          <c:dPt>
            <c:idx val="0"/>
            <c:invertIfNegative val="0"/>
            <c:bubble3D val="0"/>
            <c:spPr>
              <a:noFill/>
              <a:ln w="31750">
                <a:solidFill>
                  <a:sysClr val="windowText" lastClr="000000"/>
                </a:solidFill>
              </a:ln>
            </c:spPr>
            <c:extLst>
              <c:ext xmlns:c16="http://schemas.microsoft.com/office/drawing/2014/chart" uri="{C3380CC4-5D6E-409C-BE32-E72D297353CC}">
                <c16:uniqueId val="{00000001-27BE-47F1-812A-B7BFE18C9900}"/>
              </c:ext>
            </c:extLst>
          </c:dPt>
          <c:dPt>
            <c:idx val="1"/>
            <c:invertIfNegative val="0"/>
            <c:bubble3D val="0"/>
            <c:spPr>
              <a:solidFill>
                <a:schemeClr val="bg1">
                  <a:lumMod val="65000"/>
                </a:schemeClr>
              </a:solidFill>
              <a:ln w="31750">
                <a:solidFill>
                  <a:sysClr val="windowText" lastClr="000000"/>
                </a:solidFill>
              </a:ln>
            </c:spPr>
            <c:extLst>
              <c:ext xmlns:c16="http://schemas.microsoft.com/office/drawing/2014/chart" uri="{C3380CC4-5D6E-409C-BE32-E72D297353CC}">
                <c16:uniqueId val="{00000003-27BE-47F1-812A-B7BFE18C9900}"/>
              </c:ext>
            </c:extLst>
          </c:dPt>
          <c:errBars>
            <c:errBarType val="plus"/>
            <c:errValType val="cust"/>
            <c:noEndCap val="0"/>
            <c:plus>
              <c:numRef>
                <c:f>'Sheet1 (2)'!$V$114:$V$115</c:f>
                <c:numCache>
                  <c:formatCode>General</c:formatCode>
                  <c:ptCount val="2"/>
                  <c:pt idx="0">
                    <c:v>0</c:v>
                  </c:pt>
                  <c:pt idx="1">
                    <c:v>3.8193022902837909E-2</c:v>
                  </c:pt>
                </c:numCache>
              </c:numRef>
            </c:plus>
            <c:minus>
              <c:numRef>
                <c:f>'Sheet1 (2)'!$V$114:$V$115</c:f>
                <c:numCache>
                  <c:formatCode>General</c:formatCode>
                  <c:ptCount val="2"/>
                  <c:pt idx="0">
                    <c:v>0</c:v>
                  </c:pt>
                  <c:pt idx="1">
                    <c:v>3.8193022902837909E-2</c:v>
                  </c:pt>
                </c:numCache>
              </c:numRef>
            </c:minus>
            <c:spPr>
              <a:ln w="1270">
                <a:solidFill>
                  <a:sysClr val="windowText" lastClr="000000"/>
                </a:solidFill>
              </a:ln>
            </c:spPr>
          </c:errBars>
          <c:cat>
            <c:strRef>
              <c:f>'Sheet1 (2)'!$R$114:$S$115</c:f>
              <c:strCache>
                <c:ptCount val="2"/>
                <c:pt idx="0">
                  <c:v>Wt HepG2 </c:v>
                </c:pt>
                <c:pt idx="1">
                  <c:v>Rec-TfR1 HepG2  </c:v>
                </c:pt>
              </c:strCache>
            </c:strRef>
          </c:cat>
          <c:val>
            <c:numRef>
              <c:f>'Sheet1 (2)'!$T$114:$T$115</c:f>
              <c:numCache>
                <c:formatCode>0.0</c:formatCode>
                <c:ptCount val="2"/>
                <c:pt idx="0" formatCode="General">
                  <c:v>1</c:v>
                </c:pt>
                <c:pt idx="1">
                  <c:v>1.2643187362622101</c:v>
                </c:pt>
              </c:numCache>
            </c:numRef>
          </c:val>
          <c:extLst>
            <c:ext xmlns:c16="http://schemas.microsoft.com/office/drawing/2014/chart" uri="{C3380CC4-5D6E-409C-BE32-E72D297353CC}">
              <c16:uniqueId val="{00000004-27BE-47F1-812A-B7BFE18C9900}"/>
            </c:ext>
          </c:extLst>
        </c:ser>
        <c:dLbls>
          <c:showLegendKey val="0"/>
          <c:showVal val="0"/>
          <c:showCatName val="0"/>
          <c:showSerName val="0"/>
          <c:showPercent val="0"/>
          <c:showBubbleSize val="0"/>
        </c:dLbls>
        <c:gapWidth val="150"/>
        <c:axId val="157844992"/>
        <c:axId val="169890944"/>
      </c:barChart>
      <c:catAx>
        <c:axId val="157844992"/>
        <c:scaling>
          <c:orientation val="minMax"/>
        </c:scaling>
        <c:delete val="0"/>
        <c:axPos val="b"/>
        <c:title>
          <c:tx>
            <c:rich>
              <a:bodyPr/>
              <a:lstStyle/>
              <a:p>
                <a:pPr>
                  <a:defRPr sz="1800" b="1" i="0" u="none" strike="noStrike" baseline="0">
                    <a:solidFill>
                      <a:srgbClr val="000000"/>
                    </a:solidFill>
                    <a:latin typeface="Calibri"/>
                    <a:ea typeface="Calibri"/>
                    <a:cs typeface="Calibri"/>
                  </a:defRPr>
                </a:pPr>
                <a:r>
                  <a:rPr lang="en-US"/>
                  <a:t> </a:t>
                </a:r>
              </a:p>
            </c:rich>
          </c:tx>
          <c:layout>
            <c:manualLayout>
              <c:xMode val="edge"/>
              <c:yMode val="edge"/>
              <c:x val="0.44688236476242416"/>
              <c:y val="0.87590296495956876"/>
            </c:manualLayout>
          </c:layout>
          <c:overlay val="0"/>
        </c:title>
        <c:numFmt formatCode="General" sourceLinked="1"/>
        <c:majorTickMark val="out"/>
        <c:minorTickMark val="none"/>
        <c:tickLblPos val="nextTo"/>
        <c:spPr>
          <a:ln w="31750">
            <a:solidFill>
              <a:sysClr val="windowText" lastClr="000000"/>
            </a:solidFill>
          </a:ln>
        </c:spPr>
        <c:txPr>
          <a:bodyPr rot="0" vert="horz"/>
          <a:lstStyle/>
          <a:p>
            <a:pPr>
              <a:defRPr sz="900" b="1" i="0" u="none" strike="noStrike" baseline="0">
                <a:solidFill>
                  <a:srgbClr val="000000"/>
                </a:solidFill>
                <a:latin typeface="Calibri"/>
                <a:ea typeface="Calibri"/>
                <a:cs typeface="Calibri"/>
              </a:defRPr>
            </a:pPr>
            <a:endParaRPr lang="en-US"/>
          </a:p>
        </c:txPr>
        <c:crossAx val="169890944"/>
        <c:crosses val="autoZero"/>
        <c:auto val="1"/>
        <c:lblAlgn val="ctr"/>
        <c:lblOffset val="100"/>
        <c:noMultiLvlLbl val="0"/>
      </c:catAx>
      <c:valAx>
        <c:axId val="169890944"/>
        <c:scaling>
          <c:orientation val="minMax"/>
          <c:max val="1.5"/>
        </c:scaling>
        <c:delete val="0"/>
        <c:axPos val="l"/>
        <c:title>
          <c:tx>
            <c:rich>
              <a:bodyPr/>
              <a:lstStyle/>
              <a:p>
                <a:pPr>
                  <a:defRPr sz="1200" b="1" i="0" u="none" strike="noStrike" baseline="0">
                    <a:solidFill>
                      <a:srgbClr val="000000"/>
                    </a:solidFill>
                    <a:latin typeface="Calibri"/>
                    <a:ea typeface="Calibri"/>
                    <a:cs typeface="Calibri"/>
                  </a:defRPr>
                </a:pPr>
                <a:r>
                  <a:rPr lang="en-US" sz="1200"/>
                  <a:t>Relative mitochondrial activity</a:t>
                </a:r>
              </a:p>
            </c:rich>
          </c:tx>
          <c:layout>
            <c:manualLayout>
              <c:xMode val="edge"/>
              <c:yMode val="edge"/>
              <c:x val="6.1607468123861574E-3"/>
              <c:y val="8.3256177883425028E-2"/>
            </c:manualLayout>
          </c:layout>
          <c:overlay val="0"/>
        </c:title>
        <c:numFmt formatCode="General" sourceLinked="1"/>
        <c:majorTickMark val="out"/>
        <c:minorTickMark val="none"/>
        <c:tickLblPos val="nextTo"/>
        <c:spPr>
          <a:ln w="31750">
            <a:solidFill>
              <a:schemeClr val="tx1"/>
            </a:solidFill>
          </a:ln>
        </c:spPr>
        <c:txPr>
          <a:bodyPr rot="0" vert="horz"/>
          <a:lstStyle/>
          <a:p>
            <a:pPr>
              <a:defRPr sz="1200" b="0" i="0" u="none" strike="noStrike" baseline="0">
                <a:solidFill>
                  <a:srgbClr val="000000"/>
                </a:solidFill>
                <a:latin typeface="Calibri"/>
                <a:ea typeface="Calibri"/>
                <a:cs typeface="Calibri"/>
              </a:defRPr>
            </a:pPr>
            <a:endParaRPr lang="en-US"/>
          </a:p>
        </c:txPr>
        <c:crossAx val="157844992"/>
        <c:crosses val="autoZero"/>
        <c:crossBetween val="between"/>
        <c:majorUnit val="0.5"/>
      </c:valAx>
    </c:plotArea>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853455818022807"/>
          <c:y val="6.1162079510703404E-2"/>
          <c:w val="0.79458005249343977"/>
          <c:h val="0.68139523809523861"/>
        </c:manualLayout>
      </c:layout>
      <c:barChart>
        <c:barDir val="col"/>
        <c:grouping val="clustered"/>
        <c:varyColors val="0"/>
        <c:ser>
          <c:idx val="1"/>
          <c:order val="0"/>
          <c:tx>
            <c:v>Wt HepG2 cells</c:v>
          </c:tx>
          <c:spPr>
            <a:noFill/>
            <a:ln w="31750">
              <a:solidFill>
                <a:schemeClr val="tx1"/>
              </a:solidFill>
              <a:prstDash val="solid"/>
            </a:ln>
          </c:spPr>
          <c:invertIfNegative val="0"/>
          <c:errBars>
            <c:errBarType val="both"/>
            <c:errValType val="cust"/>
            <c:noEndCap val="0"/>
            <c:plus>
              <c:numRef>
                <c:f>Sheet1!$P$158:$P$160</c:f>
                <c:numCache>
                  <c:formatCode>General</c:formatCode>
                  <c:ptCount val="3"/>
                  <c:pt idx="0">
                    <c:v>0</c:v>
                  </c:pt>
                  <c:pt idx="1">
                    <c:v>4.8169863601503667E-2</c:v>
                  </c:pt>
                  <c:pt idx="2">
                    <c:v>5.8251422354536106E-2</c:v>
                  </c:pt>
                </c:numCache>
              </c:numRef>
            </c:plus>
            <c:minus>
              <c:numRef>
                <c:f>Sheet1!$P$158:$P$160</c:f>
                <c:numCache>
                  <c:formatCode>General</c:formatCode>
                  <c:ptCount val="3"/>
                  <c:pt idx="0">
                    <c:v>0</c:v>
                  </c:pt>
                  <c:pt idx="1">
                    <c:v>4.8169863601503667E-2</c:v>
                  </c:pt>
                  <c:pt idx="2">
                    <c:v>5.8251422354536106E-2</c:v>
                  </c:pt>
                </c:numCache>
              </c:numRef>
            </c:minus>
            <c:spPr>
              <a:ln w="1905">
                <a:solidFill>
                  <a:srgbClr val="000000"/>
                </a:solidFill>
                <a:prstDash val="solid"/>
              </a:ln>
            </c:spPr>
          </c:errBars>
          <c:cat>
            <c:strRef>
              <c:f>Sheet1!$A$158:$A$160</c:f>
              <c:strCache>
                <c:ptCount val="3"/>
                <c:pt idx="0">
                  <c:v>Basal </c:v>
                </c:pt>
                <c:pt idx="1">
                  <c:v>24 h (5 g/L)</c:v>
                </c:pt>
                <c:pt idx="2">
                  <c:v>48 h (5 g/L)</c:v>
                </c:pt>
              </c:strCache>
            </c:strRef>
          </c:cat>
          <c:val>
            <c:numRef>
              <c:f>Sheet1!$M$158:$M$160</c:f>
              <c:numCache>
                <c:formatCode>0.00</c:formatCode>
                <c:ptCount val="3"/>
                <c:pt idx="0" formatCode="General">
                  <c:v>1</c:v>
                </c:pt>
                <c:pt idx="1">
                  <c:v>0.79159203263384403</c:v>
                </c:pt>
                <c:pt idx="2">
                  <c:v>0.45227067322004616</c:v>
                </c:pt>
              </c:numCache>
            </c:numRef>
          </c:val>
          <c:extLst>
            <c:ext xmlns:c16="http://schemas.microsoft.com/office/drawing/2014/chart" uri="{C3380CC4-5D6E-409C-BE32-E72D297353CC}">
              <c16:uniqueId val="{00000000-A200-43C8-8E7C-82924214FF02}"/>
            </c:ext>
          </c:extLst>
        </c:ser>
        <c:ser>
          <c:idx val="0"/>
          <c:order val="1"/>
          <c:tx>
            <c:v>Rec-TfR1 HepG2 cells</c:v>
          </c:tx>
          <c:spPr>
            <a:solidFill>
              <a:schemeClr val="tx1">
                <a:lumMod val="50000"/>
                <a:lumOff val="50000"/>
              </a:schemeClr>
            </a:solidFill>
            <a:ln w="31750">
              <a:solidFill>
                <a:schemeClr val="tx1"/>
              </a:solidFill>
              <a:prstDash val="solid"/>
            </a:ln>
          </c:spPr>
          <c:invertIfNegative val="0"/>
          <c:errBars>
            <c:errBarType val="both"/>
            <c:errValType val="cust"/>
            <c:noEndCap val="0"/>
            <c:plus>
              <c:numRef>
                <c:f>Sheet1!$S$237:$S$239</c:f>
                <c:numCache>
                  <c:formatCode>General</c:formatCode>
                  <c:ptCount val="3"/>
                  <c:pt idx="0">
                    <c:v>0.18872327123760221</c:v>
                  </c:pt>
                  <c:pt idx="1">
                    <c:v>0.11124677588248716</c:v>
                  </c:pt>
                  <c:pt idx="2">
                    <c:v>0.11192900857732707</c:v>
                  </c:pt>
                </c:numCache>
              </c:numRef>
            </c:plus>
            <c:minus>
              <c:numRef>
                <c:f>Sheet1!$S$237:$S$239</c:f>
                <c:numCache>
                  <c:formatCode>General</c:formatCode>
                  <c:ptCount val="3"/>
                  <c:pt idx="0">
                    <c:v>0.18872327123760221</c:v>
                  </c:pt>
                  <c:pt idx="1">
                    <c:v>0.11124677588248716</c:v>
                  </c:pt>
                  <c:pt idx="2">
                    <c:v>0.11192900857732707</c:v>
                  </c:pt>
                </c:numCache>
              </c:numRef>
            </c:minus>
            <c:spPr>
              <a:ln w="1905">
                <a:solidFill>
                  <a:srgbClr val="000000"/>
                </a:solidFill>
                <a:prstDash val="solid"/>
              </a:ln>
            </c:spPr>
          </c:errBars>
          <c:val>
            <c:numRef>
              <c:f>Sheet1!$I$256:$I$258</c:f>
              <c:numCache>
                <c:formatCode>General</c:formatCode>
                <c:ptCount val="3"/>
                <c:pt idx="0" formatCode="0.0">
                  <c:v>2.7502283105022829</c:v>
                </c:pt>
                <c:pt idx="1">
                  <c:v>3.3</c:v>
                </c:pt>
                <c:pt idx="2">
                  <c:v>3.4</c:v>
                </c:pt>
              </c:numCache>
            </c:numRef>
          </c:val>
          <c:extLst>
            <c:ext xmlns:c16="http://schemas.microsoft.com/office/drawing/2014/chart" uri="{C3380CC4-5D6E-409C-BE32-E72D297353CC}">
              <c16:uniqueId val="{00000001-A200-43C8-8E7C-82924214FF02}"/>
            </c:ext>
          </c:extLst>
        </c:ser>
        <c:dLbls>
          <c:showLegendKey val="0"/>
          <c:showVal val="0"/>
          <c:showCatName val="0"/>
          <c:showSerName val="0"/>
          <c:showPercent val="0"/>
          <c:showBubbleSize val="0"/>
        </c:dLbls>
        <c:gapWidth val="150"/>
        <c:axId val="170037632"/>
        <c:axId val="170040704"/>
      </c:barChart>
      <c:catAx>
        <c:axId val="170037632"/>
        <c:scaling>
          <c:orientation val="minMax"/>
        </c:scaling>
        <c:delete val="0"/>
        <c:axPos val="b"/>
        <c:title>
          <c:tx>
            <c:rich>
              <a:bodyPr/>
              <a:lstStyle/>
              <a:p>
                <a:pPr>
                  <a:defRPr sz="1600" b="1" i="0" u="none" strike="noStrike" baseline="0">
                    <a:solidFill>
                      <a:srgbClr val="000000"/>
                    </a:solidFill>
                    <a:latin typeface="Calibri"/>
                    <a:ea typeface="Calibri"/>
                    <a:cs typeface="Calibri"/>
                  </a:defRPr>
                </a:pPr>
                <a:r>
                  <a:rPr lang="en-GB"/>
                  <a:t>Time </a:t>
                </a:r>
              </a:p>
            </c:rich>
          </c:tx>
          <c:layout>
            <c:manualLayout>
              <c:xMode val="edge"/>
              <c:yMode val="edge"/>
              <c:x val="0.56147848310706006"/>
              <c:y val="0.90223666995753715"/>
            </c:manualLayout>
          </c:layout>
          <c:overlay val="0"/>
          <c:spPr>
            <a:noFill/>
            <a:ln w="25400">
              <a:noFill/>
            </a:ln>
          </c:spPr>
        </c:title>
        <c:numFmt formatCode="General" sourceLinked="1"/>
        <c:majorTickMark val="out"/>
        <c:minorTickMark val="none"/>
        <c:tickLblPos val="nextTo"/>
        <c:spPr>
          <a:ln w="31750">
            <a:solidFill>
              <a:srgbClr val="000000"/>
            </a:solidFill>
            <a:prstDash val="solid"/>
          </a:ln>
        </c:spPr>
        <c:txPr>
          <a:bodyPr rot="0" vert="horz"/>
          <a:lstStyle/>
          <a:p>
            <a:pPr>
              <a:defRPr sz="1400" b="0" i="0" u="none" strike="noStrike" baseline="0">
                <a:solidFill>
                  <a:srgbClr val="000000"/>
                </a:solidFill>
                <a:latin typeface="Calibri"/>
                <a:ea typeface="Calibri"/>
                <a:cs typeface="Calibri"/>
              </a:defRPr>
            </a:pPr>
            <a:endParaRPr lang="en-US"/>
          </a:p>
        </c:txPr>
        <c:crossAx val="170040704"/>
        <c:crosses val="autoZero"/>
        <c:auto val="1"/>
        <c:lblAlgn val="ctr"/>
        <c:lblOffset val="100"/>
        <c:noMultiLvlLbl val="0"/>
      </c:catAx>
      <c:valAx>
        <c:axId val="170040704"/>
        <c:scaling>
          <c:orientation val="minMax"/>
          <c:max val="5"/>
        </c:scaling>
        <c:delete val="0"/>
        <c:axPos val="l"/>
        <c:title>
          <c:tx>
            <c:rich>
              <a:bodyPr/>
              <a:lstStyle/>
              <a:p>
                <a:pPr>
                  <a:defRPr sz="1400" b="1" i="0" u="none" strike="noStrike" baseline="0">
                    <a:solidFill>
                      <a:srgbClr val="000000"/>
                    </a:solidFill>
                    <a:latin typeface="Calibri"/>
                    <a:ea typeface="Calibri"/>
                    <a:cs typeface="Calibri"/>
                  </a:defRPr>
                </a:pPr>
                <a:r>
                  <a:rPr lang="en-GB" sz="1400"/>
                  <a:t>Relative expression of
 cell-surface TfR1 </a:t>
                </a:r>
              </a:p>
            </c:rich>
          </c:tx>
          <c:layout>
            <c:manualLayout>
              <c:xMode val="edge"/>
              <c:yMode val="edge"/>
              <c:x val="9.3298469023455153E-3"/>
              <c:y val="9.0564505124933373E-2"/>
            </c:manualLayout>
          </c:layout>
          <c:overlay val="0"/>
          <c:spPr>
            <a:noFill/>
            <a:ln w="25400">
              <a:noFill/>
            </a:ln>
          </c:spPr>
        </c:title>
        <c:numFmt formatCode="General" sourceLinked="0"/>
        <c:majorTickMark val="out"/>
        <c:minorTickMark val="none"/>
        <c:tickLblPos val="nextTo"/>
        <c:spPr>
          <a:ln w="31750">
            <a:solidFill>
              <a:srgbClr val="000000"/>
            </a:solidFill>
            <a:prstDash val="solid"/>
          </a:ln>
        </c:spPr>
        <c:txPr>
          <a:bodyPr rot="0" vert="horz"/>
          <a:lstStyle/>
          <a:p>
            <a:pPr>
              <a:defRPr sz="1400" b="0" i="0" u="none" strike="noStrike" baseline="0">
                <a:solidFill>
                  <a:srgbClr val="000000"/>
                </a:solidFill>
                <a:latin typeface="Calibri"/>
                <a:ea typeface="Calibri"/>
                <a:cs typeface="Calibri"/>
              </a:defRPr>
            </a:pPr>
            <a:endParaRPr lang="en-US"/>
          </a:p>
        </c:txPr>
        <c:crossAx val="170037632"/>
        <c:crosses val="autoZero"/>
        <c:crossBetween val="between"/>
        <c:majorUnit val="1"/>
      </c:valAx>
      <c:spPr>
        <a:noFill/>
        <a:ln w="25400">
          <a:noFill/>
        </a:ln>
      </c:spPr>
    </c:plotArea>
    <c:legend>
      <c:legendPos val="r"/>
      <c:layout>
        <c:manualLayout>
          <c:xMode val="edge"/>
          <c:yMode val="edge"/>
          <c:x val="0.64137095363079921"/>
          <c:y val="2.3054365079365164E-2"/>
          <c:w val="0.35458705161854781"/>
          <c:h val="0.16375000000000001"/>
        </c:manualLayout>
      </c:layout>
      <c:overlay val="0"/>
      <c:spPr>
        <a:noFill/>
        <a:ln w="25400">
          <a:noFill/>
        </a:ln>
      </c:spPr>
      <c:txPr>
        <a:bodyPr/>
        <a:lstStyle/>
        <a:p>
          <a:pPr>
            <a:defRPr sz="120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25400">
      <a:noFill/>
      <a:prstDash val="solid"/>
    </a:ln>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607554945055189"/>
          <c:y val="4.2512241939908609E-2"/>
          <c:w val="0.87379422094510273"/>
          <c:h val="0.64152896932659564"/>
        </c:manualLayout>
      </c:layout>
      <c:barChart>
        <c:barDir val="col"/>
        <c:grouping val="clustered"/>
        <c:varyColors val="0"/>
        <c:ser>
          <c:idx val="3"/>
          <c:order val="0"/>
          <c:tx>
            <c:v>Wt HepG2 TFRC mRNA</c:v>
          </c:tx>
          <c:spPr>
            <a:noFill/>
            <a:ln w="31750">
              <a:solidFill>
                <a:schemeClr val="tx1"/>
              </a:solidFill>
            </a:ln>
          </c:spPr>
          <c:invertIfNegative val="0"/>
          <c:errBars>
            <c:errBarType val="plus"/>
            <c:errValType val="cust"/>
            <c:noEndCap val="0"/>
            <c:plus>
              <c:numRef>
                <c:f>'G:\A Ph.D 09052013\My publications 15052013\[4 h results10.xls]WthepG2 RTPCR'!$H$218:$H$227</c:f>
                <c:numCache>
                  <c:formatCode>General</c:formatCode>
                  <c:ptCount val="10"/>
                  <c:pt idx="1">
                    <c:v>0.2942195383718379</c:v>
                  </c:pt>
                  <c:pt idx="3">
                    <c:v>0.19626676799335885</c:v>
                  </c:pt>
                  <c:pt idx="5">
                    <c:v>6.1261890581802446E-2</c:v>
                  </c:pt>
                  <c:pt idx="7">
                    <c:v>0.14000000000000001</c:v>
                  </c:pt>
                  <c:pt idx="9">
                    <c:v>0.48000000000000032</c:v>
                  </c:pt>
                </c:numCache>
              </c:numRef>
            </c:plus>
            <c:spPr>
              <a:noFill/>
              <a:ln w="1270">
                <a:solidFill>
                  <a:schemeClr val="tx1"/>
                </a:solidFill>
              </a:ln>
            </c:spPr>
          </c:errBars>
          <c:cat>
            <c:strRef>
              <c:f>'G:\A Ph.D 09052013\My publications 15052013\[4 h results10.xls]WthepG2 RTPCR'!$A$245:$A$254</c:f>
              <c:strCache>
                <c:ptCount val="10"/>
                <c:pt idx="0">
                  <c:v>0g/L</c:v>
                </c:pt>
                <c:pt idx="1">
                  <c:v>5g/L</c:v>
                </c:pt>
                <c:pt idx="2">
                  <c:v>0g/L</c:v>
                </c:pt>
                <c:pt idx="3">
                  <c:v>5g/L</c:v>
                </c:pt>
                <c:pt idx="4">
                  <c:v>0g/L</c:v>
                </c:pt>
                <c:pt idx="5">
                  <c:v>5g/L</c:v>
                </c:pt>
                <c:pt idx="6">
                  <c:v>0g/L</c:v>
                </c:pt>
                <c:pt idx="7">
                  <c:v>5g/L</c:v>
                </c:pt>
                <c:pt idx="8">
                  <c:v>0g/L</c:v>
                </c:pt>
                <c:pt idx="9">
                  <c:v>5g/L</c:v>
                </c:pt>
              </c:strCache>
            </c:strRef>
          </c:cat>
          <c:val>
            <c:numRef>
              <c:f>'G:\A Ph.D 09052013\My publications 15052013\[4 h results10.xls]WthepG2 RTPCR'!$E$218:$E$227</c:f>
              <c:numCache>
                <c:formatCode>General</c:formatCode>
                <c:ptCount val="10"/>
                <c:pt idx="0">
                  <c:v>1</c:v>
                </c:pt>
                <c:pt idx="1">
                  <c:v>0.70034387068412995</c:v>
                </c:pt>
                <c:pt idx="2">
                  <c:v>1</c:v>
                </c:pt>
                <c:pt idx="3">
                  <c:v>0.28085616289609538</c:v>
                </c:pt>
                <c:pt idx="4">
                  <c:v>1</c:v>
                </c:pt>
                <c:pt idx="5">
                  <c:v>0.29141432655335131</c:v>
                </c:pt>
                <c:pt idx="6">
                  <c:v>1</c:v>
                </c:pt>
                <c:pt idx="7">
                  <c:v>0.22</c:v>
                </c:pt>
                <c:pt idx="8">
                  <c:v>1</c:v>
                </c:pt>
                <c:pt idx="9">
                  <c:v>7.0000000000000021E-2</c:v>
                </c:pt>
              </c:numCache>
            </c:numRef>
          </c:val>
          <c:extLst>
            <c:ext xmlns:c16="http://schemas.microsoft.com/office/drawing/2014/chart" uri="{C3380CC4-5D6E-409C-BE32-E72D297353CC}">
              <c16:uniqueId val="{00000000-EEB7-47A3-AC8F-F4BEB474BBA4}"/>
            </c:ext>
          </c:extLst>
        </c:ser>
        <c:ser>
          <c:idx val="0"/>
          <c:order val="1"/>
          <c:tx>
            <c:v>Rec-TfR1 HepG2 TFRC mRNA</c:v>
          </c:tx>
          <c:spPr>
            <a:pattFill prst="dkHorz">
              <a:fgClr>
                <a:srgbClr val="000000"/>
              </a:fgClr>
              <a:bgClr>
                <a:srgbClr val="FFFFFF"/>
              </a:bgClr>
            </a:pattFill>
            <a:ln w="25400">
              <a:solidFill>
                <a:sysClr val="windowText" lastClr="000000"/>
              </a:solidFill>
            </a:ln>
          </c:spPr>
          <c:invertIfNegative val="0"/>
          <c:errBars>
            <c:errBarType val="plus"/>
            <c:errValType val="cust"/>
            <c:noEndCap val="0"/>
            <c:plus>
              <c:numRef>
                <c:f>'G:\A Ph.D 09052013\My publications 15052013\[4 h results10.xls]RecHepG2RTPCR'!$H$206:$H$215</c:f>
                <c:numCache>
                  <c:formatCode>General</c:formatCode>
                  <c:ptCount val="10"/>
                  <c:pt idx="1">
                    <c:v>0.68348005723269567</c:v>
                  </c:pt>
                  <c:pt idx="3">
                    <c:v>0.59084011250910828</c:v>
                  </c:pt>
                  <c:pt idx="5">
                    <c:v>0.72827031623012894</c:v>
                  </c:pt>
                  <c:pt idx="7">
                    <c:v>4.0000000000000022E-2</c:v>
                  </c:pt>
                  <c:pt idx="9">
                    <c:v>0.1</c:v>
                  </c:pt>
                </c:numCache>
              </c:numRef>
            </c:plus>
            <c:spPr>
              <a:pattFill prst="dkHorz">
                <a:fgClr>
                  <a:srgbClr val="000000"/>
                </a:fgClr>
                <a:bgClr>
                  <a:srgbClr val="FFFFFF"/>
                </a:bgClr>
              </a:pattFill>
              <a:ln w="1270">
                <a:solidFill>
                  <a:sysClr val="windowText" lastClr="000000"/>
                </a:solidFill>
              </a:ln>
            </c:spPr>
          </c:errBars>
          <c:val>
            <c:numRef>
              <c:f>'G:\A Ph.D 09052013\My publications 15052013\[4 h results10.xls]RecHepG2RTPCR'!$E$206:$E$215</c:f>
              <c:numCache>
                <c:formatCode>General</c:formatCode>
                <c:ptCount val="10"/>
                <c:pt idx="0">
                  <c:v>1</c:v>
                </c:pt>
                <c:pt idx="1">
                  <c:v>1.773103339783284</c:v>
                </c:pt>
                <c:pt idx="2">
                  <c:v>1</c:v>
                </c:pt>
                <c:pt idx="3">
                  <c:v>2.9998904667835764</c:v>
                </c:pt>
                <c:pt idx="4">
                  <c:v>1</c:v>
                </c:pt>
                <c:pt idx="5">
                  <c:v>2.0977531624803212</c:v>
                </c:pt>
                <c:pt idx="6">
                  <c:v>1</c:v>
                </c:pt>
                <c:pt idx="7">
                  <c:v>3.3</c:v>
                </c:pt>
                <c:pt idx="8">
                  <c:v>1</c:v>
                </c:pt>
                <c:pt idx="9">
                  <c:v>0.30000000000000032</c:v>
                </c:pt>
              </c:numCache>
            </c:numRef>
          </c:val>
          <c:extLst>
            <c:ext xmlns:c16="http://schemas.microsoft.com/office/drawing/2014/chart" uri="{C3380CC4-5D6E-409C-BE32-E72D297353CC}">
              <c16:uniqueId val="{00000001-EEB7-47A3-AC8F-F4BEB474BBA4}"/>
            </c:ext>
          </c:extLst>
        </c:ser>
        <c:dLbls>
          <c:showLegendKey val="0"/>
          <c:showVal val="0"/>
          <c:showCatName val="0"/>
          <c:showSerName val="0"/>
          <c:showPercent val="0"/>
          <c:showBubbleSize val="0"/>
        </c:dLbls>
        <c:gapWidth val="150"/>
        <c:axId val="173520000"/>
        <c:axId val="85087360"/>
      </c:barChart>
      <c:catAx>
        <c:axId val="173520000"/>
        <c:scaling>
          <c:orientation val="minMax"/>
        </c:scaling>
        <c:delete val="0"/>
        <c:axPos val="b"/>
        <c:title>
          <c:tx>
            <c:rich>
              <a:bodyPr/>
              <a:lstStyle/>
              <a:p>
                <a:pPr algn="l">
                  <a:defRPr sz="1400" b="1" i="0" u="none" strike="noStrike" baseline="0">
                    <a:solidFill>
                      <a:srgbClr val="000000"/>
                    </a:solidFill>
                    <a:latin typeface="Calibri"/>
                    <a:ea typeface="Calibri"/>
                    <a:cs typeface="Calibri"/>
                  </a:defRPr>
                </a:pPr>
                <a:r>
                  <a:rPr lang="en-US" sz="1400" b="1"/>
                  <a:t>30 min                2 h                         4 h                     24 h                     48 h </a:t>
                </a:r>
              </a:p>
              <a:p>
                <a:pPr algn="l">
                  <a:defRPr sz="1400" b="1" i="0" u="none" strike="noStrike" baseline="0">
                    <a:solidFill>
                      <a:srgbClr val="000000"/>
                    </a:solidFill>
                    <a:latin typeface="Calibri"/>
                    <a:ea typeface="Calibri"/>
                    <a:cs typeface="Calibri"/>
                  </a:defRPr>
                </a:pPr>
                <a:r>
                  <a:rPr lang="en-US" sz="1400" b="1"/>
                  <a:t>            		</a:t>
                </a:r>
                <a:r>
                  <a:rPr lang="en-US" sz="1400" b="1" baseline="0"/>
                  <a:t>            </a:t>
                </a:r>
                <a:r>
                  <a:rPr lang="en-US" sz="1400" b="1"/>
                  <a:t>Time</a:t>
                </a:r>
              </a:p>
            </c:rich>
          </c:tx>
          <c:layout>
            <c:manualLayout>
              <c:xMode val="edge"/>
              <c:yMode val="edge"/>
              <c:x val="0.17755785845918196"/>
              <c:y val="0.8322164290274412"/>
            </c:manualLayout>
          </c:layout>
          <c:overlay val="0"/>
          <c:spPr>
            <a:noFill/>
            <a:ln w="25400">
              <a:noFill/>
            </a:ln>
          </c:spPr>
        </c:title>
        <c:numFmt formatCode="General" sourceLinked="1"/>
        <c:majorTickMark val="out"/>
        <c:minorTickMark val="none"/>
        <c:tickLblPos val="nextTo"/>
        <c:spPr>
          <a:ln w="31750">
            <a:solidFill>
              <a:srgbClr val="000000"/>
            </a:solidFill>
            <a:prstDash val="solid"/>
          </a:ln>
        </c:spPr>
        <c:txPr>
          <a:bodyPr rot="0" vert="horz"/>
          <a:lstStyle/>
          <a:p>
            <a:pPr>
              <a:defRPr sz="1400" b="0" i="0" u="none" strike="noStrike" baseline="0">
                <a:solidFill>
                  <a:srgbClr val="000000"/>
                </a:solidFill>
                <a:latin typeface="Calibri"/>
                <a:ea typeface="Calibri"/>
                <a:cs typeface="Calibri"/>
              </a:defRPr>
            </a:pPr>
            <a:endParaRPr lang="en-US"/>
          </a:p>
        </c:txPr>
        <c:crossAx val="85087360"/>
        <c:crosses val="autoZero"/>
        <c:auto val="1"/>
        <c:lblAlgn val="ctr"/>
        <c:lblOffset val="100"/>
        <c:tickLblSkip val="1"/>
        <c:noMultiLvlLbl val="0"/>
      </c:catAx>
      <c:valAx>
        <c:axId val="85087360"/>
        <c:scaling>
          <c:orientation val="minMax"/>
          <c:max val="5"/>
          <c:min val="0"/>
        </c:scaling>
        <c:delete val="0"/>
        <c:axPos val="l"/>
        <c:title>
          <c:tx>
            <c:rich>
              <a:bodyPr/>
              <a:lstStyle/>
              <a:p>
                <a:pPr>
                  <a:defRPr sz="1600" b="1" i="0" u="none" strike="noStrike" baseline="0">
                    <a:solidFill>
                      <a:srgbClr val="000000"/>
                    </a:solidFill>
                    <a:latin typeface="+mn-lt"/>
                    <a:ea typeface="Calibri"/>
                    <a:cs typeface="Calibri"/>
                  </a:defRPr>
                </a:pPr>
                <a:r>
                  <a:rPr lang="en-US" sz="1800">
                    <a:latin typeface="+mn-lt"/>
                  </a:rPr>
                  <a:t>2</a:t>
                </a:r>
                <a:r>
                  <a:rPr lang="en-US" sz="1600" baseline="0">
                    <a:latin typeface="+mn-lt"/>
                  </a:rPr>
                  <a:t> </a:t>
                </a:r>
                <a:r>
                  <a:rPr lang="en-US" sz="2400" baseline="50000">
                    <a:latin typeface="+mn-lt"/>
                  </a:rPr>
                  <a:t>-</a:t>
                </a:r>
                <a:r>
                  <a:rPr lang="en-US" sz="2400" baseline="50000">
                    <a:latin typeface="+mn-lt"/>
                    <a:cs typeface="Arial"/>
                  </a:rPr>
                  <a:t>∆∆Ct</a:t>
                </a:r>
                <a:endParaRPr lang="en-US" sz="2400" baseline="50000">
                  <a:latin typeface="+mn-lt"/>
                </a:endParaRPr>
              </a:p>
            </c:rich>
          </c:tx>
          <c:layout>
            <c:manualLayout>
              <c:xMode val="edge"/>
              <c:yMode val="edge"/>
              <c:x val="7.1261556746625831E-3"/>
              <c:y val="0.23581888153551644"/>
            </c:manualLayout>
          </c:layout>
          <c:overlay val="0"/>
          <c:spPr>
            <a:noFill/>
            <a:ln w="25400">
              <a:noFill/>
            </a:ln>
          </c:spPr>
        </c:title>
        <c:numFmt formatCode="General" sourceLinked="0"/>
        <c:majorTickMark val="out"/>
        <c:minorTickMark val="none"/>
        <c:tickLblPos val="nextTo"/>
        <c:spPr>
          <a:ln w="31750">
            <a:solidFill>
              <a:srgbClr val="000000"/>
            </a:solidFill>
            <a:prstDash val="solid"/>
          </a:ln>
        </c:spPr>
        <c:txPr>
          <a:bodyPr rot="0" vert="horz"/>
          <a:lstStyle/>
          <a:p>
            <a:pPr>
              <a:defRPr sz="1400" b="0" i="0" u="none" strike="noStrike" baseline="0">
                <a:solidFill>
                  <a:srgbClr val="000000"/>
                </a:solidFill>
                <a:latin typeface="Calibri"/>
                <a:ea typeface="Calibri"/>
                <a:cs typeface="Calibri"/>
              </a:defRPr>
            </a:pPr>
            <a:endParaRPr lang="en-US"/>
          </a:p>
        </c:txPr>
        <c:crossAx val="173520000"/>
        <c:crosses val="autoZero"/>
        <c:crossBetween val="between"/>
        <c:majorUnit val="1"/>
      </c:valAx>
    </c:plotArea>
    <c:legend>
      <c:legendPos val="r"/>
      <c:layout>
        <c:manualLayout>
          <c:xMode val="edge"/>
          <c:yMode val="edge"/>
          <c:x val="0.63002177919250735"/>
          <c:y val="3.434027777777876E-3"/>
          <c:w val="0.36701484674329532"/>
          <c:h val="0.13598111803188781"/>
        </c:manualLayout>
      </c:layout>
      <c:overlay val="0"/>
      <c:txPr>
        <a:bodyPr/>
        <a:lstStyle/>
        <a:p>
          <a:pPr>
            <a:defRPr sz="120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12700">
      <a:noFill/>
      <a:prstDash val="solid"/>
    </a:ln>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36867484587686"/>
          <c:y val="2.8252405949256338E-2"/>
          <c:w val="0.87203244216565967"/>
          <c:h val="0.64476760563381963"/>
        </c:manualLayout>
      </c:layout>
      <c:barChart>
        <c:barDir val="col"/>
        <c:grouping val="clustered"/>
        <c:varyColors val="0"/>
        <c:ser>
          <c:idx val="0"/>
          <c:order val="0"/>
          <c:tx>
            <c:v>Wt HepG2 cells </c:v>
          </c:tx>
          <c:spPr>
            <a:noFill/>
            <a:ln w="31750">
              <a:solidFill>
                <a:schemeClr val="tx1"/>
              </a:solidFill>
            </a:ln>
          </c:spPr>
          <c:invertIfNegative val="0"/>
          <c:errBars>
            <c:errBarType val="plus"/>
            <c:errValType val="cust"/>
            <c:noEndCap val="0"/>
            <c:plus>
              <c:numRef>
                <c:f>MTT!$D$27:$D$36</c:f>
                <c:numCache>
                  <c:formatCode>General</c:formatCode>
                  <c:ptCount val="10"/>
                  <c:pt idx="0">
                    <c:v>5.2052444733587833E-2</c:v>
                  </c:pt>
                  <c:pt idx="1">
                    <c:v>0.13968678511786517</c:v>
                  </c:pt>
                  <c:pt idx="2">
                    <c:v>0.25575476288583382</c:v>
                  </c:pt>
                  <c:pt idx="3">
                    <c:v>1.1593908985155235</c:v>
                  </c:pt>
                  <c:pt idx="4">
                    <c:v>0.95685341308110605</c:v>
                  </c:pt>
                  <c:pt idx="5">
                    <c:v>9.1578975162965565E-2</c:v>
                  </c:pt>
                  <c:pt idx="6">
                    <c:v>0.5</c:v>
                  </c:pt>
                  <c:pt idx="7">
                    <c:v>0.4</c:v>
                  </c:pt>
                  <c:pt idx="8">
                    <c:v>0.30000000000000032</c:v>
                  </c:pt>
                  <c:pt idx="9">
                    <c:v>0.11</c:v>
                  </c:pt>
                </c:numCache>
              </c:numRef>
            </c:plus>
            <c:minus>
              <c:numLit>
                <c:formatCode>General</c:formatCode>
                <c:ptCount val="1"/>
                <c:pt idx="0">
                  <c:v>1</c:v>
                </c:pt>
              </c:numLit>
            </c:minus>
            <c:spPr>
              <a:ln w="1270">
                <a:solidFill>
                  <a:prstClr val="black"/>
                </a:solidFill>
              </a:ln>
            </c:spPr>
          </c:errBars>
          <c:cat>
            <c:strRef>
              <c:f>MTT!$B$12:$B$21</c:f>
              <c:strCache>
                <c:ptCount val="10"/>
                <c:pt idx="0">
                  <c:v>0 g/L </c:v>
                </c:pt>
                <c:pt idx="1">
                  <c:v>5 g/L </c:v>
                </c:pt>
                <c:pt idx="2">
                  <c:v>0 g/L </c:v>
                </c:pt>
                <c:pt idx="3">
                  <c:v>5 g/L </c:v>
                </c:pt>
                <c:pt idx="4">
                  <c:v>0 g/L </c:v>
                </c:pt>
                <c:pt idx="5">
                  <c:v>5 g/L </c:v>
                </c:pt>
                <c:pt idx="6">
                  <c:v>0 g/L </c:v>
                </c:pt>
                <c:pt idx="7">
                  <c:v>5 g/L </c:v>
                </c:pt>
                <c:pt idx="8">
                  <c:v>0 g/L </c:v>
                </c:pt>
                <c:pt idx="9">
                  <c:v>5 g/L </c:v>
                </c:pt>
              </c:strCache>
            </c:strRef>
          </c:cat>
          <c:val>
            <c:numRef>
              <c:f>MTT!$C$27:$C$36</c:f>
              <c:numCache>
                <c:formatCode>0.0</c:formatCode>
                <c:ptCount val="10"/>
                <c:pt idx="0">
                  <c:v>3.435589263514502</c:v>
                </c:pt>
                <c:pt idx="1">
                  <c:v>3.7717981736258377</c:v>
                </c:pt>
                <c:pt idx="2">
                  <c:v>3.0810480784713592</c:v>
                </c:pt>
                <c:pt idx="3">
                  <c:v>3.8387385653456376</c:v>
                </c:pt>
                <c:pt idx="4">
                  <c:v>3.6132691802154473</c:v>
                </c:pt>
                <c:pt idx="5">
                  <c:v>4.9342582439723834</c:v>
                </c:pt>
                <c:pt idx="6">
                  <c:v>3.8355424109743117</c:v>
                </c:pt>
                <c:pt idx="7">
                  <c:v>4.1451241815773754</c:v>
                </c:pt>
                <c:pt idx="8">
                  <c:v>5.0999999999999996</c:v>
                </c:pt>
                <c:pt idx="9">
                  <c:v>4.9000000000000004</c:v>
                </c:pt>
              </c:numCache>
            </c:numRef>
          </c:val>
          <c:extLst>
            <c:ext xmlns:c16="http://schemas.microsoft.com/office/drawing/2014/chart" uri="{C3380CC4-5D6E-409C-BE32-E72D297353CC}">
              <c16:uniqueId val="{00000000-89BC-4DA7-9801-EF5C602824B8}"/>
            </c:ext>
          </c:extLst>
        </c:ser>
        <c:ser>
          <c:idx val="1"/>
          <c:order val="1"/>
          <c:tx>
            <c:v>Rec-TfR1 HepG2 cells</c:v>
          </c:tx>
          <c:spPr>
            <a:blipFill>
              <a:blip xmlns:r="http://schemas.openxmlformats.org/officeDocument/2006/relationships" r:embed="rId2"/>
              <a:tile tx="0" ty="0" sx="100000" sy="100000" flip="none" algn="tl"/>
            </a:blipFill>
            <a:ln w="31750">
              <a:solidFill>
                <a:prstClr val="black"/>
              </a:solidFill>
            </a:ln>
          </c:spPr>
          <c:invertIfNegative val="0"/>
          <c:errBars>
            <c:errBarType val="plus"/>
            <c:errValType val="cust"/>
            <c:noEndCap val="0"/>
            <c:plus>
              <c:numRef>
                <c:f>MTT!$F$27:$F$36</c:f>
                <c:numCache>
                  <c:formatCode>General</c:formatCode>
                  <c:ptCount val="10"/>
                  <c:pt idx="0">
                    <c:v>0.59247910316387864</c:v>
                  </c:pt>
                  <c:pt idx="1">
                    <c:v>2.8175012574337854</c:v>
                  </c:pt>
                  <c:pt idx="2">
                    <c:v>0.74850868674590876</c:v>
                  </c:pt>
                  <c:pt idx="3">
                    <c:v>0.66993182441239874</c:v>
                  </c:pt>
                  <c:pt idx="4">
                    <c:v>2.7</c:v>
                  </c:pt>
                  <c:pt idx="5">
                    <c:v>1.9393134678238348</c:v>
                  </c:pt>
                  <c:pt idx="6">
                    <c:v>0.48364887400006418</c:v>
                  </c:pt>
                  <c:pt idx="7">
                    <c:v>0.83445848001109912</c:v>
                  </c:pt>
                  <c:pt idx="8">
                    <c:v>0.47136229665355589</c:v>
                  </c:pt>
                  <c:pt idx="9">
                    <c:v>0.34003224228981732</c:v>
                  </c:pt>
                </c:numCache>
              </c:numRef>
            </c:plus>
            <c:minus>
              <c:numLit>
                <c:formatCode>General</c:formatCode>
                <c:ptCount val="1"/>
                <c:pt idx="0">
                  <c:v>1</c:v>
                </c:pt>
              </c:numLit>
            </c:minus>
            <c:spPr>
              <a:ln w="1270"/>
            </c:spPr>
          </c:errBars>
          <c:val>
            <c:numRef>
              <c:f>MTT!$E$27:$E$36</c:f>
              <c:numCache>
                <c:formatCode>0.0</c:formatCode>
                <c:ptCount val="10"/>
                <c:pt idx="0">
                  <c:v>12.395664381039976</c:v>
                </c:pt>
                <c:pt idx="1">
                  <c:v>13.682155640440568</c:v>
                </c:pt>
                <c:pt idx="2">
                  <c:v>10.004455032558054</c:v>
                </c:pt>
                <c:pt idx="3">
                  <c:v>14.112589021183076</c:v>
                </c:pt>
                <c:pt idx="4">
                  <c:v>10.1</c:v>
                </c:pt>
                <c:pt idx="5">
                  <c:v>32.158020309439436</c:v>
                </c:pt>
                <c:pt idx="6">
                  <c:v>9.6023400142220705</c:v>
                </c:pt>
                <c:pt idx="7">
                  <c:v>23.411333233268689</c:v>
                </c:pt>
                <c:pt idx="8">
                  <c:v>9.8947992498515642</c:v>
                </c:pt>
                <c:pt idx="9">
                  <c:v>10.988469890268426</c:v>
                </c:pt>
              </c:numCache>
            </c:numRef>
          </c:val>
          <c:extLst>
            <c:ext xmlns:c16="http://schemas.microsoft.com/office/drawing/2014/chart" uri="{C3380CC4-5D6E-409C-BE32-E72D297353CC}">
              <c16:uniqueId val="{00000001-89BC-4DA7-9801-EF5C602824B8}"/>
            </c:ext>
          </c:extLst>
        </c:ser>
        <c:dLbls>
          <c:showLegendKey val="0"/>
          <c:showVal val="0"/>
          <c:showCatName val="0"/>
          <c:showSerName val="0"/>
          <c:showPercent val="0"/>
          <c:showBubbleSize val="0"/>
        </c:dLbls>
        <c:gapWidth val="150"/>
        <c:axId val="117979776"/>
        <c:axId val="118006528"/>
      </c:barChart>
      <c:catAx>
        <c:axId val="117979776"/>
        <c:scaling>
          <c:orientation val="minMax"/>
        </c:scaling>
        <c:delete val="0"/>
        <c:axPos val="b"/>
        <c:title>
          <c:tx>
            <c:rich>
              <a:bodyPr/>
              <a:lstStyle/>
              <a:p>
                <a:pPr>
                  <a:defRPr sz="1400"/>
                </a:pPr>
                <a:r>
                  <a:rPr lang="en-US" sz="1400"/>
                  <a:t>30</a:t>
                </a:r>
                <a:r>
                  <a:rPr lang="en-US" sz="1400" baseline="0"/>
                  <a:t> min                 2 h                      4 h                     24 h                      48 h </a:t>
                </a:r>
              </a:p>
              <a:p>
                <a:pPr>
                  <a:defRPr sz="1400"/>
                </a:pPr>
                <a:r>
                  <a:rPr lang="en-US" sz="1400" baseline="0"/>
                  <a:t>Time </a:t>
                </a:r>
                <a:endParaRPr lang="en-US" sz="1400"/>
              </a:p>
            </c:rich>
          </c:tx>
          <c:overlay val="0"/>
        </c:title>
        <c:numFmt formatCode="General" sourceLinked="0"/>
        <c:majorTickMark val="out"/>
        <c:minorTickMark val="none"/>
        <c:tickLblPos val="nextTo"/>
        <c:spPr>
          <a:ln w="31750">
            <a:solidFill>
              <a:prstClr val="black"/>
            </a:solidFill>
          </a:ln>
        </c:spPr>
        <c:txPr>
          <a:bodyPr/>
          <a:lstStyle/>
          <a:p>
            <a:pPr>
              <a:defRPr sz="1400"/>
            </a:pPr>
            <a:endParaRPr lang="en-US"/>
          </a:p>
        </c:txPr>
        <c:crossAx val="118006528"/>
        <c:crosses val="autoZero"/>
        <c:auto val="1"/>
        <c:lblAlgn val="ctr"/>
        <c:lblOffset val="100"/>
        <c:noMultiLvlLbl val="0"/>
      </c:catAx>
      <c:valAx>
        <c:axId val="118006528"/>
        <c:scaling>
          <c:orientation val="minMax"/>
        </c:scaling>
        <c:delete val="0"/>
        <c:axPos val="l"/>
        <c:title>
          <c:tx>
            <c:rich>
              <a:bodyPr rot="-5400000" vert="horz"/>
              <a:lstStyle/>
              <a:p>
                <a:pPr>
                  <a:defRPr sz="1400"/>
                </a:pPr>
                <a:r>
                  <a:rPr lang="en-US" sz="1400" baseline="0"/>
                  <a:t>nmoles Fe/mg protein </a:t>
                </a:r>
                <a:endParaRPr lang="en-US" sz="1400"/>
              </a:p>
            </c:rich>
          </c:tx>
          <c:layout>
            <c:manualLayout>
              <c:xMode val="edge"/>
              <c:yMode val="edge"/>
              <c:x val="3.4280961972776892E-3"/>
              <c:y val="4.0777386541471103E-2"/>
            </c:manualLayout>
          </c:layout>
          <c:overlay val="0"/>
        </c:title>
        <c:numFmt formatCode="General" sourceLinked="0"/>
        <c:majorTickMark val="out"/>
        <c:minorTickMark val="none"/>
        <c:tickLblPos val="nextTo"/>
        <c:spPr>
          <a:ln w="31750">
            <a:solidFill>
              <a:prstClr val="black"/>
            </a:solidFill>
          </a:ln>
        </c:spPr>
        <c:txPr>
          <a:bodyPr/>
          <a:lstStyle/>
          <a:p>
            <a:pPr>
              <a:defRPr sz="1400">
                <a:latin typeface="+mn-lt"/>
              </a:defRPr>
            </a:pPr>
            <a:endParaRPr lang="en-US"/>
          </a:p>
        </c:txPr>
        <c:crossAx val="117979776"/>
        <c:crosses val="autoZero"/>
        <c:crossBetween val="between"/>
        <c:majorUnit val="5"/>
      </c:valAx>
    </c:plotArea>
    <c:legend>
      <c:legendPos val="r"/>
      <c:layout>
        <c:manualLayout>
          <c:xMode val="edge"/>
          <c:yMode val="edge"/>
          <c:x val="0.72979419628622411"/>
          <c:y val="1.8326407115777581E-2"/>
          <c:w val="0.27020580371378811"/>
          <c:h val="0.12830388058170294"/>
        </c:manualLayout>
      </c:layout>
      <c:overlay val="0"/>
      <c:txPr>
        <a:bodyPr/>
        <a:lstStyle/>
        <a:p>
          <a:pPr>
            <a:defRPr sz="1200"/>
          </a:pPr>
          <a:endParaRPr lang="en-US"/>
        </a:p>
      </c:txPr>
    </c:legend>
    <c:plotVisOnly val="1"/>
    <c:dispBlanksAs val="gap"/>
    <c:showDLblsOverMax val="0"/>
  </c:chart>
  <c:spPr>
    <a:ln>
      <a:noFill/>
    </a:ln>
  </c:sp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386172161172162"/>
          <c:y val="4.4910179640718584E-2"/>
          <c:w val="0.88596382783882788"/>
          <c:h val="0.64677073552426334"/>
        </c:manualLayout>
      </c:layout>
      <c:barChart>
        <c:barDir val="col"/>
        <c:grouping val="clustered"/>
        <c:varyColors val="0"/>
        <c:ser>
          <c:idx val="0"/>
          <c:order val="0"/>
          <c:tx>
            <c:v>Wt HepG2 cells</c:v>
          </c:tx>
          <c:spPr>
            <a:noFill/>
            <a:ln w="31750">
              <a:solidFill>
                <a:srgbClr val="000000"/>
              </a:solidFill>
              <a:prstDash val="solid"/>
            </a:ln>
          </c:spPr>
          <c:invertIfNegative val="0"/>
          <c:errBars>
            <c:errBarType val="plus"/>
            <c:errValType val="cust"/>
            <c:noEndCap val="0"/>
            <c:plus>
              <c:numRef>
                <c:f>'MTT hepcidin'!$L$57:$L$66</c:f>
                <c:numCache>
                  <c:formatCode>General</c:formatCode>
                  <c:ptCount val="10"/>
                  <c:pt idx="0">
                    <c:v>1.3472193585307464</c:v>
                  </c:pt>
                  <c:pt idx="1">
                    <c:v>0.20816659994662104</c:v>
                  </c:pt>
                  <c:pt idx="2">
                    <c:v>0.6173419725817485</c:v>
                  </c:pt>
                  <c:pt idx="3">
                    <c:v>0.56862407030772966</c:v>
                  </c:pt>
                  <c:pt idx="4">
                    <c:v>0.29059326290271292</c:v>
                  </c:pt>
                  <c:pt idx="5">
                    <c:v>0.44907311951024581</c:v>
                  </c:pt>
                  <c:pt idx="6">
                    <c:v>0.28577380332470786</c:v>
                  </c:pt>
                  <c:pt idx="7">
                    <c:v>0.73639512340711988</c:v>
                  </c:pt>
                  <c:pt idx="8">
                    <c:v>0.23333333333333464</c:v>
                  </c:pt>
                  <c:pt idx="9">
                    <c:v>0.59521238039691571</c:v>
                  </c:pt>
                </c:numCache>
              </c:numRef>
            </c:plus>
            <c:minus>
              <c:numRef>
                <c:f>'MTT hepcidin'!#REF!</c:f>
                <c:numCache>
                  <c:formatCode>General</c:formatCode>
                  <c:ptCount val="1"/>
                  <c:pt idx="0">
                    <c:v>1</c:v>
                  </c:pt>
                </c:numCache>
              </c:numRef>
            </c:minus>
            <c:spPr>
              <a:noFill/>
              <a:ln w="1270">
                <a:solidFill>
                  <a:srgbClr val="000000"/>
                </a:solidFill>
                <a:prstDash val="solid"/>
              </a:ln>
            </c:spPr>
          </c:errBars>
          <c:cat>
            <c:strRef>
              <c:f>'MTT hepcidin'!$A$71:$A$80</c:f>
              <c:strCache>
                <c:ptCount val="10"/>
                <c:pt idx="0">
                  <c:v>0 g/L</c:v>
                </c:pt>
                <c:pt idx="1">
                  <c:v>5 g/L</c:v>
                </c:pt>
                <c:pt idx="2">
                  <c:v>0 g/L</c:v>
                </c:pt>
                <c:pt idx="3">
                  <c:v>5 g/L</c:v>
                </c:pt>
                <c:pt idx="4">
                  <c:v>0 g/L</c:v>
                </c:pt>
                <c:pt idx="5">
                  <c:v>5 g/L</c:v>
                </c:pt>
                <c:pt idx="6">
                  <c:v>0 g/L</c:v>
                </c:pt>
                <c:pt idx="7">
                  <c:v>5 g/L</c:v>
                </c:pt>
                <c:pt idx="8">
                  <c:v>0 g/L</c:v>
                </c:pt>
                <c:pt idx="9">
                  <c:v>5 g/L</c:v>
                </c:pt>
              </c:strCache>
            </c:strRef>
          </c:cat>
          <c:val>
            <c:numRef>
              <c:f>'MTT hepcidin'!$J$57:$J$66</c:f>
              <c:numCache>
                <c:formatCode>0.0</c:formatCode>
                <c:ptCount val="10"/>
                <c:pt idx="0">
                  <c:v>5.1499999999999995</c:v>
                </c:pt>
                <c:pt idx="1">
                  <c:v>7.8999999999999995</c:v>
                </c:pt>
                <c:pt idx="2">
                  <c:v>4.5333333333333918</c:v>
                </c:pt>
                <c:pt idx="3">
                  <c:v>8.4</c:v>
                </c:pt>
                <c:pt idx="4">
                  <c:v>2.7333333333333352</c:v>
                </c:pt>
                <c:pt idx="5">
                  <c:v>8.5500000000000007</c:v>
                </c:pt>
                <c:pt idx="6">
                  <c:v>2.65</c:v>
                </c:pt>
                <c:pt idx="7">
                  <c:v>6.0166666666666684</c:v>
                </c:pt>
                <c:pt idx="8">
                  <c:v>1.9666666666666681</c:v>
                </c:pt>
                <c:pt idx="9">
                  <c:v>5.6166666666666663</c:v>
                </c:pt>
              </c:numCache>
            </c:numRef>
          </c:val>
          <c:extLst>
            <c:ext xmlns:c16="http://schemas.microsoft.com/office/drawing/2014/chart" uri="{C3380CC4-5D6E-409C-BE32-E72D297353CC}">
              <c16:uniqueId val="{00000000-5BA1-4F49-9DCA-3FD3CFDB6597}"/>
            </c:ext>
          </c:extLst>
        </c:ser>
        <c:dLbls>
          <c:showLegendKey val="0"/>
          <c:showVal val="0"/>
          <c:showCatName val="0"/>
          <c:showSerName val="0"/>
          <c:showPercent val="0"/>
          <c:showBubbleSize val="0"/>
        </c:dLbls>
        <c:gapWidth val="150"/>
        <c:axId val="118079872"/>
        <c:axId val="118081792"/>
      </c:barChart>
      <c:catAx>
        <c:axId val="118079872"/>
        <c:scaling>
          <c:orientation val="minMax"/>
        </c:scaling>
        <c:delete val="0"/>
        <c:axPos val="b"/>
        <c:title>
          <c:tx>
            <c:rich>
              <a:bodyPr/>
              <a:lstStyle/>
              <a:p>
                <a:pPr algn="l">
                  <a:defRPr sz="1400" b="1" i="0" u="none" strike="noStrike" baseline="0">
                    <a:solidFill>
                      <a:srgbClr val="000000"/>
                    </a:solidFill>
                    <a:latin typeface="Calibri"/>
                    <a:ea typeface="Calibri"/>
                    <a:cs typeface="Calibri"/>
                  </a:defRPr>
                </a:pPr>
                <a:r>
                  <a:rPr lang="en-US" sz="1400"/>
                  <a:t>30 min                   2 h                       4 h                       24 h                    48 h                                                                  		             Time    </a:t>
                </a:r>
              </a:p>
            </c:rich>
          </c:tx>
          <c:layout>
            <c:manualLayout>
              <c:xMode val="edge"/>
              <c:yMode val="edge"/>
              <c:x val="0.15491912348165976"/>
              <c:y val="0.81526369327073567"/>
            </c:manualLayout>
          </c:layout>
          <c:overlay val="0"/>
          <c:spPr>
            <a:noFill/>
            <a:ln w="25400">
              <a:noFill/>
            </a:ln>
          </c:spPr>
        </c:title>
        <c:numFmt formatCode="General" sourceLinked="1"/>
        <c:majorTickMark val="out"/>
        <c:minorTickMark val="none"/>
        <c:tickLblPos val="nextTo"/>
        <c:spPr>
          <a:ln w="31750">
            <a:solidFill>
              <a:srgbClr val="000000"/>
            </a:solidFill>
            <a:prstDash val="solid"/>
          </a:ln>
        </c:spPr>
        <c:txPr>
          <a:bodyPr rot="0" vert="horz"/>
          <a:lstStyle/>
          <a:p>
            <a:pPr>
              <a:defRPr sz="1400" b="0" i="0" u="none" strike="noStrike" baseline="0">
                <a:solidFill>
                  <a:srgbClr val="000000"/>
                </a:solidFill>
                <a:latin typeface="Calibri"/>
                <a:ea typeface="Calibri"/>
                <a:cs typeface="Calibri"/>
              </a:defRPr>
            </a:pPr>
            <a:endParaRPr lang="en-US"/>
          </a:p>
        </c:txPr>
        <c:crossAx val="118081792"/>
        <c:crosses val="autoZero"/>
        <c:auto val="1"/>
        <c:lblAlgn val="ctr"/>
        <c:lblOffset val="100"/>
        <c:tickLblSkip val="1"/>
        <c:tickMarkSkip val="1"/>
        <c:noMultiLvlLbl val="0"/>
      </c:catAx>
      <c:valAx>
        <c:axId val="118081792"/>
        <c:scaling>
          <c:orientation val="minMax"/>
          <c:max val="10"/>
          <c:min val="0"/>
        </c:scaling>
        <c:delete val="0"/>
        <c:axPos val="l"/>
        <c:title>
          <c:tx>
            <c:rich>
              <a:bodyPr/>
              <a:lstStyle/>
              <a:p>
                <a:pPr>
                  <a:defRPr sz="1400" b="1" i="0" u="none" strike="noStrike" baseline="0">
                    <a:solidFill>
                      <a:srgbClr val="000000"/>
                    </a:solidFill>
                    <a:latin typeface="Calibri"/>
                    <a:ea typeface="Calibri"/>
                    <a:cs typeface="Calibri"/>
                  </a:defRPr>
                </a:pPr>
                <a:r>
                  <a:rPr lang="en-US" sz="1400"/>
                  <a:t>Hepcidin secretion ng/mL</a:t>
                </a:r>
              </a:p>
            </c:rich>
          </c:tx>
          <c:layout>
            <c:manualLayout>
              <c:xMode val="edge"/>
              <c:yMode val="edge"/>
              <c:x val="1.0285409035409188E-3"/>
              <c:y val="4.2425665101721534E-3"/>
            </c:manualLayout>
          </c:layout>
          <c:overlay val="0"/>
          <c:spPr>
            <a:noFill/>
            <a:ln w="25400">
              <a:noFill/>
            </a:ln>
          </c:spPr>
        </c:title>
        <c:numFmt formatCode="0" sourceLinked="0"/>
        <c:majorTickMark val="out"/>
        <c:minorTickMark val="none"/>
        <c:tickLblPos val="nextTo"/>
        <c:spPr>
          <a:ln w="31750">
            <a:solidFill>
              <a:srgbClr val="000000"/>
            </a:solidFill>
            <a:prstDash val="solid"/>
          </a:ln>
        </c:spPr>
        <c:txPr>
          <a:bodyPr rot="0" vert="horz"/>
          <a:lstStyle/>
          <a:p>
            <a:pPr>
              <a:defRPr sz="1400" b="0" i="0" u="none" strike="noStrike" baseline="0">
                <a:solidFill>
                  <a:srgbClr val="000000"/>
                </a:solidFill>
                <a:latin typeface="Calibri"/>
                <a:ea typeface="Calibri"/>
                <a:cs typeface="Calibri"/>
              </a:defRPr>
            </a:pPr>
            <a:endParaRPr lang="en-US"/>
          </a:p>
        </c:txPr>
        <c:crossAx val="118079872"/>
        <c:crosses val="autoZero"/>
        <c:crossBetween val="between"/>
        <c:majorUnit val="2"/>
      </c:valAx>
      <c:spPr>
        <a:noFill/>
        <a:ln w="25400">
          <a:noFill/>
        </a:ln>
      </c:spPr>
    </c:plotArea>
    <c:legend>
      <c:legendPos val="r"/>
      <c:layout>
        <c:manualLayout>
          <c:xMode val="edge"/>
          <c:yMode val="edge"/>
          <c:x val="0.77568758419826467"/>
          <c:y val="2.412844378038918E-2"/>
          <c:w val="0.22259206312638549"/>
          <c:h val="0.13640826605204634"/>
        </c:manualLayout>
      </c:layout>
      <c:overlay val="0"/>
      <c:spPr>
        <a:solidFill>
          <a:srgbClr val="FFFFFF"/>
        </a:solidFill>
        <a:ln w="25400">
          <a:noFill/>
        </a:ln>
      </c:spPr>
      <c:txPr>
        <a:bodyPr/>
        <a:lstStyle/>
        <a:p>
          <a:pPr>
            <a:defRPr sz="110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12700">
      <a:noFill/>
      <a:prstDash val="solid"/>
    </a:ln>
  </c:spPr>
  <c:txPr>
    <a:bodyPr/>
    <a:lstStyle/>
    <a:p>
      <a:pPr>
        <a:defRPr sz="800" b="0" i="0" u="none" strike="noStrike" baseline="0">
          <a:solidFill>
            <a:srgbClr val="000000"/>
          </a:solidFill>
          <a:latin typeface="Arial"/>
          <a:ea typeface="Arial"/>
          <a:cs typeface="Arial"/>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DE8466-62E9-4832-97B2-616B38167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33</Pages>
  <Words>35502</Words>
  <Characters>202366</Characters>
  <Application>Microsoft Office Word</Application>
  <DocSecurity>0</DocSecurity>
  <Lines>1686</Lines>
  <Paragraphs>474</Paragraphs>
  <ScaleCrop>false</ScaleCrop>
  <HeadingPairs>
    <vt:vector size="2" baseType="variant">
      <vt:variant>
        <vt:lpstr>Title</vt:lpstr>
      </vt:variant>
      <vt:variant>
        <vt:i4>1</vt:i4>
      </vt:variant>
    </vt:vector>
  </HeadingPairs>
  <TitlesOfParts>
    <vt:vector size="1" baseType="lpstr">
      <vt:lpstr/>
    </vt:vector>
  </TitlesOfParts>
  <Company>University of Westminster</Company>
  <LinksUpToDate>false</LinksUpToDate>
  <CharactersWithSpaces>237394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Kosha Mehta</cp:lastModifiedBy>
  <cp:revision>81</cp:revision>
  <cp:lastPrinted>2016-06-09T07:03:00Z</cp:lastPrinted>
  <dcterms:created xsi:type="dcterms:W3CDTF">2016-06-19T08:17:00Z</dcterms:created>
  <dcterms:modified xsi:type="dcterms:W3CDTF">2018-10-02T04:52:00Z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zotero-version="4.0.29.10"&gt;&lt;session id="tUM9YI4X"/&gt;&lt;style id="http://www.zotero.org/styles/vancouver" locale="en-GB" hasBibliography="1" bibliographyStyleHasBeenSet="1"/&gt;&lt;prefs&gt;&lt;pref name="fieldType" value="Field"/&gt;&lt;pref name="store</vt:lpwstr>
  </property>
  <property fmtid="{D5CDD505-2E9C-101B-9397-08002B2CF9AE}" pid="3" name="ZOTERO_PREF_2">
    <vt:lpwstr>References" value="true"/&gt;&lt;pref name="automaticJournalAbbreviations" value="true"/&gt;&lt;pref name="noteType" value=""/&gt;&lt;/prefs&gt;&lt;/data&gt;</vt:lpwstr>
  </property>
</Properties>
</file>